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CC3EF1">
      <w:pPr>
        <w:kinsoku/>
        <w:jc w:val="center"/>
        <w:outlineLvl w:val="0"/>
        <w:rPr>
          <w:rFonts w:hint="default" w:ascii="Times New Roman" w:hAnsi="Times New Roman" w:eastAsia="宋体" w:cs="Times New Roman"/>
          <w:bCs/>
          <w:color w:val="0000FF"/>
          <w:sz w:val="72"/>
          <w:szCs w:val="72"/>
          <w:lang w:eastAsia="zh-CN"/>
        </w:rPr>
      </w:pPr>
    </w:p>
    <w:p w14:paraId="2FE154F1">
      <w:pPr>
        <w:kinsoku/>
        <w:jc w:val="center"/>
        <w:outlineLvl w:val="0"/>
        <w:rPr>
          <w:rFonts w:hint="default" w:ascii="Times New Roman" w:hAnsi="Times New Roman" w:eastAsia="宋体" w:cs="Times New Roman"/>
          <w:b/>
          <w:bCs w:val="0"/>
          <w:color w:val="000000" w:themeColor="text1"/>
          <w:sz w:val="72"/>
          <w:szCs w:val="72"/>
          <w:lang w:eastAsia="zh-CN"/>
          <w14:textFill>
            <w14:solidFill>
              <w14:schemeClr w14:val="tx1"/>
            </w14:solidFill>
          </w14:textFill>
        </w:rPr>
      </w:pPr>
      <w:r>
        <w:rPr>
          <w:rFonts w:hint="default" w:ascii="Times New Roman" w:hAnsi="Times New Roman" w:eastAsia="宋体" w:cs="Times New Roman"/>
          <w:b/>
          <w:bCs w:val="0"/>
          <w:color w:val="000000" w:themeColor="text1"/>
          <w:sz w:val="72"/>
          <w:szCs w:val="72"/>
          <w:lang w:eastAsia="zh-CN"/>
          <w14:textFill>
            <w14:solidFill>
              <w14:schemeClr w14:val="tx1"/>
            </w14:solidFill>
          </w14:textFill>
        </w:rPr>
        <w:t>建设项目环境影响报告表</w:t>
      </w:r>
    </w:p>
    <w:p w14:paraId="72846702">
      <w:pPr>
        <w:pStyle w:val="10"/>
        <w:kinsoku/>
        <w:rPr>
          <w:rFonts w:hint="default" w:ascii="Times New Roman" w:hAnsi="Times New Roman" w:eastAsia="宋体" w:cs="Times New Roman"/>
          <w:color w:val="000000" w:themeColor="text1"/>
          <w:lang w:eastAsia="zh-CN"/>
          <w14:textFill>
            <w14:solidFill>
              <w14:schemeClr w14:val="tx1"/>
            </w14:solidFill>
          </w14:textFill>
        </w:rPr>
      </w:pPr>
    </w:p>
    <w:p w14:paraId="5C70A02D">
      <w:pPr>
        <w:kinsoku/>
        <w:spacing w:before="192" w:beforeLines="80"/>
        <w:jc w:val="center"/>
        <w:rPr>
          <w:rFonts w:hint="default" w:ascii="Times New Roman" w:hAnsi="Times New Roman" w:eastAsia="宋体" w:cs="Times New Roman"/>
          <w:bCs/>
          <w:color w:val="000000" w:themeColor="text1"/>
          <w:sz w:val="48"/>
          <w:szCs w:val="48"/>
          <w14:textFill>
            <w14:solidFill>
              <w14:schemeClr w14:val="tx1"/>
            </w14:solidFill>
          </w14:textFill>
        </w:rPr>
      </w:pPr>
      <w:r>
        <w:rPr>
          <w:rFonts w:hint="default" w:ascii="Times New Roman" w:hAnsi="Times New Roman" w:eastAsia="宋体" w:cs="Times New Roman"/>
          <w:bCs/>
          <w:color w:val="000000" w:themeColor="text1"/>
          <w:sz w:val="48"/>
          <w:szCs w:val="48"/>
          <w14:textFill>
            <w14:solidFill>
              <w14:schemeClr w14:val="tx1"/>
            </w14:solidFill>
          </w14:textFill>
        </w:rPr>
        <w:t>（污染影响类）</w:t>
      </w:r>
    </w:p>
    <w:p w14:paraId="67BDC047">
      <w:pPr>
        <w:kinsoku/>
        <w:jc w:val="center"/>
        <w:rPr>
          <w:rFonts w:hint="default" w:ascii="Times New Roman" w:hAnsi="Times New Roman" w:eastAsia="宋体" w:cs="Times New Roman"/>
          <w:color w:val="000000" w:themeColor="text1"/>
          <w:sz w:val="52"/>
          <w:szCs w:val="52"/>
          <w14:textFill>
            <w14:solidFill>
              <w14:schemeClr w14:val="tx1"/>
            </w14:solidFill>
          </w14:textFill>
        </w:rPr>
      </w:pPr>
    </w:p>
    <w:p w14:paraId="75864D24">
      <w:pPr>
        <w:kinsoku/>
        <w:ind w:firstLine="1040"/>
        <w:rPr>
          <w:rFonts w:hint="default" w:ascii="Times New Roman" w:hAnsi="Times New Roman" w:eastAsia="宋体" w:cs="Times New Roman"/>
          <w:color w:val="000000" w:themeColor="text1"/>
          <w:sz w:val="44"/>
          <w:szCs w:val="44"/>
          <w14:textFill>
            <w14:solidFill>
              <w14:schemeClr w14:val="tx1"/>
            </w14:solidFill>
          </w14:textFill>
        </w:rPr>
      </w:pPr>
    </w:p>
    <w:p w14:paraId="3C4A46C1">
      <w:pPr>
        <w:kinsoku/>
        <w:ind w:firstLine="1040"/>
        <w:rPr>
          <w:rFonts w:hint="default" w:ascii="Times New Roman" w:hAnsi="Times New Roman" w:eastAsia="宋体" w:cs="Times New Roman"/>
          <w:color w:val="000000" w:themeColor="text1"/>
          <w:sz w:val="44"/>
          <w:szCs w:val="44"/>
          <w14:textFill>
            <w14:solidFill>
              <w14:schemeClr w14:val="tx1"/>
            </w14:solidFill>
          </w14:textFill>
        </w:rPr>
      </w:pPr>
    </w:p>
    <w:p w14:paraId="08892A84">
      <w:pPr>
        <w:kinsoku/>
        <w:ind w:firstLine="1040"/>
        <w:rPr>
          <w:rFonts w:hint="default" w:ascii="Times New Roman" w:hAnsi="Times New Roman" w:eastAsia="宋体" w:cs="Times New Roman"/>
          <w:color w:val="000000" w:themeColor="text1"/>
          <w:sz w:val="44"/>
          <w:szCs w:val="44"/>
          <w14:textFill>
            <w14:solidFill>
              <w14:schemeClr w14:val="tx1"/>
            </w14:solidFill>
          </w14:textFill>
        </w:rPr>
      </w:pPr>
    </w:p>
    <w:p w14:paraId="1130B99C">
      <w:pPr>
        <w:kinsoku/>
        <w:ind w:firstLine="1040"/>
        <w:rPr>
          <w:rFonts w:hint="default" w:ascii="Times New Roman" w:hAnsi="Times New Roman" w:eastAsia="宋体" w:cs="Times New Roman"/>
          <w:color w:val="000000" w:themeColor="text1"/>
          <w:sz w:val="44"/>
          <w:szCs w:val="44"/>
          <w14:textFill>
            <w14:solidFill>
              <w14:schemeClr w14:val="tx1"/>
            </w14:solidFill>
          </w14:textFill>
        </w:rPr>
      </w:pPr>
    </w:p>
    <w:p w14:paraId="154D5D3B">
      <w:pPr>
        <w:kinsoku/>
        <w:ind w:firstLine="1040"/>
        <w:rPr>
          <w:rFonts w:hint="default" w:ascii="Times New Roman" w:hAnsi="Times New Roman" w:eastAsia="宋体" w:cs="Times New Roman"/>
          <w:color w:val="000000" w:themeColor="text1"/>
          <w:sz w:val="44"/>
          <w:szCs w:val="44"/>
          <w14:textFill>
            <w14:solidFill>
              <w14:schemeClr w14:val="tx1"/>
            </w14:solidFill>
          </w14:textFill>
        </w:rPr>
      </w:pPr>
    </w:p>
    <w:p w14:paraId="53FE65D1">
      <w:pPr>
        <w:kinsoku/>
        <w:rPr>
          <w:rFonts w:hint="default" w:ascii="Times New Roman" w:hAnsi="Times New Roman" w:eastAsia="宋体" w:cs="Times New Roman"/>
          <w:color w:val="000000" w:themeColor="text1"/>
          <w:sz w:val="44"/>
          <w:szCs w:val="44"/>
          <w14:textFill>
            <w14:solidFill>
              <w14:schemeClr w14:val="tx1"/>
            </w14:solidFill>
          </w14:textFill>
        </w:rPr>
      </w:pPr>
    </w:p>
    <w:p w14:paraId="6194E468">
      <w:pPr>
        <w:kinsoku/>
        <w:ind w:firstLine="1040"/>
        <w:rPr>
          <w:rFonts w:hint="default" w:ascii="Times New Roman" w:hAnsi="Times New Roman" w:eastAsia="宋体" w:cs="Times New Roman"/>
          <w:color w:val="000000" w:themeColor="text1"/>
          <w:sz w:val="44"/>
          <w:szCs w:val="44"/>
          <w14:textFill>
            <w14:solidFill>
              <w14:schemeClr w14:val="tx1"/>
            </w14:solidFill>
          </w14:textFill>
        </w:rPr>
      </w:pPr>
    </w:p>
    <w:p w14:paraId="280B4FAF">
      <w:pPr>
        <w:kinsoku/>
        <w:ind w:firstLine="1040"/>
        <w:rPr>
          <w:rFonts w:hint="default" w:ascii="Times New Roman" w:hAnsi="Times New Roman" w:eastAsia="宋体" w:cs="Times New Roman"/>
          <w:color w:val="000000" w:themeColor="text1"/>
          <w:sz w:val="44"/>
          <w:szCs w:val="44"/>
          <w14:textFill>
            <w14:solidFill>
              <w14:schemeClr w14:val="tx1"/>
            </w14:solidFill>
          </w14:textFill>
        </w:rPr>
      </w:pPr>
    </w:p>
    <w:p w14:paraId="54FCC79C">
      <w:pPr>
        <w:kinsoku/>
        <w:spacing w:line="288" w:lineRule="auto"/>
        <w:ind w:left="1800" w:hanging="1800" w:hangingChars="500"/>
        <w:jc w:val="both"/>
        <w:rPr>
          <w:rFonts w:hint="default" w:ascii="Times New Roman" w:hAnsi="Times New Roman" w:eastAsia="宋体" w:cs="Times New Roman"/>
          <w:color w:val="000000" w:themeColor="text1"/>
          <w:sz w:val="36"/>
          <w:szCs w:val="36"/>
          <w:u w:val="single"/>
          <w:lang w:val="en-US" w:eastAsia="zh-CN"/>
          <w14:textFill>
            <w14:solidFill>
              <w14:schemeClr w14:val="tx1"/>
            </w14:solidFill>
          </w14:textFill>
        </w:rPr>
      </w:pPr>
      <w:bookmarkStart w:id="0" w:name="_Hlk57884087"/>
      <w:r>
        <w:rPr>
          <w:rFonts w:hint="default" w:ascii="Times New Roman" w:hAnsi="Times New Roman" w:eastAsia="宋体" w:cs="Times New Roman"/>
          <w:color w:val="000000" w:themeColor="text1"/>
          <w:sz w:val="36"/>
          <w:szCs w:val="36"/>
          <w:lang w:eastAsia="zh-CN"/>
          <w14:textFill>
            <w14:solidFill>
              <w14:schemeClr w14:val="tx1"/>
            </w14:solidFill>
          </w14:textFill>
        </w:rPr>
        <w:t>项目名称：</w:t>
      </w:r>
      <w:r>
        <w:rPr>
          <w:rFonts w:hint="default" w:ascii="Times New Roman" w:hAnsi="Times New Roman" w:eastAsia="宋体" w:cs="Times New Roman"/>
          <w:color w:val="000000" w:themeColor="text1"/>
          <w:sz w:val="36"/>
          <w:szCs w:val="36"/>
          <w:u w:val="singl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36"/>
          <w:szCs w:val="36"/>
          <w:u w:val="single"/>
          <w:lang w:eastAsia="zh-CN"/>
          <w14:textFill>
            <w14:solidFill>
              <w14:schemeClr w14:val="tx1"/>
            </w14:solidFill>
          </w14:textFill>
        </w:rPr>
        <w:t>高性能铝箔材料生产扩建项目</w:t>
      </w:r>
      <w:r>
        <w:rPr>
          <w:rFonts w:hint="default" w:ascii="Times New Roman" w:hAnsi="Times New Roman" w:eastAsia="宋体" w:cs="Times New Roman"/>
          <w:color w:val="000000" w:themeColor="text1"/>
          <w:sz w:val="36"/>
          <w:szCs w:val="36"/>
          <w:u w:val="single"/>
          <w:lang w:val="en-US" w:eastAsia="zh-CN"/>
          <w14:textFill>
            <w14:solidFill>
              <w14:schemeClr w14:val="tx1"/>
            </w14:solidFill>
          </w14:textFill>
        </w:rPr>
        <w:t xml:space="preserve">      </w:t>
      </w:r>
    </w:p>
    <w:p w14:paraId="0082A01D">
      <w:pPr>
        <w:kinsoku/>
        <w:spacing w:line="288" w:lineRule="auto"/>
        <w:rPr>
          <w:rFonts w:hint="default" w:ascii="Times New Roman" w:hAnsi="Times New Roman" w:eastAsia="宋体" w:cs="Times New Roman"/>
          <w:color w:val="000000" w:themeColor="text1"/>
          <w:sz w:val="36"/>
          <w:szCs w:val="36"/>
          <w:u w:val="single"/>
          <w:lang w:eastAsia="zh-CN"/>
          <w14:textFill>
            <w14:solidFill>
              <w14:schemeClr w14:val="tx1"/>
            </w14:solidFill>
          </w14:textFill>
        </w:rPr>
      </w:pPr>
      <w:r>
        <w:rPr>
          <w:rFonts w:hint="default" w:ascii="Times New Roman" w:hAnsi="Times New Roman" w:eastAsia="宋体" w:cs="Times New Roman"/>
          <w:color w:val="000000" w:themeColor="text1"/>
          <w:sz w:val="36"/>
          <w:szCs w:val="36"/>
          <w:lang w:eastAsia="zh-CN"/>
          <w14:textFill>
            <w14:solidFill>
              <w14:schemeClr w14:val="tx1"/>
            </w14:solidFill>
          </w14:textFill>
        </w:rPr>
        <w:t>建设单位（盖章）：</w:t>
      </w:r>
      <w:r>
        <w:rPr>
          <w:rFonts w:hint="default" w:ascii="Times New Roman" w:hAnsi="Times New Roman" w:eastAsia="宋体" w:cs="Times New Roman"/>
          <w:color w:val="000000" w:themeColor="text1"/>
          <w:sz w:val="36"/>
          <w:szCs w:val="36"/>
          <w:u w:val="single"/>
          <w:lang w:eastAsia="zh-CN"/>
          <w14:textFill>
            <w14:solidFill>
              <w14:schemeClr w14:val="tx1"/>
            </w14:solidFill>
          </w14:textFill>
        </w:rPr>
        <w:t xml:space="preserve"> 安徽德美新材料科技股份有限公司</w:t>
      </w:r>
      <w:r>
        <w:rPr>
          <w:rFonts w:hint="default" w:ascii="Times New Roman" w:hAnsi="Times New Roman" w:eastAsia="宋体" w:cs="Times New Roman"/>
          <w:color w:val="000000" w:themeColor="text1"/>
          <w:sz w:val="36"/>
          <w:szCs w:val="36"/>
          <w:lang w:eastAsia="zh-CN"/>
          <w14:textFill>
            <w14:solidFill>
              <w14:schemeClr w14:val="tx1"/>
            </w14:solidFill>
          </w14:textFill>
        </w:rPr>
        <w:t xml:space="preserve">   </w:t>
      </w:r>
      <w:r>
        <w:rPr>
          <w:rFonts w:hint="default" w:ascii="Times New Roman" w:hAnsi="Times New Roman" w:eastAsia="宋体" w:cs="Times New Roman"/>
          <w:color w:val="000000" w:themeColor="text1"/>
          <w:sz w:val="28"/>
          <w:szCs w:val="28"/>
          <w:u w:val="single"/>
          <w:lang w:eastAsia="zh-CN"/>
          <w14:textFill>
            <w14:solidFill>
              <w14:schemeClr w14:val="tx1"/>
            </w14:solidFill>
          </w14:textFill>
        </w:rPr>
        <w:t xml:space="preserve">           </w:t>
      </w:r>
      <w:r>
        <w:rPr>
          <w:rFonts w:hint="default" w:ascii="Times New Roman" w:hAnsi="Times New Roman" w:eastAsia="宋体" w:cs="Times New Roman"/>
          <w:color w:val="000000" w:themeColor="text1"/>
          <w:sz w:val="36"/>
          <w:szCs w:val="36"/>
          <w:u w:val="single"/>
          <w:lang w:eastAsia="zh-CN"/>
          <w14:textFill>
            <w14:solidFill>
              <w14:schemeClr w14:val="tx1"/>
            </w14:solidFill>
          </w14:textFill>
        </w:rPr>
        <w:t xml:space="preserve"> </w:t>
      </w:r>
    </w:p>
    <w:p w14:paraId="2E45365A">
      <w:pPr>
        <w:kinsoku/>
        <w:spacing w:line="288" w:lineRule="auto"/>
        <w:rPr>
          <w:rFonts w:hint="default" w:ascii="Times New Roman" w:hAnsi="Times New Roman" w:eastAsia="宋体" w:cs="Times New Roman"/>
          <w:color w:val="000000" w:themeColor="text1"/>
          <w:sz w:val="36"/>
          <w:szCs w:val="36"/>
          <w:u w:val="single"/>
          <w:lang w:eastAsia="zh-CN"/>
          <w14:textFill>
            <w14:solidFill>
              <w14:schemeClr w14:val="tx1"/>
            </w14:solidFill>
          </w14:textFill>
        </w:rPr>
      </w:pPr>
      <w:r>
        <w:rPr>
          <w:rFonts w:hint="default" w:ascii="Times New Roman" w:hAnsi="Times New Roman" w:eastAsia="宋体" w:cs="Times New Roman"/>
          <w:color w:val="000000" w:themeColor="text1"/>
          <w:sz w:val="36"/>
          <w:szCs w:val="36"/>
          <w:lang w:eastAsia="zh-CN"/>
          <w14:textFill>
            <w14:solidFill>
              <w14:schemeClr w14:val="tx1"/>
            </w14:solidFill>
          </w14:textFill>
        </w:rPr>
        <w:t>编制日期：</w:t>
      </w:r>
      <w:r>
        <w:rPr>
          <w:rFonts w:hint="default" w:ascii="Times New Roman" w:hAnsi="Times New Roman" w:eastAsia="宋体" w:cs="Times New Roman"/>
          <w:color w:val="000000" w:themeColor="text1"/>
          <w:sz w:val="36"/>
          <w:szCs w:val="36"/>
          <w:u w:val="single"/>
          <w:lang w:eastAsia="zh-CN"/>
          <w14:textFill>
            <w14:solidFill>
              <w14:schemeClr w14:val="tx1"/>
            </w14:solidFill>
          </w14:textFill>
        </w:rPr>
        <w:t xml:space="preserve">             </w:t>
      </w:r>
      <w:r>
        <w:rPr>
          <w:rFonts w:hint="default" w:ascii="Times New Roman" w:hAnsi="Times New Roman" w:eastAsia="宋体" w:cs="Times New Roman"/>
          <w:color w:val="000000" w:themeColor="text1"/>
          <w:sz w:val="30"/>
          <w:szCs w:val="30"/>
          <w:u w:val="single"/>
          <w:lang w:eastAsia="zh-CN"/>
          <w14:textFill>
            <w14:solidFill>
              <w14:schemeClr w14:val="tx1"/>
            </w14:solidFill>
          </w14:textFill>
        </w:rPr>
        <w:t xml:space="preserve"> </w:t>
      </w:r>
      <w:r>
        <w:rPr>
          <w:rFonts w:hint="default" w:ascii="Times New Roman" w:hAnsi="Times New Roman" w:eastAsia="宋体" w:cs="Times New Roman"/>
          <w:color w:val="000000" w:themeColor="text1"/>
          <w:sz w:val="36"/>
          <w:szCs w:val="36"/>
          <w:u w:val="single"/>
          <w:lang w:eastAsia="zh-CN"/>
          <w14:textFill>
            <w14:solidFill>
              <w14:schemeClr w14:val="tx1"/>
            </w14:solidFill>
          </w14:textFill>
        </w:rPr>
        <w:t>202</w:t>
      </w:r>
      <w:r>
        <w:rPr>
          <w:rFonts w:hint="default" w:ascii="Times New Roman" w:hAnsi="Times New Roman" w:eastAsia="宋体" w:cs="Times New Roman"/>
          <w:color w:val="000000" w:themeColor="text1"/>
          <w:sz w:val="36"/>
          <w:szCs w:val="36"/>
          <w:u w:val="single"/>
          <w:lang w:val="en-US" w:eastAsia="zh-CN"/>
          <w14:textFill>
            <w14:solidFill>
              <w14:schemeClr w14:val="tx1"/>
            </w14:solidFill>
          </w14:textFill>
        </w:rPr>
        <w:t>5</w:t>
      </w:r>
      <w:r>
        <w:rPr>
          <w:rFonts w:hint="default" w:ascii="Times New Roman" w:hAnsi="Times New Roman" w:eastAsia="宋体" w:cs="Times New Roman"/>
          <w:color w:val="000000" w:themeColor="text1"/>
          <w:sz w:val="36"/>
          <w:szCs w:val="36"/>
          <w:u w:val="single"/>
          <w:lang w:eastAsia="zh-CN"/>
          <w14:textFill>
            <w14:solidFill>
              <w14:schemeClr w14:val="tx1"/>
            </w14:solidFill>
          </w14:textFill>
        </w:rPr>
        <w:t>年</w:t>
      </w:r>
      <w:r>
        <w:rPr>
          <w:rFonts w:hint="default" w:ascii="Times New Roman" w:hAnsi="Times New Roman" w:eastAsia="宋体" w:cs="Times New Roman"/>
          <w:color w:val="000000" w:themeColor="text1"/>
          <w:sz w:val="36"/>
          <w:szCs w:val="36"/>
          <w:u w:val="single"/>
          <w:lang w:val="en-US" w:eastAsia="zh-CN"/>
          <w14:textFill>
            <w14:solidFill>
              <w14:schemeClr w14:val="tx1"/>
            </w14:solidFill>
          </w14:textFill>
        </w:rPr>
        <w:t>10</w:t>
      </w:r>
      <w:r>
        <w:rPr>
          <w:rFonts w:hint="default" w:ascii="Times New Roman" w:hAnsi="Times New Roman" w:eastAsia="宋体" w:cs="Times New Roman"/>
          <w:color w:val="000000" w:themeColor="text1"/>
          <w:sz w:val="36"/>
          <w:szCs w:val="36"/>
          <w:u w:val="single"/>
          <w:lang w:eastAsia="zh-CN"/>
          <w14:textFill>
            <w14:solidFill>
              <w14:schemeClr w14:val="tx1"/>
            </w14:solidFill>
          </w14:textFill>
        </w:rPr>
        <w:t xml:space="preserve">月  </w:t>
      </w:r>
      <w:r>
        <w:rPr>
          <w:rFonts w:hint="default" w:ascii="Times New Roman" w:hAnsi="Times New Roman" w:eastAsia="宋体" w:cs="Times New Roman"/>
          <w:color w:val="000000" w:themeColor="text1"/>
          <w:sz w:val="30"/>
          <w:szCs w:val="30"/>
          <w:u w:val="single"/>
          <w:lang w:eastAsia="zh-CN"/>
          <w14:textFill>
            <w14:solidFill>
              <w14:schemeClr w14:val="tx1"/>
            </w14:solidFill>
          </w14:textFill>
        </w:rPr>
        <w:t xml:space="preserve">   </w:t>
      </w:r>
      <w:r>
        <w:rPr>
          <w:rFonts w:hint="default" w:ascii="Times New Roman" w:hAnsi="Times New Roman" w:eastAsia="宋体" w:cs="Times New Roman"/>
          <w:color w:val="000000" w:themeColor="text1"/>
          <w:sz w:val="36"/>
          <w:szCs w:val="36"/>
          <w:u w:val="single"/>
          <w:lang w:eastAsia="zh-CN"/>
          <w14:textFill>
            <w14:solidFill>
              <w14:schemeClr w14:val="tx1"/>
            </w14:solidFill>
          </w14:textFill>
        </w:rPr>
        <w:t xml:space="preserve">              </w:t>
      </w:r>
    </w:p>
    <w:p w14:paraId="3042EEEB">
      <w:pPr>
        <w:kinsoku/>
        <w:spacing w:line="288" w:lineRule="auto"/>
        <w:ind w:firstLine="1040"/>
        <w:rPr>
          <w:rFonts w:hint="default" w:ascii="Times New Roman" w:hAnsi="Times New Roman" w:eastAsia="宋体" w:cs="Times New Roman"/>
          <w:color w:val="000000" w:themeColor="text1"/>
          <w:sz w:val="36"/>
          <w:szCs w:val="36"/>
          <w:u w:val="single"/>
          <w:lang w:eastAsia="zh-CN"/>
          <w14:textFill>
            <w14:solidFill>
              <w14:schemeClr w14:val="tx1"/>
            </w14:solidFill>
          </w14:textFill>
        </w:rPr>
      </w:pPr>
    </w:p>
    <w:p w14:paraId="12D472A5">
      <w:pPr>
        <w:pStyle w:val="17"/>
        <w:kinsoku/>
        <w:rPr>
          <w:rFonts w:hint="default" w:ascii="Times New Roman" w:hAnsi="Times New Roman" w:eastAsia="宋体" w:cs="Times New Roman"/>
          <w:color w:val="000000" w:themeColor="text1"/>
          <w:lang w:eastAsia="zh-CN"/>
          <w14:textFill>
            <w14:solidFill>
              <w14:schemeClr w14:val="tx1"/>
            </w14:solidFill>
          </w14:textFill>
        </w:rPr>
      </w:pPr>
    </w:p>
    <w:p w14:paraId="7B3EE7C9">
      <w:pPr>
        <w:kinsoku/>
        <w:spacing w:line="288" w:lineRule="auto"/>
        <w:ind w:firstLine="1040"/>
        <w:rPr>
          <w:rFonts w:hint="default" w:ascii="Times New Roman" w:hAnsi="Times New Roman" w:eastAsia="宋体" w:cs="Times New Roman"/>
          <w:color w:val="000000" w:themeColor="text1"/>
          <w:sz w:val="36"/>
          <w:szCs w:val="36"/>
          <w:lang w:eastAsia="zh-CN"/>
          <w14:textFill>
            <w14:solidFill>
              <w14:schemeClr w14:val="tx1"/>
            </w14:solidFill>
          </w14:textFill>
        </w:rPr>
      </w:pPr>
    </w:p>
    <w:bookmarkEnd w:id="0"/>
    <w:p w14:paraId="6E24101B">
      <w:pPr>
        <w:kinsoku/>
        <w:spacing w:line="288" w:lineRule="auto"/>
        <w:jc w:val="both"/>
        <w:rPr>
          <w:rFonts w:hint="default" w:ascii="Times New Roman" w:hAnsi="Times New Roman" w:eastAsia="宋体" w:cs="Times New Roman"/>
          <w:color w:val="000000" w:themeColor="text1"/>
          <w:sz w:val="36"/>
          <w:szCs w:val="36"/>
          <w:lang w:eastAsia="zh-CN"/>
          <w14:textFill>
            <w14:solidFill>
              <w14:schemeClr w14:val="tx1"/>
            </w14:solidFill>
          </w14:textFill>
        </w:rPr>
      </w:pPr>
    </w:p>
    <w:p w14:paraId="788ACCCC">
      <w:pPr>
        <w:kinsoku/>
        <w:spacing w:line="288" w:lineRule="auto"/>
        <w:jc w:val="center"/>
        <w:rPr>
          <w:rFonts w:hint="default" w:ascii="Times New Roman" w:hAnsi="Times New Roman" w:eastAsia="宋体" w:cs="Times New Roman"/>
          <w:b/>
          <w:bCs/>
          <w:color w:val="0000FF"/>
          <w:sz w:val="36"/>
          <w:szCs w:val="36"/>
          <w:lang w:eastAsia="zh-CN"/>
        </w:rPr>
      </w:pPr>
      <w:r>
        <w:rPr>
          <w:rFonts w:hint="default" w:ascii="Times New Roman" w:hAnsi="Times New Roman" w:eastAsia="宋体" w:cs="Times New Roman"/>
          <w:b/>
          <w:bCs/>
          <w:color w:val="000000" w:themeColor="text1"/>
          <w:sz w:val="36"/>
          <w:szCs w:val="36"/>
          <w:lang w:eastAsia="zh-CN"/>
          <w14:textFill>
            <w14:solidFill>
              <w14:schemeClr w14:val="tx1"/>
            </w14:solidFill>
          </w14:textFill>
        </w:rPr>
        <w:t>中华人民共和国生态环境部制</w:t>
      </w:r>
    </w:p>
    <w:p w14:paraId="1662D083">
      <w:pPr>
        <w:kinsoku/>
        <w:spacing w:line="288" w:lineRule="auto"/>
        <w:ind w:firstLine="1040"/>
        <w:rPr>
          <w:rFonts w:hint="default" w:ascii="Times New Roman" w:hAnsi="Times New Roman" w:eastAsia="宋体" w:cs="Times New Roman"/>
          <w:color w:val="0000FF"/>
          <w:sz w:val="36"/>
          <w:szCs w:val="36"/>
          <w:lang w:eastAsia="zh-CN"/>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09BE2672">
      <w:pPr>
        <w:pStyle w:val="24"/>
        <w:kinsoku/>
        <w:spacing w:before="0" w:beforeAutospacing="0" w:after="0" w:afterAutospacing="0" w:line="360" w:lineRule="auto"/>
        <w:jc w:val="center"/>
        <w:outlineLvl w:val="0"/>
        <w:rPr>
          <w:rFonts w:hint="default" w:ascii="Times New Roman" w:hAnsi="Times New Roman" w:eastAsia="宋体" w:cs="Times New Roman"/>
          <w:b/>
          <w:bCs/>
          <w:color w:val="000000" w:themeColor="text1"/>
          <w:sz w:val="30"/>
          <w:szCs w:val="30"/>
          <w14:textFill>
            <w14:solidFill>
              <w14:schemeClr w14:val="tx1"/>
            </w14:solidFill>
          </w14:textFill>
        </w:rPr>
      </w:pPr>
      <w:r>
        <w:rPr>
          <w:rFonts w:hint="default" w:ascii="Times New Roman" w:hAnsi="Times New Roman" w:eastAsia="宋体" w:cs="Times New Roman"/>
          <w:b/>
          <w:bCs/>
          <w:color w:val="000000" w:themeColor="text1"/>
          <w:sz w:val="30"/>
          <w:szCs w:val="30"/>
          <w14:textFill>
            <w14:solidFill>
              <w14:schemeClr w14:val="tx1"/>
            </w14:solidFill>
          </w14:textFill>
        </w:rPr>
        <w:t>一、建设项目基本情况</w:t>
      </w:r>
    </w:p>
    <w:tbl>
      <w:tblPr>
        <w:tblStyle w:val="26"/>
        <w:tblW w:w="918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41"/>
        <w:gridCol w:w="1095"/>
        <w:gridCol w:w="2273"/>
        <w:gridCol w:w="2110"/>
        <w:gridCol w:w="2861"/>
      </w:tblGrid>
      <w:tr w14:paraId="662CBC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936" w:type="dxa"/>
            <w:gridSpan w:val="2"/>
            <w:tcMar>
              <w:top w:w="16" w:type="dxa"/>
              <w:left w:w="16" w:type="dxa"/>
              <w:right w:w="16" w:type="dxa"/>
            </w:tcMar>
            <w:vAlign w:val="center"/>
          </w:tcPr>
          <w:p w14:paraId="5ED5A400">
            <w:pPr>
              <w:kinsoku/>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建设项目名称</w:t>
            </w:r>
          </w:p>
        </w:tc>
        <w:tc>
          <w:tcPr>
            <w:tcW w:w="7244" w:type="dxa"/>
            <w:gridSpan w:val="3"/>
            <w:vAlign w:val="center"/>
          </w:tcPr>
          <w:p w14:paraId="450183DE">
            <w:pPr>
              <w:kinsoku/>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高性能铝箔材料生产扩建项目</w:t>
            </w:r>
          </w:p>
        </w:tc>
      </w:tr>
      <w:tr w14:paraId="74C7D2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936" w:type="dxa"/>
            <w:gridSpan w:val="2"/>
            <w:tcMar>
              <w:top w:w="16" w:type="dxa"/>
              <w:left w:w="16" w:type="dxa"/>
              <w:right w:w="16" w:type="dxa"/>
            </w:tcMar>
            <w:vAlign w:val="center"/>
          </w:tcPr>
          <w:p w14:paraId="5D522189">
            <w:pPr>
              <w:kinsoku/>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项目代码</w:t>
            </w:r>
          </w:p>
        </w:tc>
        <w:tc>
          <w:tcPr>
            <w:tcW w:w="7244" w:type="dxa"/>
            <w:gridSpan w:val="3"/>
            <w:vAlign w:val="center"/>
          </w:tcPr>
          <w:p w14:paraId="32DD746A">
            <w:pPr>
              <w:kinsoku/>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2506-341302-07-01-958013</w:t>
            </w:r>
          </w:p>
        </w:tc>
      </w:tr>
      <w:tr w14:paraId="5FF272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7" w:hRule="atLeast"/>
          <w:jc w:val="center"/>
        </w:trPr>
        <w:tc>
          <w:tcPr>
            <w:tcW w:w="1936" w:type="dxa"/>
            <w:gridSpan w:val="2"/>
            <w:tcMar>
              <w:top w:w="16" w:type="dxa"/>
              <w:left w:w="16" w:type="dxa"/>
              <w:right w:w="16" w:type="dxa"/>
            </w:tcMar>
            <w:vAlign w:val="center"/>
          </w:tcPr>
          <w:p w14:paraId="30EB5F8B">
            <w:pPr>
              <w:kinsoku/>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建设单位联系人</w:t>
            </w:r>
          </w:p>
        </w:tc>
        <w:tc>
          <w:tcPr>
            <w:tcW w:w="2273" w:type="dxa"/>
            <w:vAlign w:val="center"/>
          </w:tcPr>
          <w:p w14:paraId="50BD1FA7">
            <w:pPr>
              <w:kinsoku/>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p>
        </w:tc>
        <w:tc>
          <w:tcPr>
            <w:tcW w:w="2110" w:type="dxa"/>
            <w:vAlign w:val="center"/>
          </w:tcPr>
          <w:p w14:paraId="02742070">
            <w:pPr>
              <w:kinsoku/>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联系方式</w:t>
            </w:r>
          </w:p>
        </w:tc>
        <w:tc>
          <w:tcPr>
            <w:tcW w:w="2861" w:type="dxa"/>
            <w:vAlign w:val="center"/>
          </w:tcPr>
          <w:p w14:paraId="3C0D2934">
            <w:pPr>
              <w:kinsoku/>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p>
        </w:tc>
      </w:tr>
      <w:tr w14:paraId="376091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13" w:hRule="atLeast"/>
          <w:jc w:val="center"/>
        </w:trPr>
        <w:tc>
          <w:tcPr>
            <w:tcW w:w="1936" w:type="dxa"/>
            <w:gridSpan w:val="2"/>
            <w:tcMar>
              <w:top w:w="16" w:type="dxa"/>
              <w:left w:w="16" w:type="dxa"/>
              <w:right w:w="16" w:type="dxa"/>
            </w:tcMar>
            <w:vAlign w:val="center"/>
          </w:tcPr>
          <w:p w14:paraId="731CBBD3">
            <w:pPr>
              <w:kinsoku/>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建设地点</w:t>
            </w:r>
          </w:p>
        </w:tc>
        <w:tc>
          <w:tcPr>
            <w:tcW w:w="7244" w:type="dxa"/>
            <w:gridSpan w:val="3"/>
            <w:vAlign w:val="center"/>
          </w:tcPr>
          <w:p w14:paraId="305E9400">
            <w:pPr>
              <w:kinsoku/>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宿州市埇桥区经济开发区滨河路西侧</w:t>
            </w:r>
          </w:p>
        </w:tc>
      </w:tr>
      <w:tr w14:paraId="7C4A87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6" w:type="dxa"/>
            <w:gridSpan w:val="2"/>
            <w:tcMar>
              <w:top w:w="16" w:type="dxa"/>
              <w:left w:w="16" w:type="dxa"/>
              <w:right w:w="16" w:type="dxa"/>
            </w:tcMar>
            <w:vAlign w:val="center"/>
          </w:tcPr>
          <w:p w14:paraId="0EC267BB">
            <w:pPr>
              <w:kinsoku/>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地理坐标</w:t>
            </w:r>
          </w:p>
        </w:tc>
        <w:tc>
          <w:tcPr>
            <w:tcW w:w="7244" w:type="dxa"/>
            <w:gridSpan w:val="3"/>
            <w:vAlign w:val="center"/>
          </w:tcPr>
          <w:p w14:paraId="53123365">
            <w:pPr>
              <w:kinsoku/>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u w:val="single"/>
                <w14:textFill>
                  <w14:solidFill>
                    <w14:schemeClr w14:val="tx1"/>
                  </w14:solidFill>
                </w14:textFill>
              </w:rPr>
              <w:t>117</w:t>
            </w:r>
            <w:r>
              <w:rPr>
                <w:rFonts w:hint="default" w:ascii="Times New Roman" w:hAnsi="Times New Roman" w:eastAsia="宋体" w:cs="Times New Roman"/>
                <w:color w:val="000000" w:themeColor="text1"/>
                <w:sz w:val="24"/>
                <w:szCs w:val="24"/>
                <w14:textFill>
                  <w14:solidFill>
                    <w14:schemeClr w14:val="tx1"/>
                  </w14:solidFill>
                </w14:textFill>
              </w:rPr>
              <w:t>度</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14:textFill>
                  <w14:solidFill>
                    <w14:schemeClr w14:val="tx1"/>
                  </w14:solidFill>
                </w14:textFill>
              </w:rPr>
              <w:t>分</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34.308</w:t>
            </w:r>
            <w:r>
              <w:rPr>
                <w:rFonts w:hint="default" w:ascii="Times New Roman" w:hAnsi="Times New Roman" w:eastAsia="宋体" w:cs="Times New Roman"/>
                <w:color w:val="000000" w:themeColor="text1"/>
                <w:sz w:val="24"/>
                <w:szCs w:val="24"/>
                <w14:textFill>
                  <w14:solidFill>
                    <w14:schemeClr w14:val="tx1"/>
                  </w14:solidFill>
                </w14:textFill>
              </w:rPr>
              <w:t>秒，</w:t>
            </w:r>
            <w:r>
              <w:rPr>
                <w:rFonts w:hint="default" w:ascii="Times New Roman" w:hAnsi="Times New Roman" w:eastAsia="宋体" w:cs="Times New Roman"/>
                <w:color w:val="000000" w:themeColor="text1"/>
                <w:sz w:val="24"/>
                <w:szCs w:val="24"/>
                <w:u w:val="single"/>
                <w14:textFill>
                  <w14:solidFill>
                    <w14:schemeClr w14:val="tx1"/>
                  </w14:solidFill>
                </w14:textFill>
              </w:rPr>
              <w:t>34</w:t>
            </w:r>
            <w:r>
              <w:rPr>
                <w:rFonts w:hint="default" w:ascii="Times New Roman" w:hAnsi="Times New Roman" w:eastAsia="宋体" w:cs="Times New Roman"/>
                <w:color w:val="000000" w:themeColor="text1"/>
                <w:sz w:val="24"/>
                <w:szCs w:val="24"/>
                <w14:textFill>
                  <w14:solidFill>
                    <w14:schemeClr w14:val="tx1"/>
                  </w14:solidFill>
                </w14:textFill>
              </w:rPr>
              <w:t>度</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分</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9.804</w:t>
            </w:r>
            <w:r>
              <w:rPr>
                <w:rFonts w:hint="default" w:ascii="Times New Roman" w:hAnsi="Times New Roman" w:eastAsia="宋体" w:cs="Times New Roman"/>
                <w:color w:val="000000" w:themeColor="text1"/>
                <w:sz w:val="24"/>
                <w:szCs w:val="24"/>
                <w14:textFill>
                  <w14:solidFill>
                    <w14:schemeClr w14:val="tx1"/>
                  </w14:solidFill>
                </w14:textFill>
              </w:rPr>
              <w:t>秒）</w:t>
            </w:r>
          </w:p>
        </w:tc>
      </w:tr>
      <w:tr w14:paraId="2BACCC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27" w:hRule="atLeast"/>
          <w:jc w:val="center"/>
        </w:trPr>
        <w:tc>
          <w:tcPr>
            <w:tcW w:w="1936" w:type="dxa"/>
            <w:gridSpan w:val="2"/>
            <w:tcMar>
              <w:top w:w="16" w:type="dxa"/>
              <w:left w:w="16" w:type="dxa"/>
              <w:right w:w="16" w:type="dxa"/>
            </w:tcMar>
            <w:vAlign w:val="center"/>
          </w:tcPr>
          <w:p w14:paraId="524E6272">
            <w:pPr>
              <w:kinsoku/>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国民经济</w:t>
            </w:r>
          </w:p>
          <w:p w14:paraId="2423A248">
            <w:pPr>
              <w:kinsoku/>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行业类别</w:t>
            </w:r>
          </w:p>
        </w:tc>
        <w:tc>
          <w:tcPr>
            <w:tcW w:w="2273" w:type="dxa"/>
            <w:vAlign w:val="center"/>
          </w:tcPr>
          <w:p w14:paraId="06156918">
            <w:pPr>
              <w:kinsoku/>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C3389 其他金属制日用品制造</w:t>
            </w:r>
          </w:p>
        </w:tc>
        <w:tc>
          <w:tcPr>
            <w:tcW w:w="2110" w:type="dxa"/>
            <w:vAlign w:val="center"/>
          </w:tcPr>
          <w:p w14:paraId="7E6D7563">
            <w:pPr>
              <w:kinsoku/>
              <w:jc w:val="center"/>
              <w:rPr>
                <w:rFonts w:hint="default" w:ascii="Times New Roman" w:hAnsi="Times New Roman" w:eastAsia="宋体" w:cs="Times New Roman"/>
                <w:color w:val="000000" w:themeColor="text1"/>
                <w:sz w:val="24"/>
                <w:szCs w:val="24"/>
                <w14:textFill>
                  <w14:solidFill>
                    <w14:schemeClr w14:val="tx1"/>
                  </w14:solidFill>
                </w14:textFill>
              </w:rPr>
            </w:pPr>
            <w:bookmarkStart w:id="1" w:name="_Hlk49843745"/>
            <w:r>
              <w:rPr>
                <w:rFonts w:hint="default" w:ascii="Times New Roman" w:hAnsi="Times New Roman" w:eastAsia="宋体" w:cs="Times New Roman"/>
                <w:color w:val="000000" w:themeColor="text1"/>
                <w:sz w:val="24"/>
                <w:szCs w:val="24"/>
                <w14:textFill>
                  <w14:solidFill>
                    <w14:schemeClr w14:val="tx1"/>
                  </w14:solidFill>
                </w14:textFill>
              </w:rPr>
              <w:t>建设项目</w:t>
            </w:r>
          </w:p>
          <w:p w14:paraId="483D5598">
            <w:pPr>
              <w:kinsoku/>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行业类别</w:t>
            </w:r>
            <w:bookmarkEnd w:id="1"/>
          </w:p>
        </w:tc>
        <w:tc>
          <w:tcPr>
            <w:tcW w:w="2861" w:type="dxa"/>
            <w:vAlign w:val="center"/>
          </w:tcPr>
          <w:p w14:paraId="6D5DA168">
            <w:pPr>
              <w:kinsoku/>
              <w:jc w:val="center"/>
              <w:rPr>
                <w:rFonts w:hint="default" w:ascii="Times New Roman" w:hAnsi="Times New Roman" w:eastAsia="宋体" w:cs="Times New Roman"/>
                <w:color w:val="000000" w:themeColor="text1"/>
                <w:sz w:val="24"/>
                <w:szCs w:val="24"/>
                <w:lang w:val="en-US" w:eastAsia="en-US"/>
                <w14:textFill>
                  <w14:solidFill>
                    <w14:schemeClr w14:val="tx1"/>
                  </w14:solidFill>
                </w14:textFill>
              </w:rPr>
            </w:pPr>
            <w:r>
              <w:rPr>
                <w:rFonts w:hint="default" w:ascii="Times New Roman" w:hAnsi="Times New Roman" w:eastAsia="宋体" w:cs="Times New Roman"/>
                <w:color w:val="000000" w:themeColor="text1"/>
                <w:sz w:val="24"/>
                <w:szCs w:val="24"/>
                <w:lang w:val="en-US" w:eastAsia="en-US"/>
                <w14:textFill>
                  <w14:solidFill>
                    <w14:schemeClr w14:val="tx1"/>
                  </w14:solidFill>
                </w14:textFill>
              </w:rPr>
              <w:t>三十、金属制品业 33</w:t>
            </w:r>
          </w:p>
          <w:p w14:paraId="3FE722F6">
            <w:pPr>
              <w:kinsoku/>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66-金</w:t>
            </w:r>
            <w:r>
              <w:rPr>
                <w:rFonts w:hint="default" w:ascii="Times New Roman" w:hAnsi="Times New Roman" w:eastAsia="宋体" w:cs="Times New Roman"/>
                <w:color w:val="000000" w:themeColor="text1"/>
                <w:sz w:val="24"/>
                <w:szCs w:val="24"/>
                <w:lang w:val="en-US" w:eastAsia="en-US"/>
                <w14:textFill>
                  <w14:solidFill>
                    <w14:schemeClr w14:val="tx1"/>
                  </w14:solidFill>
                </w14:textFill>
              </w:rPr>
              <w:t>属制日用品制造 338</w:t>
            </w:r>
          </w:p>
        </w:tc>
      </w:tr>
      <w:tr w14:paraId="60A6C2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936" w:type="dxa"/>
            <w:gridSpan w:val="2"/>
            <w:tcMar>
              <w:top w:w="16" w:type="dxa"/>
              <w:left w:w="16" w:type="dxa"/>
              <w:right w:w="16" w:type="dxa"/>
            </w:tcMar>
            <w:vAlign w:val="center"/>
          </w:tcPr>
          <w:p w14:paraId="1F34C71E">
            <w:pPr>
              <w:kinsoku/>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建设性质</w:t>
            </w:r>
          </w:p>
        </w:tc>
        <w:tc>
          <w:tcPr>
            <w:tcW w:w="2273" w:type="dxa"/>
            <w:vAlign w:val="center"/>
          </w:tcPr>
          <w:p w14:paraId="46C77B33">
            <w:pPr>
              <w:kinsoku/>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lang w:eastAsia="zh-CN"/>
                <w14:textFill>
                  <w14:solidFill>
                    <w14:schemeClr w14:val="tx1"/>
                  </w14:solidFill>
                </w14:textFill>
              </w:rPr>
              <w:t>新建（迁建）</w:t>
            </w:r>
          </w:p>
          <w:p w14:paraId="6DCE414B">
            <w:pPr>
              <w:kinsoku/>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□改建</w:t>
            </w:r>
          </w:p>
          <w:p w14:paraId="1CABDE6C">
            <w:pPr>
              <w:kinsoku/>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☑扩建</w:t>
            </w:r>
          </w:p>
          <w:p w14:paraId="08809899">
            <w:pPr>
              <w:kinsoku/>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技术改造</w:t>
            </w:r>
          </w:p>
        </w:tc>
        <w:tc>
          <w:tcPr>
            <w:tcW w:w="2110" w:type="dxa"/>
            <w:vAlign w:val="center"/>
          </w:tcPr>
          <w:p w14:paraId="486AE45F">
            <w:pPr>
              <w:tabs>
                <w:tab w:val="center" w:pos="1161"/>
                <w:tab w:val="right" w:pos="2202"/>
              </w:tabs>
              <w:kinsoku/>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建设项目</w:t>
            </w:r>
          </w:p>
          <w:p w14:paraId="47C7F298">
            <w:pPr>
              <w:kinsoku/>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申报情形</w:t>
            </w:r>
          </w:p>
        </w:tc>
        <w:tc>
          <w:tcPr>
            <w:tcW w:w="2861" w:type="dxa"/>
            <w:vAlign w:val="center"/>
          </w:tcPr>
          <w:p w14:paraId="5CB28224">
            <w:pPr>
              <w:kinsoku/>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sym w:font="Wingdings 2" w:char="0052"/>
            </w:r>
            <w:r>
              <w:rPr>
                <w:rFonts w:hint="default" w:ascii="Times New Roman" w:hAnsi="Times New Roman" w:eastAsia="宋体" w:cs="Times New Roman"/>
                <w:color w:val="000000" w:themeColor="text1"/>
                <w:sz w:val="24"/>
                <w:szCs w:val="24"/>
                <w:lang w:eastAsia="zh-CN"/>
                <w14:textFill>
                  <w14:solidFill>
                    <w14:schemeClr w14:val="tx1"/>
                  </w14:solidFill>
                </w14:textFill>
              </w:rPr>
              <w:t xml:space="preserve">首次申报项目             </w:t>
            </w:r>
          </w:p>
          <w:p w14:paraId="47377F83">
            <w:pPr>
              <w:kinsoku/>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□不予批准后再次申报项</w:t>
            </w:r>
          </w:p>
          <w:p w14:paraId="372395AA">
            <w:pPr>
              <w:kinsoku/>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 xml:space="preserve">□超五年重新审核项目     </w:t>
            </w:r>
          </w:p>
          <w:p w14:paraId="6B3162C3">
            <w:pPr>
              <w:kinsoku/>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□重大变动重新报批项目</w:t>
            </w:r>
          </w:p>
        </w:tc>
      </w:tr>
      <w:tr w14:paraId="099B3B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936" w:type="dxa"/>
            <w:gridSpan w:val="2"/>
            <w:tcMar>
              <w:top w:w="16" w:type="dxa"/>
              <w:left w:w="16" w:type="dxa"/>
              <w:right w:w="16" w:type="dxa"/>
            </w:tcMar>
            <w:vAlign w:val="center"/>
          </w:tcPr>
          <w:p w14:paraId="786E9C06">
            <w:pPr>
              <w:kinsoku/>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项目审批（核准/</w:t>
            </w:r>
          </w:p>
          <w:p w14:paraId="46647A54">
            <w:pPr>
              <w:kinsoku/>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备案）部门（选填）</w:t>
            </w:r>
          </w:p>
        </w:tc>
        <w:tc>
          <w:tcPr>
            <w:tcW w:w="2273" w:type="dxa"/>
            <w:vAlign w:val="center"/>
          </w:tcPr>
          <w:p w14:paraId="17B5D4F1">
            <w:pPr>
              <w:kinsoku/>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宿州市埇桥区工业和信息化局</w:t>
            </w:r>
          </w:p>
        </w:tc>
        <w:tc>
          <w:tcPr>
            <w:tcW w:w="2110" w:type="dxa"/>
            <w:vAlign w:val="center"/>
          </w:tcPr>
          <w:p w14:paraId="35B6CEA9">
            <w:pPr>
              <w:kinsoku/>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项目审批（核准/</w:t>
            </w:r>
          </w:p>
          <w:p w14:paraId="4122EA35">
            <w:pPr>
              <w:kinsoku/>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备案）文号（选填）</w:t>
            </w:r>
          </w:p>
        </w:tc>
        <w:tc>
          <w:tcPr>
            <w:tcW w:w="2861" w:type="dxa"/>
            <w:vAlign w:val="center"/>
          </w:tcPr>
          <w:p w14:paraId="737FD1A9">
            <w:pPr>
              <w:kinsoku/>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tc>
      </w:tr>
      <w:tr w14:paraId="51FC30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6" w:type="dxa"/>
            <w:gridSpan w:val="2"/>
            <w:tcMar>
              <w:top w:w="16" w:type="dxa"/>
              <w:left w:w="16" w:type="dxa"/>
              <w:right w:w="16" w:type="dxa"/>
            </w:tcMar>
            <w:vAlign w:val="center"/>
          </w:tcPr>
          <w:p w14:paraId="23468820">
            <w:pPr>
              <w:kinsoku/>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总投资（万元）</w:t>
            </w:r>
          </w:p>
        </w:tc>
        <w:tc>
          <w:tcPr>
            <w:tcW w:w="2273" w:type="dxa"/>
            <w:vAlign w:val="center"/>
          </w:tcPr>
          <w:p w14:paraId="63E0F94E">
            <w:pPr>
              <w:kinsoku/>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8800</w:t>
            </w:r>
          </w:p>
        </w:tc>
        <w:tc>
          <w:tcPr>
            <w:tcW w:w="2110" w:type="dxa"/>
            <w:tcMar>
              <w:top w:w="16" w:type="dxa"/>
              <w:left w:w="16" w:type="dxa"/>
              <w:right w:w="16" w:type="dxa"/>
            </w:tcMar>
            <w:vAlign w:val="center"/>
          </w:tcPr>
          <w:p w14:paraId="48C922B1">
            <w:pPr>
              <w:kinsoku/>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环保投资（万元）</w:t>
            </w:r>
          </w:p>
        </w:tc>
        <w:tc>
          <w:tcPr>
            <w:tcW w:w="2861" w:type="dxa"/>
            <w:vAlign w:val="center"/>
          </w:tcPr>
          <w:p w14:paraId="6744B5B8">
            <w:pPr>
              <w:kinsoku/>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57</w:t>
            </w:r>
          </w:p>
        </w:tc>
      </w:tr>
      <w:tr w14:paraId="1FB22C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1936" w:type="dxa"/>
            <w:gridSpan w:val="2"/>
            <w:tcMar>
              <w:top w:w="16" w:type="dxa"/>
              <w:left w:w="16" w:type="dxa"/>
              <w:right w:w="16" w:type="dxa"/>
            </w:tcMar>
            <w:vAlign w:val="center"/>
          </w:tcPr>
          <w:p w14:paraId="52D8DF97">
            <w:pPr>
              <w:kinsoku/>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环保投资占比（%）</w:t>
            </w:r>
          </w:p>
        </w:tc>
        <w:tc>
          <w:tcPr>
            <w:tcW w:w="2273" w:type="dxa"/>
            <w:vAlign w:val="center"/>
          </w:tcPr>
          <w:p w14:paraId="65068257">
            <w:pPr>
              <w:kinsoku/>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0.648</w:t>
            </w:r>
          </w:p>
        </w:tc>
        <w:tc>
          <w:tcPr>
            <w:tcW w:w="2110" w:type="dxa"/>
            <w:tcMar>
              <w:top w:w="16" w:type="dxa"/>
              <w:left w:w="16" w:type="dxa"/>
              <w:right w:w="16" w:type="dxa"/>
            </w:tcMar>
            <w:vAlign w:val="center"/>
          </w:tcPr>
          <w:p w14:paraId="45C31F51">
            <w:pPr>
              <w:kinsoku/>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施工工期</w:t>
            </w:r>
          </w:p>
        </w:tc>
        <w:tc>
          <w:tcPr>
            <w:tcW w:w="2861" w:type="dxa"/>
            <w:vAlign w:val="center"/>
          </w:tcPr>
          <w:p w14:paraId="69954CDA">
            <w:pPr>
              <w:kinsoku/>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9个月</w:t>
            </w:r>
          </w:p>
        </w:tc>
      </w:tr>
      <w:tr w14:paraId="53BC5D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6" w:type="dxa"/>
            <w:gridSpan w:val="2"/>
            <w:tcMar>
              <w:top w:w="16" w:type="dxa"/>
              <w:left w:w="16" w:type="dxa"/>
              <w:right w:w="16" w:type="dxa"/>
            </w:tcMar>
            <w:vAlign w:val="center"/>
          </w:tcPr>
          <w:p w14:paraId="1167B3E6">
            <w:pPr>
              <w:kinsoku/>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是否开工建设</w:t>
            </w:r>
          </w:p>
        </w:tc>
        <w:tc>
          <w:tcPr>
            <w:tcW w:w="2273" w:type="dxa"/>
            <w:vAlign w:val="center"/>
          </w:tcPr>
          <w:p w14:paraId="526D3EFE">
            <w:pPr>
              <w:kinsoku/>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sym w:font="Wingdings 2" w:char="0052"/>
            </w:r>
            <w:r>
              <w:rPr>
                <w:rFonts w:hint="default" w:ascii="Times New Roman" w:hAnsi="Times New Roman" w:eastAsia="宋体" w:cs="Times New Roman"/>
                <w:color w:val="000000" w:themeColor="text1"/>
                <w:sz w:val="24"/>
                <w:szCs w:val="24"/>
                <w14:textFill>
                  <w14:solidFill>
                    <w14:schemeClr w14:val="tx1"/>
                  </w14:solidFill>
                </w14:textFill>
              </w:rPr>
              <w:t>否</w:t>
            </w:r>
          </w:p>
          <w:p w14:paraId="44167834">
            <w:pPr>
              <w:kinsoku/>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14:textFill>
                  <w14:solidFill>
                    <w14:schemeClr w14:val="tx1"/>
                  </w14:solidFill>
                </w14:textFill>
              </w:rPr>
              <w:t>是：</w:t>
            </w:r>
            <w:r>
              <w:rPr>
                <w:rFonts w:hint="default" w:ascii="Times New Roman" w:hAnsi="Times New Roman" w:eastAsia="宋体" w:cs="Times New Roman"/>
                <w:color w:val="000000" w:themeColor="text1"/>
                <w:sz w:val="24"/>
                <w:szCs w:val="24"/>
                <w:u w:val="single"/>
                <w14:textFill>
                  <w14:solidFill>
                    <w14:schemeClr w14:val="tx1"/>
                  </w14:solidFill>
                </w14:textFill>
              </w:rPr>
              <w:t xml:space="preserve">             </w:t>
            </w:r>
          </w:p>
        </w:tc>
        <w:tc>
          <w:tcPr>
            <w:tcW w:w="2110" w:type="dxa"/>
            <w:tcMar>
              <w:top w:w="16" w:type="dxa"/>
              <w:left w:w="16" w:type="dxa"/>
              <w:right w:w="16" w:type="dxa"/>
            </w:tcMar>
            <w:vAlign w:val="center"/>
          </w:tcPr>
          <w:p w14:paraId="2D0E4C3E">
            <w:pPr>
              <w:kinsoku/>
              <w:jc w:val="center"/>
              <w:rPr>
                <w:rFonts w:hint="default" w:ascii="Times New Roman" w:hAnsi="Times New Roman" w:eastAsia="宋体" w:cs="Times New Roman"/>
                <w:color w:val="000000" w:themeColor="text1"/>
                <w:spacing w:val="-6"/>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6"/>
                <w:sz w:val="24"/>
                <w:szCs w:val="24"/>
                <w:lang w:eastAsia="zh-CN"/>
                <w14:textFill>
                  <w14:solidFill>
                    <w14:schemeClr w14:val="tx1"/>
                  </w14:solidFill>
                </w14:textFill>
              </w:rPr>
              <w:t>用地（用海）</w:t>
            </w:r>
          </w:p>
          <w:p w14:paraId="188FA8D6">
            <w:pPr>
              <w:kinsoku/>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6"/>
                <w:sz w:val="24"/>
                <w:szCs w:val="24"/>
                <w:lang w:eastAsia="zh-CN"/>
                <w14:textFill>
                  <w14:solidFill>
                    <w14:schemeClr w14:val="tx1"/>
                  </w14:solidFill>
                </w14:textFill>
              </w:rPr>
              <w:t>面积（m</w:t>
            </w:r>
            <w:r>
              <w:rPr>
                <w:rFonts w:hint="default" w:ascii="Times New Roman" w:hAnsi="Times New Roman" w:eastAsia="宋体" w:cs="Times New Roman"/>
                <w:color w:val="000000" w:themeColor="text1"/>
                <w:spacing w:val="-6"/>
                <w:sz w:val="24"/>
                <w:szCs w:val="24"/>
                <w:vertAlign w:val="superscript"/>
                <w:lang w:eastAsia="zh-CN"/>
                <w14:textFill>
                  <w14:solidFill>
                    <w14:schemeClr w14:val="tx1"/>
                  </w14:solidFill>
                </w14:textFill>
              </w:rPr>
              <w:t>2</w:t>
            </w:r>
            <w:r>
              <w:rPr>
                <w:rFonts w:hint="default" w:ascii="Times New Roman" w:hAnsi="Times New Roman" w:eastAsia="宋体" w:cs="Times New Roman"/>
                <w:color w:val="000000" w:themeColor="text1"/>
                <w:spacing w:val="-6"/>
                <w:sz w:val="24"/>
                <w:szCs w:val="24"/>
                <w:lang w:eastAsia="zh-CN"/>
                <w14:textFill>
                  <w14:solidFill>
                    <w14:schemeClr w14:val="tx1"/>
                  </w14:solidFill>
                </w14:textFill>
              </w:rPr>
              <w:t>）</w:t>
            </w:r>
          </w:p>
        </w:tc>
        <w:tc>
          <w:tcPr>
            <w:tcW w:w="2861" w:type="dxa"/>
            <w:vAlign w:val="center"/>
          </w:tcPr>
          <w:p w14:paraId="5A4CEA10">
            <w:pPr>
              <w:kinsoku/>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6088.6</w:t>
            </w:r>
          </w:p>
        </w:tc>
      </w:tr>
      <w:tr w14:paraId="3A7D46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0" w:hRule="atLeast"/>
          <w:jc w:val="center"/>
        </w:trPr>
        <w:tc>
          <w:tcPr>
            <w:tcW w:w="841" w:type="dxa"/>
            <w:vAlign w:val="center"/>
          </w:tcPr>
          <w:p w14:paraId="7C5145BF">
            <w:pPr>
              <w:kinsoku/>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专项评价设置情况</w:t>
            </w:r>
          </w:p>
        </w:tc>
        <w:tc>
          <w:tcPr>
            <w:tcW w:w="8339" w:type="dxa"/>
            <w:gridSpan w:val="4"/>
            <w:vAlign w:val="center"/>
          </w:tcPr>
          <w:p w14:paraId="54ED9BC2">
            <w:pPr>
              <w:kinsoku/>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无</w:t>
            </w:r>
          </w:p>
        </w:tc>
      </w:tr>
      <w:tr w14:paraId="371AF9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841" w:type="dxa"/>
            <w:vAlign w:val="center"/>
          </w:tcPr>
          <w:p w14:paraId="730890B2">
            <w:pPr>
              <w:kinsoku/>
              <w:spacing w:line="360" w:lineRule="auto"/>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规划情况</w:t>
            </w:r>
          </w:p>
        </w:tc>
        <w:tc>
          <w:tcPr>
            <w:tcW w:w="8339" w:type="dxa"/>
            <w:gridSpan w:val="4"/>
            <w:vAlign w:val="center"/>
          </w:tcPr>
          <w:p w14:paraId="716CCB7E">
            <w:pPr>
              <w:pStyle w:val="38"/>
              <w:keepNext w:val="0"/>
              <w:keepLines w:val="0"/>
              <w:pageBreakBefore w:val="0"/>
              <w:widowControl/>
              <w:kinsoku/>
              <w:wordWrap/>
              <w:overflowPunct/>
              <w:topLinePunct w:val="0"/>
              <w:autoSpaceDE w:val="0"/>
              <w:autoSpaceDN w:val="0"/>
              <w:bidi w:val="0"/>
              <w:adjustRightInd/>
              <w:snapToGrid/>
              <w:spacing w:line="360" w:lineRule="auto"/>
              <w:ind w:firstLine="482" w:firstLineChars="200"/>
              <w:jc w:val="both"/>
              <w:textAlignment w:val="baseline"/>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规划名称：</w:t>
            </w:r>
            <w:r>
              <w:rPr>
                <w:rFonts w:hint="default" w:ascii="Times New Roman" w:hAnsi="Times New Roman" w:eastAsia="宋体" w:cs="Times New Roman"/>
                <w:color w:val="000000" w:themeColor="text1"/>
                <w:kern w:val="0"/>
                <w:sz w:val="24"/>
                <w:szCs w:val="24"/>
                <w14:textFill>
                  <w14:solidFill>
                    <w14:schemeClr w14:val="tx1"/>
                  </w14:solidFill>
                </w14:textFill>
              </w:rPr>
              <w:t>《安徽宿州</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埇桥区经济开发区</w:t>
            </w:r>
            <w:r>
              <w:rPr>
                <w:rFonts w:hint="default" w:ascii="Times New Roman" w:hAnsi="Times New Roman" w:eastAsia="宋体" w:cs="Times New Roman"/>
                <w:color w:val="000000" w:themeColor="text1"/>
                <w:kern w:val="0"/>
                <w:sz w:val="24"/>
                <w:szCs w:val="24"/>
                <w14:textFill>
                  <w14:solidFill>
                    <w14:schemeClr w14:val="tx1"/>
                  </w14:solidFill>
                </w14:textFill>
              </w:rPr>
              <w:t>总体发展规划（2013-2030年）》</w:t>
            </w:r>
          </w:p>
          <w:p w14:paraId="05FB16B9">
            <w:pPr>
              <w:pStyle w:val="38"/>
              <w:keepNext w:val="0"/>
              <w:keepLines w:val="0"/>
              <w:pageBreakBefore w:val="0"/>
              <w:widowControl/>
              <w:wordWrap/>
              <w:overflowPunct/>
              <w:topLinePunct w:val="0"/>
              <w:autoSpaceDE w:val="0"/>
              <w:autoSpaceDN w:val="0"/>
              <w:bidi w:val="0"/>
              <w:adjustRightInd/>
              <w:snapToGrid/>
              <w:spacing w:line="360" w:lineRule="auto"/>
              <w:ind w:firstLine="482" w:firstLineChars="200"/>
              <w:jc w:val="both"/>
              <w:textAlignment w:val="baseline"/>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审批机关：</w:t>
            </w:r>
            <w:r>
              <w:rPr>
                <w:rFonts w:hint="default" w:ascii="Times New Roman" w:hAnsi="Times New Roman" w:eastAsia="宋体" w:cs="Times New Roman"/>
                <w:color w:val="000000" w:themeColor="text1"/>
                <w:sz w:val="24"/>
                <w14:textFill>
                  <w14:solidFill>
                    <w14:schemeClr w14:val="tx1"/>
                  </w14:solidFill>
                </w14:textFill>
              </w:rPr>
              <w:t>安徽省人民政府</w:t>
            </w:r>
          </w:p>
          <w:p w14:paraId="22FDA265">
            <w:pPr>
              <w:keepNext w:val="0"/>
              <w:keepLines w:val="0"/>
              <w:pageBreakBefore w:val="0"/>
              <w:widowControl/>
              <w:kinsoku/>
              <w:wordWrap/>
              <w:overflowPunct/>
              <w:topLinePunct w:val="0"/>
              <w:autoSpaceDE w:val="0"/>
              <w:autoSpaceDN w:val="0"/>
              <w:bidi w:val="0"/>
              <w:adjustRightInd/>
              <w:snapToGrid/>
              <w:spacing w:line="360" w:lineRule="auto"/>
              <w:ind w:firstLine="482" w:firstLineChars="200"/>
              <w:textAlignment w:val="baseline"/>
              <w:rPr>
                <w:rFonts w:hint="default" w:ascii="Times New Roman" w:hAnsi="Times New Roman" w:eastAsia="宋体" w:cs="Times New Roman"/>
                <w:color w:val="000000" w:themeColor="text1"/>
                <w:kern w:val="0"/>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审批文号：</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《安徽省人民政府关于宿州市省级以上开发区优化整合方案的批复》（皖政秘〔2018〕135号）</w:t>
            </w:r>
          </w:p>
          <w:p w14:paraId="534F50F4">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kern w:val="0"/>
                <w:sz w:val="24"/>
                <w:szCs w:val="24"/>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《安徽省人民政府关于安徽宿州高新技术产业开发区加挂宿州徐州现代产业园区牌子的批复》（皖政秘〔2020〕207号）</w:t>
            </w:r>
          </w:p>
        </w:tc>
      </w:tr>
      <w:tr w14:paraId="7C09C9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1" w:type="dxa"/>
            <w:vAlign w:val="center"/>
          </w:tcPr>
          <w:p w14:paraId="20CF4A45">
            <w:pPr>
              <w:kinsoku/>
              <w:spacing w:line="360" w:lineRule="auto"/>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规划环境影响评价情况</w:t>
            </w:r>
          </w:p>
        </w:tc>
        <w:tc>
          <w:tcPr>
            <w:tcW w:w="8339" w:type="dxa"/>
            <w:gridSpan w:val="4"/>
            <w:vAlign w:val="center"/>
          </w:tcPr>
          <w:p w14:paraId="22BC5DE7">
            <w:pPr>
              <w:pStyle w:val="38"/>
              <w:keepNext w:val="0"/>
              <w:keepLines w:val="0"/>
              <w:pageBreakBefore w:val="0"/>
              <w:widowControl/>
              <w:kinsoku/>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一、规划环评</w:t>
            </w:r>
          </w:p>
          <w:p w14:paraId="7DC74553">
            <w:pPr>
              <w:keepNext w:val="0"/>
              <w:keepLines w:val="0"/>
              <w:pageBreakBefore w:val="0"/>
              <w:widowControl/>
              <w:wordWrap/>
              <w:overflowPunct/>
              <w:topLinePunct w:val="0"/>
              <w:autoSpaceDE w:val="0"/>
              <w:autoSpaceDN w:val="0"/>
              <w:bidi w:val="0"/>
              <w:adjustRightInd/>
              <w:snapToGrid/>
              <w:spacing w:line="360" w:lineRule="auto"/>
              <w:ind w:firstLine="482" w:firstLineChars="200"/>
              <w:textAlignment w:val="baseline"/>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14:textFill>
                  <w14:solidFill>
                    <w14:schemeClr w14:val="tx1"/>
                  </w14:solidFill>
                </w14:textFill>
              </w:rPr>
              <w:t>规划环境影响评价文件名称：</w:t>
            </w:r>
            <w:r>
              <w:rPr>
                <w:rFonts w:hint="default" w:ascii="Times New Roman" w:hAnsi="Times New Roman" w:eastAsia="宋体" w:cs="Times New Roman"/>
                <w:color w:val="000000" w:themeColor="text1"/>
                <w:kern w:val="0"/>
                <w:sz w:val="24"/>
                <w:szCs w:val="24"/>
                <w14:textFill>
                  <w14:solidFill>
                    <w14:schemeClr w14:val="tx1"/>
                  </w14:solidFill>
                </w14:textFill>
              </w:rPr>
              <w:t>《安徽宿州高新技术产业开发区总体发展规划（2023-2035年）环境影响报告书》</w:t>
            </w:r>
          </w:p>
          <w:p w14:paraId="3CC38F98">
            <w:pPr>
              <w:keepNext w:val="0"/>
              <w:keepLines w:val="0"/>
              <w:pageBreakBefore w:val="0"/>
              <w:widowControl/>
              <w:wordWrap/>
              <w:overflowPunct/>
              <w:topLinePunct w:val="0"/>
              <w:autoSpaceDE w:val="0"/>
              <w:autoSpaceDN w:val="0"/>
              <w:bidi w:val="0"/>
              <w:adjustRightInd/>
              <w:snapToGrid/>
              <w:spacing w:line="360" w:lineRule="auto"/>
              <w:ind w:firstLine="482" w:firstLineChars="200"/>
              <w:textAlignment w:val="baseline"/>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14:textFill>
                  <w14:solidFill>
                    <w14:schemeClr w14:val="tx1"/>
                  </w14:solidFill>
                </w14:textFill>
              </w:rPr>
              <w:t>审查机关：</w:t>
            </w:r>
            <w:r>
              <w:rPr>
                <w:rFonts w:hint="default" w:ascii="Times New Roman" w:hAnsi="Times New Roman" w:eastAsia="宋体" w:cs="Times New Roman"/>
                <w:color w:val="000000" w:themeColor="text1"/>
                <w:kern w:val="0"/>
                <w:sz w:val="24"/>
                <w:szCs w:val="24"/>
                <w14:textFill>
                  <w14:solidFill>
                    <w14:schemeClr w14:val="tx1"/>
                  </w14:solidFill>
                </w14:textFill>
              </w:rPr>
              <w:t>宿州市生态环境局</w:t>
            </w:r>
          </w:p>
          <w:p w14:paraId="31F44695">
            <w:pPr>
              <w:keepNext w:val="0"/>
              <w:keepLines w:val="0"/>
              <w:pageBreakBefore w:val="0"/>
              <w:widowControl/>
              <w:kinsoku/>
              <w:wordWrap/>
              <w:overflowPunct/>
              <w:topLinePunct w:val="0"/>
              <w:autoSpaceDE w:val="0"/>
              <w:autoSpaceDN w:val="0"/>
              <w:bidi w:val="0"/>
              <w:adjustRightInd/>
              <w:snapToGrid/>
              <w:spacing w:line="360" w:lineRule="auto"/>
              <w:ind w:firstLine="482" w:firstLineChars="200"/>
              <w:textAlignment w:val="baseline"/>
              <w:rPr>
                <w:rFonts w:hint="default" w:ascii="Times New Roman" w:hAnsi="Times New Roman" w:eastAsia="宋体" w:cs="Times New Roman"/>
                <w:color w:val="000000" w:themeColor="text1"/>
                <w:kern w:val="0"/>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14:textFill>
                  <w14:solidFill>
                    <w14:schemeClr w14:val="tx1"/>
                  </w14:solidFill>
                </w14:textFill>
              </w:rPr>
              <w:t>审批文件名称及文号：</w:t>
            </w:r>
            <w:r>
              <w:rPr>
                <w:rFonts w:hint="default" w:ascii="Times New Roman" w:hAnsi="Times New Roman" w:eastAsia="宋体" w:cs="Times New Roman"/>
                <w:color w:val="000000" w:themeColor="text1"/>
                <w:kern w:val="0"/>
                <w:sz w:val="24"/>
                <w:szCs w:val="24"/>
                <w14:textFill>
                  <w14:solidFill>
                    <w14:schemeClr w14:val="tx1"/>
                  </w14:solidFill>
                </w14:textFill>
              </w:rPr>
              <w:t>《安徽宿州高新技术产业开发区总体发展规划（2023-2035年）环境影响报告书审查意见的函》，宿环函〔2024〕57号</w:t>
            </w:r>
          </w:p>
        </w:tc>
      </w:tr>
      <w:tr w14:paraId="6C4A68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841" w:type="dxa"/>
            <w:vAlign w:val="center"/>
          </w:tcPr>
          <w:p w14:paraId="1E8CFFF9">
            <w:pPr>
              <w:kinsoku/>
              <w:spacing w:line="360" w:lineRule="auto"/>
              <w:jc w:val="center"/>
              <w:rPr>
                <w:rFonts w:hint="default" w:ascii="Times New Roman" w:hAnsi="Times New Roman" w:eastAsia="宋体" w:cs="Times New Roman"/>
                <w:color w:val="0000FF"/>
                <w:sz w:val="24"/>
                <w:lang w:eastAsia="zh-CN"/>
              </w:rPr>
            </w:pPr>
            <w:r>
              <w:rPr>
                <w:rFonts w:hint="default" w:ascii="Times New Roman" w:hAnsi="Times New Roman" w:eastAsia="宋体" w:cs="Times New Roman"/>
                <w:color w:val="000000" w:themeColor="text1"/>
                <w:sz w:val="24"/>
                <w:szCs w:val="24"/>
                <w:lang w:eastAsia="zh-CN"/>
                <w14:textFill>
                  <w14:solidFill>
                    <w14:schemeClr w14:val="tx1"/>
                  </w14:solidFill>
                </w14:textFill>
              </w:rPr>
              <w:t>规划及规划环境影响评价符合性分析</w:t>
            </w:r>
          </w:p>
        </w:tc>
        <w:tc>
          <w:tcPr>
            <w:tcW w:w="8339" w:type="dxa"/>
            <w:gridSpan w:val="4"/>
            <w:vAlign w:val="center"/>
          </w:tcPr>
          <w:p w14:paraId="313BCBB0">
            <w:pPr>
              <w:keepNext w:val="0"/>
              <w:keepLines w:val="0"/>
              <w:pageBreakBefore w:val="0"/>
              <w:widowControl/>
              <w:kinsoku w:val="0"/>
              <w:wordWrap/>
              <w:overflowPunct/>
              <w:topLinePunct w:val="0"/>
              <w:autoSpaceDE w:val="0"/>
              <w:autoSpaceDN w:val="0"/>
              <w:bidi w:val="0"/>
              <w:adjustRightInd/>
              <w:snapToGrid/>
              <w:spacing w:line="360" w:lineRule="auto"/>
              <w:ind w:firstLine="482" w:firstLineChars="200"/>
              <w:textAlignment w:val="baseline"/>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14:textFill>
                  <w14:solidFill>
                    <w14:schemeClr w14:val="tx1"/>
                  </w14:solidFill>
                </w14:textFill>
              </w:rPr>
              <w:t>、与《安徽宿州高新技术产业开发区总体发展规划（2023-2035年）环境影响报告书审查意见的函》，宿环函</w:t>
            </w:r>
            <w:r>
              <w:rPr>
                <w:rFonts w:hint="default" w:ascii="Times New Roman" w:hAnsi="Times New Roman" w:eastAsia="宋体" w:cs="Times New Roman"/>
                <w:b/>
                <w:bCs/>
                <w:color w:val="000000" w:themeColor="text1"/>
                <w:kern w:val="0"/>
                <w:sz w:val="24"/>
                <w:szCs w:val="24"/>
                <w14:textFill>
                  <w14:solidFill>
                    <w14:schemeClr w14:val="tx1"/>
                  </w14:solidFill>
                </w14:textFill>
              </w:rPr>
              <w:t>〔2024〕</w:t>
            </w:r>
            <w:r>
              <w:rPr>
                <w:rFonts w:hint="default" w:ascii="Times New Roman" w:hAnsi="Times New Roman" w:eastAsia="宋体" w:cs="Times New Roman"/>
                <w:b/>
                <w:bCs/>
                <w:color w:val="000000" w:themeColor="text1"/>
                <w:sz w:val="24"/>
                <w:szCs w:val="24"/>
                <w14:textFill>
                  <w14:solidFill>
                    <w14:schemeClr w14:val="tx1"/>
                  </w14:solidFill>
                </w14:textFill>
              </w:rPr>
              <w:t>57号的相符性分析</w:t>
            </w:r>
          </w:p>
          <w:p w14:paraId="34AC197B">
            <w:pPr>
              <w:pStyle w:val="39"/>
              <w:keepNext w:val="0"/>
              <w:keepLines w:val="0"/>
              <w:pageBreakBefore w:val="0"/>
              <w:widowControl/>
              <w:kinsoku/>
              <w:wordWrap/>
              <w:overflowPunct/>
              <w:topLinePunct w:val="0"/>
              <w:autoSpaceDE w:val="0"/>
              <w:autoSpaceDN w:val="0"/>
              <w:bidi w:val="0"/>
              <w:adjustRightInd/>
              <w:snapToGrid/>
              <w:ind w:firstLine="480" w:firstLineChars="200"/>
              <w:textAlignment w:val="baseline"/>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t>2018年，安徽宿州埇桥经济开发区（筹）整体并入安徽宿州高新技术产业开发区（筹），并更名为安徽宿州高新技术产业开发区，正式去筹。为落实开发区优化整合要求，安徽宿州高新技术产业开发区管委会组织编制了《安徽宿州高新技术产业开发区总体发展规划（2023~2035年）》（以下简称《规划》），同步开展规划环评</w:t>
            </w:r>
            <w:r>
              <w:rPr>
                <w:rFonts w:hint="default" w:ascii="Times New Roman" w:hAnsi="Times New Roman" w:eastAsia="宋体" w:cs="Times New Roman"/>
                <w:color w:val="000000" w:themeColor="text1"/>
                <w:szCs w:val="24"/>
                <w:lang w:eastAsia="zh-CN"/>
                <w14:textFill>
                  <w14:solidFill>
                    <w14:schemeClr w14:val="tx1"/>
                  </w14:solidFill>
                </w14:textFill>
              </w:rPr>
              <w:t>。</w:t>
            </w:r>
          </w:p>
          <w:p w14:paraId="5E01EA2A">
            <w:pPr>
              <w:pStyle w:val="75"/>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表1-1 与规划环评审查意见的相符性分析</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7"/>
              <w:gridCol w:w="1916"/>
              <w:gridCol w:w="857"/>
            </w:tblGrid>
            <w:tr w14:paraId="76FCB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9" w:type="pct"/>
                  <w:vAlign w:val="center"/>
                </w:tcPr>
                <w:p w14:paraId="4B303567">
                  <w:pPr>
                    <w:pStyle w:val="74"/>
                    <w:bidi w:val="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相关要求</w:t>
                  </w:r>
                </w:p>
              </w:tc>
              <w:tc>
                <w:tcPr>
                  <w:tcW w:w="1181" w:type="pct"/>
                  <w:vAlign w:val="center"/>
                </w:tcPr>
                <w:p w14:paraId="137D8756">
                  <w:pPr>
                    <w:pStyle w:val="74"/>
                    <w:bidi w:val="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本项目情况</w:t>
                  </w:r>
                </w:p>
              </w:tc>
              <w:tc>
                <w:tcPr>
                  <w:tcW w:w="528" w:type="pct"/>
                  <w:vAlign w:val="center"/>
                </w:tcPr>
                <w:p w14:paraId="51BDBCB1">
                  <w:pPr>
                    <w:pStyle w:val="74"/>
                    <w:bidi w:val="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符合性</w:t>
                  </w:r>
                </w:p>
              </w:tc>
            </w:tr>
            <w:tr w14:paraId="4CD2B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9" w:type="pct"/>
                  <w:vAlign w:val="center"/>
                </w:tcPr>
                <w:p w14:paraId="77CFDB05">
                  <w:pPr>
                    <w:pStyle w:val="74"/>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严守环境质量底线，落实区域环境质量管控措施：开发区位于大气和水污染防治重点区域，区域生态环境保护要求较高，开发区应加快制定区域大气达标计划。根据国家和省大气、水、土壤、固废污染防治相关要求，制定污染防控方案和污染物总量管控要求，重点关注大气环境和地表水环境，切实保障区域内入驻项目达标排放，受纳水体的水环境功能及相关考核断面水质稳定达标、区域大气环境质量持续改善，区域生态环境问题得到妥善解决。</w:t>
                  </w:r>
                </w:p>
              </w:tc>
              <w:tc>
                <w:tcPr>
                  <w:tcW w:w="1181" w:type="pct"/>
                  <w:vAlign w:val="center"/>
                </w:tcPr>
                <w:p w14:paraId="7C123D2F">
                  <w:pPr>
                    <w:pStyle w:val="74"/>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本项目废气、废水经相应的污染治理设施处理后能够稳定达标排放</w:t>
                  </w:r>
                  <w:r>
                    <w:rPr>
                      <w:rFonts w:hint="default" w:ascii="Times New Roman" w:hAnsi="Times New Roman" w:eastAsia="宋体" w:cs="Times New Roman"/>
                      <w:color w:val="000000" w:themeColor="text1"/>
                      <w:lang w:eastAsia="zh-CN"/>
                      <w14:textFill>
                        <w14:solidFill>
                          <w14:schemeClr w14:val="tx1"/>
                        </w14:solidFill>
                      </w14:textFill>
                    </w:rPr>
                    <w:t>。</w:t>
                  </w:r>
                </w:p>
              </w:tc>
              <w:tc>
                <w:tcPr>
                  <w:tcW w:w="528" w:type="pct"/>
                  <w:vAlign w:val="center"/>
                </w:tcPr>
                <w:p w14:paraId="62C22357">
                  <w:pPr>
                    <w:pStyle w:val="74"/>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tc>
            </w:tr>
            <w:tr w14:paraId="15264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9" w:type="pct"/>
                  <w:vAlign w:val="center"/>
                </w:tcPr>
                <w:p w14:paraId="4ABA6833">
                  <w:pPr>
                    <w:pStyle w:val="74"/>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优化产业布局，加强生态空间保护：开发区应结合环境制约因素、产业定位要求等，进一步完善产业发展规划，产业布局应结合现状企业分布提出明确的规划布局优化调整建议。合理规划不同功能区的环境保护空间，严禁不符合管控要求的各类开发建设活动，加强开发区周边生态空间保护，确保规划实施不降低区域地表水体环境质量。统筹开发区生产、生活和商业服务空间之间及周边环境敏感目标的隔离和管控，实现产业发展与区域生态环境保护相协调。</w:t>
                  </w:r>
                </w:p>
              </w:tc>
              <w:tc>
                <w:tcPr>
                  <w:tcW w:w="1181" w:type="pct"/>
                  <w:vAlign w:val="center"/>
                </w:tcPr>
                <w:p w14:paraId="6C3C550D">
                  <w:pPr>
                    <w:pStyle w:val="74"/>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本项目属于C3389其他金属制日用品制造，符合园区规划相关内容，项目污染物均进行有效收集与处理，</w:t>
                  </w:r>
                  <w:r>
                    <w:rPr>
                      <w:rFonts w:hint="default" w:ascii="Times New Roman" w:hAnsi="Times New Roman" w:eastAsia="宋体" w:cs="Times New Roman"/>
                      <w:color w:val="000000" w:themeColor="text1"/>
                      <w14:textFill>
                        <w14:solidFill>
                          <w14:schemeClr w14:val="tx1"/>
                        </w14:solidFill>
                      </w14:textFill>
                    </w:rPr>
                    <w:t>选址处为工业用地，厂界外范围内无环境敏感点</w:t>
                  </w:r>
                  <w:r>
                    <w:rPr>
                      <w:rFonts w:hint="default" w:ascii="Times New Roman" w:hAnsi="Times New Roman" w:eastAsia="宋体" w:cs="Times New Roman"/>
                      <w:color w:val="000000" w:themeColor="text1"/>
                      <w:lang w:eastAsia="zh-CN"/>
                      <w14:textFill>
                        <w14:solidFill>
                          <w14:schemeClr w14:val="tx1"/>
                        </w14:solidFill>
                      </w14:textFill>
                    </w:rPr>
                    <w:t>。</w:t>
                  </w:r>
                </w:p>
              </w:tc>
              <w:tc>
                <w:tcPr>
                  <w:tcW w:w="528" w:type="pct"/>
                  <w:vAlign w:val="center"/>
                </w:tcPr>
                <w:p w14:paraId="6197BC78">
                  <w:pPr>
                    <w:pStyle w:val="74"/>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tc>
            </w:tr>
            <w:tr w14:paraId="76DFF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9" w:type="pct"/>
                  <w:vAlign w:val="center"/>
                </w:tcPr>
                <w:p w14:paraId="784132EB">
                  <w:pPr>
                    <w:pStyle w:val="74"/>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完善环保基础设施建设，强化环境污染防控：根据主导产业、开发时序和开发强度，进一步优化区域供水、排水及中水回用等专项规划，明确开发区工业废水集中处理及配套管网和中水回用工程的建设规模和时序；优化供水结构，加快地表水厂建设；建议推进开发区集中供热相关工作；结合区域环境质量现状，细化污染防治基础设施建设和区域大气环境防护要求。</w:t>
                  </w:r>
                </w:p>
              </w:tc>
              <w:tc>
                <w:tcPr>
                  <w:tcW w:w="1181" w:type="pct"/>
                  <w:vAlign w:val="center"/>
                </w:tcPr>
                <w:p w14:paraId="784B4B8B">
                  <w:pPr>
                    <w:pStyle w:val="74"/>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本项目生活污水经</w:t>
                  </w:r>
                  <w:r>
                    <w:rPr>
                      <w:rFonts w:hint="default" w:ascii="Times New Roman" w:hAnsi="Times New Roman" w:eastAsia="宋体" w:cs="Times New Roman"/>
                      <w:color w:val="000000" w:themeColor="text1"/>
                      <w:lang w:val="en-US" w:eastAsia="zh-CN"/>
                      <w14:textFill>
                        <w14:solidFill>
                          <w14:schemeClr w14:val="tx1"/>
                        </w14:solidFill>
                      </w14:textFill>
                    </w:rPr>
                    <w:t>隔油池+</w:t>
                  </w:r>
                  <w:r>
                    <w:rPr>
                      <w:rFonts w:hint="default" w:ascii="Times New Roman" w:hAnsi="Times New Roman" w:eastAsia="宋体" w:cs="Times New Roman"/>
                      <w:color w:val="000000" w:themeColor="text1"/>
                      <w14:textFill>
                        <w14:solidFill>
                          <w14:schemeClr w14:val="tx1"/>
                        </w14:solidFill>
                      </w14:textFill>
                    </w:rPr>
                    <w:t>化粪池处理后排入</w:t>
                  </w:r>
                  <w:r>
                    <w:rPr>
                      <w:rFonts w:hint="default" w:ascii="Times New Roman" w:hAnsi="Times New Roman" w:eastAsia="宋体" w:cs="Times New Roman"/>
                      <w:color w:val="000000" w:themeColor="text1"/>
                      <w:lang w:eastAsia="zh-CN"/>
                      <w14:textFill>
                        <w14:solidFill>
                          <w14:schemeClr w14:val="tx1"/>
                        </w14:solidFill>
                      </w14:textFill>
                    </w:rPr>
                    <w:t>埇桥区经济开发区污水处理厂。</w:t>
                  </w:r>
                </w:p>
              </w:tc>
              <w:tc>
                <w:tcPr>
                  <w:tcW w:w="528" w:type="pct"/>
                  <w:vAlign w:val="center"/>
                </w:tcPr>
                <w:p w14:paraId="7B9DFC2B">
                  <w:pPr>
                    <w:pStyle w:val="74"/>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tc>
            </w:tr>
            <w:tr w14:paraId="669B2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9" w:type="pct"/>
                  <w:vAlign w:val="center"/>
                </w:tcPr>
                <w:p w14:paraId="08AF29B3">
                  <w:pPr>
                    <w:pStyle w:val="74"/>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细化生态环境准入清单，推动高质量发展：根据国家和区域发展战略，结合区域生态环境质量现状、生态环境分区管控、“三区三线”成果等，严格落实《报告书》生态环境准入要求。规划应严格执行国家产业政策，限制与规划主导产业不符且污染物排放量大的项目入区，禁止不符合淮河流域相关准入要求的项目入区。开发区引进项目的生产工艺、设备、自动化水平，以及单位产品能耗、污染物排放、碳排放等不得低于同行业清洁生产国内先进水平。</w:t>
                  </w:r>
                </w:p>
              </w:tc>
              <w:tc>
                <w:tcPr>
                  <w:tcW w:w="1181" w:type="pct"/>
                  <w:vAlign w:val="center"/>
                </w:tcPr>
                <w:p w14:paraId="42DF6044">
                  <w:pPr>
                    <w:pStyle w:val="74"/>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本项目符合三线一单要求，</w:t>
                  </w:r>
                  <w:r>
                    <w:rPr>
                      <w:rFonts w:hint="default" w:ascii="Times New Roman" w:hAnsi="Times New Roman" w:eastAsia="宋体" w:cs="Times New Roman"/>
                      <w:color w:val="000000" w:themeColor="text1"/>
                      <w:lang w:eastAsia="zh-CN"/>
                      <w14:textFill>
                        <w14:solidFill>
                          <w14:schemeClr w14:val="tx1"/>
                        </w14:solidFill>
                      </w14:textFill>
                    </w:rPr>
                    <w:t>符合准入要求，</w:t>
                  </w:r>
                  <w:r>
                    <w:rPr>
                      <w:rFonts w:hint="default" w:ascii="Times New Roman" w:hAnsi="Times New Roman" w:eastAsia="宋体" w:cs="Times New Roman"/>
                      <w:color w:val="000000" w:themeColor="text1"/>
                      <w14:textFill>
                        <w14:solidFill>
                          <w14:schemeClr w14:val="tx1"/>
                        </w14:solidFill>
                      </w14:textFill>
                    </w:rPr>
                    <w:t>且本项目不涉及淘汰、限制类的工艺与设备。</w:t>
                  </w:r>
                </w:p>
              </w:tc>
              <w:tc>
                <w:tcPr>
                  <w:tcW w:w="528" w:type="pct"/>
                  <w:vAlign w:val="center"/>
                </w:tcPr>
                <w:p w14:paraId="0E7CD8F0">
                  <w:pPr>
                    <w:pStyle w:val="74"/>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tc>
            </w:tr>
          </w:tbl>
          <w:p w14:paraId="59FDB436">
            <w:pPr>
              <w:kinsoku/>
              <w:spacing w:line="360" w:lineRule="auto"/>
              <w:rPr>
                <w:rFonts w:hint="default" w:ascii="Times New Roman" w:hAnsi="Times New Roman" w:eastAsia="宋体" w:cs="Times New Roman"/>
                <w:color w:val="0000FF"/>
                <w:sz w:val="24"/>
              </w:rPr>
            </w:pPr>
          </w:p>
        </w:tc>
      </w:tr>
      <w:tr w14:paraId="543832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33" w:hRule="atLeast"/>
          <w:jc w:val="center"/>
        </w:trPr>
        <w:tc>
          <w:tcPr>
            <w:tcW w:w="841" w:type="dxa"/>
            <w:vAlign w:val="center"/>
          </w:tcPr>
          <w:p w14:paraId="245D9A3D">
            <w:pPr>
              <w:autoSpaceDE w:val="0"/>
              <w:autoSpaceDN w:val="0"/>
              <w:adjustRightInd w:val="0"/>
              <w:snapToGrid w:val="0"/>
              <w:jc w:val="center"/>
              <w:rPr>
                <w:rFonts w:hint="default" w:ascii="Times New Roman" w:hAnsi="Times New Roman" w:eastAsia="宋体" w:cs="Times New Roman"/>
                <w:color w:val="0000FF"/>
                <w:kern w:val="0"/>
                <w:sz w:val="24"/>
              </w:rPr>
            </w:pPr>
            <w:r>
              <w:rPr>
                <w:rFonts w:hint="default" w:ascii="Times New Roman" w:hAnsi="Times New Roman" w:eastAsia="宋体" w:cs="Times New Roman"/>
                <w:color w:val="000000" w:themeColor="text1"/>
                <w:kern w:val="0"/>
                <w:sz w:val="24"/>
                <w14:textFill>
                  <w14:solidFill>
                    <w14:schemeClr w14:val="tx1"/>
                  </w14:solidFill>
                </w14:textFill>
              </w:rPr>
              <w:t>其他符合性分析</w:t>
            </w:r>
          </w:p>
        </w:tc>
        <w:tc>
          <w:tcPr>
            <w:tcW w:w="8339" w:type="dxa"/>
            <w:gridSpan w:val="4"/>
            <w:vAlign w:val="center"/>
          </w:tcPr>
          <w:p w14:paraId="110A1BFA">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（1）产业政策符合性</w:t>
            </w:r>
          </w:p>
          <w:p w14:paraId="06A4B2BE">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本项目属于C3389 其他金属制日用品制造对照《产业结构调整指导目录（2024年本）》，本项目不属于“鼓励类”、“限制类”和“淘汰类”，属于“允许类”项目。因此，本项目符合国家的相关产业政策。</w:t>
            </w:r>
          </w:p>
          <w:p w14:paraId="06B28F42">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项目已于2025年06月05日经宿州市埇桥区工业和信息化局备案，项目代码为：2506-341302-07-01-958013。因此，项目的建设符合地方的产业政策。</w:t>
            </w:r>
          </w:p>
          <w:p w14:paraId="525C3CCF">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（2）选址合理性分析</w:t>
            </w:r>
          </w:p>
          <w:p w14:paraId="35CEC6B9">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项目建设地点位于宿州市埇桥区经济开发区滨河路西侧。用地为工业用地，项目东侧为安徽火花工程科技有限公司，北侧为且宿州彭云新材料科技有限公司，西侧、南侧、均为空地。本项目紧邻道路，交通运输便捷，污染物排放较小，对周围环境影响较小。</w:t>
            </w:r>
          </w:p>
          <w:p w14:paraId="64C4AF54">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（3）与“三线一单”符合性分析</w:t>
            </w:r>
          </w:p>
          <w:p w14:paraId="1FA31F07">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1、与区域生态红线相符性分析</w:t>
            </w:r>
          </w:p>
          <w:p w14:paraId="22D15C6D">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本项目位于宿州市埇桥区经济开发区滨河路西侧，根据宿州市“三线一单”文本，对照宿州市生态红线图，本项目不涉及生态保护红线。详见附图4 宿州市生态红线图。</w:t>
            </w:r>
          </w:p>
          <w:p w14:paraId="43748F33">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因此，本项目的建设符合宿州市生态保护红线的要求。</w:t>
            </w:r>
          </w:p>
          <w:p w14:paraId="2151E3F9">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2、与环境质量底线相符性分析</w:t>
            </w:r>
          </w:p>
          <w:p w14:paraId="167CEF89">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①大气环境：根据《宿州市2024年环境质量报告》，宿州市SO</w:t>
            </w:r>
            <w:r>
              <w:rPr>
                <w:rFonts w:hint="default" w:ascii="Times New Roman" w:hAnsi="Times New Roman" w:eastAsia="宋体" w:cs="Times New Roman"/>
                <w:color w:val="000000" w:themeColor="text1"/>
                <w:kern w:val="0"/>
                <w:sz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、NO</w:t>
            </w:r>
            <w:r>
              <w:rPr>
                <w:rFonts w:hint="default" w:ascii="Times New Roman" w:hAnsi="Times New Roman" w:eastAsia="宋体" w:cs="Times New Roman"/>
                <w:color w:val="000000" w:themeColor="text1"/>
                <w:kern w:val="0"/>
                <w:sz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、O</w:t>
            </w:r>
            <w:r>
              <w:rPr>
                <w:rFonts w:hint="default" w:ascii="Times New Roman" w:hAnsi="Times New Roman" w:eastAsia="宋体" w:cs="Times New Roman"/>
                <w:color w:val="000000" w:themeColor="text1"/>
                <w:kern w:val="0"/>
                <w:sz w:val="24"/>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浓度超过了《环境空气质量标准》（GB3095-2012）中二级标准限值，因此，项目所在区域为环境空气质量不达标区。</w:t>
            </w:r>
          </w:p>
          <w:p w14:paraId="6B60031F">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本项目运营期涂胶、烘干、复合工序产生废气经集气罩收集后进入一套集气系统+水喷淋+二级活性炭吸附装置处理后由一根高为15米的排气筒排放。本项目废气均采用可行性技术，项目的建设对大气环境影响较小，符合环境质量底线要求。</w:t>
            </w:r>
          </w:p>
          <w:p w14:paraId="46065C64">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②地表水环境：根据地表水环境质量监测数据，地表水淝河水质满足《地表水环境质量标准》（GB3838-2002）Ⅳ类标准要求。</w:t>
            </w:r>
          </w:p>
          <w:p w14:paraId="1F66979D">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本项目无生产废水外排，生活污水经隔油池+化粪池处理后废水由污水管网排入宿州市埇桥区经济开发区污水处理厂，处理达标后污水厂尾水排入淝河，对地表水影响较小。</w:t>
            </w:r>
          </w:p>
          <w:p w14:paraId="0A1A52EF">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③土壤环境。本项目对可能产生土壤影响的各项途径均进行有效预防，避免污染土壤，因此本项目不会对区域土壤环境产生影响。</w:t>
            </w:r>
          </w:p>
          <w:p w14:paraId="7F02CB3C">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综上所述，本项目在加强环境管理并落实本评价要求的各项环保措施的情况下，本项目废水、废气等均得到合理处置，符合环境质量底线要求。</w:t>
            </w:r>
          </w:p>
          <w:p w14:paraId="6B1118D4">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3、与资源利用上线相符性分析</w:t>
            </w:r>
          </w:p>
          <w:p w14:paraId="26F9FBD5">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项目用水、用电由市政供水管网和供电管网提供，用地为工业用地，土地资源消耗符合要求。项目建成运营后资源消耗相对区域资源利用总量较少，符合资源利用上线的要求。</w:t>
            </w:r>
          </w:p>
          <w:p w14:paraId="0DEB21B2">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4、环境准入负面清单</w:t>
            </w:r>
          </w:p>
          <w:p w14:paraId="59E07B31">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本项目属于C3389 其他金属制日用品制造，根据《产业结构调整指导目录（2024年本）》，本项目不属于鼓励类、限制类及淘汰类产业项目，视为允许类；所用生产设施和产品均不属于明令淘汰使用的范围内。</w:t>
            </w:r>
          </w:p>
          <w:p w14:paraId="44D8A6E3">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本项目位于宿州市埇桥区经济开发区滨河路西侧。对照《宿州市“三线一单”生态环境准入清单》准入要求分析如下：</w:t>
            </w:r>
          </w:p>
          <w:p w14:paraId="41B22728">
            <w:pPr>
              <w:keepNext w:val="0"/>
              <w:keepLines w:val="0"/>
              <w:pageBreakBefore w:val="0"/>
              <w:widowControl/>
              <w:kinsoku w:val="0"/>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color w:val="000000" w:themeColor="text1"/>
                <w:kern w:val="0"/>
                <w:sz w:val="24"/>
                <w14:textFill>
                  <w14:solidFill>
                    <w14:schemeClr w14:val="tx1"/>
                  </w14:solidFill>
                </w14:textFill>
              </w:rPr>
            </w:pPr>
            <w:r>
              <w:rPr>
                <w:rFonts w:hint="default" w:ascii="Times New Roman" w:hAnsi="Times New Roman" w:eastAsia="宋体" w:cs="Times New Roman"/>
                <w:b/>
                <w:color w:val="000000" w:themeColor="text1"/>
                <w:kern w:val="0"/>
                <w:sz w:val="24"/>
                <w14:textFill>
                  <w14:solidFill>
                    <w14:schemeClr w14:val="tx1"/>
                  </w14:solidFill>
                </w14:textFill>
              </w:rPr>
              <w:t>表1</w:t>
            </w:r>
            <w:r>
              <w:rPr>
                <w:rFonts w:hint="default" w:ascii="Times New Roman" w:hAnsi="Times New Roman" w:eastAsia="宋体" w:cs="Times New Roman"/>
                <w:b/>
                <w:color w:val="000000" w:themeColor="text1"/>
                <w:kern w:val="0"/>
                <w:sz w:val="24"/>
                <w:lang w:val="en-US" w:eastAsia="zh-CN"/>
                <w14:textFill>
                  <w14:solidFill>
                    <w14:schemeClr w14:val="tx1"/>
                  </w14:solidFill>
                </w14:textFill>
              </w:rPr>
              <w:t>-2</w:t>
            </w:r>
            <w:r>
              <w:rPr>
                <w:rFonts w:hint="default" w:ascii="Times New Roman" w:hAnsi="Times New Roman" w:eastAsia="宋体" w:cs="Times New Roman"/>
                <w:b/>
                <w:color w:val="000000" w:themeColor="text1"/>
                <w:kern w:val="0"/>
                <w:sz w:val="24"/>
                <w14:textFill>
                  <w14:solidFill>
                    <w14:schemeClr w14:val="tx1"/>
                  </w14:solidFill>
                </w14:textFill>
              </w:rPr>
              <w:t>项目与宿州市“三线一单”生态环境准入清单符合性分析表</w:t>
            </w:r>
          </w:p>
          <w:tbl>
            <w:tblPr>
              <w:tblStyle w:val="26"/>
              <w:tblW w:w="807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76"/>
              <w:gridCol w:w="305"/>
              <w:gridCol w:w="414"/>
              <w:gridCol w:w="522"/>
              <w:gridCol w:w="3424"/>
              <w:gridCol w:w="2670"/>
              <w:gridCol w:w="467"/>
            </w:tblGrid>
            <w:tr w14:paraId="63A40A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359" w:type="pct"/>
                  <w:gridSpan w:val="2"/>
                  <w:noWrap w:val="0"/>
                  <w:tcMar>
                    <w:top w:w="0" w:type="dxa"/>
                    <w:left w:w="0" w:type="dxa"/>
                    <w:bottom w:w="0" w:type="dxa"/>
                    <w:right w:w="0" w:type="dxa"/>
                  </w:tcMar>
                  <w:vAlign w:val="center"/>
                </w:tcPr>
                <w:p w14:paraId="02B728FE">
                  <w:pPr>
                    <w:adjustRightInd w:val="0"/>
                    <w:snapToGrid w:val="0"/>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分类</w:t>
                  </w:r>
                </w:p>
              </w:tc>
              <w:tc>
                <w:tcPr>
                  <w:tcW w:w="579" w:type="pct"/>
                  <w:gridSpan w:val="2"/>
                  <w:noWrap w:val="0"/>
                  <w:tcMar>
                    <w:top w:w="0" w:type="dxa"/>
                    <w:left w:w="0" w:type="dxa"/>
                    <w:bottom w:w="0" w:type="dxa"/>
                    <w:right w:w="0" w:type="dxa"/>
                  </w:tcMar>
                  <w:vAlign w:val="center"/>
                </w:tcPr>
                <w:p w14:paraId="3A149088">
                  <w:pPr>
                    <w:adjustRightInd w:val="0"/>
                    <w:snapToGrid w:val="0"/>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管控</w:t>
                  </w:r>
                </w:p>
              </w:tc>
              <w:tc>
                <w:tcPr>
                  <w:tcW w:w="2119" w:type="pct"/>
                  <w:noWrap w:val="0"/>
                  <w:tcMar>
                    <w:top w:w="0" w:type="dxa"/>
                    <w:left w:w="0" w:type="dxa"/>
                    <w:bottom w:w="0" w:type="dxa"/>
                    <w:right w:w="0" w:type="dxa"/>
                  </w:tcMar>
                  <w:vAlign w:val="center"/>
                </w:tcPr>
                <w:p w14:paraId="7A3AF39A">
                  <w:pPr>
                    <w:adjustRightInd w:val="0"/>
                    <w:snapToGrid w:val="0"/>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管控要求</w:t>
                  </w:r>
                </w:p>
              </w:tc>
              <w:tc>
                <w:tcPr>
                  <w:tcW w:w="1652" w:type="pct"/>
                  <w:noWrap w:val="0"/>
                  <w:tcMar>
                    <w:top w:w="0" w:type="dxa"/>
                    <w:left w:w="0" w:type="dxa"/>
                    <w:bottom w:w="0" w:type="dxa"/>
                    <w:right w:w="0" w:type="dxa"/>
                  </w:tcMar>
                  <w:vAlign w:val="center"/>
                </w:tcPr>
                <w:p w14:paraId="691AB3F4">
                  <w:pPr>
                    <w:adjustRightInd w:val="0"/>
                    <w:snapToGrid w:val="0"/>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项目情况</w:t>
                  </w:r>
                </w:p>
              </w:tc>
              <w:tc>
                <w:tcPr>
                  <w:tcW w:w="289" w:type="pct"/>
                  <w:noWrap w:val="0"/>
                  <w:tcMar>
                    <w:top w:w="0" w:type="dxa"/>
                    <w:left w:w="0" w:type="dxa"/>
                    <w:bottom w:w="0" w:type="dxa"/>
                    <w:right w:w="0" w:type="dxa"/>
                  </w:tcMar>
                  <w:vAlign w:val="center"/>
                </w:tcPr>
                <w:p w14:paraId="2C7A6DEB">
                  <w:pPr>
                    <w:adjustRightInd w:val="0"/>
                    <w:snapToGrid w:val="0"/>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符合性</w:t>
                  </w:r>
                </w:p>
              </w:tc>
            </w:tr>
            <w:tr w14:paraId="61D014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359" w:type="pct"/>
                  <w:gridSpan w:val="2"/>
                  <w:vMerge w:val="restart"/>
                  <w:noWrap w:val="0"/>
                  <w:tcMar>
                    <w:top w:w="0" w:type="dxa"/>
                    <w:left w:w="0" w:type="dxa"/>
                    <w:bottom w:w="0" w:type="dxa"/>
                    <w:right w:w="0" w:type="dxa"/>
                  </w:tcMar>
                  <w:vAlign w:val="center"/>
                </w:tcPr>
                <w:p w14:paraId="5CDE55EC">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大气重点管控区</w:t>
                  </w:r>
                </w:p>
              </w:tc>
              <w:tc>
                <w:tcPr>
                  <w:tcW w:w="256" w:type="pct"/>
                  <w:vMerge w:val="restart"/>
                  <w:noWrap w:val="0"/>
                  <w:tcMar>
                    <w:top w:w="0" w:type="dxa"/>
                    <w:left w:w="0" w:type="dxa"/>
                    <w:bottom w:w="0" w:type="dxa"/>
                    <w:right w:w="0" w:type="dxa"/>
                  </w:tcMar>
                  <w:vAlign w:val="center"/>
                </w:tcPr>
                <w:p w14:paraId="315C7FC9">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空间布局约束</w:t>
                  </w:r>
                </w:p>
              </w:tc>
              <w:tc>
                <w:tcPr>
                  <w:tcW w:w="323" w:type="pct"/>
                  <w:vMerge w:val="restart"/>
                  <w:noWrap w:val="0"/>
                  <w:tcMar>
                    <w:top w:w="0" w:type="dxa"/>
                    <w:left w:w="0" w:type="dxa"/>
                    <w:bottom w:w="0" w:type="dxa"/>
                    <w:right w:w="0" w:type="dxa"/>
                  </w:tcMar>
                  <w:vAlign w:val="center"/>
                </w:tcPr>
                <w:p w14:paraId="298D9D90">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禁止开发建设活动的要求</w:t>
                  </w:r>
                </w:p>
              </w:tc>
              <w:tc>
                <w:tcPr>
                  <w:tcW w:w="2119" w:type="pct"/>
                  <w:noWrap w:val="0"/>
                  <w:tcMar>
                    <w:top w:w="0" w:type="dxa"/>
                    <w:left w:w="0" w:type="dxa"/>
                    <w:bottom w:w="0" w:type="dxa"/>
                    <w:right w:w="0" w:type="dxa"/>
                  </w:tcMar>
                  <w:vAlign w:val="center"/>
                </w:tcPr>
                <w:p w14:paraId="5D179933">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在城市城区及其近郊禁止新建、建设钢铁、有色、石化、水泥、化工等重污染企业。</w:t>
                  </w:r>
                </w:p>
              </w:tc>
              <w:tc>
                <w:tcPr>
                  <w:tcW w:w="1652" w:type="pct"/>
                  <w:noWrap w:val="0"/>
                  <w:tcMar>
                    <w:top w:w="0" w:type="dxa"/>
                    <w:left w:w="0" w:type="dxa"/>
                    <w:bottom w:w="0" w:type="dxa"/>
                    <w:right w:w="0" w:type="dxa"/>
                  </w:tcMar>
                  <w:vAlign w:val="center"/>
                </w:tcPr>
                <w:p w14:paraId="4F6320B0">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本项目位于</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宿州市埇桥区经济开发区滨河路西侧</w:t>
                  </w:r>
                  <w:r>
                    <w:rPr>
                      <w:rFonts w:hint="default" w:ascii="Times New Roman" w:hAnsi="Times New Roman" w:eastAsia="宋体" w:cs="Times New Roman"/>
                      <w:color w:val="000000" w:themeColor="text1"/>
                      <w:kern w:val="0"/>
                      <w:sz w:val="21"/>
                      <w:szCs w:val="21"/>
                      <w14:textFill>
                        <w14:solidFill>
                          <w14:schemeClr w14:val="tx1"/>
                        </w14:solidFill>
                      </w14:textFill>
                    </w:rPr>
                    <w:t>，项目属于</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C3399其他未列明金属制品制造</w:t>
                  </w:r>
                  <w:r>
                    <w:rPr>
                      <w:rFonts w:hint="default" w:ascii="Times New Roman" w:hAnsi="Times New Roman" w:eastAsia="宋体" w:cs="Times New Roman"/>
                      <w:color w:val="000000" w:themeColor="text1"/>
                      <w:kern w:val="0"/>
                      <w:sz w:val="21"/>
                      <w:szCs w:val="21"/>
                      <w14:textFill>
                        <w14:solidFill>
                          <w14:schemeClr w14:val="tx1"/>
                        </w14:solidFill>
                      </w14:textFill>
                    </w:rPr>
                    <w:t>，不属于上述行业以及不属于城市城区及其近郊。</w:t>
                  </w:r>
                </w:p>
              </w:tc>
              <w:tc>
                <w:tcPr>
                  <w:tcW w:w="289" w:type="pct"/>
                  <w:noWrap w:val="0"/>
                  <w:tcMar>
                    <w:top w:w="0" w:type="dxa"/>
                    <w:left w:w="0" w:type="dxa"/>
                    <w:bottom w:w="0" w:type="dxa"/>
                    <w:right w:w="0" w:type="dxa"/>
                  </w:tcMar>
                  <w:vAlign w:val="center"/>
                </w:tcPr>
                <w:p w14:paraId="521DCF09">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符合</w:t>
                  </w:r>
                </w:p>
              </w:tc>
            </w:tr>
            <w:tr w14:paraId="0F4F7C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359" w:type="pct"/>
                  <w:gridSpan w:val="2"/>
                  <w:vMerge w:val="continue"/>
                  <w:noWrap w:val="0"/>
                  <w:tcMar>
                    <w:top w:w="0" w:type="dxa"/>
                    <w:left w:w="0" w:type="dxa"/>
                    <w:bottom w:w="0" w:type="dxa"/>
                    <w:right w:w="0" w:type="dxa"/>
                  </w:tcMar>
                  <w:vAlign w:val="center"/>
                </w:tcPr>
                <w:p w14:paraId="605349B6">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56" w:type="pct"/>
                  <w:vMerge w:val="continue"/>
                  <w:noWrap w:val="0"/>
                  <w:tcMar>
                    <w:top w:w="0" w:type="dxa"/>
                    <w:left w:w="0" w:type="dxa"/>
                    <w:bottom w:w="0" w:type="dxa"/>
                    <w:right w:w="0" w:type="dxa"/>
                  </w:tcMar>
                  <w:vAlign w:val="center"/>
                </w:tcPr>
                <w:p w14:paraId="028FEAEC">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23" w:type="pct"/>
                  <w:vMerge w:val="continue"/>
                  <w:noWrap w:val="0"/>
                  <w:tcMar>
                    <w:top w:w="0" w:type="dxa"/>
                    <w:left w:w="0" w:type="dxa"/>
                    <w:bottom w:w="0" w:type="dxa"/>
                    <w:right w:w="0" w:type="dxa"/>
                  </w:tcMar>
                  <w:vAlign w:val="center"/>
                </w:tcPr>
                <w:p w14:paraId="00935AE0">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119" w:type="pct"/>
                  <w:noWrap w:val="0"/>
                  <w:tcMar>
                    <w:top w:w="0" w:type="dxa"/>
                    <w:left w:w="0" w:type="dxa"/>
                    <w:bottom w:w="0" w:type="dxa"/>
                    <w:right w:w="0" w:type="dxa"/>
                  </w:tcMar>
                  <w:vAlign w:val="center"/>
                </w:tcPr>
                <w:p w14:paraId="12175006">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禁止新建燃料类煤气发生炉（园区现有企业统一建设的清洁煤制气中心除外）。</w:t>
                  </w:r>
                </w:p>
              </w:tc>
              <w:tc>
                <w:tcPr>
                  <w:tcW w:w="1652" w:type="pct"/>
                  <w:noWrap w:val="0"/>
                  <w:tcMar>
                    <w:top w:w="0" w:type="dxa"/>
                    <w:left w:w="0" w:type="dxa"/>
                    <w:bottom w:w="0" w:type="dxa"/>
                    <w:right w:w="0" w:type="dxa"/>
                  </w:tcMar>
                  <w:vAlign w:val="center"/>
                </w:tcPr>
                <w:p w14:paraId="16ECFE55">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本项目无煤气发生炉建设</w:t>
                  </w:r>
                </w:p>
              </w:tc>
              <w:tc>
                <w:tcPr>
                  <w:tcW w:w="289" w:type="pct"/>
                  <w:noWrap w:val="0"/>
                  <w:tcMar>
                    <w:top w:w="0" w:type="dxa"/>
                    <w:left w:w="0" w:type="dxa"/>
                    <w:bottom w:w="0" w:type="dxa"/>
                    <w:right w:w="0" w:type="dxa"/>
                  </w:tcMar>
                  <w:vAlign w:val="center"/>
                </w:tcPr>
                <w:p w14:paraId="4C469EAD">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符合</w:t>
                  </w:r>
                </w:p>
              </w:tc>
            </w:tr>
            <w:tr w14:paraId="0FFE16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359" w:type="pct"/>
                  <w:gridSpan w:val="2"/>
                  <w:vMerge w:val="continue"/>
                  <w:noWrap w:val="0"/>
                  <w:tcMar>
                    <w:top w:w="0" w:type="dxa"/>
                    <w:left w:w="0" w:type="dxa"/>
                    <w:bottom w:w="0" w:type="dxa"/>
                    <w:right w:w="0" w:type="dxa"/>
                  </w:tcMar>
                  <w:vAlign w:val="center"/>
                </w:tcPr>
                <w:p w14:paraId="0641832C">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56" w:type="pct"/>
                  <w:vMerge w:val="continue"/>
                  <w:noWrap w:val="0"/>
                  <w:tcMar>
                    <w:top w:w="0" w:type="dxa"/>
                    <w:left w:w="0" w:type="dxa"/>
                    <w:bottom w:w="0" w:type="dxa"/>
                    <w:right w:w="0" w:type="dxa"/>
                  </w:tcMar>
                  <w:vAlign w:val="center"/>
                </w:tcPr>
                <w:p w14:paraId="7D4CEDE9">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23" w:type="pct"/>
                  <w:vMerge w:val="continue"/>
                  <w:noWrap w:val="0"/>
                  <w:tcMar>
                    <w:top w:w="0" w:type="dxa"/>
                    <w:left w:w="0" w:type="dxa"/>
                    <w:bottom w:w="0" w:type="dxa"/>
                    <w:right w:w="0" w:type="dxa"/>
                  </w:tcMar>
                  <w:vAlign w:val="center"/>
                </w:tcPr>
                <w:p w14:paraId="27D9387F">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119" w:type="pct"/>
                  <w:noWrap w:val="0"/>
                  <w:tcMar>
                    <w:top w:w="0" w:type="dxa"/>
                    <w:left w:w="0" w:type="dxa"/>
                    <w:bottom w:w="0" w:type="dxa"/>
                    <w:right w:w="0" w:type="dxa"/>
                  </w:tcMar>
                  <w:vAlign w:val="center"/>
                </w:tcPr>
                <w:p w14:paraId="2477CDAB">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严禁新增钢铁、焦化、电解铝、铸造、水泥和平板玻璃等产能；严格执行钢铁、水泥、平板玻璃等行业产能置换实施办法。</w:t>
                  </w:r>
                </w:p>
              </w:tc>
              <w:tc>
                <w:tcPr>
                  <w:tcW w:w="1652" w:type="pct"/>
                  <w:noWrap w:val="0"/>
                  <w:tcMar>
                    <w:top w:w="0" w:type="dxa"/>
                    <w:left w:w="0" w:type="dxa"/>
                    <w:bottom w:w="0" w:type="dxa"/>
                    <w:right w:w="0" w:type="dxa"/>
                  </w:tcMar>
                  <w:vAlign w:val="center"/>
                </w:tcPr>
                <w:p w14:paraId="69762933">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本项目属于</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C3389 其他金属制日用品制造</w:t>
                  </w:r>
                  <w:r>
                    <w:rPr>
                      <w:rFonts w:hint="default" w:ascii="Times New Roman" w:hAnsi="Times New Roman" w:eastAsia="宋体" w:cs="Times New Roman"/>
                      <w:color w:val="000000" w:themeColor="text1"/>
                      <w:kern w:val="0"/>
                      <w:sz w:val="21"/>
                      <w:szCs w:val="21"/>
                      <w14:textFill>
                        <w14:solidFill>
                          <w14:schemeClr w14:val="tx1"/>
                        </w14:solidFill>
                      </w14:textFill>
                    </w:rPr>
                    <w:t>，不属于上述行业</w:t>
                  </w:r>
                </w:p>
              </w:tc>
              <w:tc>
                <w:tcPr>
                  <w:tcW w:w="289" w:type="pct"/>
                  <w:noWrap w:val="0"/>
                  <w:tcMar>
                    <w:top w:w="0" w:type="dxa"/>
                    <w:left w:w="0" w:type="dxa"/>
                    <w:bottom w:w="0" w:type="dxa"/>
                    <w:right w:w="0" w:type="dxa"/>
                  </w:tcMar>
                  <w:vAlign w:val="center"/>
                </w:tcPr>
                <w:p w14:paraId="294A206D">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符合</w:t>
                  </w:r>
                </w:p>
              </w:tc>
            </w:tr>
            <w:tr w14:paraId="535906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359" w:type="pct"/>
                  <w:gridSpan w:val="2"/>
                  <w:vMerge w:val="continue"/>
                  <w:noWrap w:val="0"/>
                  <w:tcMar>
                    <w:top w:w="0" w:type="dxa"/>
                    <w:left w:w="0" w:type="dxa"/>
                    <w:bottom w:w="0" w:type="dxa"/>
                    <w:right w:w="0" w:type="dxa"/>
                  </w:tcMar>
                  <w:vAlign w:val="center"/>
                </w:tcPr>
                <w:p w14:paraId="3CCF375E">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56" w:type="pct"/>
                  <w:vMerge w:val="continue"/>
                  <w:noWrap w:val="0"/>
                  <w:tcMar>
                    <w:top w:w="0" w:type="dxa"/>
                    <w:left w:w="0" w:type="dxa"/>
                    <w:bottom w:w="0" w:type="dxa"/>
                    <w:right w:w="0" w:type="dxa"/>
                  </w:tcMar>
                  <w:vAlign w:val="center"/>
                </w:tcPr>
                <w:p w14:paraId="3FAAAEBA">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23" w:type="pct"/>
                  <w:vMerge w:val="continue"/>
                  <w:noWrap w:val="0"/>
                  <w:tcMar>
                    <w:top w:w="0" w:type="dxa"/>
                    <w:left w:w="0" w:type="dxa"/>
                    <w:bottom w:w="0" w:type="dxa"/>
                    <w:right w:w="0" w:type="dxa"/>
                  </w:tcMar>
                  <w:vAlign w:val="center"/>
                </w:tcPr>
                <w:p w14:paraId="509621D5">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119" w:type="pct"/>
                  <w:noWrap w:val="0"/>
                  <w:tcMar>
                    <w:top w:w="0" w:type="dxa"/>
                    <w:left w:w="0" w:type="dxa"/>
                    <w:bottom w:w="0" w:type="dxa"/>
                    <w:right w:w="0" w:type="dxa"/>
                  </w:tcMar>
                  <w:vAlign w:val="center"/>
                </w:tcPr>
                <w:p w14:paraId="78F8E6A2">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严格执行国家关于“两高”产业准入目录和产能总量控制政策措施。严禁新增钢铁、焦化、电解铝、铸造、水泥和平板玻璃等产能；新、改、建设涉及大宗物料运输的建设项目，原则上不得采用公路运输。</w:t>
                  </w:r>
                </w:p>
              </w:tc>
              <w:tc>
                <w:tcPr>
                  <w:tcW w:w="1652" w:type="pct"/>
                  <w:noWrap w:val="0"/>
                  <w:tcMar>
                    <w:top w:w="0" w:type="dxa"/>
                    <w:left w:w="0" w:type="dxa"/>
                    <w:bottom w:w="0" w:type="dxa"/>
                    <w:right w:w="0" w:type="dxa"/>
                  </w:tcMar>
                  <w:vAlign w:val="center"/>
                </w:tcPr>
                <w:p w14:paraId="6BD2D203">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根据《安徽省“两高”项目管理目录（试行）》，</w:t>
                  </w:r>
                  <w:r>
                    <w:rPr>
                      <w:rFonts w:hint="default" w:ascii="Times New Roman" w:hAnsi="Times New Roman" w:eastAsia="宋体" w:cs="Times New Roman"/>
                      <w:color w:val="000000" w:themeColor="text1"/>
                      <w:sz w:val="21"/>
                      <w:szCs w:val="21"/>
                      <w14:textFill>
                        <w14:solidFill>
                          <w14:schemeClr w14:val="tx1"/>
                        </w14:solidFill>
                      </w14:textFill>
                    </w:rPr>
                    <w:t>本项目</w:t>
                  </w:r>
                  <w:r>
                    <w:rPr>
                      <w:rFonts w:hint="default" w:ascii="Times New Roman" w:hAnsi="Times New Roman" w:eastAsia="宋体" w:cs="Times New Roman"/>
                      <w:color w:val="000000" w:themeColor="text1"/>
                      <w:sz w:val="21"/>
                      <w:szCs w:val="21"/>
                      <w:lang w:eastAsia="zh-CN"/>
                      <w14:textFill>
                        <w14:solidFill>
                          <w14:schemeClr w14:val="tx1"/>
                        </w14:solidFill>
                      </w14:textFill>
                    </w:rPr>
                    <w:t>C3389 其他金属制日用品制造</w:t>
                  </w:r>
                  <w:r>
                    <w:rPr>
                      <w:rFonts w:hint="default" w:ascii="Times New Roman" w:hAnsi="Times New Roman" w:eastAsia="宋体" w:cs="Times New Roman"/>
                      <w:color w:val="000000" w:themeColor="text1"/>
                      <w:sz w:val="21"/>
                      <w:szCs w:val="21"/>
                      <w14:textFill>
                        <w14:solidFill>
                          <w14:schemeClr w14:val="tx1"/>
                        </w14:solidFill>
                      </w14:textFill>
                    </w:rPr>
                    <w:t>，不属于其中“两高”行业</w:t>
                  </w:r>
                </w:p>
              </w:tc>
              <w:tc>
                <w:tcPr>
                  <w:tcW w:w="289" w:type="pct"/>
                  <w:noWrap w:val="0"/>
                  <w:tcMar>
                    <w:top w:w="0" w:type="dxa"/>
                    <w:left w:w="0" w:type="dxa"/>
                    <w:bottom w:w="0" w:type="dxa"/>
                    <w:right w:w="0" w:type="dxa"/>
                  </w:tcMar>
                  <w:vAlign w:val="center"/>
                </w:tcPr>
                <w:p w14:paraId="5613AED6">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符合</w:t>
                  </w:r>
                </w:p>
              </w:tc>
            </w:tr>
            <w:tr w14:paraId="4485BC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359" w:type="pct"/>
                  <w:gridSpan w:val="2"/>
                  <w:vMerge w:val="continue"/>
                  <w:noWrap w:val="0"/>
                  <w:tcMar>
                    <w:top w:w="0" w:type="dxa"/>
                    <w:left w:w="0" w:type="dxa"/>
                    <w:bottom w:w="0" w:type="dxa"/>
                    <w:right w:w="0" w:type="dxa"/>
                  </w:tcMar>
                  <w:vAlign w:val="center"/>
                </w:tcPr>
                <w:p w14:paraId="7AC616F6">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56" w:type="pct"/>
                  <w:vMerge w:val="continue"/>
                  <w:noWrap w:val="0"/>
                  <w:tcMar>
                    <w:top w:w="0" w:type="dxa"/>
                    <w:left w:w="0" w:type="dxa"/>
                    <w:bottom w:w="0" w:type="dxa"/>
                    <w:right w:w="0" w:type="dxa"/>
                  </w:tcMar>
                  <w:vAlign w:val="center"/>
                </w:tcPr>
                <w:p w14:paraId="567C5F2E">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23" w:type="pct"/>
                  <w:vMerge w:val="continue"/>
                  <w:noWrap w:val="0"/>
                  <w:tcMar>
                    <w:top w:w="0" w:type="dxa"/>
                    <w:left w:w="0" w:type="dxa"/>
                    <w:bottom w:w="0" w:type="dxa"/>
                    <w:right w:w="0" w:type="dxa"/>
                  </w:tcMar>
                  <w:vAlign w:val="center"/>
                </w:tcPr>
                <w:p w14:paraId="42BB92C4">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119" w:type="pct"/>
                  <w:noWrap w:val="0"/>
                  <w:tcMar>
                    <w:top w:w="0" w:type="dxa"/>
                    <w:left w:w="0" w:type="dxa"/>
                    <w:bottom w:w="0" w:type="dxa"/>
                    <w:right w:w="0" w:type="dxa"/>
                  </w:tcMar>
                  <w:vAlign w:val="center"/>
                </w:tcPr>
                <w:p w14:paraId="0E66168A">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禁止建设生产和使用高VOCs含量的溶剂型涂料、油墨、胶粘剂等项目。</w:t>
                  </w:r>
                </w:p>
              </w:tc>
              <w:tc>
                <w:tcPr>
                  <w:tcW w:w="1652" w:type="pct"/>
                  <w:noWrap w:val="0"/>
                  <w:tcMar>
                    <w:top w:w="0" w:type="dxa"/>
                    <w:left w:w="0" w:type="dxa"/>
                    <w:bottom w:w="0" w:type="dxa"/>
                    <w:right w:w="0" w:type="dxa"/>
                  </w:tcMar>
                  <w:vAlign w:val="center"/>
                </w:tcPr>
                <w:p w14:paraId="2FC43A8A">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kern w:val="0"/>
                      <w:sz w:val="21"/>
                      <w:szCs w:val="21"/>
                      <w14:textFill>
                        <w14:solidFill>
                          <w14:schemeClr w14:val="tx1"/>
                        </w14:solidFill>
                      </w14:textFill>
                    </w:rPr>
                    <w:t>本项目生产</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过程使用水性复合胶VOCs值为7g/L，满足《胶粘剂挥发性有机化合物限量》（GB/T 33372-2020）</w:t>
                  </w:r>
                  <w:r>
                    <w:rPr>
                      <w:rFonts w:hint="default" w:ascii="Times New Roman" w:hAnsi="Times New Roman" w:eastAsia="宋体" w:cs="Times New Roman"/>
                      <w:color w:val="000000" w:themeColor="text1"/>
                      <w:kern w:val="0"/>
                      <w:sz w:val="21"/>
                      <w:szCs w:val="21"/>
                      <w14:textFill>
                        <w14:solidFill>
                          <w14:schemeClr w14:val="tx1"/>
                        </w14:solidFill>
                      </w14:textFill>
                    </w:rPr>
                    <w:t>要求</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100g/L</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14:textFill>
                        <w14:solidFill>
                          <w14:schemeClr w14:val="tx1"/>
                        </w14:solidFill>
                      </w14:textFill>
                    </w:rPr>
                    <w:t>。</w:t>
                  </w:r>
                </w:p>
              </w:tc>
              <w:tc>
                <w:tcPr>
                  <w:tcW w:w="289" w:type="pct"/>
                  <w:noWrap w:val="0"/>
                  <w:tcMar>
                    <w:top w:w="0" w:type="dxa"/>
                    <w:left w:w="0" w:type="dxa"/>
                    <w:bottom w:w="0" w:type="dxa"/>
                    <w:right w:w="0" w:type="dxa"/>
                  </w:tcMar>
                  <w:vAlign w:val="center"/>
                </w:tcPr>
                <w:p w14:paraId="178DB3E4">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符合</w:t>
                  </w:r>
                </w:p>
              </w:tc>
            </w:tr>
            <w:tr w14:paraId="3766CEB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359" w:type="pct"/>
                  <w:gridSpan w:val="2"/>
                  <w:vMerge w:val="continue"/>
                  <w:noWrap w:val="0"/>
                  <w:tcMar>
                    <w:top w:w="0" w:type="dxa"/>
                    <w:left w:w="0" w:type="dxa"/>
                    <w:bottom w:w="0" w:type="dxa"/>
                    <w:right w:w="0" w:type="dxa"/>
                  </w:tcMar>
                  <w:vAlign w:val="center"/>
                </w:tcPr>
                <w:p w14:paraId="64752C7F">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56" w:type="pct"/>
                  <w:vMerge w:val="continue"/>
                  <w:noWrap w:val="0"/>
                  <w:tcMar>
                    <w:top w:w="0" w:type="dxa"/>
                    <w:left w:w="0" w:type="dxa"/>
                    <w:bottom w:w="0" w:type="dxa"/>
                    <w:right w:w="0" w:type="dxa"/>
                  </w:tcMar>
                  <w:vAlign w:val="center"/>
                </w:tcPr>
                <w:p w14:paraId="6943B60E">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23" w:type="pct"/>
                  <w:vMerge w:val="continue"/>
                  <w:noWrap w:val="0"/>
                  <w:tcMar>
                    <w:top w:w="0" w:type="dxa"/>
                    <w:left w:w="0" w:type="dxa"/>
                    <w:bottom w:w="0" w:type="dxa"/>
                    <w:right w:w="0" w:type="dxa"/>
                  </w:tcMar>
                  <w:vAlign w:val="center"/>
                </w:tcPr>
                <w:p w14:paraId="463845E0">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119" w:type="pct"/>
                  <w:noWrap w:val="0"/>
                  <w:tcMar>
                    <w:top w:w="0" w:type="dxa"/>
                    <w:left w:w="0" w:type="dxa"/>
                    <w:bottom w:w="0" w:type="dxa"/>
                    <w:right w:w="0" w:type="dxa"/>
                  </w:tcMar>
                  <w:vAlign w:val="center"/>
                </w:tcPr>
                <w:p w14:paraId="1065B630">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非电行业新建项目，禁止配套建设自备纯凝、抽凝燃煤电站。</w:t>
                  </w:r>
                </w:p>
              </w:tc>
              <w:tc>
                <w:tcPr>
                  <w:tcW w:w="1652" w:type="pct"/>
                  <w:noWrap w:val="0"/>
                  <w:tcMar>
                    <w:top w:w="0" w:type="dxa"/>
                    <w:left w:w="0" w:type="dxa"/>
                    <w:bottom w:w="0" w:type="dxa"/>
                    <w:right w:w="0" w:type="dxa"/>
                  </w:tcMar>
                  <w:vAlign w:val="center"/>
                </w:tcPr>
                <w:p w14:paraId="15B4BA5B">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本项目由园区供电，不配套建设纯凝、抽凝燃煤电站</w:t>
                  </w:r>
                </w:p>
              </w:tc>
              <w:tc>
                <w:tcPr>
                  <w:tcW w:w="289" w:type="pct"/>
                  <w:noWrap w:val="0"/>
                  <w:tcMar>
                    <w:top w:w="0" w:type="dxa"/>
                    <w:left w:w="0" w:type="dxa"/>
                    <w:bottom w:w="0" w:type="dxa"/>
                    <w:right w:w="0" w:type="dxa"/>
                  </w:tcMar>
                  <w:vAlign w:val="center"/>
                </w:tcPr>
                <w:p w14:paraId="05E6C91E">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符合</w:t>
                  </w:r>
                </w:p>
              </w:tc>
            </w:tr>
            <w:tr w14:paraId="533F1B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359" w:type="pct"/>
                  <w:gridSpan w:val="2"/>
                  <w:vMerge w:val="continue"/>
                  <w:noWrap w:val="0"/>
                  <w:tcMar>
                    <w:top w:w="0" w:type="dxa"/>
                    <w:left w:w="0" w:type="dxa"/>
                    <w:bottom w:w="0" w:type="dxa"/>
                    <w:right w:w="0" w:type="dxa"/>
                  </w:tcMar>
                  <w:vAlign w:val="center"/>
                </w:tcPr>
                <w:p w14:paraId="62C5CC34">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56" w:type="pct"/>
                  <w:vMerge w:val="continue"/>
                  <w:noWrap w:val="0"/>
                  <w:tcMar>
                    <w:top w:w="0" w:type="dxa"/>
                    <w:left w:w="0" w:type="dxa"/>
                    <w:bottom w:w="0" w:type="dxa"/>
                    <w:right w:w="0" w:type="dxa"/>
                  </w:tcMar>
                  <w:vAlign w:val="center"/>
                </w:tcPr>
                <w:p w14:paraId="531564D3">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23" w:type="pct"/>
                  <w:vMerge w:val="continue"/>
                  <w:noWrap w:val="0"/>
                  <w:tcMar>
                    <w:top w:w="0" w:type="dxa"/>
                    <w:left w:w="0" w:type="dxa"/>
                    <w:bottom w:w="0" w:type="dxa"/>
                    <w:right w:w="0" w:type="dxa"/>
                  </w:tcMar>
                  <w:vAlign w:val="center"/>
                </w:tcPr>
                <w:p w14:paraId="4BC16C99">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119" w:type="pct"/>
                  <w:noWrap w:val="0"/>
                  <w:tcMar>
                    <w:top w:w="0" w:type="dxa"/>
                    <w:left w:w="0" w:type="dxa"/>
                    <w:bottom w:w="0" w:type="dxa"/>
                    <w:right w:w="0" w:type="dxa"/>
                  </w:tcMar>
                  <w:vAlign w:val="center"/>
                </w:tcPr>
                <w:p w14:paraId="6589714E">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在城市建成区及居民区、医院、学校等环境敏感区域，严禁现场露天灰土拌合。</w:t>
                  </w:r>
                </w:p>
              </w:tc>
              <w:tc>
                <w:tcPr>
                  <w:tcW w:w="1652" w:type="pct"/>
                  <w:noWrap w:val="0"/>
                  <w:tcMar>
                    <w:top w:w="0" w:type="dxa"/>
                    <w:left w:w="0" w:type="dxa"/>
                    <w:bottom w:w="0" w:type="dxa"/>
                    <w:right w:w="0" w:type="dxa"/>
                  </w:tcMar>
                  <w:vAlign w:val="center"/>
                </w:tcPr>
                <w:p w14:paraId="7EF0D4B1">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本项目位于</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宿州市埇桥区经济开发区滨河路西侧</w:t>
                  </w:r>
                  <w:r>
                    <w:rPr>
                      <w:rFonts w:hint="default" w:ascii="Times New Roman" w:hAnsi="Times New Roman" w:eastAsia="宋体" w:cs="Times New Roman"/>
                      <w:color w:val="000000" w:themeColor="text1"/>
                      <w:kern w:val="0"/>
                      <w:sz w:val="21"/>
                      <w:szCs w:val="21"/>
                      <w14:textFill>
                        <w14:solidFill>
                          <w14:schemeClr w14:val="tx1"/>
                        </w14:solidFill>
                      </w14:textFill>
                    </w:rPr>
                    <w:t>，不在城市建成区及居民区、医院、学校等环境敏感区域，严禁现场露天灰土拌合。</w:t>
                  </w:r>
                </w:p>
              </w:tc>
              <w:tc>
                <w:tcPr>
                  <w:tcW w:w="289" w:type="pct"/>
                  <w:noWrap w:val="0"/>
                  <w:tcMar>
                    <w:top w:w="0" w:type="dxa"/>
                    <w:left w:w="0" w:type="dxa"/>
                    <w:bottom w:w="0" w:type="dxa"/>
                    <w:right w:w="0" w:type="dxa"/>
                  </w:tcMar>
                  <w:vAlign w:val="center"/>
                </w:tcPr>
                <w:p w14:paraId="59053449">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符合</w:t>
                  </w:r>
                </w:p>
              </w:tc>
            </w:tr>
            <w:tr w14:paraId="1BE2FB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359" w:type="pct"/>
                  <w:gridSpan w:val="2"/>
                  <w:vMerge w:val="continue"/>
                  <w:noWrap w:val="0"/>
                  <w:tcMar>
                    <w:top w:w="0" w:type="dxa"/>
                    <w:left w:w="0" w:type="dxa"/>
                    <w:bottom w:w="0" w:type="dxa"/>
                    <w:right w:w="0" w:type="dxa"/>
                  </w:tcMar>
                  <w:vAlign w:val="center"/>
                </w:tcPr>
                <w:p w14:paraId="7B53AD59">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56" w:type="pct"/>
                  <w:vMerge w:val="continue"/>
                  <w:noWrap w:val="0"/>
                  <w:tcMar>
                    <w:top w:w="0" w:type="dxa"/>
                    <w:left w:w="0" w:type="dxa"/>
                    <w:bottom w:w="0" w:type="dxa"/>
                    <w:right w:w="0" w:type="dxa"/>
                  </w:tcMar>
                  <w:vAlign w:val="center"/>
                </w:tcPr>
                <w:p w14:paraId="7C53CC84">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23" w:type="pct"/>
                  <w:vMerge w:val="continue"/>
                  <w:noWrap w:val="0"/>
                  <w:tcMar>
                    <w:top w:w="0" w:type="dxa"/>
                    <w:left w:w="0" w:type="dxa"/>
                    <w:bottom w:w="0" w:type="dxa"/>
                    <w:right w:w="0" w:type="dxa"/>
                  </w:tcMar>
                  <w:vAlign w:val="center"/>
                </w:tcPr>
                <w:p w14:paraId="10B201E8">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119" w:type="pct"/>
                  <w:noWrap w:val="0"/>
                  <w:tcMar>
                    <w:top w:w="0" w:type="dxa"/>
                    <w:left w:w="0" w:type="dxa"/>
                    <w:bottom w:w="0" w:type="dxa"/>
                    <w:right w:w="0" w:type="dxa"/>
                  </w:tcMar>
                  <w:vAlign w:val="center"/>
                </w:tcPr>
                <w:p w14:paraId="6E0125DE">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在城市规划区内禁止新建、建设大气污染严重的建设项目。</w:t>
                  </w:r>
                </w:p>
              </w:tc>
              <w:tc>
                <w:tcPr>
                  <w:tcW w:w="1652" w:type="pct"/>
                  <w:noWrap w:val="0"/>
                  <w:tcMar>
                    <w:top w:w="0" w:type="dxa"/>
                    <w:left w:w="0" w:type="dxa"/>
                    <w:bottom w:w="0" w:type="dxa"/>
                    <w:right w:w="0" w:type="dxa"/>
                  </w:tcMar>
                  <w:vAlign w:val="center"/>
                </w:tcPr>
                <w:p w14:paraId="144F5EB3">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本项目本项目</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涂胶、烘干、复合工序产生的废气经集气罩收集后进入一套集气系统+水喷淋+二级活性炭吸附装置处理后由一根高为15米的排气筒排放。</w:t>
                  </w:r>
                  <w:r>
                    <w:rPr>
                      <w:rFonts w:hint="default" w:ascii="Times New Roman" w:hAnsi="Times New Roman" w:eastAsia="宋体" w:cs="Times New Roman"/>
                      <w:color w:val="000000" w:themeColor="text1"/>
                      <w:kern w:val="0"/>
                      <w:sz w:val="21"/>
                      <w:szCs w:val="21"/>
                      <w14:textFill>
                        <w14:solidFill>
                          <w14:schemeClr w14:val="tx1"/>
                        </w14:solidFill>
                      </w14:textFill>
                    </w:rPr>
                    <w:t>不属于废气污染严重的项目。</w:t>
                  </w:r>
                </w:p>
              </w:tc>
              <w:tc>
                <w:tcPr>
                  <w:tcW w:w="289" w:type="pct"/>
                  <w:noWrap w:val="0"/>
                  <w:tcMar>
                    <w:top w:w="0" w:type="dxa"/>
                    <w:left w:w="0" w:type="dxa"/>
                    <w:bottom w:w="0" w:type="dxa"/>
                    <w:right w:w="0" w:type="dxa"/>
                  </w:tcMar>
                  <w:vAlign w:val="center"/>
                </w:tcPr>
                <w:p w14:paraId="6CBE29E7">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符合</w:t>
                  </w:r>
                </w:p>
              </w:tc>
            </w:tr>
            <w:tr w14:paraId="71B80C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359" w:type="pct"/>
                  <w:gridSpan w:val="2"/>
                  <w:vMerge w:val="continue"/>
                  <w:noWrap w:val="0"/>
                  <w:tcMar>
                    <w:top w:w="0" w:type="dxa"/>
                    <w:left w:w="0" w:type="dxa"/>
                    <w:bottom w:w="0" w:type="dxa"/>
                    <w:right w:w="0" w:type="dxa"/>
                  </w:tcMar>
                  <w:vAlign w:val="center"/>
                </w:tcPr>
                <w:p w14:paraId="7111DF69">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56" w:type="pct"/>
                  <w:vMerge w:val="continue"/>
                  <w:noWrap w:val="0"/>
                  <w:tcMar>
                    <w:top w:w="0" w:type="dxa"/>
                    <w:left w:w="0" w:type="dxa"/>
                    <w:bottom w:w="0" w:type="dxa"/>
                    <w:right w:w="0" w:type="dxa"/>
                  </w:tcMar>
                  <w:vAlign w:val="center"/>
                </w:tcPr>
                <w:p w14:paraId="41C766FF">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23" w:type="pct"/>
                  <w:vMerge w:val="continue"/>
                  <w:noWrap w:val="0"/>
                  <w:tcMar>
                    <w:top w:w="0" w:type="dxa"/>
                    <w:left w:w="0" w:type="dxa"/>
                    <w:bottom w:w="0" w:type="dxa"/>
                    <w:right w:w="0" w:type="dxa"/>
                  </w:tcMar>
                  <w:vAlign w:val="center"/>
                </w:tcPr>
                <w:p w14:paraId="4BF8B678">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119" w:type="pct"/>
                  <w:noWrap w:val="0"/>
                  <w:tcMar>
                    <w:top w:w="0" w:type="dxa"/>
                    <w:left w:w="0" w:type="dxa"/>
                    <w:bottom w:w="0" w:type="dxa"/>
                    <w:right w:w="0" w:type="dxa"/>
                  </w:tcMar>
                  <w:vAlign w:val="center"/>
                </w:tcPr>
                <w:p w14:paraId="6F1E9001">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禁止高灰分、高硫分煤炭进入市场。新建煤矿应当同步建设煤炭洗选设施，已建成的煤矿所采煤炭属于高灰分、高硫分的，应当在国家和省规定的期限内建成配套的煤炭洗选设施，使煤炭中的灰分、硫分达到规定的标准。</w:t>
                  </w:r>
                </w:p>
              </w:tc>
              <w:tc>
                <w:tcPr>
                  <w:tcW w:w="1652" w:type="pct"/>
                  <w:noWrap w:val="0"/>
                  <w:tcMar>
                    <w:top w:w="0" w:type="dxa"/>
                    <w:left w:w="0" w:type="dxa"/>
                    <w:bottom w:w="0" w:type="dxa"/>
                    <w:right w:w="0" w:type="dxa"/>
                  </w:tcMar>
                  <w:vAlign w:val="center"/>
                </w:tcPr>
                <w:p w14:paraId="577A37E8">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项目属于</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C3399其他未列明金属制品制造</w:t>
                  </w:r>
                  <w:r>
                    <w:rPr>
                      <w:rFonts w:hint="default" w:ascii="Times New Roman" w:hAnsi="Times New Roman" w:eastAsia="宋体" w:cs="Times New Roman"/>
                      <w:color w:val="000000" w:themeColor="text1"/>
                      <w:kern w:val="0"/>
                      <w:sz w:val="21"/>
                      <w:szCs w:val="21"/>
                      <w14:textFill>
                        <w14:solidFill>
                          <w14:schemeClr w14:val="tx1"/>
                        </w14:solidFill>
                      </w14:textFill>
                    </w:rPr>
                    <w:t>，不涉及高灰分、高硫分煤炭且不涉及煤炭选洗设施</w:t>
                  </w:r>
                </w:p>
              </w:tc>
              <w:tc>
                <w:tcPr>
                  <w:tcW w:w="289" w:type="pct"/>
                  <w:noWrap w:val="0"/>
                  <w:tcMar>
                    <w:top w:w="0" w:type="dxa"/>
                    <w:left w:w="0" w:type="dxa"/>
                    <w:bottom w:w="0" w:type="dxa"/>
                    <w:right w:w="0" w:type="dxa"/>
                  </w:tcMar>
                  <w:vAlign w:val="center"/>
                </w:tcPr>
                <w:p w14:paraId="15930880">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符合</w:t>
                  </w:r>
                </w:p>
              </w:tc>
            </w:tr>
            <w:tr w14:paraId="1B64DE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359" w:type="pct"/>
                  <w:gridSpan w:val="2"/>
                  <w:vMerge w:val="continue"/>
                  <w:noWrap w:val="0"/>
                  <w:tcMar>
                    <w:top w:w="0" w:type="dxa"/>
                    <w:left w:w="0" w:type="dxa"/>
                    <w:bottom w:w="0" w:type="dxa"/>
                    <w:right w:w="0" w:type="dxa"/>
                  </w:tcMar>
                  <w:vAlign w:val="center"/>
                </w:tcPr>
                <w:p w14:paraId="19973CC8">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56" w:type="pct"/>
                  <w:vMerge w:val="continue"/>
                  <w:noWrap w:val="0"/>
                  <w:tcMar>
                    <w:top w:w="0" w:type="dxa"/>
                    <w:left w:w="0" w:type="dxa"/>
                    <w:bottom w:w="0" w:type="dxa"/>
                    <w:right w:w="0" w:type="dxa"/>
                  </w:tcMar>
                  <w:vAlign w:val="center"/>
                </w:tcPr>
                <w:p w14:paraId="4C8B0A1B">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23" w:type="pct"/>
                  <w:vMerge w:val="continue"/>
                  <w:noWrap w:val="0"/>
                  <w:tcMar>
                    <w:top w:w="0" w:type="dxa"/>
                    <w:left w:w="0" w:type="dxa"/>
                    <w:bottom w:w="0" w:type="dxa"/>
                    <w:right w:w="0" w:type="dxa"/>
                  </w:tcMar>
                  <w:vAlign w:val="center"/>
                </w:tcPr>
                <w:p w14:paraId="5B796C1D">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119" w:type="pct"/>
                  <w:noWrap w:val="0"/>
                  <w:tcMar>
                    <w:top w:w="0" w:type="dxa"/>
                    <w:left w:w="0" w:type="dxa"/>
                    <w:bottom w:w="0" w:type="dxa"/>
                    <w:right w:w="0" w:type="dxa"/>
                  </w:tcMar>
                  <w:vAlign w:val="center"/>
                </w:tcPr>
                <w:p w14:paraId="7D93E9DB">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禁止在人口集中地区、机场周围、交通干线附近以及当地人民政府划定的区域露天焚烧秸秆、落叶、垃圾等产生烟尘污染的物质。</w:t>
                  </w:r>
                </w:p>
              </w:tc>
              <w:tc>
                <w:tcPr>
                  <w:tcW w:w="1652" w:type="pct"/>
                  <w:noWrap w:val="0"/>
                  <w:tcMar>
                    <w:top w:w="0" w:type="dxa"/>
                    <w:left w:w="0" w:type="dxa"/>
                    <w:bottom w:w="0" w:type="dxa"/>
                    <w:right w:w="0" w:type="dxa"/>
                  </w:tcMar>
                  <w:vAlign w:val="center"/>
                </w:tcPr>
                <w:p w14:paraId="05C75C23">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本项目位于</w:t>
                  </w:r>
                  <w:r>
                    <w:rPr>
                      <w:rFonts w:hint="default" w:ascii="Times New Roman" w:hAnsi="Times New Roman" w:eastAsia="宋体" w:cs="Times New Roman"/>
                      <w:color w:val="000000" w:themeColor="text1"/>
                      <w:sz w:val="21"/>
                      <w:szCs w:val="21"/>
                      <w:lang w:eastAsia="zh-CN"/>
                      <w14:textFill>
                        <w14:solidFill>
                          <w14:schemeClr w14:val="tx1"/>
                        </w14:solidFill>
                      </w14:textFill>
                    </w:rPr>
                    <w:t>宿州市埇桥区经济开发区滨河路西侧</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kern w:val="0"/>
                      <w:sz w:val="21"/>
                      <w:szCs w:val="21"/>
                      <w14:textFill>
                        <w14:solidFill>
                          <w14:schemeClr w14:val="tx1"/>
                        </w14:solidFill>
                      </w14:textFill>
                    </w:rPr>
                    <w:t>项目不涉及露天焚烧。</w:t>
                  </w:r>
                </w:p>
              </w:tc>
              <w:tc>
                <w:tcPr>
                  <w:tcW w:w="289" w:type="pct"/>
                  <w:noWrap w:val="0"/>
                  <w:tcMar>
                    <w:top w:w="0" w:type="dxa"/>
                    <w:left w:w="0" w:type="dxa"/>
                    <w:bottom w:w="0" w:type="dxa"/>
                    <w:right w:w="0" w:type="dxa"/>
                  </w:tcMar>
                  <w:vAlign w:val="center"/>
                </w:tcPr>
                <w:p w14:paraId="0912B069">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符合</w:t>
                  </w:r>
                </w:p>
              </w:tc>
            </w:tr>
            <w:tr w14:paraId="315922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359" w:type="pct"/>
                  <w:gridSpan w:val="2"/>
                  <w:vMerge w:val="continue"/>
                  <w:noWrap w:val="0"/>
                  <w:tcMar>
                    <w:top w:w="0" w:type="dxa"/>
                    <w:left w:w="0" w:type="dxa"/>
                    <w:bottom w:w="0" w:type="dxa"/>
                    <w:right w:w="0" w:type="dxa"/>
                  </w:tcMar>
                  <w:vAlign w:val="center"/>
                </w:tcPr>
                <w:p w14:paraId="30B87B35">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56" w:type="pct"/>
                  <w:vMerge w:val="continue"/>
                  <w:noWrap w:val="0"/>
                  <w:tcMar>
                    <w:top w:w="0" w:type="dxa"/>
                    <w:left w:w="0" w:type="dxa"/>
                    <w:bottom w:w="0" w:type="dxa"/>
                    <w:right w:w="0" w:type="dxa"/>
                  </w:tcMar>
                  <w:vAlign w:val="center"/>
                </w:tcPr>
                <w:p w14:paraId="5AFBBC08">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23" w:type="pct"/>
                  <w:vMerge w:val="continue"/>
                  <w:noWrap w:val="0"/>
                  <w:tcMar>
                    <w:top w:w="0" w:type="dxa"/>
                    <w:left w:w="0" w:type="dxa"/>
                    <w:bottom w:w="0" w:type="dxa"/>
                    <w:right w:w="0" w:type="dxa"/>
                  </w:tcMar>
                  <w:vAlign w:val="center"/>
                </w:tcPr>
                <w:p w14:paraId="6C6F901B">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119" w:type="pct"/>
                  <w:noWrap w:val="0"/>
                  <w:tcMar>
                    <w:top w:w="0" w:type="dxa"/>
                    <w:left w:w="0" w:type="dxa"/>
                    <w:bottom w:w="0" w:type="dxa"/>
                    <w:right w:w="0" w:type="dxa"/>
                  </w:tcMar>
                  <w:vAlign w:val="center"/>
                </w:tcPr>
                <w:p w14:paraId="17968ACD">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在燃气管网和集中供热管网覆盖的区域，不得新建、建设、改建燃烧煤炭、重油、渣油的供热设施；原有分散的中小型燃煤供热锅炉应当限期拆除。</w:t>
                  </w:r>
                </w:p>
              </w:tc>
              <w:tc>
                <w:tcPr>
                  <w:tcW w:w="1652" w:type="pct"/>
                  <w:noWrap w:val="0"/>
                  <w:tcMar>
                    <w:top w:w="0" w:type="dxa"/>
                    <w:left w:w="0" w:type="dxa"/>
                    <w:bottom w:w="0" w:type="dxa"/>
                    <w:right w:w="0" w:type="dxa"/>
                  </w:tcMar>
                  <w:vAlign w:val="center"/>
                </w:tcPr>
                <w:p w14:paraId="1EF50E6A">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项目主要使用能源为电，不涉及煤炭锅炉</w:t>
                  </w:r>
                </w:p>
              </w:tc>
              <w:tc>
                <w:tcPr>
                  <w:tcW w:w="289" w:type="pct"/>
                  <w:noWrap w:val="0"/>
                  <w:tcMar>
                    <w:top w:w="0" w:type="dxa"/>
                    <w:left w:w="0" w:type="dxa"/>
                    <w:bottom w:w="0" w:type="dxa"/>
                    <w:right w:w="0" w:type="dxa"/>
                  </w:tcMar>
                  <w:vAlign w:val="center"/>
                </w:tcPr>
                <w:p w14:paraId="2678864C">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符合</w:t>
                  </w:r>
                </w:p>
              </w:tc>
            </w:tr>
            <w:tr w14:paraId="512097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359" w:type="pct"/>
                  <w:gridSpan w:val="2"/>
                  <w:vMerge w:val="continue"/>
                  <w:noWrap w:val="0"/>
                  <w:tcMar>
                    <w:top w:w="0" w:type="dxa"/>
                    <w:left w:w="0" w:type="dxa"/>
                    <w:bottom w:w="0" w:type="dxa"/>
                    <w:right w:w="0" w:type="dxa"/>
                  </w:tcMar>
                  <w:vAlign w:val="center"/>
                </w:tcPr>
                <w:p w14:paraId="3A950032">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56" w:type="pct"/>
                  <w:vMerge w:val="continue"/>
                  <w:noWrap w:val="0"/>
                  <w:tcMar>
                    <w:top w:w="0" w:type="dxa"/>
                    <w:left w:w="0" w:type="dxa"/>
                    <w:bottom w:w="0" w:type="dxa"/>
                    <w:right w:w="0" w:type="dxa"/>
                  </w:tcMar>
                  <w:vAlign w:val="center"/>
                </w:tcPr>
                <w:p w14:paraId="67D85B24">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23" w:type="pct"/>
                  <w:vMerge w:val="continue"/>
                  <w:noWrap w:val="0"/>
                  <w:tcMar>
                    <w:top w:w="0" w:type="dxa"/>
                    <w:left w:w="0" w:type="dxa"/>
                    <w:bottom w:w="0" w:type="dxa"/>
                    <w:right w:w="0" w:type="dxa"/>
                  </w:tcMar>
                  <w:vAlign w:val="center"/>
                </w:tcPr>
                <w:p w14:paraId="476153B8">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119" w:type="pct"/>
                  <w:noWrap w:val="0"/>
                  <w:tcMar>
                    <w:top w:w="0" w:type="dxa"/>
                    <w:left w:w="0" w:type="dxa"/>
                    <w:bottom w:w="0" w:type="dxa"/>
                    <w:right w:w="0" w:type="dxa"/>
                  </w:tcMar>
                  <w:vAlign w:val="center"/>
                </w:tcPr>
                <w:p w14:paraId="1290E033">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禁止在居民住宅楼、未配套设立专用烟道的商住综合楼、商住综合楼内与居住层相邻的商业楼层内新建、改建、建设产生油烟、异味、废气的饮食服务项目。</w:t>
                  </w:r>
                </w:p>
              </w:tc>
              <w:tc>
                <w:tcPr>
                  <w:tcW w:w="1652" w:type="pct"/>
                  <w:noWrap w:val="0"/>
                  <w:tcMar>
                    <w:top w:w="0" w:type="dxa"/>
                    <w:left w:w="0" w:type="dxa"/>
                    <w:bottom w:w="0" w:type="dxa"/>
                    <w:right w:w="0" w:type="dxa"/>
                  </w:tcMar>
                  <w:vAlign w:val="center"/>
                </w:tcPr>
                <w:p w14:paraId="4DE99BDD">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本项目位于</w:t>
                  </w:r>
                  <w:r>
                    <w:rPr>
                      <w:rFonts w:hint="default" w:ascii="Times New Roman" w:hAnsi="Times New Roman" w:eastAsia="宋体" w:cs="Times New Roman"/>
                      <w:color w:val="000000" w:themeColor="text1"/>
                      <w:sz w:val="21"/>
                      <w:szCs w:val="21"/>
                      <w:lang w:eastAsia="zh-CN"/>
                      <w14:textFill>
                        <w14:solidFill>
                          <w14:schemeClr w14:val="tx1"/>
                        </w14:solidFill>
                      </w14:textFill>
                    </w:rPr>
                    <w:t>宿州市埇桥区经济开发区滨河路西侧</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kern w:val="0"/>
                      <w:sz w:val="21"/>
                      <w:szCs w:val="21"/>
                      <w14:textFill>
                        <w14:solidFill>
                          <w14:schemeClr w14:val="tx1"/>
                        </w14:solidFill>
                      </w14:textFill>
                    </w:rPr>
                    <w:t>项目属于</w:t>
                  </w:r>
                  <w:r>
                    <w:rPr>
                      <w:rFonts w:hint="default" w:ascii="Times New Roman" w:hAnsi="Times New Roman" w:eastAsia="宋体" w:cs="Times New Roman"/>
                      <w:color w:val="000000" w:themeColor="text1"/>
                      <w:sz w:val="21"/>
                      <w:szCs w:val="21"/>
                      <w:lang w:eastAsia="zh-CN"/>
                      <w14:textFill>
                        <w14:solidFill>
                          <w14:schemeClr w14:val="tx1"/>
                        </w14:solidFill>
                      </w14:textFill>
                    </w:rPr>
                    <w:t>C3399其他未列明金属制品制造</w:t>
                  </w:r>
                  <w:r>
                    <w:rPr>
                      <w:rFonts w:hint="default" w:ascii="Times New Roman" w:hAnsi="Times New Roman" w:eastAsia="宋体" w:cs="Times New Roman"/>
                      <w:color w:val="000000" w:themeColor="text1"/>
                      <w:kern w:val="0"/>
                      <w:sz w:val="21"/>
                      <w:szCs w:val="21"/>
                      <w14:textFill>
                        <w14:solidFill>
                          <w14:schemeClr w14:val="tx1"/>
                        </w14:solidFill>
                      </w14:textFill>
                    </w:rPr>
                    <w:t>。</w:t>
                  </w:r>
                </w:p>
              </w:tc>
              <w:tc>
                <w:tcPr>
                  <w:tcW w:w="289" w:type="pct"/>
                  <w:noWrap w:val="0"/>
                  <w:tcMar>
                    <w:top w:w="0" w:type="dxa"/>
                    <w:left w:w="0" w:type="dxa"/>
                    <w:bottom w:w="0" w:type="dxa"/>
                    <w:right w:w="0" w:type="dxa"/>
                  </w:tcMar>
                  <w:vAlign w:val="center"/>
                </w:tcPr>
                <w:p w14:paraId="42EEB75B">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符合</w:t>
                  </w:r>
                </w:p>
              </w:tc>
            </w:tr>
            <w:tr w14:paraId="15E9B0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359" w:type="pct"/>
                  <w:gridSpan w:val="2"/>
                  <w:vMerge w:val="continue"/>
                  <w:noWrap w:val="0"/>
                  <w:tcMar>
                    <w:top w:w="0" w:type="dxa"/>
                    <w:left w:w="0" w:type="dxa"/>
                    <w:bottom w:w="0" w:type="dxa"/>
                    <w:right w:w="0" w:type="dxa"/>
                  </w:tcMar>
                  <w:vAlign w:val="center"/>
                </w:tcPr>
                <w:p w14:paraId="140E04B1">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56" w:type="pct"/>
                  <w:vMerge w:val="continue"/>
                  <w:noWrap w:val="0"/>
                  <w:tcMar>
                    <w:top w:w="0" w:type="dxa"/>
                    <w:left w:w="0" w:type="dxa"/>
                    <w:bottom w:w="0" w:type="dxa"/>
                    <w:right w:w="0" w:type="dxa"/>
                  </w:tcMar>
                  <w:vAlign w:val="center"/>
                </w:tcPr>
                <w:p w14:paraId="3A52D5EC">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23" w:type="pct"/>
                  <w:vMerge w:val="continue"/>
                  <w:noWrap w:val="0"/>
                  <w:tcMar>
                    <w:top w:w="0" w:type="dxa"/>
                    <w:left w:w="0" w:type="dxa"/>
                    <w:bottom w:w="0" w:type="dxa"/>
                    <w:right w:w="0" w:type="dxa"/>
                  </w:tcMar>
                  <w:vAlign w:val="center"/>
                </w:tcPr>
                <w:p w14:paraId="4A81B0B5">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119" w:type="pct"/>
                  <w:noWrap w:val="0"/>
                  <w:tcMar>
                    <w:top w:w="0" w:type="dxa"/>
                    <w:left w:w="0" w:type="dxa"/>
                    <w:bottom w:w="0" w:type="dxa"/>
                    <w:right w:w="0" w:type="dxa"/>
                  </w:tcMar>
                  <w:vAlign w:val="center"/>
                </w:tcPr>
                <w:p w14:paraId="61CA27B0">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任何单位和个人不得在政府划定的禁止露天烧烤区域内露天烧烤食品或者为露天烧烤食品提供场地。</w:t>
                  </w:r>
                </w:p>
              </w:tc>
              <w:tc>
                <w:tcPr>
                  <w:tcW w:w="1652" w:type="pct"/>
                  <w:noWrap w:val="0"/>
                  <w:tcMar>
                    <w:top w:w="0" w:type="dxa"/>
                    <w:left w:w="0" w:type="dxa"/>
                    <w:bottom w:w="0" w:type="dxa"/>
                    <w:right w:w="0" w:type="dxa"/>
                  </w:tcMar>
                  <w:vAlign w:val="center"/>
                </w:tcPr>
                <w:p w14:paraId="15266270">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生产制造均在室内进行</w:t>
                  </w:r>
                </w:p>
              </w:tc>
              <w:tc>
                <w:tcPr>
                  <w:tcW w:w="289" w:type="pct"/>
                  <w:noWrap w:val="0"/>
                  <w:tcMar>
                    <w:top w:w="0" w:type="dxa"/>
                    <w:left w:w="0" w:type="dxa"/>
                    <w:bottom w:w="0" w:type="dxa"/>
                    <w:right w:w="0" w:type="dxa"/>
                  </w:tcMar>
                  <w:vAlign w:val="center"/>
                </w:tcPr>
                <w:p w14:paraId="4D4131D7">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符合</w:t>
                  </w:r>
                </w:p>
              </w:tc>
            </w:tr>
            <w:tr w14:paraId="04B6B1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359" w:type="pct"/>
                  <w:gridSpan w:val="2"/>
                  <w:vMerge w:val="continue"/>
                  <w:noWrap w:val="0"/>
                  <w:tcMar>
                    <w:top w:w="0" w:type="dxa"/>
                    <w:left w:w="0" w:type="dxa"/>
                    <w:bottom w:w="0" w:type="dxa"/>
                    <w:right w:w="0" w:type="dxa"/>
                  </w:tcMar>
                  <w:vAlign w:val="center"/>
                </w:tcPr>
                <w:p w14:paraId="5F56B92B">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56" w:type="pct"/>
                  <w:vMerge w:val="continue"/>
                  <w:noWrap w:val="0"/>
                  <w:tcMar>
                    <w:top w:w="0" w:type="dxa"/>
                    <w:left w:w="0" w:type="dxa"/>
                    <w:bottom w:w="0" w:type="dxa"/>
                    <w:right w:w="0" w:type="dxa"/>
                  </w:tcMar>
                  <w:vAlign w:val="center"/>
                </w:tcPr>
                <w:p w14:paraId="3C0C3E78">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23" w:type="pct"/>
                  <w:vMerge w:val="continue"/>
                  <w:noWrap w:val="0"/>
                  <w:tcMar>
                    <w:top w:w="0" w:type="dxa"/>
                    <w:left w:w="0" w:type="dxa"/>
                    <w:bottom w:w="0" w:type="dxa"/>
                    <w:right w:w="0" w:type="dxa"/>
                  </w:tcMar>
                  <w:vAlign w:val="center"/>
                </w:tcPr>
                <w:p w14:paraId="2782B5B0">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119" w:type="pct"/>
                  <w:noWrap w:val="0"/>
                  <w:tcMar>
                    <w:top w:w="0" w:type="dxa"/>
                    <w:left w:w="0" w:type="dxa"/>
                    <w:bottom w:w="0" w:type="dxa"/>
                    <w:right w:w="0" w:type="dxa"/>
                  </w:tcMar>
                  <w:vAlign w:val="center"/>
                </w:tcPr>
                <w:p w14:paraId="0EBE21F8">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在机关、学校、医院、居民住宅区等人口集中地区和其他依法需要特殊保护的区域内，禁止从事下列生产活动：</w:t>
                  </w:r>
                </w:p>
                <w:p w14:paraId="4C4CDE0E">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（1）橡胶制品生产、经营性喷漆、制骨胶、制骨粉、屠宰、畜禽养殖、生物发酵等产生恶臭、有毒有害气体的生产经营活动；</w:t>
                  </w:r>
                </w:p>
                <w:p w14:paraId="3472C734">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（2）露天焚烧油毡、沥青、橡胶、塑料、皮革、垃圾或者其他可能产生恶臭、有毒有害气体的活动。</w:t>
                  </w:r>
                </w:p>
              </w:tc>
              <w:tc>
                <w:tcPr>
                  <w:tcW w:w="1652" w:type="pct"/>
                  <w:noWrap w:val="0"/>
                  <w:tcMar>
                    <w:top w:w="0" w:type="dxa"/>
                    <w:left w:w="0" w:type="dxa"/>
                    <w:bottom w:w="0" w:type="dxa"/>
                    <w:right w:w="0" w:type="dxa"/>
                  </w:tcMar>
                  <w:vAlign w:val="center"/>
                </w:tcPr>
                <w:p w14:paraId="2A562FE5">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项目位于</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宿州市埇桥区经济开发区滨河路西侧</w:t>
                  </w:r>
                  <w:r>
                    <w:rPr>
                      <w:rFonts w:hint="default" w:ascii="Times New Roman" w:hAnsi="Times New Roman" w:eastAsia="宋体" w:cs="Times New Roman"/>
                      <w:color w:val="000000" w:themeColor="text1"/>
                      <w:kern w:val="0"/>
                      <w:sz w:val="21"/>
                      <w:szCs w:val="21"/>
                      <w14:textFill>
                        <w14:solidFill>
                          <w14:schemeClr w14:val="tx1"/>
                        </w14:solidFill>
                      </w14:textFill>
                    </w:rPr>
                    <w:t>，行业类别为</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C3399其他未列明金属制品制造</w:t>
                  </w:r>
                  <w:r>
                    <w:rPr>
                      <w:rFonts w:hint="default" w:ascii="Times New Roman" w:hAnsi="Times New Roman" w:eastAsia="宋体" w:cs="Times New Roman"/>
                      <w:color w:val="000000" w:themeColor="text1"/>
                      <w:kern w:val="0"/>
                      <w:sz w:val="21"/>
                      <w:szCs w:val="21"/>
                      <w14:textFill>
                        <w14:solidFill>
                          <w14:schemeClr w14:val="tx1"/>
                        </w14:solidFill>
                      </w14:textFill>
                    </w:rPr>
                    <w:t>。</w:t>
                  </w:r>
                </w:p>
              </w:tc>
              <w:tc>
                <w:tcPr>
                  <w:tcW w:w="289" w:type="pct"/>
                  <w:noWrap w:val="0"/>
                  <w:tcMar>
                    <w:top w:w="0" w:type="dxa"/>
                    <w:left w:w="0" w:type="dxa"/>
                    <w:bottom w:w="0" w:type="dxa"/>
                    <w:right w:w="0" w:type="dxa"/>
                  </w:tcMar>
                  <w:vAlign w:val="center"/>
                </w:tcPr>
                <w:p w14:paraId="35B86C3E">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符合</w:t>
                  </w:r>
                </w:p>
              </w:tc>
            </w:tr>
            <w:tr w14:paraId="7E8770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359" w:type="pct"/>
                  <w:gridSpan w:val="2"/>
                  <w:vMerge w:val="continue"/>
                  <w:noWrap w:val="0"/>
                  <w:tcMar>
                    <w:top w:w="0" w:type="dxa"/>
                    <w:left w:w="0" w:type="dxa"/>
                    <w:bottom w:w="0" w:type="dxa"/>
                    <w:right w:w="0" w:type="dxa"/>
                  </w:tcMar>
                  <w:vAlign w:val="center"/>
                </w:tcPr>
                <w:p w14:paraId="7CD098FE">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56" w:type="pct"/>
                  <w:vMerge w:val="continue"/>
                  <w:noWrap w:val="0"/>
                  <w:tcMar>
                    <w:top w:w="0" w:type="dxa"/>
                    <w:left w:w="0" w:type="dxa"/>
                    <w:bottom w:w="0" w:type="dxa"/>
                    <w:right w:w="0" w:type="dxa"/>
                  </w:tcMar>
                  <w:vAlign w:val="center"/>
                </w:tcPr>
                <w:p w14:paraId="40BBAD9C">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23" w:type="pct"/>
                  <w:vMerge w:val="continue"/>
                  <w:noWrap w:val="0"/>
                  <w:tcMar>
                    <w:top w:w="0" w:type="dxa"/>
                    <w:left w:w="0" w:type="dxa"/>
                    <w:bottom w:w="0" w:type="dxa"/>
                    <w:right w:w="0" w:type="dxa"/>
                  </w:tcMar>
                  <w:vAlign w:val="center"/>
                </w:tcPr>
                <w:p w14:paraId="71FD0C8D">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119" w:type="pct"/>
                  <w:noWrap w:val="0"/>
                  <w:tcMar>
                    <w:top w:w="0" w:type="dxa"/>
                    <w:left w:w="0" w:type="dxa"/>
                    <w:bottom w:w="0" w:type="dxa"/>
                    <w:right w:w="0" w:type="dxa"/>
                  </w:tcMar>
                  <w:vAlign w:val="center"/>
                </w:tcPr>
                <w:p w14:paraId="0B5FE23C">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在城市建成区，禁止新建 VOCs高污染企业。</w:t>
                  </w:r>
                </w:p>
              </w:tc>
              <w:tc>
                <w:tcPr>
                  <w:tcW w:w="1652" w:type="pct"/>
                  <w:noWrap w:val="0"/>
                  <w:tcMar>
                    <w:top w:w="0" w:type="dxa"/>
                    <w:left w:w="0" w:type="dxa"/>
                    <w:bottom w:w="0" w:type="dxa"/>
                    <w:right w:w="0" w:type="dxa"/>
                  </w:tcMar>
                  <w:vAlign w:val="center"/>
                </w:tcPr>
                <w:p w14:paraId="365E6DC1">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项目为</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C3399其他未列明金属制品制造</w:t>
                  </w:r>
                  <w:r>
                    <w:rPr>
                      <w:rFonts w:hint="default" w:ascii="Times New Roman" w:hAnsi="Times New Roman" w:eastAsia="宋体" w:cs="Times New Roman"/>
                      <w:color w:val="000000" w:themeColor="text1"/>
                      <w:kern w:val="0"/>
                      <w:sz w:val="21"/>
                      <w:szCs w:val="21"/>
                      <w14:textFill>
                        <w14:solidFill>
                          <w14:schemeClr w14:val="tx1"/>
                        </w14:solidFill>
                      </w14:textFill>
                    </w:rPr>
                    <w:t>，原辅料使用</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低挥发性水性复合胶</w:t>
                  </w:r>
                  <w:r>
                    <w:rPr>
                      <w:rFonts w:hint="default" w:ascii="Times New Roman" w:hAnsi="Times New Roman" w:eastAsia="宋体" w:cs="Times New Roman"/>
                      <w:color w:val="000000" w:themeColor="text1"/>
                      <w:kern w:val="0"/>
                      <w:sz w:val="21"/>
                      <w:szCs w:val="21"/>
                      <w14:textFill>
                        <w14:solidFill>
                          <w14:schemeClr w14:val="tx1"/>
                        </w14:solidFill>
                      </w14:textFill>
                    </w:rPr>
                    <w:t>。不属于VOCs高污染企业</w:t>
                  </w:r>
                </w:p>
              </w:tc>
              <w:tc>
                <w:tcPr>
                  <w:tcW w:w="289" w:type="pct"/>
                  <w:noWrap w:val="0"/>
                  <w:tcMar>
                    <w:top w:w="0" w:type="dxa"/>
                    <w:left w:w="0" w:type="dxa"/>
                    <w:bottom w:w="0" w:type="dxa"/>
                    <w:right w:w="0" w:type="dxa"/>
                  </w:tcMar>
                  <w:vAlign w:val="center"/>
                </w:tcPr>
                <w:p w14:paraId="3F089B91">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符合</w:t>
                  </w:r>
                </w:p>
              </w:tc>
            </w:tr>
            <w:tr w14:paraId="66494D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7" w:hRule="atLeast"/>
                <w:jc w:val="center"/>
              </w:trPr>
              <w:tc>
                <w:tcPr>
                  <w:tcW w:w="359" w:type="pct"/>
                  <w:gridSpan w:val="2"/>
                  <w:vMerge w:val="continue"/>
                  <w:noWrap w:val="0"/>
                  <w:tcMar>
                    <w:top w:w="0" w:type="dxa"/>
                    <w:left w:w="0" w:type="dxa"/>
                    <w:bottom w:w="0" w:type="dxa"/>
                    <w:right w:w="0" w:type="dxa"/>
                  </w:tcMar>
                  <w:vAlign w:val="center"/>
                </w:tcPr>
                <w:p w14:paraId="7741ACB5">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56" w:type="pct"/>
                  <w:vMerge w:val="continue"/>
                  <w:noWrap w:val="0"/>
                  <w:tcMar>
                    <w:top w:w="0" w:type="dxa"/>
                    <w:left w:w="0" w:type="dxa"/>
                    <w:bottom w:w="0" w:type="dxa"/>
                    <w:right w:w="0" w:type="dxa"/>
                  </w:tcMar>
                  <w:vAlign w:val="center"/>
                </w:tcPr>
                <w:p w14:paraId="327AB94D">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23" w:type="pct"/>
                  <w:vMerge w:val="restart"/>
                  <w:noWrap w:val="0"/>
                  <w:tcMar>
                    <w:top w:w="0" w:type="dxa"/>
                    <w:left w:w="0" w:type="dxa"/>
                    <w:bottom w:w="0" w:type="dxa"/>
                    <w:right w:w="0" w:type="dxa"/>
                  </w:tcMar>
                  <w:vAlign w:val="center"/>
                </w:tcPr>
                <w:p w14:paraId="29F6F602">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限制开发建设活动的要求</w:t>
                  </w:r>
                </w:p>
              </w:tc>
              <w:tc>
                <w:tcPr>
                  <w:tcW w:w="2119" w:type="pct"/>
                  <w:noWrap w:val="0"/>
                  <w:tcMar>
                    <w:top w:w="0" w:type="dxa"/>
                    <w:left w:w="0" w:type="dxa"/>
                    <w:bottom w:w="0" w:type="dxa"/>
                    <w:right w:w="0" w:type="dxa"/>
                  </w:tcMar>
                  <w:vAlign w:val="center"/>
                </w:tcPr>
                <w:p w14:paraId="69EBB19C">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加大钢铁、铸造、炼焦、建材、电解铝等产能压减力度。</w:t>
                  </w:r>
                </w:p>
              </w:tc>
              <w:tc>
                <w:tcPr>
                  <w:tcW w:w="1652" w:type="pct"/>
                  <w:noWrap w:val="0"/>
                  <w:tcMar>
                    <w:top w:w="0" w:type="dxa"/>
                    <w:left w:w="0" w:type="dxa"/>
                    <w:bottom w:w="0" w:type="dxa"/>
                    <w:right w:w="0" w:type="dxa"/>
                  </w:tcMar>
                  <w:vAlign w:val="center"/>
                </w:tcPr>
                <w:p w14:paraId="4CCD1A73">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项目为</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C3389 其他金属制日用品制造</w:t>
                  </w:r>
                  <w:r>
                    <w:rPr>
                      <w:rFonts w:hint="default" w:ascii="Times New Roman" w:hAnsi="Times New Roman" w:eastAsia="宋体" w:cs="Times New Roman"/>
                      <w:color w:val="000000" w:themeColor="text1"/>
                      <w:kern w:val="0"/>
                      <w:sz w:val="21"/>
                      <w:szCs w:val="21"/>
                      <w14:textFill>
                        <w14:solidFill>
                          <w14:schemeClr w14:val="tx1"/>
                        </w14:solidFill>
                      </w14:textFill>
                    </w:rPr>
                    <w:t>，不属于其中钢铁、铸造、炼焦、建材、电解铝行业</w:t>
                  </w:r>
                </w:p>
              </w:tc>
              <w:tc>
                <w:tcPr>
                  <w:tcW w:w="289" w:type="pct"/>
                  <w:noWrap w:val="0"/>
                  <w:tcMar>
                    <w:top w:w="0" w:type="dxa"/>
                    <w:left w:w="0" w:type="dxa"/>
                    <w:bottom w:w="0" w:type="dxa"/>
                    <w:right w:w="0" w:type="dxa"/>
                  </w:tcMar>
                  <w:vAlign w:val="center"/>
                </w:tcPr>
                <w:p w14:paraId="414DF2C5">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符合</w:t>
                  </w:r>
                </w:p>
              </w:tc>
            </w:tr>
            <w:tr w14:paraId="4E5F44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359" w:type="pct"/>
                  <w:gridSpan w:val="2"/>
                  <w:vMerge w:val="continue"/>
                  <w:noWrap w:val="0"/>
                  <w:tcMar>
                    <w:top w:w="0" w:type="dxa"/>
                    <w:left w:w="0" w:type="dxa"/>
                    <w:bottom w:w="0" w:type="dxa"/>
                    <w:right w:w="0" w:type="dxa"/>
                  </w:tcMar>
                  <w:vAlign w:val="center"/>
                </w:tcPr>
                <w:p w14:paraId="0B6566FB">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56" w:type="pct"/>
                  <w:vMerge w:val="continue"/>
                  <w:noWrap w:val="0"/>
                  <w:tcMar>
                    <w:top w:w="0" w:type="dxa"/>
                    <w:left w:w="0" w:type="dxa"/>
                    <w:bottom w:w="0" w:type="dxa"/>
                    <w:right w:w="0" w:type="dxa"/>
                  </w:tcMar>
                  <w:vAlign w:val="center"/>
                </w:tcPr>
                <w:p w14:paraId="5B46B612">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23" w:type="pct"/>
                  <w:vMerge w:val="continue"/>
                  <w:noWrap w:val="0"/>
                  <w:tcMar>
                    <w:top w:w="0" w:type="dxa"/>
                    <w:left w:w="0" w:type="dxa"/>
                    <w:bottom w:w="0" w:type="dxa"/>
                    <w:right w:w="0" w:type="dxa"/>
                  </w:tcMar>
                  <w:vAlign w:val="center"/>
                </w:tcPr>
                <w:p w14:paraId="5D942480">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119" w:type="pct"/>
                  <w:noWrap w:val="0"/>
                  <w:tcMar>
                    <w:top w:w="0" w:type="dxa"/>
                    <w:left w:w="0" w:type="dxa"/>
                    <w:bottom w:w="0" w:type="dxa"/>
                    <w:right w:w="0" w:type="dxa"/>
                  </w:tcMar>
                  <w:vAlign w:val="center"/>
                </w:tcPr>
                <w:p w14:paraId="28B54A98">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严格资源节约和环保准入门槛，转入项目必须符合国家产业政策、资源节约和污染物排放强度要求，避免产业转移中的资源浪费和污染扩散。</w:t>
                  </w:r>
                </w:p>
              </w:tc>
              <w:tc>
                <w:tcPr>
                  <w:tcW w:w="1652" w:type="pct"/>
                  <w:noWrap w:val="0"/>
                  <w:tcMar>
                    <w:top w:w="0" w:type="dxa"/>
                    <w:left w:w="0" w:type="dxa"/>
                    <w:bottom w:w="0" w:type="dxa"/>
                    <w:right w:w="0" w:type="dxa"/>
                  </w:tcMar>
                  <w:vAlign w:val="center"/>
                </w:tcPr>
                <w:p w14:paraId="6EAB5C82">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项目为</w:t>
                  </w:r>
                  <w:r>
                    <w:rPr>
                      <w:rFonts w:hint="default" w:ascii="Times New Roman" w:hAnsi="Times New Roman" w:eastAsia="宋体" w:cs="Times New Roman"/>
                      <w:color w:val="000000" w:themeColor="text1"/>
                      <w:sz w:val="21"/>
                      <w:szCs w:val="21"/>
                      <w:lang w:eastAsia="zh-CN"/>
                      <w14:textFill>
                        <w14:solidFill>
                          <w14:schemeClr w14:val="tx1"/>
                        </w14:solidFill>
                      </w14:textFill>
                    </w:rPr>
                    <w:t>C3399其他未列明金属制品制造</w:t>
                  </w:r>
                  <w:r>
                    <w:rPr>
                      <w:rFonts w:hint="default" w:ascii="Times New Roman" w:hAnsi="Times New Roman" w:eastAsia="宋体" w:cs="Times New Roman"/>
                      <w:color w:val="000000" w:themeColor="text1"/>
                      <w:kern w:val="0"/>
                      <w:sz w:val="21"/>
                      <w:szCs w:val="21"/>
                      <w14:textFill>
                        <w14:solidFill>
                          <w14:schemeClr w14:val="tx1"/>
                        </w14:solidFill>
                      </w14:textFill>
                    </w:rPr>
                    <w:t>，且项目资源使用和污染物排放均符合国家规定和地方要求</w:t>
                  </w:r>
                </w:p>
              </w:tc>
              <w:tc>
                <w:tcPr>
                  <w:tcW w:w="289" w:type="pct"/>
                  <w:noWrap w:val="0"/>
                  <w:tcMar>
                    <w:top w:w="0" w:type="dxa"/>
                    <w:left w:w="0" w:type="dxa"/>
                    <w:bottom w:w="0" w:type="dxa"/>
                    <w:right w:w="0" w:type="dxa"/>
                  </w:tcMar>
                  <w:vAlign w:val="center"/>
                </w:tcPr>
                <w:p w14:paraId="22EE4FFA">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符合</w:t>
                  </w:r>
                </w:p>
              </w:tc>
            </w:tr>
            <w:tr w14:paraId="0E2C80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359" w:type="pct"/>
                  <w:gridSpan w:val="2"/>
                  <w:vMerge w:val="continue"/>
                  <w:noWrap w:val="0"/>
                  <w:tcMar>
                    <w:top w:w="0" w:type="dxa"/>
                    <w:left w:w="0" w:type="dxa"/>
                    <w:bottom w:w="0" w:type="dxa"/>
                    <w:right w:w="0" w:type="dxa"/>
                  </w:tcMar>
                  <w:vAlign w:val="center"/>
                </w:tcPr>
                <w:p w14:paraId="478997A9">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56" w:type="pct"/>
                  <w:vMerge w:val="continue"/>
                  <w:noWrap w:val="0"/>
                  <w:tcMar>
                    <w:top w:w="0" w:type="dxa"/>
                    <w:left w:w="0" w:type="dxa"/>
                    <w:bottom w:w="0" w:type="dxa"/>
                    <w:right w:w="0" w:type="dxa"/>
                  </w:tcMar>
                  <w:vAlign w:val="center"/>
                </w:tcPr>
                <w:p w14:paraId="4D69A843">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23" w:type="pct"/>
                  <w:vMerge w:val="restart"/>
                  <w:noWrap w:val="0"/>
                  <w:tcMar>
                    <w:top w:w="0" w:type="dxa"/>
                    <w:left w:w="0" w:type="dxa"/>
                    <w:bottom w:w="0" w:type="dxa"/>
                    <w:right w:w="0" w:type="dxa"/>
                  </w:tcMar>
                  <w:vAlign w:val="center"/>
                </w:tcPr>
                <w:p w14:paraId="79E3EF24">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不符合空间布局要求活动的退出要求</w:t>
                  </w:r>
                </w:p>
              </w:tc>
              <w:tc>
                <w:tcPr>
                  <w:tcW w:w="2119" w:type="pct"/>
                  <w:noWrap w:val="0"/>
                  <w:tcMar>
                    <w:top w:w="0" w:type="dxa"/>
                    <w:left w:w="0" w:type="dxa"/>
                    <w:bottom w:w="0" w:type="dxa"/>
                    <w:right w:w="0" w:type="dxa"/>
                  </w:tcMar>
                  <w:vAlign w:val="center"/>
                </w:tcPr>
                <w:p w14:paraId="10F375EA">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坚决关停用地、工商手续不全并难以通过改造达标的企业，限期治理可以达标改造的企业，逾期依法一律关停。到2020年，具备改造条件的燃煤电厂全部完成超低排放改造，重点区域不具备改造条件的高污染燃煤电厂逐步关停。</w:t>
                  </w:r>
                </w:p>
              </w:tc>
              <w:tc>
                <w:tcPr>
                  <w:tcW w:w="1652" w:type="pct"/>
                  <w:noWrap w:val="0"/>
                  <w:tcMar>
                    <w:top w:w="0" w:type="dxa"/>
                    <w:left w:w="0" w:type="dxa"/>
                    <w:bottom w:w="0" w:type="dxa"/>
                    <w:right w:w="0" w:type="dxa"/>
                  </w:tcMar>
                  <w:vAlign w:val="center"/>
                </w:tcPr>
                <w:p w14:paraId="4ED8D772">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项目新建，属于</w:t>
                  </w:r>
                  <w:r>
                    <w:rPr>
                      <w:rFonts w:hint="default" w:ascii="Times New Roman" w:hAnsi="Times New Roman" w:eastAsia="宋体" w:cs="Times New Roman"/>
                      <w:color w:val="000000" w:themeColor="text1"/>
                      <w:sz w:val="21"/>
                      <w:szCs w:val="21"/>
                      <w:lang w:eastAsia="zh-CN"/>
                      <w14:textFill>
                        <w14:solidFill>
                          <w14:schemeClr w14:val="tx1"/>
                        </w14:solidFill>
                      </w14:textFill>
                    </w:rPr>
                    <w:t>C3399其他未列明金属制品制造</w:t>
                  </w:r>
                  <w:r>
                    <w:rPr>
                      <w:rFonts w:hint="default" w:ascii="Times New Roman" w:hAnsi="Times New Roman" w:eastAsia="宋体" w:cs="Times New Roman"/>
                      <w:color w:val="000000" w:themeColor="text1"/>
                      <w:kern w:val="0"/>
                      <w:sz w:val="21"/>
                      <w:szCs w:val="21"/>
                      <w14:textFill>
                        <w14:solidFill>
                          <w14:schemeClr w14:val="tx1"/>
                        </w14:solidFill>
                      </w14:textFill>
                    </w:rPr>
                    <w:t>，产品生产、污染物排放要求均满足国家地方相关要求</w:t>
                  </w:r>
                </w:p>
              </w:tc>
              <w:tc>
                <w:tcPr>
                  <w:tcW w:w="289" w:type="pct"/>
                  <w:noWrap w:val="0"/>
                  <w:tcMar>
                    <w:top w:w="0" w:type="dxa"/>
                    <w:left w:w="0" w:type="dxa"/>
                    <w:bottom w:w="0" w:type="dxa"/>
                    <w:right w:w="0" w:type="dxa"/>
                  </w:tcMar>
                  <w:vAlign w:val="center"/>
                </w:tcPr>
                <w:p w14:paraId="1A97C6D5">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符合</w:t>
                  </w:r>
                </w:p>
              </w:tc>
            </w:tr>
            <w:tr w14:paraId="78B453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359" w:type="pct"/>
                  <w:gridSpan w:val="2"/>
                  <w:vMerge w:val="continue"/>
                  <w:noWrap w:val="0"/>
                  <w:tcMar>
                    <w:top w:w="0" w:type="dxa"/>
                    <w:left w:w="0" w:type="dxa"/>
                    <w:bottom w:w="0" w:type="dxa"/>
                    <w:right w:w="0" w:type="dxa"/>
                  </w:tcMar>
                  <w:vAlign w:val="center"/>
                </w:tcPr>
                <w:p w14:paraId="087FB072">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56" w:type="pct"/>
                  <w:vMerge w:val="continue"/>
                  <w:noWrap w:val="0"/>
                  <w:tcMar>
                    <w:top w:w="0" w:type="dxa"/>
                    <w:left w:w="0" w:type="dxa"/>
                    <w:bottom w:w="0" w:type="dxa"/>
                    <w:right w:w="0" w:type="dxa"/>
                  </w:tcMar>
                  <w:vAlign w:val="center"/>
                </w:tcPr>
                <w:p w14:paraId="2EB3F8FA">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23" w:type="pct"/>
                  <w:vMerge w:val="continue"/>
                  <w:noWrap w:val="0"/>
                  <w:tcMar>
                    <w:top w:w="0" w:type="dxa"/>
                    <w:left w:w="0" w:type="dxa"/>
                    <w:bottom w:w="0" w:type="dxa"/>
                    <w:right w:w="0" w:type="dxa"/>
                  </w:tcMar>
                  <w:vAlign w:val="center"/>
                </w:tcPr>
                <w:p w14:paraId="3FEC82B9">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119" w:type="pct"/>
                  <w:noWrap w:val="0"/>
                  <w:tcMar>
                    <w:top w:w="0" w:type="dxa"/>
                    <w:left w:w="0" w:type="dxa"/>
                    <w:bottom w:w="0" w:type="dxa"/>
                    <w:right w:w="0" w:type="dxa"/>
                  </w:tcMar>
                  <w:vAlign w:val="center"/>
                </w:tcPr>
                <w:p w14:paraId="0C6F285F">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加快城市建成区、重点流域的重污染企业和危险化学品企业搬迁改造，加快推进危险化学品生产企业搬迁改造工程。</w:t>
                  </w:r>
                </w:p>
              </w:tc>
              <w:tc>
                <w:tcPr>
                  <w:tcW w:w="1652" w:type="pct"/>
                  <w:noWrap w:val="0"/>
                  <w:tcMar>
                    <w:top w:w="0" w:type="dxa"/>
                    <w:left w:w="0" w:type="dxa"/>
                    <w:bottom w:w="0" w:type="dxa"/>
                    <w:right w:w="0" w:type="dxa"/>
                  </w:tcMar>
                  <w:vAlign w:val="center"/>
                </w:tcPr>
                <w:p w14:paraId="70E2978E">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企业属于</w:t>
                  </w:r>
                  <w:r>
                    <w:rPr>
                      <w:rFonts w:hint="default" w:ascii="Times New Roman" w:hAnsi="Times New Roman" w:eastAsia="宋体" w:cs="Times New Roman"/>
                      <w:color w:val="000000" w:themeColor="text1"/>
                      <w:sz w:val="21"/>
                      <w:szCs w:val="21"/>
                      <w:lang w:eastAsia="zh-CN"/>
                      <w14:textFill>
                        <w14:solidFill>
                          <w14:schemeClr w14:val="tx1"/>
                        </w14:solidFill>
                      </w14:textFill>
                    </w:rPr>
                    <w:t>C3399其他未列明金属制品制造</w:t>
                  </w:r>
                  <w:r>
                    <w:rPr>
                      <w:rFonts w:hint="default" w:ascii="Times New Roman" w:hAnsi="Times New Roman" w:eastAsia="宋体" w:cs="Times New Roman"/>
                      <w:color w:val="000000" w:themeColor="text1"/>
                      <w:kern w:val="0"/>
                      <w:sz w:val="21"/>
                      <w:szCs w:val="21"/>
                      <w14:textFill>
                        <w14:solidFill>
                          <w14:schemeClr w14:val="tx1"/>
                        </w14:solidFill>
                      </w14:textFill>
                    </w:rPr>
                    <w:t>，不属于重污染企业和危险化学品企业</w:t>
                  </w:r>
                </w:p>
              </w:tc>
              <w:tc>
                <w:tcPr>
                  <w:tcW w:w="289" w:type="pct"/>
                  <w:noWrap w:val="0"/>
                  <w:tcMar>
                    <w:top w:w="0" w:type="dxa"/>
                    <w:left w:w="0" w:type="dxa"/>
                    <w:bottom w:w="0" w:type="dxa"/>
                    <w:right w:w="0" w:type="dxa"/>
                  </w:tcMar>
                  <w:vAlign w:val="center"/>
                </w:tcPr>
                <w:p w14:paraId="36E04AFF">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符合</w:t>
                  </w:r>
                </w:p>
              </w:tc>
            </w:tr>
            <w:tr w14:paraId="4B2637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359" w:type="pct"/>
                  <w:gridSpan w:val="2"/>
                  <w:vMerge w:val="continue"/>
                  <w:noWrap w:val="0"/>
                  <w:tcMar>
                    <w:top w:w="0" w:type="dxa"/>
                    <w:left w:w="0" w:type="dxa"/>
                    <w:bottom w:w="0" w:type="dxa"/>
                    <w:right w:w="0" w:type="dxa"/>
                  </w:tcMar>
                  <w:vAlign w:val="center"/>
                </w:tcPr>
                <w:p w14:paraId="490A2468">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56" w:type="pct"/>
                  <w:vMerge w:val="continue"/>
                  <w:noWrap w:val="0"/>
                  <w:tcMar>
                    <w:top w:w="0" w:type="dxa"/>
                    <w:left w:w="0" w:type="dxa"/>
                    <w:bottom w:w="0" w:type="dxa"/>
                    <w:right w:w="0" w:type="dxa"/>
                  </w:tcMar>
                  <w:vAlign w:val="center"/>
                </w:tcPr>
                <w:p w14:paraId="241C992C">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23" w:type="pct"/>
                  <w:vMerge w:val="continue"/>
                  <w:noWrap w:val="0"/>
                  <w:tcMar>
                    <w:top w:w="0" w:type="dxa"/>
                    <w:left w:w="0" w:type="dxa"/>
                    <w:bottom w:w="0" w:type="dxa"/>
                    <w:right w:w="0" w:type="dxa"/>
                  </w:tcMar>
                  <w:vAlign w:val="center"/>
                </w:tcPr>
                <w:p w14:paraId="2170B817">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119" w:type="pct"/>
                  <w:noWrap w:val="0"/>
                  <w:tcMar>
                    <w:top w:w="0" w:type="dxa"/>
                    <w:left w:w="0" w:type="dxa"/>
                    <w:bottom w:w="0" w:type="dxa"/>
                    <w:right w:w="0" w:type="dxa"/>
                  </w:tcMar>
                  <w:vAlign w:val="center"/>
                </w:tcPr>
                <w:p w14:paraId="289C9AA3">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城市规划区内已建的大气污染严重的建设项目应当搬迁、改造，城市建成区应当在规定的时间内完成重污染企业搬迁、改造或者关闭退出。</w:t>
                  </w:r>
                </w:p>
              </w:tc>
              <w:tc>
                <w:tcPr>
                  <w:tcW w:w="1652" w:type="pct"/>
                  <w:noWrap w:val="0"/>
                  <w:tcMar>
                    <w:top w:w="0" w:type="dxa"/>
                    <w:left w:w="0" w:type="dxa"/>
                    <w:bottom w:w="0" w:type="dxa"/>
                    <w:right w:w="0" w:type="dxa"/>
                  </w:tcMar>
                  <w:vAlign w:val="center"/>
                </w:tcPr>
                <w:p w14:paraId="124B3608">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项目产生的废气均能得到有效的处理处置并达标，不属于废气污染严重的项目</w:t>
                  </w:r>
                </w:p>
              </w:tc>
              <w:tc>
                <w:tcPr>
                  <w:tcW w:w="289" w:type="pct"/>
                  <w:noWrap w:val="0"/>
                  <w:tcMar>
                    <w:top w:w="0" w:type="dxa"/>
                    <w:left w:w="0" w:type="dxa"/>
                    <w:bottom w:w="0" w:type="dxa"/>
                    <w:right w:w="0" w:type="dxa"/>
                  </w:tcMar>
                  <w:vAlign w:val="center"/>
                </w:tcPr>
                <w:p w14:paraId="6E40A6D4">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符合</w:t>
                  </w:r>
                </w:p>
              </w:tc>
            </w:tr>
            <w:tr w14:paraId="580271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359" w:type="pct"/>
                  <w:gridSpan w:val="2"/>
                  <w:vMerge w:val="continue"/>
                  <w:noWrap w:val="0"/>
                  <w:tcMar>
                    <w:top w:w="0" w:type="dxa"/>
                    <w:left w:w="0" w:type="dxa"/>
                    <w:bottom w:w="0" w:type="dxa"/>
                    <w:right w:w="0" w:type="dxa"/>
                  </w:tcMar>
                  <w:vAlign w:val="center"/>
                </w:tcPr>
                <w:p w14:paraId="3DD4D664">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56" w:type="pct"/>
                  <w:vMerge w:val="continue"/>
                  <w:noWrap w:val="0"/>
                  <w:tcMar>
                    <w:top w:w="0" w:type="dxa"/>
                    <w:left w:w="0" w:type="dxa"/>
                    <w:bottom w:w="0" w:type="dxa"/>
                    <w:right w:w="0" w:type="dxa"/>
                  </w:tcMar>
                  <w:vAlign w:val="center"/>
                </w:tcPr>
                <w:p w14:paraId="72E98416">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23" w:type="pct"/>
                  <w:vMerge w:val="continue"/>
                  <w:noWrap w:val="0"/>
                  <w:tcMar>
                    <w:top w:w="0" w:type="dxa"/>
                    <w:left w:w="0" w:type="dxa"/>
                    <w:bottom w:w="0" w:type="dxa"/>
                    <w:right w:w="0" w:type="dxa"/>
                  </w:tcMar>
                  <w:vAlign w:val="center"/>
                </w:tcPr>
                <w:p w14:paraId="322EB90B">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119" w:type="pct"/>
                  <w:noWrap w:val="0"/>
                  <w:tcMar>
                    <w:top w:w="0" w:type="dxa"/>
                    <w:left w:w="0" w:type="dxa"/>
                    <w:bottom w:w="0" w:type="dxa"/>
                    <w:right w:w="0" w:type="dxa"/>
                  </w:tcMar>
                  <w:vAlign w:val="center"/>
                </w:tcPr>
                <w:p w14:paraId="2DC9A2BF">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全面开展“散乱污”企业及集群综合整治行动。细化“散乱污”企业及集群整治标准。列入整合搬迁类的，要按照产业发展规模化、现代化的原则，搬迁至合规工业园区并实施升级改造。</w:t>
                  </w:r>
                </w:p>
              </w:tc>
              <w:tc>
                <w:tcPr>
                  <w:tcW w:w="1652" w:type="pct"/>
                  <w:noWrap w:val="0"/>
                  <w:tcMar>
                    <w:top w:w="0" w:type="dxa"/>
                    <w:left w:w="0" w:type="dxa"/>
                    <w:bottom w:w="0" w:type="dxa"/>
                    <w:right w:w="0" w:type="dxa"/>
                  </w:tcMar>
                  <w:vAlign w:val="center"/>
                </w:tcPr>
                <w:p w14:paraId="144AE607">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项目位于</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宿州市埇桥区经济开发区滨河路西侧</w:t>
                  </w:r>
                  <w:r>
                    <w:rPr>
                      <w:rFonts w:hint="default" w:ascii="Times New Roman" w:hAnsi="Times New Roman" w:eastAsia="宋体" w:cs="Times New Roman"/>
                      <w:color w:val="000000" w:themeColor="text1"/>
                      <w:kern w:val="0"/>
                      <w:sz w:val="21"/>
                      <w:szCs w:val="21"/>
                      <w14:textFill>
                        <w14:solidFill>
                          <w14:schemeClr w14:val="tx1"/>
                        </w14:solidFill>
                      </w14:textFill>
                    </w:rPr>
                    <w:t>，不属于“散乱污”企业</w:t>
                  </w:r>
                </w:p>
              </w:tc>
              <w:tc>
                <w:tcPr>
                  <w:tcW w:w="289" w:type="pct"/>
                  <w:noWrap w:val="0"/>
                  <w:tcMar>
                    <w:top w:w="0" w:type="dxa"/>
                    <w:left w:w="0" w:type="dxa"/>
                    <w:bottom w:w="0" w:type="dxa"/>
                    <w:right w:w="0" w:type="dxa"/>
                  </w:tcMar>
                  <w:vAlign w:val="center"/>
                </w:tcPr>
                <w:p w14:paraId="5D2B641E">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符合</w:t>
                  </w:r>
                </w:p>
              </w:tc>
            </w:tr>
            <w:tr w14:paraId="01CDCA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359" w:type="pct"/>
                  <w:gridSpan w:val="2"/>
                  <w:vMerge w:val="continue"/>
                  <w:noWrap w:val="0"/>
                  <w:tcMar>
                    <w:top w:w="0" w:type="dxa"/>
                    <w:left w:w="0" w:type="dxa"/>
                    <w:bottom w:w="0" w:type="dxa"/>
                    <w:right w:w="0" w:type="dxa"/>
                  </w:tcMar>
                  <w:vAlign w:val="center"/>
                </w:tcPr>
                <w:p w14:paraId="1989C58A">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56" w:type="pct"/>
                  <w:vMerge w:val="continue"/>
                  <w:noWrap w:val="0"/>
                  <w:tcMar>
                    <w:top w:w="0" w:type="dxa"/>
                    <w:left w:w="0" w:type="dxa"/>
                    <w:bottom w:w="0" w:type="dxa"/>
                    <w:right w:w="0" w:type="dxa"/>
                  </w:tcMar>
                  <w:vAlign w:val="center"/>
                </w:tcPr>
                <w:p w14:paraId="019970B9">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23" w:type="pct"/>
                  <w:vMerge w:val="continue"/>
                  <w:noWrap w:val="0"/>
                  <w:tcMar>
                    <w:top w:w="0" w:type="dxa"/>
                    <w:left w:w="0" w:type="dxa"/>
                    <w:bottom w:w="0" w:type="dxa"/>
                    <w:right w:w="0" w:type="dxa"/>
                  </w:tcMar>
                  <w:vAlign w:val="center"/>
                </w:tcPr>
                <w:p w14:paraId="405FEE9E">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119" w:type="pct"/>
                  <w:noWrap w:val="0"/>
                  <w:tcMar>
                    <w:top w:w="0" w:type="dxa"/>
                    <w:left w:w="0" w:type="dxa"/>
                    <w:bottom w:w="0" w:type="dxa"/>
                    <w:right w:w="0" w:type="dxa"/>
                  </w:tcMar>
                  <w:vAlign w:val="center"/>
                </w:tcPr>
                <w:p w14:paraId="30384234">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对城市建成区和重要生态功能区内现有重污染企业结合产业布局调整实施搬迁或改造，积极推动VOCs排放重点行业企业向园区集中。</w:t>
                  </w:r>
                </w:p>
              </w:tc>
              <w:tc>
                <w:tcPr>
                  <w:tcW w:w="1652" w:type="pct"/>
                  <w:noWrap w:val="0"/>
                  <w:tcMar>
                    <w:top w:w="0" w:type="dxa"/>
                    <w:left w:w="0" w:type="dxa"/>
                    <w:bottom w:w="0" w:type="dxa"/>
                    <w:right w:w="0" w:type="dxa"/>
                  </w:tcMar>
                  <w:vAlign w:val="center"/>
                </w:tcPr>
                <w:p w14:paraId="3058FECA">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项目属于</w:t>
                  </w:r>
                  <w:r>
                    <w:rPr>
                      <w:rFonts w:hint="default" w:ascii="Times New Roman" w:hAnsi="Times New Roman" w:eastAsia="宋体" w:cs="Times New Roman"/>
                      <w:color w:val="000000" w:themeColor="text1"/>
                      <w:sz w:val="21"/>
                      <w:szCs w:val="21"/>
                      <w:lang w:eastAsia="zh-CN"/>
                      <w14:textFill>
                        <w14:solidFill>
                          <w14:schemeClr w14:val="tx1"/>
                        </w14:solidFill>
                      </w14:textFill>
                    </w:rPr>
                    <w:t>C3399其他未列明金属制品制造</w:t>
                  </w:r>
                  <w:r>
                    <w:rPr>
                      <w:rFonts w:hint="default" w:ascii="Times New Roman" w:hAnsi="Times New Roman" w:eastAsia="宋体" w:cs="Times New Roman"/>
                      <w:color w:val="000000" w:themeColor="text1"/>
                      <w:kern w:val="0"/>
                      <w:sz w:val="21"/>
                      <w:szCs w:val="21"/>
                      <w14:textFill>
                        <w14:solidFill>
                          <w14:schemeClr w14:val="tx1"/>
                        </w14:solidFill>
                      </w14:textFill>
                    </w:rPr>
                    <w:t>，位于</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宿州市埇桥区经济开发区滨河路西侧</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kern w:val="0"/>
                      <w:sz w:val="21"/>
                      <w:szCs w:val="21"/>
                      <w14:textFill>
                        <w14:solidFill>
                          <w14:schemeClr w14:val="tx1"/>
                        </w14:solidFill>
                      </w14:textFill>
                    </w:rPr>
                    <w:t>项目废气经处理后均能达标排放</w:t>
                  </w:r>
                </w:p>
              </w:tc>
              <w:tc>
                <w:tcPr>
                  <w:tcW w:w="289" w:type="pct"/>
                  <w:noWrap w:val="0"/>
                  <w:tcMar>
                    <w:top w:w="0" w:type="dxa"/>
                    <w:left w:w="0" w:type="dxa"/>
                    <w:bottom w:w="0" w:type="dxa"/>
                    <w:right w:w="0" w:type="dxa"/>
                  </w:tcMar>
                  <w:vAlign w:val="center"/>
                </w:tcPr>
                <w:p w14:paraId="3B867D6F">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符合</w:t>
                  </w:r>
                </w:p>
              </w:tc>
            </w:tr>
            <w:tr w14:paraId="1E568F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359" w:type="pct"/>
                  <w:gridSpan w:val="2"/>
                  <w:vMerge w:val="continue"/>
                  <w:noWrap w:val="0"/>
                  <w:tcMar>
                    <w:top w:w="0" w:type="dxa"/>
                    <w:left w:w="0" w:type="dxa"/>
                    <w:bottom w:w="0" w:type="dxa"/>
                    <w:right w:w="0" w:type="dxa"/>
                  </w:tcMar>
                  <w:vAlign w:val="center"/>
                </w:tcPr>
                <w:p w14:paraId="03DF47AD">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56" w:type="pct"/>
                  <w:vMerge w:val="continue"/>
                  <w:noWrap w:val="0"/>
                  <w:tcMar>
                    <w:top w:w="0" w:type="dxa"/>
                    <w:left w:w="0" w:type="dxa"/>
                    <w:bottom w:w="0" w:type="dxa"/>
                    <w:right w:w="0" w:type="dxa"/>
                  </w:tcMar>
                  <w:vAlign w:val="center"/>
                </w:tcPr>
                <w:p w14:paraId="24EF21A3">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23" w:type="pct"/>
                  <w:vMerge w:val="restart"/>
                  <w:noWrap w:val="0"/>
                  <w:tcMar>
                    <w:top w:w="0" w:type="dxa"/>
                    <w:left w:w="0" w:type="dxa"/>
                    <w:bottom w:w="0" w:type="dxa"/>
                    <w:right w:w="0" w:type="dxa"/>
                  </w:tcMar>
                  <w:vAlign w:val="center"/>
                </w:tcPr>
                <w:p w14:paraId="55D1BA67">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其他空间布局约束要求</w:t>
                  </w:r>
                </w:p>
              </w:tc>
              <w:tc>
                <w:tcPr>
                  <w:tcW w:w="2119" w:type="pct"/>
                  <w:noWrap w:val="0"/>
                  <w:tcMar>
                    <w:top w:w="0" w:type="dxa"/>
                    <w:left w:w="0" w:type="dxa"/>
                    <w:bottom w:w="0" w:type="dxa"/>
                    <w:right w:w="0" w:type="dxa"/>
                  </w:tcMar>
                  <w:vAlign w:val="center"/>
                </w:tcPr>
                <w:p w14:paraId="1B429A1A">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强化“散乱污”企业综合整治。全面开展“散乱污”企业及集群综合整治行动。根据产业政策、产业布局规划，以及土地、环保、质量、安全、能耗等要求，制定“散乱污”企业及集群整治标准。按照“先停后治”的原则，实施分类处置。</w:t>
                  </w:r>
                </w:p>
              </w:tc>
              <w:tc>
                <w:tcPr>
                  <w:tcW w:w="1652" w:type="pct"/>
                  <w:noWrap w:val="0"/>
                  <w:tcMar>
                    <w:top w:w="0" w:type="dxa"/>
                    <w:left w:w="0" w:type="dxa"/>
                    <w:bottom w:w="0" w:type="dxa"/>
                    <w:right w:w="0" w:type="dxa"/>
                  </w:tcMar>
                  <w:vAlign w:val="center"/>
                </w:tcPr>
                <w:p w14:paraId="0A62AF63">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项目位于</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宿州市埇桥区经济开发区滨河路西侧</w:t>
                  </w:r>
                  <w:r>
                    <w:rPr>
                      <w:rFonts w:hint="default" w:ascii="Times New Roman" w:hAnsi="Times New Roman" w:eastAsia="宋体" w:cs="Times New Roman"/>
                      <w:color w:val="000000" w:themeColor="text1"/>
                      <w:kern w:val="0"/>
                      <w:sz w:val="21"/>
                      <w:szCs w:val="21"/>
                      <w14:textFill>
                        <w14:solidFill>
                          <w14:schemeClr w14:val="tx1"/>
                        </w14:solidFill>
                      </w14:textFill>
                    </w:rPr>
                    <w:t>，不属于“散乱污”企业</w:t>
                  </w:r>
                </w:p>
              </w:tc>
              <w:tc>
                <w:tcPr>
                  <w:tcW w:w="289" w:type="pct"/>
                  <w:noWrap w:val="0"/>
                  <w:tcMar>
                    <w:top w:w="0" w:type="dxa"/>
                    <w:left w:w="0" w:type="dxa"/>
                    <w:bottom w:w="0" w:type="dxa"/>
                    <w:right w:w="0" w:type="dxa"/>
                  </w:tcMar>
                  <w:vAlign w:val="center"/>
                </w:tcPr>
                <w:p w14:paraId="397A9E47">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符合</w:t>
                  </w:r>
                </w:p>
              </w:tc>
            </w:tr>
            <w:tr w14:paraId="12653B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359" w:type="pct"/>
                  <w:gridSpan w:val="2"/>
                  <w:vMerge w:val="continue"/>
                  <w:noWrap w:val="0"/>
                  <w:tcMar>
                    <w:top w:w="0" w:type="dxa"/>
                    <w:left w:w="0" w:type="dxa"/>
                    <w:bottom w:w="0" w:type="dxa"/>
                    <w:right w:w="0" w:type="dxa"/>
                  </w:tcMar>
                  <w:vAlign w:val="center"/>
                </w:tcPr>
                <w:p w14:paraId="11B59CC9">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56" w:type="pct"/>
                  <w:vMerge w:val="continue"/>
                  <w:noWrap w:val="0"/>
                  <w:tcMar>
                    <w:top w:w="0" w:type="dxa"/>
                    <w:left w:w="0" w:type="dxa"/>
                    <w:bottom w:w="0" w:type="dxa"/>
                    <w:right w:w="0" w:type="dxa"/>
                  </w:tcMar>
                  <w:vAlign w:val="center"/>
                </w:tcPr>
                <w:p w14:paraId="55DB3234">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23" w:type="pct"/>
                  <w:vMerge w:val="continue"/>
                  <w:noWrap w:val="0"/>
                  <w:tcMar>
                    <w:top w:w="0" w:type="dxa"/>
                    <w:left w:w="0" w:type="dxa"/>
                    <w:bottom w:w="0" w:type="dxa"/>
                    <w:right w:w="0" w:type="dxa"/>
                  </w:tcMar>
                  <w:vAlign w:val="center"/>
                </w:tcPr>
                <w:p w14:paraId="16C66354">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119" w:type="pct"/>
                  <w:noWrap w:val="0"/>
                  <w:tcMar>
                    <w:top w:w="0" w:type="dxa"/>
                    <w:left w:w="0" w:type="dxa"/>
                    <w:bottom w:w="0" w:type="dxa"/>
                    <w:right w:w="0" w:type="dxa"/>
                  </w:tcMar>
                  <w:vAlign w:val="center"/>
                </w:tcPr>
                <w:p w14:paraId="644BA47F">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企业应当全面推进清洁生产，优先采用能源和原材料利用效率高、污染物排放量少的清洁生产技术、工艺和设备，淘汰严重污染大气环境质量的产品、落后工艺和落后设备，减少大气污染物的产生和排放。</w:t>
                  </w:r>
                </w:p>
              </w:tc>
              <w:tc>
                <w:tcPr>
                  <w:tcW w:w="1652" w:type="pct"/>
                  <w:noWrap w:val="0"/>
                  <w:tcMar>
                    <w:top w:w="0" w:type="dxa"/>
                    <w:left w:w="0" w:type="dxa"/>
                    <w:bottom w:w="0" w:type="dxa"/>
                    <w:right w:w="0" w:type="dxa"/>
                  </w:tcMar>
                  <w:vAlign w:val="center"/>
                </w:tcPr>
                <w:p w14:paraId="019BBC1C">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项目属于</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C3399其他未列明金属制品制造</w:t>
                  </w:r>
                  <w:r>
                    <w:rPr>
                      <w:rFonts w:hint="default" w:ascii="Times New Roman" w:hAnsi="Times New Roman" w:eastAsia="宋体" w:cs="Times New Roman"/>
                      <w:color w:val="000000" w:themeColor="text1"/>
                      <w:kern w:val="0"/>
                      <w:sz w:val="21"/>
                      <w:szCs w:val="21"/>
                      <w14:textFill>
                        <w14:solidFill>
                          <w14:schemeClr w14:val="tx1"/>
                        </w14:solidFill>
                      </w14:textFill>
                    </w:rPr>
                    <w:t>，使用先进的生产设备且污染物经处理后达标排放</w:t>
                  </w:r>
                </w:p>
              </w:tc>
              <w:tc>
                <w:tcPr>
                  <w:tcW w:w="289" w:type="pct"/>
                  <w:noWrap w:val="0"/>
                  <w:tcMar>
                    <w:top w:w="0" w:type="dxa"/>
                    <w:left w:w="0" w:type="dxa"/>
                    <w:bottom w:w="0" w:type="dxa"/>
                    <w:right w:w="0" w:type="dxa"/>
                  </w:tcMar>
                  <w:vAlign w:val="center"/>
                </w:tcPr>
                <w:p w14:paraId="3625DF70">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符合</w:t>
                  </w:r>
                </w:p>
              </w:tc>
            </w:tr>
            <w:tr w14:paraId="081401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359" w:type="pct"/>
                  <w:gridSpan w:val="2"/>
                  <w:vMerge w:val="continue"/>
                  <w:noWrap w:val="0"/>
                  <w:tcMar>
                    <w:top w:w="0" w:type="dxa"/>
                    <w:left w:w="0" w:type="dxa"/>
                    <w:bottom w:w="0" w:type="dxa"/>
                    <w:right w:w="0" w:type="dxa"/>
                  </w:tcMar>
                  <w:vAlign w:val="center"/>
                </w:tcPr>
                <w:p w14:paraId="17F5686A">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56" w:type="pct"/>
                  <w:vMerge w:val="continue"/>
                  <w:noWrap w:val="0"/>
                  <w:tcMar>
                    <w:top w:w="0" w:type="dxa"/>
                    <w:left w:w="0" w:type="dxa"/>
                    <w:bottom w:w="0" w:type="dxa"/>
                    <w:right w:w="0" w:type="dxa"/>
                  </w:tcMar>
                  <w:vAlign w:val="center"/>
                </w:tcPr>
                <w:p w14:paraId="3B4AE0D3">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23" w:type="pct"/>
                  <w:vMerge w:val="continue"/>
                  <w:noWrap w:val="0"/>
                  <w:tcMar>
                    <w:top w:w="0" w:type="dxa"/>
                    <w:left w:w="0" w:type="dxa"/>
                    <w:bottom w:w="0" w:type="dxa"/>
                    <w:right w:w="0" w:type="dxa"/>
                  </w:tcMar>
                  <w:vAlign w:val="center"/>
                </w:tcPr>
                <w:p w14:paraId="126D89F5">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119" w:type="pct"/>
                  <w:noWrap w:val="0"/>
                  <w:tcMar>
                    <w:top w:w="0" w:type="dxa"/>
                    <w:left w:w="0" w:type="dxa"/>
                    <w:bottom w:w="0" w:type="dxa"/>
                    <w:right w:w="0" w:type="dxa"/>
                  </w:tcMar>
                  <w:vAlign w:val="center"/>
                </w:tcPr>
                <w:p w14:paraId="64516F10">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全面开展“散乱污”企业及集群综合整治行动。细化“散乱污”企业及集群整治标准。列入升级改造类的，树立行业标杆，实施清洁生产技术改造，全面提升污染治理水平。</w:t>
                  </w:r>
                </w:p>
              </w:tc>
              <w:tc>
                <w:tcPr>
                  <w:tcW w:w="1652" w:type="pct"/>
                  <w:noWrap w:val="0"/>
                  <w:tcMar>
                    <w:top w:w="0" w:type="dxa"/>
                    <w:left w:w="0" w:type="dxa"/>
                    <w:bottom w:w="0" w:type="dxa"/>
                    <w:right w:w="0" w:type="dxa"/>
                  </w:tcMar>
                  <w:vAlign w:val="center"/>
                </w:tcPr>
                <w:p w14:paraId="3030DFFB">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项目位于</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宿州市埇桥区经济开发区滨河路西侧</w:t>
                  </w:r>
                  <w:r>
                    <w:rPr>
                      <w:rFonts w:hint="default" w:ascii="Times New Roman" w:hAnsi="Times New Roman" w:eastAsia="宋体" w:cs="Times New Roman"/>
                      <w:color w:val="000000" w:themeColor="text1"/>
                      <w:kern w:val="0"/>
                      <w:sz w:val="21"/>
                      <w:szCs w:val="21"/>
                      <w14:textFill>
                        <w14:solidFill>
                          <w14:schemeClr w14:val="tx1"/>
                        </w14:solidFill>
                      </w14:textFill>
                    </w:rPr>
                    <w:t>，不属于“散乱污”企业</w:t>
                  </w:r>
                </w:p>
              </w:tc>
              <w:tc>
                <w:tcPr>
                  <w:tcW w:w="289" w:type="pct"/>
                  <w:noWrap w:val="0"/>
                  <w:tcMar>
                    <w:top w:w="0" w:type="dxa"/>
                    <w:left w:w="0" w:type="dxa"/>
                    <w:bottom w:w="0" w:type="dxa"/>
                    <w:right w:w="0" w:type="dxa"/>
                  </w:tcMar>
                  <w:vAlign w:val="center"/>
                </w:tcPr>
                <w:p w14:paraId="07725C45">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符合</w:t>
                  </w:r>
                </w:p>
              </w:tc>
            </w:tr>
            <w:tr w14:paraId="70068E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359" w:type="pct"/>
                  <w:gridSpan w:val="2"/>
                  <w:vMerge w:val="continue"/>
                  <w:noWrap w:val="0"/>
                  <w:tcMar>
                    <w:top w:w="0" w:type="dxa"/>
                    <w:left w:w="0" w:type="dxa"/>
                    <w:bottom w:w="0" w:type="dxa"/>
                    <w:right w:w="0" w:type="dxa"/>
                  </w:tcMar>
                  <w:vAlign w:val="center"/>
                </w:tcPr>
                <w:p w14:paraId="5A3EC9FE">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56" w:type="pct"/>
                  <w:vMerge w:val="restart"/>
                  <w:noWrap w:val="0"/>
                  <w:tcMar>
                    <w:top w:w="0" w:type="dxa"/>
                    <w:left w:w="0" w:type="dxa"/>
                    <w:bottom w:w="0" w:type="dxa"/>
                    <w:right w:w="0" w:type="dxa"/>
                  </w:tcMar>
                  <w:vAlign w:val="center"/>
                </w:tcPr>
                <w:p w14:paraId="58D08B5D">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污染物排放管控</w:t>
                  </w:r>
                </w:p>
              </w:tc>
              <w:tc>
                <w:tcPr>
                  <w:tcW w:w="323" w:type="pct"/>
                  <w:noWrap w:val="0"/>
                  <w:tcMar>
                    <w:top w:w="0" w:type="dxa"/>
                    <w:left w:w="0" w:type="dxa"/>
                    <w:bottom w:w="0" w:type="dxa"/>
                    <w:right w:w="0" w:type="dxa"/>
                  </w:tcMar>
                  <w:vAlign w:val="center"/>
                </w:tcPr>
                <w:p w14:paraId="6553A696">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允许排放量要求</w:t>
                  </w:r>
                </w:p>
              </w:tc>
              <w:tc>
                <w:tcPr>
                  <w:tcW w:w="2119" w:type="pct"/>
                  <w:noWrap w:val="0"/>
                  <w:tcMar>
                    <w:top w:w="0" w:type="dxa"/>
                    <w:left w:w="0" w:type="dxa"/>
                    <w:bottom w:w="0" w:type="dxa"/>
                    <w:right w:w="0" w:type="dxa"/>
                  </w:tcMar>
                  <w:vAlign w:val="center"/>
                </w:tcPr>
                <w:p w14:paraId="0206946F">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新建、改建、建设排放重点大气污染物的项目不符合总量控制要求的，不得通过环境影响评价。</w:t>
                  </w:r>
                </w:p>
              </w:tc>
              <w:tc>
                <w:tcPr>
                  <w:tcW w:w="1652" w:type="pct"/>
                  <w:noWrap w:val="0"/>
                  <w:tcMar>
                    <w:top w:w="0" w:type="dxa"/>
                    <w:left w:w="0" w:type="dxa"/>
                    <w:bottom w:w="0" w:type="dxa"/>
                    <w:right w:w="0" w:type="dxa"/>
                  </w:tcMar>
                  <w:vAlign w:val="center"/>
                </w:tcPr>
                <w:p w14:paraId="249DEC7F">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项目</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扩建</w:t>
                  </w:r>
                  <w:r>
                    <w:rPr>
                      <w:rFonts w:hint="default" w:ascii="Times New Roman" w:hAnsi="Times New Roman" w:eastAsia="宋体" w:cs="Times New Roman"/>
                      <w:color w:val="000000" w:themeColor="text1"/>
                      <w:kern w:val="0"/>
                      <w:sz w:val="21"/>
                      <w:szCs w:val="21"/>
                      <w14:textFill>
                        <w14:solidFill>
                          <w14:schemeClr w14:val="tx1"/>
                        </w14:solidFill>
                      </w14:textFill>
                    </w:rPr>
                    <w:t>，已申请总量</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kern w:val="0"/>
                      <w:sz w:val="21"/>
                      <w:szCs w:val="21"/>
                      <w14:textFill>
                        <w14:solidFill>
                          <w14:schemeClr w14:val="tx1"/>
                        </w14:solidFill>
                      </w14:textFill>
                    </w:rPr>
                    <w:t>废气排放满足总量控制要求。</w:t>
                  </w:r>
                </w:p>
              </w:tc>
              <w:tc>
                <w:tcPr>
                  <w:tcW w:w="289" w:type="pct"/>
                  <w:noWrap w:val="0"/>
                  <w:tcMar>
                    <w:top w:w="0" w:type="dxa"/>
                    <w:left w:w="0" w:type="dxa"/>
                    <w:bottom w:w="0" w:type="dxa"/>
                    <w:right w:w="0" w:type="dxa"/>
                  </w:tcMar>
                  <w:vAlign w:val="center"/>
                </w:tcPr>
                <w:p w14:paraId="43D38A0C">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符合</w:t>
                  </w:r>
                </w:p>
              </w:tc>
            </w:tr>
            <w:tr w14:paraId="485356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59" w:type="pct"/>
                  <w:gridSpan w:val="2"/>
                  <w:vMerge w:val="continue"/>
                  <w:noWrap w:val="0"/>
                  <w:tcMar>
                    <w:top w:w="0" w:type="dxa"/>
                    <w:left w:w="0" w:type="dxa"/>
                    <w:bottom w:w="0" w:type="dxa"/>
                    <w:right w:w="0" w:type="dxa"/>
                  </w:tcMar>
                  <w:vAlign w:val="center"/>
                </w:tcPr>
                <w:p w14:paraId="1705D8B1">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56" w:type="pct"/>
                  <w:vMerge w:val="continue"/>
                  <w:noWrap w:val="0"/>
                  <w:tcMar>
                    <w:top w:w="0" w:type="dxa"/>
                    <w:left w:w="0" w:type="dxa"/>
                    <w:bottom w:w="0" w:type="dxa"/>
                    <w:right w:w="0" w:type="dxa"/>
                  </w:tcMar>
                  <w:vAlign w:val="center"/>
                </w:tcPr>
                <w:p w14:paraId="2B5750AD">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23" w:type="pct"/>
                  <w:vMerge w:val="restart"/>
                  <w:noWrap w:val="0"/>
                  <w:tcMar>
                    <w:top w:w="0" w:type="dxa"/>
                    <w:left w:w="0" w:type="dxa"/>
                    <w:bottom w:w="0" w:type="dxa"/>
                    <w:right w:w="0" w:type="dxa"/>
                  </w:tcMar>
                  <w:vAlign w:val="center"/>
                </w:tcPr>
                <w:p w14:paraId="08285317">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区域大气污染物削减/替代要求</w:t>
                  </w:r>
                </w:p>
              </w:tc>
              <w:tc>
                <w:tcPr>
                  <w:tcW w:w="2119" w:type="pct"/>
                  <w:noWrap w:val="0"/>
                  <w:tcMar>
                    <w:top w:w="0" w:type="dxa"/>
                    <w:left w:w="0" w:type="dxa"/>
                    <w:bottom w:w="0" w:type="dxa"/>
                    <w:right w:w="0" w:type="dxa"/>
                  </w:tcMar>
                  <w:vAlign w:val="center"/>
                </w:tcPr>
                <w:p w14:paraId="3914D566">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实行重点排放源排放浓度与去除效率双重控制。车间或生产设施收集排放的废气，VOCs初始排放速率大于等于2千克/小时的，应加大控制力度，除确保排放浓度稳定达标外，还应实行去除效率控制，去除效率不低于80%；采用的原辅材料符合国家有关低VOCs含量产品规定的除外，有行业排放标准的按其相关规定执行。</w:t>
                  </w:r>
                </w:p>
              </w:tc>
              <w:tc>
                <w:tcPr>
                  <w:tcW w:w="1652" w:type="pct"/>
                  <w:noWrap w:val="0"/>
                  <w:tcMar>
                    <w:top w:w="0" w:type="dxa"/>
                    <w:left w:w="0" w:type="dxa"/>
                    <w:bottom w:w="0" w:type="dxa"/>
                    <w:right w:w="0" w:type="dxa"/>
                  </w:tcMar>
                  <w:vAlign w:val="center"/>
                </w:tcPr>
                <w:p w14:paraId="48AFABBB">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本项目</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涂胶、烘干、复合工序生产过程产生废气经集气罩收集后进入一套集气系统+水喷淋（TA003）+二级活性炭吸附装置（TA004）处理后由一根高为15米的排气筒排放(DA003)</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VOCs初始排放速率为0.122kg/h，去除效率为90%。</w:t>
                  </w:r>
                  <w:r>
                    <w:rPr>
                      <w:rFonts w:hint="default" w:ascii="Times New Roman" w:hAnsi="Times New Roman" w:eastAsia="宋体" w:cs="Times New Roman"/>
                      <w:color w:val="000000" w:themeColor="text1"/>
                      <w:kern w:val="0"/>
                      <w:sz w:val="21"/>
                      <w:szCs w:val="21"/>
                      <w14:textFill>
                        <w14:solidFill>
                          <w14:schemeClr w14:val="tx1"/>
                        </w14:solidFill>
                      </w14:textFill>
                    </w:rPr>
                    <w:t>本项目生产</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过程使用水性复合胶VOCs值为7g/L，满足《胶粘剂挥发性有机化合物限量》（GB/T 33372-2020）</w:t>
                  </w:r>
                  <w:r>
                    <w:rPr>
                      <w:rFonts w:hint="default" w:ascii="Times New Roman" w:hAnsi="Times New Roman" w:eastAsia="宋体" w:cs="Times New Roman"/>
                      <w:color w:val="000000" w:themeColor="text1"/>
                      <w:kern w:val="0"/>
                      <w:sz w:val="21"/>
                      <w:szCs w:val="21"/>
                      <w14:textFill>
                        <w14:solidFill>
                          <w14:schemeClr w14:val="tx1"/>
                        </w14:solidFill>
                      </w14:textFill>
                    </w:rPr>
                    <w:t>要求</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100g/L</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14:textFill>
                        <w14:solidFill>
                          <w14:schemeClr w14:val="tx1"/>
                        </w14:solidFill>
                      </w14:textFill>
                    </w:rPr>
                    <w:t>。</w:t>
                  </w:r>
                </w:p>
              </w:tc>
              <w:tc>
                <w:tcPr>
                  <w:tcW w:w="289" w:type="pct"/>
                  <w:noWrap w:val="0"/>
                  <w:tcMar>
                    <w:top w:w="0" w:type="dxa"/>
                    <w:left w:w="0" w:type="dxa"/>
                    <w:bottom w:w="0" w:type="dxa"/>
                    <w:right w:w="0" w:type="dxa"/>
                  </w:tcMar>
                  <w:vAlign w:val="center"/>
                </w:tcPr>
                <w:p w14:paraId="18D79CD9">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符合</w:t>
                  </w:r>
                </w:p>
              </w:tc>
            </w:tr>
            <w:tr w14:paraId="45C002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359" w:type="pct"/>
                  <w:gridSpan w:val="2"/>
                  <w:vMerge w:val="continue"/>
                  <w:noWrap w:val="0"/>
                  <w:tcMar>
                    <w:top w:w="0" w:type="dxa"/>
                    <w:left w:w="0" w:type="dxa"/>
                    <w:bottom w:w="0" w:type="dxa"/>
                    <w:right w:w="0" w:type="dxa"/>
                  </w:tcMar>
                  <w:vAlign w:val="center"/>
                </w:tcPr>
                <w:p w14:paraId="33C92617">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56" w:type="pct"/>
                  <w:vMerge w:val="continue"/>
                  <w:noWrap w:val="0"/>
                  <w:tcMar>
                    <w:top w:w="0" w:type="dxa"/>
                    <w:left w:w="0" w:type="dxa"/>
                    <w:bottom w:w="0" w:type="dxa"/>
                    <w:right w:w="0" w:type="dxa"/>
                  </w:tcMar>
                  <w:vAlign w:val="center"/>
                </w:tcPr>
                <w:p w14:paraId="6B30C7EC">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23" w:type="pct"/>
                  <w:vMerge w:val="continue"/>
                  <w:noWrap w:val="0"/>
                  <w:tcMar>
                    <w:top w:w="0" w:type="dxa"/>
                    <w:left w:w="0" w:type="dxa"/>
                    <w:bottom w:w="0" w:type="dxa"/>
                    <w:right w:w="0" w:type="dxa"/>
                  </w:tcMar>
                  <w:vAlign w:val="center"/>
                </w:tcPr>
                <w:p w14:paraId="5412255A">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119" w:type="pct"/>
                  <w:noWrap w:val="0"/>
                  <w:tcMar>
                    <w:top w:w="0" w:type="dxa"/>
                    <w:left w:w="0" w:type="dxa"/>
                    <w:bottom w:w="0" w:type="dxa"/>
                    <w:right w:w="0" w:type="dxa"/>
                  </w:tcMar>
                  <w:vAlign w:val="center"/>
                </w:tcPr>
                <w:p w14:paraId="10187262">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使用粉末、水性、高固体分、辐射固化等低VOCs含量的涂料替代溶剂型涂料。汽车制造底漆大力推广使用水性涂料，乘用车中涂、色漆大力推广使用高固体分或水性涂料，加快客车、货车等中涂、色漆改造。钢制集装箱制造在箱内、箱外、木地板涂装等工序大力推广使用水性涂料，在确保防腐蚀功能的前提下，加快推进特种集装箱采用水性涂料。木质家具制造大力推广使用水性、辐射固化、粉末等涂料和水性胶粘剂；金属家具制造大力推广使用粉末涂料；软体家具制造大力推广使用水性胶粘剂。工程机械制造大力推广使用水性、粉末和高固体分涂料。电子产品制造推广使用粉末、水性、辐射固化等涂料。</w:t>
                  </w:r>
                </w:p>
              </w:tc>
              <w:tc>
                <w:tcPr>
                  <w:tcW w:w="1652" w:type="pct"/>
                  <w:noWrap w:val="0"/>
                  <w:tcMar>
                    <w:top w:w="0" w:type="dxa"/>
                    <w:left w:w="0" w:type="dxa"/>
                    <w:bottom w:w="0" w:type="dxa"/>
                    <w:right w:w="0" w:type="dxa"/>
                  </w:tcMar>
                  <w:vAlign w:val="center"/>
                </w:tcPr>
                <w:p w14:paraId="3C0F3B1C">
                  <w:pPr>
                    <w:adjustRightInd w:val="0"/>
                    <w:snapToGrid w:val="0"/>
                    <w:jc w:val="center"/>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项目属于</w:t>
                  </w:r>
                  <w:r>
                    <w:rPr>
                      <w:rFonts w:hint="default" w:ascii="Times New Roman" w:hAnsi="Times New Roman" w:eastAsia="宋体" w:cs="Times New Roman"/>
                      <w:color w:val="000000" w:themeColor="text1"/>
                      <w:sz w:val="21"/>
                      <w:szCs w:val="21"/>
                      <w:lang w:eastAsia="zh-CN"/>
                      <w14:textFill>
                        <w14:solidFill>
                          <w14:schemeClr w14:val="tx1"/>
                        </w14:solidFill>
                      </w14:textFill>
                    </w:rPr>
                    <w:t>C3399其他未列明金属制品制造，</w:t>
                  </w:r>
                  <w:r>
                    <w:rPr>
                      <w:rFonts w:hint="default" w:ascii="Times New Roman" w:hAnsi="Times New Roman" w:eastAsia="宋体" w:cs="Times New Roman"/>
                      <w:color w:val="000000" w:themeColor="text1"/>
                      <w:kern w:val="0"/>
                      <w:sz w:val="21"/>
                      <w:szCs w:val="21"/>
                      <w14:textFill>
                        <w14:solidFill>
                          <w14:schemeClr w14:val="tx1"/>
                        </w14:solidFill>
                      </w14:textFill>
                    </w:rPr>
                    <w:t>本项目生产</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过程使用水性复合胶VOCs值为7g/L，满足《胶粘剂挥发性有机化合物限量》（GB/T 33372-2020）</w:t>
                  </w:r>
                  <w:r>
                    <w:rPr>
                      <w:rFonts w:hint="default" w:ascii="Times New Roman" w:hAnsi="Times New Roman" w:eastAsia="宋体" w:cs="Times New Roman"/>
                      <w:color w:val="000000" w:themeColor="text1"/>
                      <w:kern w:val="0"/>
                      <w:sz w:val="21"/>
                      <w:szCs w:val="21"/>
                      <w14:textFill>
                        <w14:solidFill>
                          <w14:schemeClr w14:val="tx1"/>
                        </w14:solidFill>
                      </w14:textFill>
                    </w:rPr>
                    <w:t>要求</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100g/L</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w:t>
                  </w:r>
                </w:p>
              </w:tc>
              <w:tc>
                <w:tcPr>
                  <w:tcW w:w="289" w:type="pct"/>
                  <w:noWrap w:val="0"/>
                  <w:tcMar>
                    <w:top w:w="0" w:type="dxa"/>
                    <w:left w:w="0" w:type="dxa"/>
                    <w:bottom w:w="0" w:type="dxa"/>
                    <w:right w:w="0" w:type="dxa"/>
                  </w:tcMar>
                  <w:vAlign w:val="center"/>
                </w:tcPr>
                <w:p w14:paraId="4D1DA48A">
                  <w:pPr>
                    <w:adjustRightInd w:val="0"/>
                    <w:snapToGrid w:val="0"/>
                    <w:jc w:val="center"/>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r>
            <w:tr w14:paraId="3A5906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59" w:type="pct"/>
                  <w:gridSpan w:val="2"/>
                  <w:vMerge w:val="continue"/>
                  <w:noWrap w:val="0"/>
                  <w:tcMar>
                    <w:top w:w="0" w:type="dxa"/>
                    <w:left w:w="0" w:type="dxa"/>
                    <w:bottom w:w="0" w:type="dxa"/>
                    <w:right w:w="0" w:type="dxa"/>
                  </w:tcMar>
                  <w:vAlign w:val="center"/>
                </w:tcPr>
                <w:p w14:paraId="76233F79">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56" w:type="pct"/>
                  <w:vMerge w:val="continue"/>
                  <w:noWrap w:val="0"/>
                  <w:tcMar>
                    <w:top w:w="0" w:type="dxa"/>
                    <w:left w:w="0" w:type="dxa"/>
                    <w:bottom w:w="0" w:type="dxa"/>
                    <w:right w:w="0" w:type="dxa"/>
                  </w:tcMar>
                  <w:vAlign w:val="center"/>
                </w:tcPr>
                <w:p w14:paraId="7B501C42">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23" w:type="pct"/>
                  <w:vMerge w:val="continue"/>
                  <w:noWrap w:val="0"/>
                  <w:tcMar>
                    <w:top w:w="0" w:type="dxa"/>
                    <w:left w:w="0" w:type="dxa"/>
                    <w:bottom w:w="0" w:type="dxa"/>
                    <w:right w:w="0" w:type="dxa"/>
                  </w:tcMar>
                  <w:vAlign w:val="center"/>
                </w:tcPr>
                <w:p w14:paraId="0A5E6C8D">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119" w:type="pct"/>
                  <w:noWrap w:val="0"/>
                  <w:tcMar>
                    <w:top w:w="0" w:type="dxa"/>
                    <w:left w:w="0" w:type="dxa"/>
                    <w:bottom w:w="0" w:type="dxa"/>
                    <w:right w:w="0" w:type="dxa"/>
                  </w:tcMar>
                  <w:vAlign w:val="center"/>
                </w:tcPr>
                <w:p w14:paraId="2C0D0722">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将控制挥发性有机物排放列入建设项目环境影响评价重要内容，严格环境准入，严控“两高”行业新增产能。建立VOCs排放总量控制制度。重点行业建设项目报批环评文件时应附VOCs等量替代的来源说明，并落实相应的有机废气治理措施。</w:t>
                  </w:r>
                </w:p>
              </w:tc>
              <w:tc>
                <w:tcPr>
                  <w:tcW w:w="1652" w:type="pct"/>
                  <w:noWrap w:val="0"/>
                  <w:tcMar>
                    <w:top w:w="0" w:type="dxa"/>
                    <w:left w:w="0" w:type="dxa"/>
                    <w:bottom w:w="0" w:type="dxa"/>
                    <w:right w:w="0" w:type="dxa"/>
                  </w:tcMar>
                  <w:vAlign w:val="center"/>
                </w:tcPr>
                <w:p w14:paraId="40F0E532">
                  <w:pPr>
                    <w:adjustRightInd w:val="0"/>
                    <w:snapToGrid w:val="0"/>
                    <w:jc w:val="center"/>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本项目属于C3399其他未列明金属制品制造，根据《安徽省“两高”项目管理目录（试行）》，不属于其中“两高”行业，项目</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已取得</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总量控制指标：挥发性有机物：</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0.031</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t/a。该项目所需挥发性有机物从</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2025</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年度</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宿州埇桥区</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企业宿州英大智能科技有限公司、宿州市惠通碳纤维有限公司、安徽思诺特新材料科技有限公司、安徽英利智能机械有限公司、安徽新贵族家具有限公司、宿州海内工程机械有限公司（VoCs减排量(吨/年)9.219剩余VOCs量(吨/年)4.526）形成的减排量中调剂解决。</w:t>
                  </w:r>
                </w:p>
                <w:p w14:paraId="1CB1B705">
                  <w:pPr>
                    <w:adjustRightInd w:val="0"/>
                    <w:snapToGrid w:val="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根据计算项目（全厂）排放总量为：挥发性有机物：</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0.029</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t/a，满足总量需求。</w:t>
                  </w:r>
                </w:p>
              </w:tc>
              <w:tc>
                <w:tcPr>
                  <w:tcW w:w="289" w:type="pct"/>
                  <w:noWrap w:val="0"/>
                  <w:tcMar>
                    <w:top w:w="0" w:type="dxa"/>
                    <w:left w:w="0" w:type="dxa"/>
                    <w:bottom w:w="0" w:type="dxa"/>
                    <w:right w:w="0" w:type="dxa"/>
                  </w:tcMar>
                  <w:vAlign w:val="center"/>
                </w:tcPr>
                <w:p w14:paraId="78C19727">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符合</w:t>
                  </w:r>
                </w:p>
              </w:tc>
            </w:tr>
            <w:tr w14:paraId="21D17F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359" w:type="pct"/>
                  <w:gridSpan w:val="2"/>
                  <w:vMerge w:val="continue"/>
                  <w:noWrap w:val="0"/>
                  <w:tcMar>
                    <w:top w:w="0" w:type="dxa"/>
                    <w:left w:w="0" w:type="dxa"/>
                    <w:bottom w:w="0" w:type="dxa"/>
                    <w:right w:w="0" w:type="dxa"/>
                  </w:tcMar>
                  <w:vAlign w:val="center"/>
                </w:tcPr>
                <w:p w14:paraId="330410DA">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56" w:type="pct"/>
                  <w:vMerge w:val="continue"/>
                  <w:noWrap w:val="0"/>
                  <w:tcMar>
                    <w:top w:w="0" w:type="dxa"/>
                    <w:left w:w="0" w:type="dxa"/>
                    <w:bottom w:w="0" w:type="dxa"/>
                    <w:right w:w="0" w:type="dxa"/>
                  </w:tcMar>
                  <w:vAlign w:val="center"/>
                </w:tcPr>
                <w:p w14:paraId="626DABCE">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23" w:type="pct"/>
                  <w:vMerge w:val="continue"/>
                  <w:noWrap w:val="0"/>
                  <w:tcMar>
                    <w:top w:w="0" w:type="dxa"/>
                    <w:left w:w="0" w:type="dxa"/>
                    <w:bottom w:w="0" w:type="dxa"/>
                    <w:right w:w="0" w:type="dxa"/>
                  </w:tcMar>
                  <w:vAlign w:val="center"/>
                </w:tcPr>
                <w:p w14:paraId="45932FB3">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119" w:type="pct"/>
                  <w:noWrap w:val="0"/>
                  <w:tcMar>
                    <w:top w:w="0" w:type="dxa"/>
                    <w:left w:w="0" w:type="dxa"/>
                    <w:bottom w:w="0" w:type="dxa"/>
                    <w:right w:w="0" w:type="dxa"/>
                  </w:tcMar>
                  <w:vAlign w:val="center"/>
                </w:tcPr>
                <w:p w14:paraId="0A2E1ABD">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新建、迁建VOCs排放量大的企业应入工业园区并符合规划要求，必须建设挥发性有机物污染治理设施，安装废气收集、回收或净化装置，原则上总净化效率不得低于90%。</w:t>
                  </w:r>
                </w:p>
              </w:tc>
              <w:tc>
                <w:tcPr>
                  <w:tcW w:w="1652" w:type="pct"/>
                  <w:noWrap w:val="0"/>
                  <w:tcMar>
                    <w:top w:w="0" w:type="dxa"/>
                    <w:left w:w="0" w:type="dxa"/>
                    <w:bottom w:w="0" w:type="dxa"/>
                    <w:right w:w="0" w:type="dxa"/>
                  </w:tcMar>
                  <w:vAlign w:val="center"/>
                </w:tcPr>
                <w:p w14:paraId="19AC7D1C">
                  <w:pPr>
                    <w:adjustRightInd w:val="0"/>
                    <w:snapToGrid w:val="0"/>
                    <w:jc w:val="center"/>
                    <w:rPr>
                      <w:rFonts w:hint="default" w:ascii="Times New Roman" w:hAnsi="Times New Roman" w:eastAsia="宋体" w:cs="Times New Roman"/>
                      <w:color w:val="0000FF"/>
                      <w:kern w:val="0"/>
                      <w:sz w:val="21"/>
                      <w:szCs w:val="21"/>
                      <w:lang w:eastAsia="zh-CN"/>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项目</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扩建</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，项目涂胶、烘干、复合工序生产过程产生废气经集气罩收集后进入一套集气系统+水喷淋（TA003）+二级活性炭吸附装置（TA004）处理后由一根高为15米的排气筒排放(DA003)，处理效率</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为</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90%，满足相关要求。</w:t>
                  </w:r>
                </w:p>
              </w:tc>
              <w:tc>
                <w:tcPr>
                  <w:tcW w:w="289" w:type="pct"/>
                  <w:noWrap w:val="0"/>
                  <w:tcMar>
                    <w:top w:w="0" w:type="dxa"/>
                    <w:left w:w="0" w:type="dxa"/>
                    <w:bottom w:w="0" w:type="dxa"/>
                    <w:right w:w="0" w:type="dxa"/>
                  </w:tcMar>
                  <w:vAlign w:val="center"/>
                </w:tcPr>
                <w:p w14:paraId="355FDFC6">
                  <w:pPr>
                    <w:adjustRightInd w:val="0"/>
                    <w:snapToGrid w:val="0"/>
                    <w:jc w:val="center"/>
                    <w:rPr>
                      <w:rFonts w:hint="default" w:ascii="Times New Roman" w:hAnsi="Times New Roman" w:eastAsia="宋体" w:cs="Times New Roman"/>
                      <w:color w:val="0000FF"/>
                      <w:kern w:val="0"/>
                      <w:sz w:val="21"/>
                      <w:szCs w:val="21"/>
                    </w:rPr>
                  </w:pPr>
                  <w:r>
                    <w:rPr>
                      <w:rFonts w:hint="default" w:ascii="Times New Roman" w:hAnsi="Times New Roman" w:eastAsia="宋体" w:cs="Times New Roman"/>
                      <w:color w:val="000000" w:themeColor="text1"/>
                      <w:kern w:val="0"/>
                      <w:sz w:val="21"/>
                      <w:szCs w:val="21"/>
                      <w14:textFill>
                        <w14:solidFill>
                          <w14:schemeClr w14:val="tx1"/>
                        </w14:solidFill>
                      </w14:textFill>
                    </w:rPr>
                    <w:t>符合</w:t>
                  </w:r>
                </w:p>
              </w:tc>
            </w:tr>
            <w:tr w14:paraId="7020A6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359" w:type="pct"/>
                  <w:gridSpan w:val="2"/>
                  <w:vMerge w:val="continue"/>
                  <w:noWrap w:val="0"/>
                  <w:tcMar>
                    <w:top w:w="0" w:type="dxa"/>
                    <w:left w:w="0" w:type="dxa"/>
                    <w:bottom w:w="0" w:type="dxa"/>
                    <w:right w:w="0" w:type="dxa"/>
                  </w:tcMar>
                  <w:vAlign w:val="center"/>
                </w:tcPr>
                <w:p w14:paraId="62B325AA">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56" w:type="pct"/>
                  <w:vMerge w:val="continue"/>
                  <w:noWrap w:val="0"/>
                  <w:tcMar>
                    <w:top w:w="0" w:type="dxa"/>
                    <w:left w:w="0" w:type="dxa"/>
                    <w:bottom w:w="0" w:type="dxa"/>
                    <w:right w:w="0" w:type="dxa"/>
                  </w:tcMar>
                  <w:vAlign w:val="center"/>
                </w:tcPr>
                <w:p w14:paraId="7A710946">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23" w:type="pct"/>
                  <w:vMerge w:val="restart"/>
                  <w:noWrap w:val="0"/>
                  <w:tcMar>
                    <w:top w:w="0" w:type="dxa"/>
                    <w:left w:w="0" w:type="dxa"/>
                    <w:bottom w:w="0" w:type="dxa"/>
                    <w:right w:w="0" w:type="dxa"/>
                  </w:tcMar>
                  <w:vAlign w:val="center"/>
                </w:tcPr>
                <w:p w14:paraId="5534872D">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其他污染物排放管控要求</w:t>
                  </w:r>
                </w:p>
              </w:tc>
              <w:tc>
                <w:tcPr>
                  <w:tcW w:w="2119" w:type="pct"/>
                  <w:noWrap w:val="0"/>
                  <w:tcMar>
                    <w:top w:w="0" w:type="dxa"/>
                    <w:left w:w="0" w:type="dxa"/>
                    <w:bottom w:w="0" w:type="dxa"/>
                    <w:right w:w="0" w:type="dxa"/>
                  </w:tcMar>
                  <w:vAlign w:val="center"/>
                </w:tcPr>
                <w:p w14:paraId="2150637E">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强化工业企业无组织排放管理，推进挥发性有机物排放综合整治，开展大气氨排放控制试点。</w:t>
                  </w:r>
                </w:p>
              </w:tc>
              <w:tc>
                <w:tcPr>
                  <w:tcW w:w="1652" w:type="pct"/>
                  <w:noWrap w:val="0"/>
                  <w:tcMar>
                    <w:top w:w="0" w:type="dxa"/>
                    <w:left w:w="0" w:type="dxa"/>
                    <w:bottom w:w="0" w:type="dxa"/>
                    <w:right w:w="0" w:type="dxa"/>
                  </w:tcMar>
                  <w:vAlign w:val="center"/>
                </w:tcPr>
                <w:p w14:paraId="04DC2376">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项目不涉及大气氨的排放，且加强通风管理</w:t>
                  </w:r>
                </w:p>
              </w:tc>
              <w:tc>
                <w:tcPr>
                  <w:tcW w:w="289" w:type="pct"/>
                  <w:noWrap w:val="0"/>
                  <w:tcMar>
                    <w:top w:w="0" w:type="dxa"/>
                    <w:left w:w="0" w:type="dxa"/>
                    <w:bottom w:w="0" w:type="dxa"/>
                    <w:right w:w="0" w:type="dxa"/>
                  </w:tcMar>
                  <w:vAlign w:val="center"/>
                </w:tcPr>
                <w:p w14:paraId="477ACF3A">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符合</w:t>
                  </w:r>
                </w:p>
              </w:tc>
            </w:tr>
            <w:tr w14:paraId="691A05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359" w:type="pct"/>
                  <w:gridSpan w:val="2"/>
                  <w:vMerge w:val="continue"/>
                  <w:noWrap w:val="0"/>
                  <w:tcMar>
                    <w:top w:w="0" w:type="dxa"/>
                    <w:left w:w="0" w:type="dxa"/>
                    <w:bottom w:w="0" w:type="dxa"/>
                    <w:right w:w="0" w:type="dxa"/>
                  </w:tcMar>
                  <w:vAlign w:val="center"/>
                </w:tcPr>
                <w:p w14:paraId="236ABFF9">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56" w:type="pct"/>
                  <w:vMerge w:val="continue"/>
                  <w:noWrap w:val="0"/>
                  <w:tcMar>
                    <w:top w:w="0" w:type="dxa"/>
                    <w:left w:w="0" w:type="dxa"/>
                    <w:bottom w:w="0" w:type="dxa"/>
                    <w:right w:w="0" w:type="dxa"/>
                  </w:tcMar>
                  <w:vAlign w:val="center"/>
                </w:tcPr>
                <w:p w14:paraId="459A9456">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23" w:type="pct"/>
                  <w:vMerge w:val="continue"/>
                  <w:noWrap w:val="0"/>
                  <w:tcMar>
                    <w:top w:w="0" w:type="dxa"/>
                    <w:left w:w="0" w:type="dxa"/>
                    <w:bottom w:w="0" w:type="dxa"/>
                    <w:right w:w="0" w:type="dxa"/>
                  </w:tcMar>
                  <w:vAlign w:val="center"/>
                </w:tcPr>
                <w:p w14:paraId="0E9390F4">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119" w:type="pct"/>
                  <w:noWrap w:val="0"/>
                  <w:tcMar>
                    <w:top w:w="0" w:type="dxa"/>
                    <w:left w:w="0" w:type="dxa"/>
                    <w:bottom w:w="0" w:type="dxa"/>
                    <w:right w:w="0" w:type="dxa"/>
                  </w:tcMar>
                  <w:vAlign w:val="center"/>
                </w:tcPr>
                <w:p w14:paraId="21B7D359">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深化工业污染治理，工业污染源全面达标排放，未达标排放的企业一律依法停产整治。</w:t>
                  </w:r>
                </w:p>
              </w:tc>
              <w:tc>
                <w:tcPr>
                  <w:tcW w:w="1652" w:type="pct"/>
                  <w:noWrap w:val="0"/>
                  <w:tcMar>
                    <w:top w:w="0" w:type="dxa"/>
                    <w:left w:w="0" w:type="dxa"/>
                    <w:bottom w:w="0" w:type="dxa"/>
                    <w:right w:w="0" w:type="dxa"/>
                  </w:tcMar>
                  <w:vAlign w:val="center"/>
                </w:tcPr>
                <w:p w14:paraId="27BEA01E">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本项目</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涂胶、烘干、复合工序生产过程产生废气经集气罩收集后进入一套集气系统+水喷淋（TA003）+二级活性炭吸附装置（TA004）处理后由一根高为15米的排气筒排放(DA003)。</w:t>
                  </w:r>
                  <w:r>
                    <w:rPr>
                      <w:rFonts w:hint="default" w:ascii="Times New Roman" w:hAnsi="Times New Roman" w:eastAsia="宋体" w:cs="Times New Roman"/>
                      <w:color w:val="000000" w:themeColor="text1"/>
                      <w:kern w:val="0"/>
                      <w:sz w:val="21"/>
                      <w:szCs w:val="21"/>
                      <w14:textFill>
                        <w14:solidFill>
                          <w14:schemeClr w14:val="tx1"/>
                        </w14:solidFill>
                      </w14:textFill>
                    </w:rPr>
                    <w:t>不属于废气污染严重的项目</w:t>
                  </w:r>
                  <w:r>
                    <w:rPr>
                      <w:rFonts w:hint="default" w:ascii="Times New Roman" w:hAnsi="Times New Roman" w:eastAsia="宋体" w:cs="Times New Roman"/>
                      <w:color w:val="000000" w:themeColor="text1"/>
                      <w:sz w:val="21"/>
                      <w:szCs w:val="21"/>
                      <w14:textFill>
                        <w14:solidFill>
                          <w14:schemeClr w14:val="tx1"/>
                        </w14:solidFill>
                      </w14:textFill>
                    </w:rPr>
                    <w:t>。能满足达标排放。</w:t>
                  </w:r>
                </w:p>
              </w:tc>
              <w:tc>
                <w:tcPr>
                  <w:tcW w:w="289" w:type="pct"/>
                  <w:noWrap w:val="0"/>
                  <w:tcMar>
                    <w:top w:w="0" w:type="dxa"/>
                    <w:left w:w="0" w:type="dxa"/>
                    <w:bottom w:w="0" w:type="dxa"/>
                    <w:right w:w="0" w:type="dxa"/>
                  </w:tcMar>
                  <w:vAlign w:val="center"/>
                </w:tcPr>
                <w:p w14:paraId="3C3FAF51">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符合</w:t>
                  </w:r>
                </w:p>
              </w:tc>
            </w:tr>
            <w:tr w14:paraId="5E2972A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359" w:type="pct"/>
                  <w:gridSpan w:val="2"/>
                  <w:vMerge w:val="continue"/>
                  <w:noWrap w:val="0"/>
                  <w:tcMar>
                    <w:top w:w="0" w:type="dxa"/>
                    <w:left w:w="0" w:type="dxa"/>
                    <w:bottom w:w="0" w:type="dxa"/>
                    <w:right w:w="0" w:type="dxa"/>
                  </w:tcMar>
                  <w:vAlign w:val="center"/>
                </w:tcPr>
                <w:p w14:paraId="5395AD6C">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56" w:type="pct"/>
                  <w:vMerge w:val="continue"/>
                  <w:noWrap w:val="0"/>
                  <w:tcMar>
                    <w:top w:w="0" w:type="dxa"/>
                    <w:left w:w="0" w:type="dxa"/>
                    <w:bottom w:w="0" w:type="dxa"/>
                    <w:right w:w="0" w:type="dxa"/>
                  </w:tcMar>
                  <w:vAlign w:val="center"/>
                </w:tcPr>
                <w:p w14:paraId="2B5FFD6F">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23" w:type="pct"/>
                  <w:vMerge w:val="continue"/>
                  <w:noWrap w:val="0"/>
                  <w:tcMar>
                    <w:top w:w="0" w:type="dxa"/>
                    <w:left w:w="0" w:type="dxa"/>
                    <w:bottom w:w="0" w:type="dxa"/>
                    <w:right w:w="0" w:type="dxa"/>
                  </w:tcMar>
                  <w:vAlign w:val="center"/>
                </w:tcPr>
                <w:p w14:paraId="0633A564">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119" w:type="pct"/>
                  <w:noWrap w:val="0"/>
                  <w:tcMar>
                    <w:top w:w="0" w:type="dxa"/>
                    <w:left w:w="0" w:type="dxa"/>
                    <w:bottom w:w="0" w:type="dxa"/>
                    <w:right w:w="0" w:type="dxa"/>
                  </w:tcMar>
                  <w:vAlign w:val="center"/>
                </w:tcPr>
                <w:p w14:paraId="4A0C194F">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工业生产中产生的可燃性气体应当回收利用。不具备回收利用条件而向大气排放的，应当进行污染防治处理。</w:t>
                  </w:r>
                </w:p>
              </w:tc>
              <w:tc>
                <w:tcPr>
                  <w:tcW w:w="1652" w:type="pct"/>
                  <w:noWrap w:val="0"/>
                  <w:tcMar>
                    <w:top w:w="0" w:type="dxa"/>
                    <w:left w:w="0" w:type="dxa"/>
                    <w:bottom w:w="0" w:type="dxa"/>
                    <w:right w:w="0" w:type="dxa"/>
                  </w:tcMar>
                  <w:vAlign w:val="center"/>
                </w:tcPr>
                <w:p w14:paraId="780D3CE6">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项目生产产生的废气进行污染防治处理，不属于可燃性气体</w:t>
                  </w:r>
                </w:p>
              </w:tc>
              <w:tc>
                <w:tcPr>
                  <w:tcW w:w="289" w:type="pct"/>
                  <w:noWrap w:val="0"/>
                  <w:tcMar>
                    <w:top w:w="0" w:type="dxa"/>
                    <w:left w:w="0" w:type="dxa"/>
                    <w:bottom w:w="0" w:type="dxa"/>
                    <w:right w:w="0" w:type="dxa"/>
                  </w:tcMar>
                  <w:vAlign w:val="center"/>
                </w:tcPr>
                <w:p w14:paraId="2324A0C9">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符合</w:t>
                  </w:r>
                </w:p>
              </w:tc>
            </w:tr>
            <w:tr w14:paraId="4D7CD0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170" w:type="pct"/>
                  <w:vMerge w:val="restart"/>
                  <w:noWrap w:val="0"/>
                  <w:tcMar>
                    <w:top w:w="0" w:type="dxa"/>
                    <w:left w:w="0" w:type="dxa"/>
                    <w:bottom w:w="0" w:type="dxa"/>
                    <w:right w:w="0" w:type="dxa"/>
                  </w:tcMar>
                  <w:vAlign w:val="center"/>
                </w:tcPr>
                <w:p w14:paraId="49B3C41C">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水重点管控区</w:t>
                  </w:r>
                </w:p>
              </w:tc>
              <w:tc>
                <w:tcPr>
                  <w:tcW w:w="188" w:type="pct"/>
                  <w:vMerge w:val="restart"/>
                  <w:noWrap w:val="0"/>
                  <w:tcMar>
                    <w:top w:w="0" w:type="dxa"/>
                    <w:left w:w="0" w:type="dxa"/>
                    <w:bottom w:w="0" w:type="dxa"/>
                    <w:right w:w="0" w:type="dxa"/>
                  </w:tcMar>
                  <w:vAlign w:val="center"/>
                </w:tcPr>
                <w:p w14:paraId="7C212D68">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工业重点管控区</w:t>
                  </w:r>
                </w:p>
              </w:tc>
              <w:tc>
                <w:tcPr>
                  <w:tcW w:w="256" w:type="pct"/>
                  <w:vMerge w:val="restart"/>
                  <w:noWrap w:val="0"/>
                  <w:tcMar>
                    <w:top w:w="0" w:type="dxa"/>
                    <w:left w:w="0" w:type="dxa"/>
                    <w:bottom w:w="0" w:type="dxa"/>
                    <w:right w:w="0" w:type="dxa"/>
                  </w:tcMar>
                  <w:vAlign w:val="center"/>
                </w:tcPr>
                <w:p w14:paraId="6603E388">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空间布局约束</w:t>
                  </w:r>
                </w:p>
              </w:tc>
              <w:tc>
                <w:tcPr>
                  <w:tcW w:w="323" w:type="pct"/>
                  <w:vMerge w:val="restart"/>
                  <w:noWrap w:val="0"/>
                  <w:tcMar>
                    <w:top w:w="0" w:type="dxa"/>
                    <w:left w:w="0" w:type="dxa"/>
                    <w:bottom w:w="0" w:type="dxa"/>
                    <w:right w:w="0" w:type="dxa"/>
                  </w:tcMar>
                  <w:vAlign w:val="center"/>
                </w:tcPr>
                <w:p w14:paraId="1388FC92">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禁止开发建设活动的要求</w:t>
                  </w:r>
                </w:p>
              </w:tc>
              <w:tc>
                <w:tcPr>
                  <w:tcW w:w="2119" w:type="pct"/>
                  <w:noWrap w:val="0"/>
                  <w:tcMar>
                    <w:top w:w="0" w:type="dxa"/>
                    <w:left w:w="0" w:type="dxa"/>
                    <w:bottom w:w="0" w:type="dxa"/>
                    <w:right w:w="0" w:type="dxa"/>
                  </w:tcMar>
                  <w:vAlign w:val="center"/>
                </w:tcPr>
                <w:p w14:paraId="1A0F7BA4">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取缔“十小”企业。全面排查装备水平低、环保设施差的小型工业企业。按照水污染防治法律法规要求，全面排查和取缔不符合国家产业政策的小型造纸、制革、印染、染料、炼焦、炼硫、炼砷、炼油、电镀、农药等严重污染水环境的生产项目。</w:t>
                  </w:r>
                </w:p>
              </w:tc>
              <w:tc>
                <w:tcPr>
                  <w:tcW w:w="1652" w:type="pct"/>
                  <w:noWrap w:val="0"/>
                  <w:tcMar>
                    <w:top w:w="0" w:type="dxa"/>
                    <w:left w:w="0" w:type="dxa"/>
                    <w:bottom w:w="0" w:type="dxa"/>
                    <w:right w:w="0" w:type="dxa"/>
                  </w:tcMar>
                  <w:vAlign w:val="center"/>
                </w:tcPr>
                <w:p w14:paraId="740EEDEA">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项目属于</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C3389 其他金属制日用品制造</w:t>
                  </w:r>
                  <w:r>
                    <w:rPr>
                      <w:rFonts w:hint="default" w:ascii="Times New Roman" w:hAnsi="Times New Roman" w:eastAsia="宋体" w:cs="Times New Roman"/>
                      <w:color w:val="000000" w:themeColor="text1"/>
                      <w:kern w:val="0"/>
                      <w:sz w:val="21"/>
                      <w:szCs w:val="21"/>
                      <w14:textFill>
                        <w14:solidFill>
                          <w14:schemeClr w14:val="tx1"/>
                        </w14:solidFill>
                      </w14:textFill>
                    </w:rPr>
                    <w:t>，不属于小型造纸、制革、印染、染料、炼焦、炼硫、炼砷、炼油、电镀、农药等生产项目</w:t>
                  </w:r>
                </w:p>
              </w:tc>
              <w:tc>
                <w:tcPr>
                  <w:tcW w:w="289" w:type="pct"/>
                  <w:noWrap w:val="0"/>
                  <w:tcMar>
                    <w:top w:w="0" w:type="dxa"/>
                    <w:left w:w="0" w:type="dxa"/>
                    <w:bottom w:w="0" w:type="dxa"/>
                    <w:right w:w="0" w:type="dxa"/>
                  </w:tcMar>
                  <w:vAlign w:val="center"/>
                </w:tcPr>
                <w:p w14:paraId="6C67049B">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符合</w:t>
                  </w:r>
                </w:p>
              </w:tc>
            </w:tr>
            <w:tr w14:paraId="00A92C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170" w:type="pct"/>
                  <w:vMerge w:val="continue"/>
                  <w:noWrap w:val="0"/>
                  <w:tcMar>
                    <w:top w:w="0" w:type="dxa"/>
                    <w:left w:w="0" w:type="dxa"/>
                    <w:bottom w:w="0" w:type="dxa"/>
                    <w:right w:w="0" w:type="dxa"/>
                  </w:tcMar>
                  <w:vAlign w:val="center"/>
                </w:tcPr>
                <w:p w14:paraId="0BED2E4E">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88" w:type="pct"/>
                  <w:vMerge w:val="continue"/>
                  <w:noWrap w:val="0"/>
                  <w:tcMar>
                    <w:top w:w="0" w:type="dxa"/>
                    <w:left w:w="0" w:type="dxa"/>
                    <w:bottom w:w="0" w:type="dxa"/>
                    <w:right w:w="0" w:type="dxa"/>
                  </w:tcMar>
                  <w:vAlign w:val="center"/>
                </w:tcPr>
                <w:p w14:paraId="1F57A8A3">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56" w:type="pct"/>
                  <w:vMerge w:val="continue"/>
                  <w:noWrap w:val="0"/>
                  <w:tcMar>
                    <w:top w:w="0" w:type="dxa"/>
                    <w:left w:w="0" w:type="dxa"/>
                    <w:bottom w:w="0" w:type="dxa"/>
                    <w:right w:w="0" w:type="dxa"/>
                  </w:tcMar>
                  <w:vAlign w:val="center"/>
                </w:tcPr>
                <w:p w14:paraId="13E1BB8E">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23" w:type="pct"/>
                  <w:vMerge w:val="continue"/>
                  <w:noWrap w:val="0"/>
                  <w:tcMar>
                    <w:top w:w="0" w:type="dxa"/>
                    <w:left w:w="0" w:type="dxa"/>
                    <w:bottom w:w="0" w:type="dxa"/>
                    <w:right w:w="0" w:type="dxa"/>
                  </w:tcMar>
                  <w:vAlign w:val="center"/>
                </w:tcPr>
                <w:p w14:paraId="6AF525A0">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119" w:type="pct"/>
                  <w:noWrap w:val="0"/>
                  <w:tcMar>
                    <w:top w:w="0" w:type="dxa"/>
                    <w:left w:w="0" w:type="dxa"/>
                    <w:bottom w:w="0" w:type="dxa"/>
                    <w:right w:w="0" w:type="dxa"/>
                  </w:tcMar>
                  <w:vAlign w:val="center"/>
                </w:tcPr>
                <w:p w14:paraId="24E82D45">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严格城市规划蓝线管理，城市规划区范围内应保留一定比例的水域面积，现有水域面积不得减少。新建项目一律不得违规占用水域。</w:t>
                  </w:r>
                </w:p>
              </w:tc>
              <w:tc>
                <w:tcPr>
                  <w:tcW w:w="1652" w:type="pct"/>
                  <w:noWrap w:val="0"/>
                  <w:tcMar>
                    <w:top w:w="0" w:type="dxa"/>
                    <w:left w:w="0" w:type="dxa"/>
                    <w:bottom w:w="0" w:type="dxa"/>
                    <w:right w:w="0" w:type="dxa"/>
                  </w:tcMar>
                  <w:vAlign w:val="center"/>
                </w:tcPr>
                <w:p w14:paraId="25CDE11E">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项目位于</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宿州市埇桥区经济开发区滨河路西侧</w:t>
                  </w:r>
                  <w:r>
                    <w:rPr>
                      <w:rFonts w:hint="default" w:ascii="Times New Roman" w:hAnsi="Times New Roman" w:eastAsia="宋体" w:cs="Times New Roman"/>
                      <w:color w:val="000000" w:themeColor="text1"/>
                      <w:kern w:val="0"/>
                      <w:sz w:val="21"/>
                      <w:szCs w:val="21"/>
                      <w14:textFill>
                        <w14:solidFill>
                          <w14:schemeClr w14:val="tx1"/>
                        </w14:solidFill>
                      </w14:textFill>
                    </w:rPr>
                    <w:t>，不涉及水域面积的违规占用</w:t>
                  </w:r>
                </w:p>
              </w:tc>
              <w:tc>
                <w:tcPr>
                  <w:tcW w:w="289" w:type="pct"/>
                  <w:noWrap w:val="0"/>
                  <w:tcMar>
                    <w:top w:w="0" w:type="dxa"/>
                    <w:left w:w="0" w:type="dxa"/>
                    <w:bottom w:w="0" w:type="dxa"/>
                    <w:right w:w="0" w:type="dxa"/>
                  </w:tcMar>
                  <w:vAlign w:val="center"/>
                </w:tcPr>
                <w:p w14:paraId="0297E636">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符合</w:t>
                  </w:r>
                </w:p>
              </w:tc>
            </w:tr>
            <w:tr w14:paraId="6A825C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170" w:type="pct"/>
                  <w:vMerge w:val="continue"/>
                  <w:noWrap w:val="0"/>
                  <w:tcMar>
                    <w:top w:w="0" w:type="dxa"/>
                    <w:left w:w="0" w:type="dxa"/>
                    <w:bottom w:w="0" w:type="dxa"/>
                    <w:right w:w="0" w:type="dxa"/>
                  </w:tcMar>
                  <w:vAlign w:val="center"/>
                </w:tcPr>
                <w:p w14:paraId="4FE4034C">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88" w:type="pct"/>
                  <w:vMerge w:val="continue"/>
                  <w:noWrap w:val="0"/>
                  <w:tcMar>
                    <w:top w:w="0" w:type="dxa"/>
                    <w:left w:w="0" w:type="dxa"/>
                    <w:bottom w:w="0" w:type="dxa"/>
                    <w:right w:w="0" w:type="dxa"/>
                  </w:tcMar>
                  <w:vAlign w:val="center"/>
                </w:tcPr>
                <w:p w14:paraId="7120E458">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56" w:type="pct"/>
                  <w:vMerge w:val="continue"/>
                  <w:noWrap w:val="0"/>
                  <w:tcMar>
                    <w:top w:w="0" w:type="dxa"/>
                    <w:left w:w="0" w:type="dxa"/>
                    <w:bottom w:w="0" w:type="dxa"/>
                    <w:right w:w="0" w:type="dxa"/>
                  </w:tcMar>
                  <w:vAlign w:val="center"/>
                </w:tcPr>
                <w:p w14:paraId="0F515122">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23" w:type="pct"/>
                  <w:noWrap w:val="0"/>
                  <w:tcMar>
                    <w:top w:w="0" w:type="dxa"/>
                    <w:left w:w="0" w:type="dxa"/>
                    <w:bottom w:w="0" w:type="dxa"/>
                    <w:right w:w="0" w:type="dxa"/>
                  </w:tcMar>
                  <w:vAlign w:val="center"/>
                </w:tcPr>
                <w:p w14:paraId="2A63FA3E">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允许开发建设活动的特殊要求</w:t>
                  </w:r>
                </w:p>
              </w:tc>
              <w:tc>
                <w:tcPr>
                  <w:tcW w:w="2119" w:type="pct"/>
                  <w:noWrap w:val="0"/>
                  <w:tcMar>
                    <w:top w:w="0" w:type="dxa"/>
                    <w:left w:w="0" w:type="dxa"/>
                    <w:bottom w:w="0" w:type="dxa"/>
                    <w:right w:w="0" w:type="dxa"/>
                  </w:tcMar>
                  <w:vAlign w:val="center"/>
                </w:tcPr>
                <w:p w14:paraId="1DF3BB2B">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合理确定发展布局、结构和规模。充分考虑水环境承载能力和水资源开发利用效率，以水定城、以水定地、以水定人、以水定产。重大项目原则上布局在优化开发区和重点开发区，并符合城乡规划和土地利用总体规划。</w:t>
                  </w:r>
                </w:p>
              </w:tc>
              <w:tc>
                <w:tcPr>
                  <w:tcW w:w="1652" w:type="pct"/>
                  <w:noWrap w:val="0"/>
                  <w:tcMar>
                    <w:top w:w="0" w:type="dxa"/>
                    <w:left w:w="0" w:type="dxa"/>
                    <w:bottom w:w="0" w:type="dxa"/>
                    <w:right w:w="0" w:type="dxa"/>
                  </w:tcMar>
                  <w:vAlign w:val="center"/>
                </w:tcPr>
                <w:p w14:paraId="0339E1A5">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项目位于</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宿州市埇桥区经济开发区滨河路西侧</w:t>
                  </w:r>
                  <w:r>
                    <w:rPr>
                      <w:rFonts w:hint="default" w:ascii="Times New Roman" w:hAnsi="Times New Roman" w:eastAsia="宋体" w:cs="Times New Roman"/>
                      <w:color w:val="000000" w:themeColor="text1"/>
                      <w:kern w:val="0"/>
                      <w:sz w:val="21"/>
                      <w:szCs w:val="21"/>
                      <w14:textFill>
                        <w14:solidFill>
                          <w14:schemeClr w14:val="tx1"/>
                        </w14:solidFill>
                      </w14:textFill>
                    </w:rPr>
                    <w:t>且符合园区发展规划和土地总体利用规划</w:t>
                  </w:r>
                </w:p>
              </w:tc>
              <w:tc>
                <w:tcPr>
                  <w:tcW w:w="289" w:type="pct"/>
                  <w:noWrap w:val="0"/>
                  <w:tcMar>
                    <w:top w:w="0" w:type="dxa"/>
                    <w:left w:w="0" w:type="dxa"/>
                    <w:bottom w:w="0" w:type="dxa"/>
                    <w:right w:w="0" w:type="dxa"/>
                  </w:tcMar>
                  <w:vAlign w:val="center"/>
                </w:tcPr>
                <w:p w14:paraId="491F26B5">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符合</w:t>
                  </w:r>
                </w:p>
              </w:tc>
            </w:tr>
            <w:tr w14:paraId="52209A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170" w:type="pct"/>
                  <w:vMerge w:val="continue"/>
                  <w:noWrap w:val="0"/>
                  <w:tcMar>
                    <w:top w:w="0" w:type="dxa"/>
                    <w:left w:w="0" w:type="dxa"/>
                    <w:bottom w:w="0" w:type="dxa"/>
                    <w:right w:w="0" w:type="dxa"/>
                  </w:tcMar>
                  <w:vAlign w:val="center"/>
                </w:tcPr>
                <w:p w14:paraId="7BBF4F5E">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88" w:type="pct"/>
                  <w:vMerge w:val="continue"/>
                  <w:noWrap w:val="0"/>
                  <w:tcMar>
                    <w:top w:w="0" w:type="dxa"/>
                    <w:left w:w="0" w:type="dxa"/>
                    <w:bottom w:w="0" w:type="dxa"/>
                    <w:right w:w="0" w:type="dxa"/>
                  </w:tcMar>
                  <w:vAlign w:val="center"/>
                </w:tcPr>
                <w:p w14:paraId="183E70BA">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56" w:type="pct"/>
                  <w:vMerge w:val="continue"/>
                  <w:noWrap w:val="0"/>
                  <w:tcMar>
                    <w:top w:w="0" w:type="dxa"/>
                    <w:left w:w="0" w:type="dxa"/>
                    <w:bottom w:w="0" w:type="dxa"/>
                    <w:right w:w="0" w:type="dxa"/>
                  </w:tcMar>
                  <w:vAlign w:val="center"/>
                </w:tcPr>
                <w:p w14:paraId="183E3F37">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23" w:type="pct"/>
                  <w:vMerge w:val="restart"/>
                  <w:noWrap w:val="0"/>
                  <w:tcMar>
                    <w:top w:w="0" w:type="dxa"/>
                    <w:left w:w="0" w:type="dxa"/>
                    <w:bottom w:w="0" w:type="dxa"/>
                    <w:right w:w="0" w:type="dxa"/>
                  </w:tcMar>
                  <w:vAlign w:val="center"/>
                </w:tcPr>
                <w:p w14:paraId="30812A0A">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不符合空间布局要求活动的退出要求</w:t>
                  </w:r>
                </w:p>
              </w:tc>
              <w:tc>
                <w:tcPr>
                  <w:tcW w:w="2119" w:type="pct"/>
                  <w:noWrap w:val="0"/>
                  <w:tcMar>
                    <w:top w:w="0" w:type="dxa"/>
                    <w:left w:w="0" w:type="dxa"/>
                    <w:bottom w:w="0" w:type="dxa"/>
                    <w:right w:w="0" w:type="dxa"/>
                  </w:tcMar>
                  <w:vAlign w:val="center"/>
                </w:tcPr>
                <w:p w14:paraId="560EE569">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调整产业结构。依法淘汰落后产能。各地要制定实施分年度的落后产能淘汰方案，未完成淘汰任务的地区，暂停审批和核准其相关行业新建项目。</w:t>
                  </w:r>
                </w:p>
              </w:tc>
              <w:tc>
                <w:tcPr>
                  <w:tcW w:w="1652" w:type="pct"/>
                  <w:noWrap w:val="0"/>
                  <w:tcMar>
                    <w:top w:w="0" w:type="dxa"/>
                    <w:left w:w="0" w:type="dxa"/>
                    <w:bottom w:w="0" w:type="dxa"/>
                    <w:right w:w="0" w:type="dxa"/>
                  </w:tcMar>
                  <w:vAlign w:val="center"/>
                </w:tcPr>
                <w:p w14:paraId="73BAE40F">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项目属于</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宿州市埇桥区经济开发区滨河路西侧</w:t>
                  </w:r>
                  <w:r>
                    <w:rPr>
                      <w:rFonts w:hint="default" w:ascii="Times New Roman" w:hAnsi="Times New Roman" w:eastAsia="宋体" w:cs="Times New Roman"/>
                      <w:color w:val="000000" w:themeColor="text1"/>
                      <w:kern w:val="0"/>
                      <w:sz w:val="21"/>
                      <w:szCs w:val="21"/>
                      <w14:textFill>
                        <w14:solidFill>
                          <w14:schemeClr w14:val="tx1"/>
                        </w14:solidFill>
                      </w14:textFill>
                    </w:rPr>
                    <w:t>，不属于淘汰行业</w:t>
                  </w:r>
                </w:p>
              </w:tc>
              <w:tc>
                <w:tcPr>
                  <w:tcW w:w="289" w:type="pct"/>
                  <w:noWrap w:val="0"/>
                  <w:tcMar>
                    <w:top w:w="0" w:type="dxa"/>
                    <w:left w:w="0" w:type="dxa"/>
                    <w:bottom w:w="0" w:type="dxa"/>
                    <w:right w:w="0" w:type="dxa"/>
                  </w:tcMar>
                  <w:vAlign w:val="center"/>
                </w:tcPr>
                <w:p w14:paraId="685CC23D">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符合</w:t>
                  </w:r>
                </w:p>
              </w:tc>
            </w:tr>
            <w:tr w14:paraId="27D7EE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170" w:type="pct"/>
                  <w:vMerge w:val="continue"/>
                  <w:noWrap w:val="0"/>
                  <w:tcMar>
                    <w:top w:w="0" w:type="dxa"/>
                    <w:left w:w="0" w:type="dxa"/>
                    <w:bottom w:w="0" w:type="dxa"/>
                    <w:right w:w="0" w:type="dxa"/>
                  </w:tcMar>
                  <w:vAlign w:val="center"/>
                </w:tcPr>
                <w:p w14:paraId="7C8248B8">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88" w:type="pct"/>
                  <w:vMerge w:val="continue"/>
                  <w:noWrap w:val="0"/>
                  <w:tcMar>
                    <w:top w:w="0" w:type="dxa"/>
                    <w:left w:w="0" w:type="dxa"/>
                    <w:bottom w:w="0" w:type="dxa"/>
                    <w:right w:w="0" w:type="dxa"/>
                  </w:tcMar>
                  <w:vAlign w:val="center"/>
                </w:tcPr>
                <w:p w14:paraId="6AC50B4B">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56" w:type="pct"/>
                  <w:vMerge w:val="continue"/>
                  <w:noWrap w:val="0"/>
                  <w:tcMar>
                    <w:top w:w="0" w:type="dxa"/>
                    <w:left w:w="0" w:type="dxa"/>
                    <w:bottom w:w="0" w:type="dxa"/>
                    <w:right w:w="0" w:type="dxa"/>
                  </w:tcMar>
                  <w:vAlign w:val="center"/>
                </w:tcPr>
                <w:p w14:paraId="185E0235">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23" w:type="pct"/>
                  <w:vMerge w:val="continue"/>
                  <w:noWrap w:val="0"/>
                  <w:tcMar>
                    <w:top w:w="0" w:type="dxa"/>
                    <w:left w:w="0" w:type="dxa"/>
                    <w:bottom w:w="0" w:type="dxa"/>
                    <w:right w:w="0" w:type="dxa"/>
                  </w:tcMar>
                  <w:vAlign w:val="center"/>
                </w:tcPr>
                <w:p w14:paraId="4EBC90A6">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119" w:type="pct"/>
                  <w:noWrap w:val="0"/>
                  <w:tcMar>
                    <w:top w:w="0" w:type="dxa"/>
                    <w:left w:w="0" w:type="dxa"/>
                    <w:bottom w:w="0" w:type="dxa"/>
                    <w:right w:w="0" w:type="dxa"/>
                  </w:tcMar>
                  <w:vAlign w:val="center"/>
                </w:tcPr>
                <w:p w14:paraId="0B1F87D8">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推动污染企业退出。城市建成区内现有钢铁、有色金属、造纸、印染、原料药制造、化工等污染较重的企业应有序搬迁改造或依法关闭。</w:t>
                  </w:r>
                </w:p>
              </w:tc>
              <w:tc>
                <w:tcPr>
                  <w:tcW w:w="1652" w:type="pct"/>
                  <w:noWrap w:val="0"/>
                  <w:tcMar>
                    <w:top w:w="0" w:type="dxa"/>
                    <w:left w:w="0" w:type="dxa"/>
                    <w:bottom w:w="0" w:type="dxa"/>
                    <w:right w:w="0" w:type="dxa"/>
                  </w:tcMar>
                  <w:vAlign w:val="center"/>
                </w:tcPr>
                <w:p w14:paraId="35459654">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项目属于</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C3399其他未列明金属制品制造</w:t>
                  </w:r>
                  <w:r>
                    <w:rPr>
                      <w:rFonts w:hint="default" w:ascii="Times New Roman" w:hAnsi="Times New Roman" w:eastAsia="宋体" w:cs="Times New Roman"/>
                      <w:color w:val="000000" w:themeColor="text1"/>
                      <w:kern w:val="0"/>
                      <w:sz w:val="21"/>
                      <w:szCs w:val="21"/>
                      <w14:textFill>
                        <w14:solidFill>
                          <w14:schemeClr w14:val="tx1"/>
                        </w14:solidFill>
                      </w14:textFill>
                    </w:rPr>
                    <w:t>，不涉及钢铁、有色金属、造纸、印染、原料药制造、化工等</w:t>
                  </w:r>
                </w:p>
              </w:tc>
              <w:tc>
                <w:tcPr>
                  <w:tcW w:w="289" w:type="pct"/>
                  <w:noWrap w:val="0"/>
                  <w:tcMar>
                    <w:top w:w="0" w:type="dxa"/>
                    <w:left w:w="0" w:type="dxa"/>
                    <w:bottom w:w="0" w:type="dxa"/>
                    <w:right w:w="0" w:type="dxa"/>
                  </w:tcMar>
                  <w:vAlign w:val="center"/>
                </w:tcPr>
                <w:p w14:paraId="1175F2A1">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符合</w:t>
                  </w:r>
                </w:p>
              </w:tc>
            </w:tr>
            <w:tr w14:paraId="1198CE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170" w:type="pct"/>
                  <w:vMerge w:val="continue"/>
                  <w:noWrap w:val="0"/>
                  <w:tcMar>
                    <w:top w:w="0" w:type="dxa"/>
                    <w:left w:w="0" w:type="dxa"/>
                    <w:bottom w:w="0" w:type="dxa"/>
                    <w:right w:w="0" w:type="dxa"/>
                  </w:tcMar>
                  <w:vAlign w:val="center"/>
                </w:tcPr>
                <w:p w14:paraId="2ABBFD49">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88" w:type="pct"/>
                  <w:vMerge w:val="continue"/>
                  <w:noWrap w:val="0"/>
                  <w:tcMar>
                    <w:top w:w="0" w:type="dxa"/>
                    <w:left w:w="0" w:type="dxa"/>
                    <w:bottom w:w="0" w:type="dxa"/>
                    <w:right w:w="0" w:type="dxa"/>
                  </w:tcMar>
                  <w:vAlign w:val="center"/>
                </w:tcPr>
                <w:p w14:paraId="18BA1D18">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56" w:type="pct"/>
                  <w:vMerge w:val="continue"/>
                  <w:noWrap w:val="0"/>
                  <w:tcMar>
                    <w:top w:w="0" w:type="dxa"/>
                    <w:left w:w="0" w:type="dxa"/>
                    <w:bottom w:w="0" w:type="dxa"/>
                    <w:right w:w="0" w:type="dxa"/>
                  </w:tcMar>
                  <w:vAlign w:val="center"/>
                </w:tcPr>
                <w:p w14:paraId="41269EF3">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23" w:type="pct"/>
                  <w:vMerge w:val="continue"/>
                  <w:noWrap w:val="0"/>
                  <w:tcMar>
                    <w:top w:w="0" w:type="dxa"/>
                    <w:left w:w="0" w:type="dxa"/>
                    <w:bottom w:w="0" w:type="dxa"/>
                    <w:right w:w="0" w:type="dxa"/>
                  </w:tcMar>
                  <w:vAlign w:val="center"/>
                </w:tcPr>
                <w:p w14:paraId="41B7651A">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119" w:type="pct"/>
                  <w:noWrap w:val="0"/>
                  <w:tcMar>
                    <w:top w:w="0" w:type="dxa"/>
                    <w:left w:w="0" w:type="dxa"/>
                    <w:bottom w:w="0" w:type="dxa"/>
                    <w:right w:w="0" w:type="dxa"/>
                  </w:tcMar>
                  <w:vAlign w:val="center"/>
                </w:tcPr>
                <w:p w14:paraId="7B9CB521">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严格水域岸线用途管制，土地开发利用应按照有关法律法规和技术标准要求，留足河道、湖泊的管理和保护范围，非法挤占的应限期退出。</w:t>
                  </w:r>
                </w:p>
              </w:tc>
              <w:tc>
                <w:tcPr>
                  <w:tcW w:w="1652" w:type="pct"/>
                  <w:noWrap w:val="0"/>
                  <w:tcMar>
                    <w:top w:w="0" w:type="dxa"/>
                    <w:left w:w="0" w:type="dxa"/>
                    <w:bottom w:w="0" w:type="dxa"/>
                    <w:right w:w="0" w:type="dxa"/>
                  </w:tcMar>
                  <w:vAlign w:val="center"/>
                </w:tcPr>
                <w:p w14:paraId="1228B035">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项目位于</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宿州市埇桥区经济开发区滨河路西侧</w:t>
                  </w:r>
                  <w:r>
                    <w:rPr>
                      <w:rFonts w:hint="default" w:ascii="Times New Roman" w:hAnsi="Times New Roman" w:eastAsia="宋体" w:cs="Times New Roman"/>
                      <w:color w:val="000000" w:themeColor="text1"/>
                      <w:kern w:val="0"/>
                      <w:sz w:val="21"/>
                      <w:szCs w:val="21"/>
                      <w14:textFill>
                        <w14:solidFill>
                          <w14:schemeClr w14:val="tx1"/>
                        </w14:solidFill>
                      </w14:textFill>
                    </w:rPr>
                    <w:t>，不涉及水域岸线用途管制</w:t>
                  </w:r>
                </w:p>
              </w:tc>
              <w:tc>
                <w:tcPr>
                  <w:tcW w:w="289" w:type="pct"/>
                  <w:noWrap w:val="0"/>
                  <w:tcMar>
                    <w:top w:w="0" w:type="dxa"/>
                    <w:left w:w="0" w:type="dxa"/>
                    <w:bottom w:w="0" w:type="dxa"/>
                    <w:right w:w="0" w:type="dxa"/>
                  </w:tcMar>
                  <w:vAlign w:val="center"/>
                </w:tcPr>
                <w:p w14:paraId="428CDB42">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符合</w:t>
                  </w:r>
                </w:p>
              </w:tc>
            </w:tr>
            <w:tr w14:paraId="2AAAF2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170" w:type="pct"/>
                  <w:vMerge w:val="continue"/>
                  <w:noWrap w:val="0"/>
                  <w:tcMar>
                    <w:top w:w="0" w:type="dxa"/>
                    <w:left w:w="0" w:type="dxa"/>
                    <w:bottom w:w="0" w:type="dxa"/>
                    <w:right w:w="0" w:type="dxa"/>
                  </w:tcMar>
                  <w:vAlign w:val="center"/>
                </w:tcPr>
                <w:p w14:paraId="5264FD1E">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88" w:type="pct"/>
                  <w:vMerge w:val="continue"/>
                  <w:noWrap w:val="0"/>
                  <w:tcMar>
                    <w:top w:w="0" w:type="dxa"/>
                    <w:left w:w="0" w:type="dxa"/>
                    <w:bottom w:w="0" w:type="dxa"/>
                    <w:right w:w="0" w:type="dxa"/>
                  </w:tcMar>
                  <w:vAlign w:val="center"/>
                </w:tcPr>
                <w:p w14:paraId="36C0E66C">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56" w:type="pct"/>
                  <w:vMerge w:val="continue"/>
                  <w:noWrap w:val="0"/>
                  <w:tcMar>
                    <w:top w:w="0" w:type="dxa"/>
                    <w:left w:w="0" w:type="dxa"/>
                    <w:bottom w:w="0" w:type="dxa"/>
                    <w:right w:w="0" w:type="dxa"/>
                  </w:tcMar>
                  <w:vAlign w:val="center"/>
                </w:tcPr>
                <w:p w14:paraId="226D48B1">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23" w:type="pct"/>
                  <w:vMerge w:val="continue"/>
                  <w:noWrap w:val="0"/>
                  <w:tcMar>
                    <w:top w:w="0" w:type="dxa"/>
                    <w:left w:w="0" w:type="dxa"/>
                    <w:bottom w:w="0" w:type="dxa"/>
                    <w:right w:w="0" w:type="dxa"/>
                  </w:tcMar>
                  <w:vAlign w:val="center"/>
                </w:tcPr>
                <w:p w14:paraId="337962F0">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119" w:type="pct"/>
                  <w:noWrap w:val="0"/>
                  <w:tcMar>
                    <w:top w:w="0" w:type="dxa"/>
                    <w:left w:w="0" w:type="dxa"/>
                    <w:bottom w:w="0" w:type="dxa"/>
                    <w:right w:w="0" w:type="dxa"/>
                  </w:tcMar>
                  <w:vAlign w:val="center"/>
                </w:tcPr>
                <w:p w14:paraId="387DAF93">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国家禁止新建不符合国家产业政策的小型造纸、制革、印染、染料、炼焦、炼硫、炼砷、炼汞、炼油、电镀、农药、石棉、水泥、玻璃、钢铁、火电以及其他严重污染水环境的生产项目。</w:t>
                  </w:r>
                </w:p>
              </w:tc>
              <w:tc>
                <w:tcPr>
                  <w:tcW w:w="1652" w:type="pct"/>
                  <w:noWrap w:val="0"/>
                  <w:tcMar>
                    <w:top w:w="0" w:type="dxa"/>
                    <w:left w:w="0" w:type="dxa"/>
                    <w:bottom w:w="0" w:type="dxa"/>
                    <w:right w:w="0" w:type="dxa"/>
                  </w:tcMar>
                  <w:vAlign w:val="center"/>
                </w:tcPr>
                <w:p w14:paraId="5993CD10">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项目属于</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C3399其他未列明金属制品制造</w:t>
                  </w:r>
                  <w:r>
                    <w:rPr>
                      <w:rFonts w:hint="default" w:ascii="Times New Roman" w:hAnsi="Times New Roman" w:eastAsia="宋体" w:cs="Times New Roman"/>
                      <w:color w:val="000000" w:themeColor="text1"/>
                      <w:kern w:val="0"/>
                      <w:sz w:val="21"/>
                      <w:szCs w:val="21"/>
                      <w14:textFill>
                        <w14:solidFill>
                          <w14:schemeClr w14:val="tx1"/>
                        </w14:solidFill>
                      </w14:textFill>
                    </w:rPr>
                    <w:t>，生活污水经</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隔油池+化粪池</w:t>
                  </w:r>
                  <w:r>
                    <w:rPr>
                      <w:rFonts w:hint="default" w:ascii="Times New Roman" w:hAnsi="Times New Roman" w:eastAsia="宋体" w:cs="Times New Roman"/>
                      <w:color w:val="000000" w:themeColor="text1"/>
                      <w:kern w:val="0"/>
                      <w:sz w:val="21"/>
                      <w:szCs w:val="21"/>
                      <w14:textFill>
                        <w14:solidFill>
                          <w14:schemeClr w14:val="tx1"/>
                        </w14:solidFill>
                      </w14:textFill>
                    </w:rPr>
                    <w:t>预处理后排入园区污水管网，废水执行《污水综合排放标准》（GB8978-1996）三级标准并满足</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宿州市埇桥区经济开发区污水处理厂</w:t>
                  </w:r>
                  <w:r>
                    <w:rPr>
                      <w:rFonts w:hint="default" w:ascii="Times New Roman" w:hAnsi="Times New Roman" w:eastAsia="宋体" w:cs="Times New Roman"/>
                      <w:color w:val="000000" w:themeColor="text1"/>
                      <w:kern w:val="0"/>
                      <w:sz w:val="21"/>
                      <w:szCs w:val="21"/>
                      <w14:textFill>
                        <w14:solidFill>
                          <w14:schemeClr w14:val="tx1"/>
                        </w14:solidFill>
                      </w14:textFill>
                    </w:rPr>
                    <w:t>接管标准。不属于严重污染水环境的项目。</w:t>
                  </w:r>
                </w:p>
              </w:tc>
              <w:tc>
                <w:tcPr>
                  <w:tcW w:w="289" w:type="pct"/>
                  <w:noWrap w:val="0"/>
                  <w:tcMar>
                    <w:top w:w="0" w:type="dxa"/>
                    <w:left w:w="0" w:type="dxa"/>
                    <w:bottom w:w="0" w:type="dxa"/>
                    <w:right w:w="0" w:type="dxa"/>
                  </w:tcMar>
                  <w:vAlign w:val="center"/>
                </w:tcPr>
                <w:p w14:paraId="3BBD10DF">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符合</w:t>
                  </w:r>
                </w:p>
              </w:tc>
            </w:tr>
            <w:tr w14:paraId="46D267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170" w:type="pct"/>
                  <w:vMerge w:val="continue"/>
                  <w:noWrap w:val="0"/>
                  <w:tcMar>
                    <w:top w:w="0" w:type="dxa"/>
                    <w:left w:w="0" w:type="dxa"/>
                    <w:bottom w:w="0" w:type="dxa"/>
                    <w:right w:w="0" w:type="dxa"/>
                  </w:tcMar>
                  <w:vAlign w:val="center"/>
                </w:tcPr>
                <w:p w14:paraId="12B55806">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88" w:type="pct"/>
                  <w:vMerge w:val="continue"/>
                  <w:noWrap w:val="0"/>
                  <w:tcMar>
                    <w:top w:w="0" w:type="dxa"/>
                    <w:left w:w="0" w:type="dxa"/>
                    <w:bottom w:w="0" w:type="dxa"/>
                    <w:right w:w="0" w:type="dxa"/>
                  </w:tcMar>
                  <w:vAlign w:val="center"/>
                </w:tcPr>
                <w:p w14:paraId="6B164B02">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56" w:type="pct"/>
                  <w:vMerge w:val="restart"/>
                  <w:noWrap w:val="0"/>
                  <w:tcMar>
                    <w:top w:w="0" w:type="dxa"/>
                    <w:left w:w="0" w:type="dxa"/>
                    <w:bottom w:w="0" w:type="dxa"/>
                    <w:right w:w="0" w:type="dxa"/>
                  </w:tcMar>
                  <w:vAlign w:val="center"/>
                </w:tcPr>
                <w:p w14:paraId="7351C881">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污染物排放管控</w:t>
                  </w:r>
                </w:p>
              </w:tc>
              <w:tc>
                <w:tcPr>
                  <w:tcW w:w="323" w:type="pct"/>
                  <w:vMerge w:val="restart"/>
                  <w:noWrap w:val="0"/>
                  <w:tcMar>
                    <w:top w:w="0" w:type="dxa"/>
                    <w:left w:w="0" w:type="dxa"/>
                    <w:bottom w:w="0" w:type="dxa"/>
                    <w:right w:w="0" w:type="dxa"/>
                  </w:tcMar>
                  <w:vAlign w:val="center"/>
                </w:tcPr>
                <w:p w14:paraId="6D213230">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区域水污染物削减/替代要求</w:t>
                  </w:r>
                </w:p>
              </w:tc>
              <w:tc>
                <w:tcPr>
                  <w:tcW w:w="2119" w:type="pct"/>
                  <w:noWrap w:val="0"/>
                  <w:tcMar>
                    <w:top w:w="0" w:type="dxa"/>
                    <w:left w:w="0" w:type="dxa"/>
                    <w:bottom w:w="0" w:type="dxa"/>
                    <w:right w:w="0" w:type="dxa"/>
                  </w:tcMar>
                  <w:vAlign w:val="center"/>
                </w:tcPr>
                <w:p w14:paraId="0D155F0E">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企业事业单位和其他生产经营者超过污染物排放标准或者超过重点污染物排放总量控制指标排放污染物的，县级以上人民政府环境保护主管部门可以责令其采取限制生产、停产整治等措施；情节严重的，报经有批准权的人民政府批准，责令停业、关闭。</w:t>
                  </w:r>
                </w:p>
              </w:tc>
              <w:tc>
                <w:tcPr>
                  <w:tcW w:w="1652" w:type="pct"/>
                  <w:noWrap w:val="0"/>
                  <w:tcMar>
                    <w:top w:w="0" w:type="dxa"/>
                    <w:left w:w="0" w:type="dxa"/>
                    <w:bottom w:w="0" w:type="dxa"/>
                    <w:right w:w="0" w:type="dxa"/>
                  </w:tcMar>
                  <w:vAlign w:val="center"/>
                </w:tcPr>
                <w:p w14:paraId="1FFC4F75">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项目水污染物排放标准执行《污水综合排放标准》（GB8978-1996）三级标准并满足</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宿州市埇桥区经济开发区污水处理厂</w:t>
                  </w:r>
                  <w:r>
                    <w:rPr>
                      <w:rFonts w:hint="default" w:ascii="Times New Roman" w:hAnsi="Times New Roman" w:eastAsia="宋体" w:cs="Times New Roman"/>
                      <w:color w:val="000000" w:themeColor="text1"/>
                      <w:kern w:val="0"/>
                      <w:sz w:val="21"/>
                      <w:szCs w:val="21"/>
                      <w14:textFill>
                        <w14:solidFill>
                          <w14:schemeClr w14:val="tx1"/>
                        </w14:solidFill>
                      </w14:textFill>
                    </w:rPr>
                    <w:t>接管标准，且排放总量仅为生活污水的总量，纳入</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宿州市埇桥区经济开发区污水处理厂</w:t>
                  </w:r>
                  <w:r>
                    <w:rPr>
                      <w:rFonts w:hint="default" w:ascii="Times New Roman" w:hAnsi="Times New Roman" w:eastAsia="宋体" w:cs="Times New Roman"/>
                      <w:color w:val="000000" w:themeColor="text1"/>
                      <w:kern w:val="0"/>
                      <w:sz w:val="21"/>
                      <w:szCs w:val="21"/>
                      <w14:textFill>
                        <w14:solidFill>
                          <w14:schemeClr w14:val="tx1"/>
                        </w14:solidFill>
                      </w14:textFill>
                    </w:rPr>
                    <w:t>总量指标。</w:t>
                  </w:r>
                </w:p>
              </w:tc>
              <w:tc>
                <w:tcPr>
                  <w:tcW w:w="289" w:type="pct"/>
                  <w:noWrap w:val="0"/>
                  <w:tcMar>
                    <w:top w:w="0" w:type="dxa"/>
                    <w:left w:w="0" w:type="dxa"/>
                    <w:bottom w:w="0" w:type="dxa"/>
                    <w:right w:w="0" w:type="dxa"/>
                  </w:tcMar>
                  <w:vAlign w:val="center"/>
                </w:tcPr>
                <w:p w14:paraId="665B49D9">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符合</w:t>
                  </w:r>
                </w:p>
              </w:tc>
            </w:tr>
            <w:tr w14:paraId="1C9C7EA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170" w:type="pct"/>
                  <w:vMerge w:val="continue"/>
                  <w:noWrap w:val="0"/>
                  <w:tcMar>
                    <w:top w:w="0" w:type="dxa"/>
                    <w:left w:w="0" w:type="dxa"/>
                    <w:bottom w:w="0" w:type="dxa"/>
                    <w:right w:w="0" w:type="dxa"/>
                  </w:tcMar>
                  <w:vAlign w:val="center"/>
                </w:tcPr>
                <w:p w14:paraId="69916C4D">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88" w:type="pct"/>
                  <w:vMerge w:val="continue"/>
                  <w:noWrap w:val="0"/>
                  <w:tcMar>
                    <w:top w:w="0" w:type="dxa"/>
                    <w:left w:w="0" w:type="dxa"/>
                    <w:bottom w:w="0" w:type="dxa"/>
                    <w:right w:w="0" w:type="dxa"/>
                  </w:tcMar>
                  <w:vAlign w:val="center"/>
                </w:tcPr>
                <w:p w14:paraId="1AC56D39">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56" w:type="pct"/>
                  <w:vMerge w:val="continue"/>
                  <w:noWrap w:val="0"/>
                  <w:tcMar>
                    <w:top w:w="0" w:type="dxa"/>
                    <w:left w:w="0" w:type="dxa"/>
                    <w:bottom w:w="0" w:type="dxa"/>
                    <w:right w:w="0" w:type="dxa"/>
                  </w:tcMar>
                  <w:vAlign w:val="center"/>
                </w:tcPr>
                <w:p w14:paraId="4FF12D0A">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23" w:type="pct"/>
                  <w:vMerge w:val="continue"/>
                  <w:noWrap w:val="0"/>
                  <w:tcMar>
                    <w:top w:w="0" w:type="dxa"/>
                    <w:left w:w="0" w:type="dxa"/>
                    <w:bottom w:w="0" w:type="dxa"/>
                    <w:right w:w="0" w:type="dxa"/>
                  </w:tcMar>
                  <w:vAlign w:val="center"/>
                </w:tcPr>
                <w:p w14:paraId="43623925">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119" w:type="pct"/>
                  <w:noWrap w:val="0"/>
                  <w:tcMar>
                    <w:top w:w="0" w:type="dxa"/>
                    <w:left w:w="0" w:type="dxa"/>
                    <w:bottom w:w="0" w:type="dxa"/>
                    <w:right w:w="0" w:type="dxa"/>
                  </w:tcMar>
                  <w:vAlign w:val="center"/>
                </w:tcPr>
                <w:p w14:paraId="7D22443A">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严格控制缺水地区、水污染严重地区和敏感区域高耗水、高污染行业发展，新建、改建、建设重点行业建设项目实行主要污染物排放减量置换。</w:t>
                  </w:r>
                </w:p>
              </w:tc>
              <w:tc>
                <w:tcPr>
                  <w:tcW w:w="1652" w:type="pct"/>
                  <w:noWrap w:val="0"/>
                  <w:tcMar>
                    <w:top w:w="0" w:type="dxa"/>
                    <w:left w:w="0" w:type="dxa"/>
                    <w:bottom w:w="0" w:type="dxa"/>
                    <w:right w:w="0" w:type="dxa"/>
                  </w:tcMar>
                  <w:vAlign w:val="center"/>
                </w:tcPr>
                <w:p w14:paraId="14F3EB17">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项目仅为生活污水的总量，纳入</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宿州市埇桥区经济开发区污水处理厂</w:t>
                  </w:r>
                  <w:r>
                    <w:rPr>
                      <w:rFonts w:hint="default" w:ascii="Times New Roman" w:hAnsi="Times New Roman" w:eastAsia="宋体" w:cs="Times New Roman"/>
                      <w:color w:val="000000" w:themeColor="text1"/>
                      <w:kern w:val="0"/>
                      <w:sz w:val="21"/>
                      <w:szCs w:val="21"/>
                      <w14:textFill>
                        <w14:solidFill>
                          <w14:schemeClr w14:val="tx1"/>
                        </w14:solidFill>
                      </w14:textFill>
                    </w:rPr>
                    <w:t>总量指标。</w:t>
                  </w:r>
                </w:p>
              </w:tc>
              <w:tc>
                <w:tcPr>
                  <w:tcW w:w="289" w:type="pct"/>
                  <w:noWrap w:val="0"/>
                  <w:tcMar>
                    <w:top w:w="0" w:type="dxa"/>
                    <w:left w:w="0" w:type="dxa"/>
                    <w:bottom w:w="0" w:type="dxa"/>
                    <w:right w:w="0" w:type="dxa"/>
                  </w:tcMar>
                  <w:vAlign w:val="center"/>
                </w:tcPr>
                <w:p w14:paraId="593E3D14">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符合</w:t>
                  </w:r>
                </w:p>
              </w:tc>
            </w:tr>
            <w:tr w14:paraId="0984D7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170" w:type="pct"/>
                  <w:vMerge w:val="continue"/>
                  <w:noWrap w:val="0"/>
                  <w:tcMar>
                    <w:top w:w="0" w:type="dxa"/>
                    <w:left w:w="0" w:type="dxa"/>
                    <w:bottom w:w="0" w:type="dxa"/>
                    <w:right w:w="0" w:type="dxa"/>
                  </w:tcMar>
                  <w:vAlign w:val="center"/>
                </w:tcPr>
                <w:p w14:paraId="10194A5F">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88" w:type="pct"/>
                  <w:vMerge w:val="continue"/>
                  <w:noWrap w:val="0"/>
                  <w:tcMar>
                    <w:top w:w="0" w:type="dxa"/>
                    <w:left w:w="0" w:type="dxa"/>
                    <w:bottom w:w="0" w:type="dxa"/>
                    <w:right w:w="0" w:type="dxa"/>
                  </w:tcMar>
                  <w:vAlign w:val="center"/>
                </w:tcPr>
                <w:p w14:paraId="12FBA4B4">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56" w:type="pct"/>
                  <w:vMerge w:val="continue"/>
                  <w:noWrap w:val="0"/>
                  <w:tcMar>
                    <w:top w:w="0" w:type="dxa"/>
                    <w:left w:w="0" w:type="dxa"/>
                    <w:bottom w:w="0" w:type="dxa"/>
                    <w:right w:w="0" w:type="dxa"/>
                  </w:tcMar>
                  <w:vAlign w:val="center"/>
                </w:tcPr>
                <w:p w14:paraId="21987E42">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23" w:type="pct"/>
                  <w:vMerge w:val="continue"/>
                  <w:noWrap w:val="0"/>
                  <w:tcMar>
                    <w:top w:w="0" w:type="dxa"/>
                    <w:left w:w="0" w:type="dxa"/>
                    <w:bottom w:w="0" w:type="dxa"/>
                    <w:right w:w="0" w:type="dxa"/>
                  </w:tcMar>
                  <w:vAlign w:val="center"/>
                </w:tcPr>
                <w:p w14:paraId="689CF2AD">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119" w:type="pct"/>
                  <w:noWrap w:val="0"/>
                  <w:tcMar>
                    <w:top w:w="0" w:type="dxa"/>
                    <w:left w:w="0" w:type="dxa"/>
                    <w:bottom w:w="0" w:type="dxa"/>
                    <w:right w:w="0" w:type="dxa"/>
                  </w:tcMar>
                  <w:vAlign w:val="center"/>
                </w:tcPr>
                <w:p w14:paraId="21E8D5D7">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新建、改建、建设造纸、焦化、氮肥、有色金属、印染、农副食品加工、原料药制造、制革、农药、电镀等行业建设项目实行主要污染物排放等量或减量置换。</w:t>
                  </w:r>
                </w:p>
              </w:tc>
              <w:tc>
                <w:tcPr>
                  <w:tcW w:w="1652" w:type="pct"/>
                  <w:noWrap w:val="0"/>
                  <w:tcMar>
                    <w:top w:w="0" w:type="dxa"/>
                    <w:left w:w="0" w:type="dxa"/>
                    <w:bottom w:w="0" w:type="dxa"/>
                    <w:right w:w="0" w:type="dxa"/>
                  </w:tcMar>
                  <w:vAlign w:val="center"/>
                </w:tcPr>
                <w:p w14:paraId="10D43CAC">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项目仅为生活污水的总量，纳入</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宿州市埇桥区经济开发区污水处理厂</w:t>
                  </w:r>
                  <w:r>
                    <w:rPr>
                      <w:rFonts w:hint="default" w:ascii="Times New Roman" w:hAnsi="Times New Roman" w:eastAsia="宋体" w:cs="Times New Roman"/>
                      <w:color w:val="000000" w:themeColor="text1"/>
                      <w:kern w:val="0"/>
                      <w:sz w:val="21"/>
                      <w:szCs w:val="21"/>
                      <w14:textFill>
                        <w14:solidFill>
                          <w14:schemeClr w14:val="tx1"/>
                        </w14:solidFill>
                      </w14:textFill>
                    </w:rPr>
                    <w:t>总量指标。</w:t>
                  </w:r>
                </w:p>
              </w:tc>
              <w:tc>
                <w:tcPr>
                  <w:tcW w:w="289" w:type="pct"/>
                  <w:noWrap w:val="0"/>
                  <w:tcMar>
                    <w:top w:w="0" w:type="dxa"/>
                    <w:left w:w="0" w:type="dxa"/>
                    <w:bottom w:w="0" w:type="dxa"/>
                    <w:right w:w="0" w:type="dxa"/>
                  </w:tcMar>
                  <w:vAlign w:val="center"/>
                </w:tcPr>
                <w:p w14:paraId="2D5F70DF">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符合</w:t>
                  </w:r>
                </w:p>
              </w:tc>
            </w:tr>
            <w:tr w14:paraId="75CDD3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170" w:type="pct"/>
                  <w:vMerge w:val="continue"/>
                  <w:noWrap w:val="0"/>
                  <w:tcMar>
                    <w:top w:w="0" w:type="dxa"/>
                    <w:left w:w="0" w:type="dxa"/>
                    <w:bottom w:w="0" w:type="dxa"/>
                    <w:right w:w="0" w:type="dxa"/>
                  </w:tcMar>
                  <w:vAlign w:val="center"/>
                </w:tcPr>
                <w:p w14:paraId="4FB72B05">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88" w:type="pct"/>
                  <w:vMerge w:val="continue"/>
                  <w:noWrap w:val="0"/>
                  <w:tcMar>
                    <w:top w:w="0" w:type="dxa"/>
                    <w:left w:w="0" w:type="dxa"/>
                    <w:bottom w:w="0" w:type="dxa"/>
                    <w:right w:w="0" w:type="dxa"/>
                  </w:tcMar>
                  <w:vAlign w:val="center"/>
                </w:tcPr>
                <w:p w14:paraId="6EF8E5ED">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56" w:type="pct"/>
                  <w:vMerge w:val="continue"/>
                  <w:noWrap w:val="0"/>
                  <w:tcMar>
                    <w:top w:w="0" w:type="dxa"/>
                    <w:left w:w="0" w:type="dxa"/>
                    <w:bottom w:w="0" w:type="dxa"/>
                    <w:right w:w="0" w:type="dxa"/>
                  </w:tcMar>
                  <w:vAlign w:val="center"/>
                </w:tcPr>
                <w:p w14:paraId="323E716C">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23" w:type="pct"/>
                  <w:vMerge w:val="restart"/>
                  <w:noWrap w:val="0"/>
                  <w:tcMar>
                    <w:top w:w="0" w:type="dxa"/>
                    <w:left w:w="0" w:type="dxa"/>
                    <w:bottom w:w="0" w:type="dxa"/>
                    <w:right w:w="0" w:type="dxa"/>
                  </w:tcMar>
                  <w:vAlign w:val="center"/>
                </w:tcPr>
                <w:p w14:paraId="2F44F50B">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水污染控制措施要求</w:t>
                  </w:r>
                </w:p>
              </w:tc>
              <w:tc>
                <w:tcPr>
                  <w:tcW w:w="2119" w:type="pct"/>
                  <w:noWrap w:val="0"/>
                  <w:tcMar>
                    <w:top w:w="0" w:type="dxa"/>
                    <w:left w:w="0" w:type="dxa"/>
                    <w:bottom w:w="0" w:type="dxa"/>
                    <w:right w:w="0" w:type="dxa"/>
                  </w:tcMar>
                  <w:vAlign w:val="center"/>
                </w:tcPr>
                <w:p w14:paraId="6C567F78">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所有排污单位必须依法实现全面达标排放。逐一排查工业企业排污情况，达标企业应采取措施确保稳定达标；对超标和超总量的企业予以“黄牌”警示，一律限制生产或停产整治；对整治仍不能达到要求且情节严重的企业予以“红牌”处罚，一律停业、关闭。</w:t>
                  </w:r>
                </w:p>
              </w:tc>
              <w:tc>
                <w:tcPr>
                  <w:tcW w:w="1652" w:type="pct"/>
                  <w:noWrap w:val="0"/>
                  <w:tcMar>
                    <w:top w:w="0" w:type="dxa"/>
                    <w:left w:w="0" w:type="dxa"/>
                    <w:bottom w:w="0" w:type="dxa"/>
                    <w:right w:w="0" w:type="dxa"/>
                  </w:tcMar>
                  <w:vAlign w:val="center"/>
                </w:tcPr>
                <w:p w14:paraId="3096060D">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项目生活污水经预处理后排入园区污水管网，经</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宿州市埇桥区经济开发区污水处理厂</w:t>
                  </w:r>
                  <w:r>
                    <w:rPr>
                      <w:rFonts w:hint="default" w:ascii="Times New Roman" w:hAnsi="Times New Roman" w:eastAsia="宋体" w:cs="Times New Roman"/>
                      <w:color w:val="000000" w:themeColor="text1"/>
                      <w:kern w:val="0"/>
                      <w:sz w:val="21"/>
                      <w:szCs w:val="21"/>
                      <w14:textFill>
                        <w14:solidFill>
                          <w14:schemeClr w14:val="tx1"/>
                        </w14:solidFill>
                      </w14:textFill>
                    </w:rPr>
                    <w:t>，废水执行《污水综合排放标准》（GB8978-1996）三级标准并满足</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宿州市埇桥区经济开发区污水处理厂</w:t>
                  </w:r>
                  <w:r>
                    <w:rPr>
                      <w:rFonts w:hint="default" w:ascii="Times New Roman" w:hAnsi="Times New Roman" w:eastAsia="宋体" w:cs="Times New Roman"/>
                      <w:color w:val="000000" w:themeColor="text1"/>
                      <w:kern w:val="0"/>
                      <w:sz w:val="21"/>
                      <w:szCs w:val="21"/>
                      <w14:textFill>
                        <w14:solidFill>
                          <w14:schemeClr w14:val="tx1"/>
                        </w14:solidFill>
                      </w14:textFill>
                    </w:rPr>
                    <w:t>接管标准，且排放总量纳入</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宿州市埇桥区经济开发区污水处理厂</w:t>
                  </w:r>
                  <w:r>
                    <w:rPr>
                      <w:rFonts w:hint="default" w:ascii="Times New Roman" w:hAnsi="Times New Roman" w:eastAsia="宋体" w:cs="Times New Roman"/>
                      <w:color w:val="000000" w:themeColor="text1"/>
                      <w:kern w:val="0"/>
                      <w:sz w:val="21"/>
                      <w:szCs w:val="21"/>
                      <w14:textFill>
                        <w14:solidFill>
                          <w14:schemeClr w14:val="tx1"/>
                        </w14:solidFill>
                      </w14:textFill>
                    </w:rPr>
                    <w:t>总量指标。</w:t>
                  </w:r>
                </w:p>
              </w:tc>
              <w:tc>
                <w:tcPr>
                  <w:tcW w:w="289" w:type="pct"/>
                  <w:noWrap w:val="0"/>
                  <w:tcMar>
                    <w:top w:w="0" w:type="dxa"/>
                    <w:left w:w="0" w:type="dxa"/>
                    <w:bottom w:w="0" w:type="dxa"/>
                    <w:right w:w="0" w:type="dxa"/>
                  </w:tcMar>
                  <w:vAlign w:val="center"/>
                </w:tcPr>
                <w:p w14:paraId="0BD9E9DA">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符合</w:t>
                  </w:r>
                </w:p>
              </w:tc>
            </w:tr>
            <w:tr w14:paraId="2A7904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170" w:type="pct"/>
                  <w:vMerge w:val="continue"/>
                  <w:noWrap w:val="0"/>
                  <w:tcMar>
                    <w:top w:w="0" w:type="dxa"/>
                    <w:left w:w="0" w:type="dxa"/>
                    <w:bottom w:w="0" w:type="dxa"/>
                    <w:right w:w="0" w:type="dxa"/>
                  </w:tcMar>
                  <w:vAlign w:val="center"/>
                </w:tcPr>
                <w:p w14:paraId="4EF3817F">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88" w:type="pct"/>
                  <w:vMerge w:val="continue"/>
                  <w:noWrap w:val="0"/>
                  <w:tcMar>
                    <w:top w:w="0" w:type="dxa"/>
                    <w:left w:w="0" w:type="dxa"/>
                    <w:bottom w:w="0" w:type="dxa"/>
                    <w:right w:w="0" w:type="dxa"/>
                  </w:tcMar>
                  <w:vAlign w:val="center"/>
                </w:tcPr>
                <w:p w14:paraId="0A00978D">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56" w:type="pct"/>
                  <w:vMerge w:val="continue"/>
                  <w:noWrap w:val="0"/>
                  <w:tcMar>
                    <w:top w:w="0" w:type="dxa"/>
                    <w:left w:w="0" w:type="dxa"/>
                    <w:bottom w:w="0" w:type="dxa"/>
                    <w:right w:w="0" w:type="dxa"/>
                  </w:tcMar>
                  <w:vAlign w:val="center"/>
                </w:tcPr>
                <w:p w14:paraId="64FEFB74">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23" w:type="pct"/>
                  <w:vMerge w:val="continue"/>
                  <w:noWrap w:val="0"/>
                  <w:tcMar>
                    <w:top w:w="0" w:type="dxa"/>
                    <w:left w:w="0" w:type="dxa"/>
                    <w:bottom w:w="0" w:type="dxa"/>
                    <w:right w:w="0" w:type="dxa"/>
                  </w:tcMar>
                  <w:vAlign w:val="center"/>
                </w:tcPr>
                <w:p w14:paraId="245DC2C1">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119" w:type="pct"/>
                  <w:noWrap w:val="0"/>
                  <w:tcMar>
                    <w:top w:w="0" w:type="dxa"/>
                    <w:left w:w="0" w:type="dxa"/>
                    <w:bottom w:w="0" w:type="dxa"/>
                    <w:right w:w="0" w:type="dxa"/>
                  </w:tcMar>
                  <w:vAlign w:val="center"/>
                </w:tcPr>
                <w:p w14:paraId="394F264F">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开展经济技术开发区、高新技术产业开发区、出口加工区等工业集聚区水污染治理设施排查和污染治理，全面推行工业集聚区企业废水量、水污染物纳管总量双控制度。集聚区内工业废水必须经预处理达到集中处理要求，方可进入污水集中处理设施。</w:t>
                  </w:r>
                </w:p>
              </w:tc>
              <w:tc>
                <w:tcPr>
                  <w:tcW w:w="1652" w:type="pct"/>
                  <w:noWrap w:val="0"/>
                  <w:tcMar>
                    <w:top w:w="0" w:type="dxa"/>
                    <w:left w:w="0" w:type="dxa"/>
                    <w:bottom w:w="0" w:type="dxa"/>
                    <w:right w:w="0" w:type="dxa"/>
                  </w:tcMar>
                  <w:vAlign w:val="center"/>
                </w:tcPr>
                <w:p w14:paraId="12AF143F">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项目位于</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宿州市埇桥区经济开发区滨河路西侧</w:t>
                  </w:r>
                  <w:r>
                    <w:rPr>
                      <w:rFonts w:hint="default" w:ascii="Times New Roman" w:hAnsi="Times New Roman" w:eastAsia="宋体" w:cs="Times New Roman"/>
                      <w:color w:val="000000" w:themeColor="text1"/>
                      <w:kern w:val="0"/>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生活污水经园区已建化粪池处理后排入园区污水管网</w:t>
                  </w:r>
                  <w:r>
                    <w:rPr>
                      <w:rFonts w:hint="default" w:ascii="Times New Roman" w:hAnsi="Times New Roman" w:eastAsia="宋体" w:cs="Times New Roman"/>
                      <w:color w:val="000000" w:themeColor="text1"/>
                      <w:kern w:val="0"/>
                      <w:sz w:val="21"/>
                      <w:szCs w:val="21"/>
                      <w14:textFill>
                        <w14:solidFill>
                          <w14:schemeClr w14:val="tx1"/>
                        </w14:solidFill>
                      </w14:textFill>
                    </w:rPr>
                    <w:t>，废水执行《污水综合排放标准》（GB8978-1996）三级标准并满足</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宿州市埇桥区经济开发区污水处理厂</w:t>
                  </w:r>
                  <w:r>
                    <w:rPr>
                      <w:rFonts w:hint="default" w:ascii="Times New Roman" w:hAnsi="Times New Roman" w:eastAsia="宋体" w:cs="Times New Roman"/>
                      <w:color w:val="000000" w:themeColor="text1"/>
                      <w:kern w:val="0"/>
                      <w:sz w:val="21"/>
                      <w:szCs w:val="21"/>
                      <w14:textFill>
                        <w14:solidFill>
                          <w14:schemeClr w14:val="tx1"/>
                        </w14:solidFill>
                      </w14:textFill>
                    </w:rPr>
                    <w:t>接管标准，且排放总量纳入</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宿州市埇桥区经济开发区污水处理厂</w:t>
                  </w:r>
                  <w:r>
                    <w:rPr>
                      <w:rFonts w:hint="default" w:ascii="Times New Roman" w:hAnsi="Times New Roman" w:eastAsia="宋体" w:cs="Times New Roman"/>
                      <w:color w:val="000000" w:themeColor="text1"/>
                      <w:kern w:val="0"/>
                      <w:sz w:val="21"/>
                      <w:szCs w:val="21"/>
                      <w14:textFill>
                        <w14:solidFill>
                          <w14:schemeClr w14:val="tx1"/>
                        </w14:solidFill>
                      </w14:textFill>
                    </w:rPr>
                    <w:t>总量指标。</w:t>
                  </w:r>
                </w:p>
              </w:tc>
              <w:tc>
                <w:tcPr>
                  <w:tcW w:w="289" w:type="pct"/>
                  <w:noWrap w:val="0"/>
                  <w:tcMar>
                    <w:top w:w="0" w:type="dxa"/>
                    <w:left w:w="0" w:type="dxa"/>
                    <w:bottom w:w="0" w:type="dxa"/>
                    <w:right w:w="0" w:type="dxa"/>
                  </w:tcMar>
                  <w:vAlign w:val="center"/>
                </w:tcPr>
                <w:p w14:paraId="25DFE654">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符合</w:t>
                  </w:r>
                </w:p>
              </w:tc>
            </w:tr>
            <w:tr w14:paraId="010266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938" w:type="pct"/>
                  <w:gridSpan w:val="4"/>
                  <w:noWrap w:val="0"/>
                  <w:tcMar>
                    <w:top w:w="0" w:type="dxa"/>
                    <w:left w:w="0" w:type="dxa"/>
                    <w:bottom w:w="0" w:type="dxa"/>
                    <w:right w:w="0" w:type="dxa"/>
                  </w:tcMar>
                  <w:vAlign w:val="center"/>
                </w:tcPr>
                <w:p w14:paraId="2DBE17BD">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其他一般管控单元</w:t>
                  </w:r>
                </w:p>
              </w:tc>
              <w:tc>
                <w:tcPr>
                  <w:tcW w:w="2119" w:type="pct"/>
                  <w:noWrap w:val="0"/>
                  <w:tcMar>
                    <w:top w:w="0" w:type="dxa"/>
                    <w:left w:w="0" w:type="dxa"/>
                    <w:bottom w:w="0" w:type="dxa"/>
                    <w:right w:w="0" w:type="dxa"/>
                  </w:tcMar>
                  <w:vAlign w:val="center"/>
                </w:tcPr>
                <w:p w14:paraId="7F87376E">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一般管控单元内，执行现有法律法规和政策文件。</w:t>
                  </w:r>
                </w:p>
              </w:tc>
              <w:tc>
                <w:tcPr>
                  <w:tcW w:w="1652" w:type="pct"/>
                  <w:noWrap w:val="0"/>
                  <w:tcMar>
                    <w:top w:w="0" w:type="dxa"/>
                    <w:left w:w="0" w:type="dxa"/>
                    <w:bottom w:w="0" w:type="dxa"/>
                    <w:right w:w="0" w:type="dxa"/>
                  </w:tcMar>
                  <w:vAlign w:val="center"/>
                </w:tcPr>
                <w:p w14:paraId="678CFFBD">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项目的建设和生产均符合现有法律法规和政策文件</w:t>
                  </w:r>
                </w:p>
              </w:tc>
              <w:tc>
                <w:tcPr>
                  <w:tcW w:w="289" w:type="pct"/>
                  <w:noWrap w:val="0"/>
                  <w:tcMar>
                    <w:top w:w="0" w:type="dxa"/>
                    <w:left w:w="0" w:type="dxa"/>
                    <w:bottom w:w="0" w:type="dxa"/>
                    <w:right w:w="0" w:type="dxa"/>
                  </w:tcMar>
                  <w:vAlign w:val="center"/>
                </w:tcPr>
                <w:p w14:paraId="6A70EE58">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符合</w:t>
                  </w:r>
                </w:p>
              </w:tc>
            </w:tr>
          </w:tbl>
          <w:p w14:paraId="26AA48B2">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综上所述，本项目符合“三线一单”要求</w:t>
            </w:r>
            <w:r>
              <w:rPr>
                <w:rFonts w:hint="default" w:ascii="Times New Roman" w:hAnsi="Times New Roman" w:eastAsia="宋体" w:cs="Times New Roman"/>
                <w:color w:val="000000" w:themeColor="text1"/>
                <w:sz w:val="24"/>
                <w14:textFill>
                  <w14:solidFill>
                    <w14:schemeClr w14:val="tx1"/>
                  </w14:solidFill>
                </w14:textFill>
              </w:rPr>
              <w:t>。</w:t>
            </w:r>
          </w:p>
          <w:p w14:paraId="1B611776">
            <w:pPr>
              <w:keepNext w:val="0"/>
              <w:keepLines w:val="0"/>
              <w:pageBreakBefore w:val="0"/>
              <w:widowControl/>
              <w:numPr>
                <w:ilvl w:val="0"/>
                <w:numId w:val="4"/>
              </w:numPr>
              <w:kinsoku w:val="0"/>
              <w:wordWrap/>
              <w:overflowPunct/>
              <w:topLinePunct w:val="0"/>
              <w:autoSpaceDE w:val="0"/>
              <w:autoSpaceDN w:val="0"/>
              <w:bidi w:val="0"/>
              <w:adjustRightInd/>
              <w:snapToGrid/>
              <w:spacing w:line="360" w:lineRule="auto"/>
              <w:textAlignment w:val="baseline"/>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生态环境分区管控相符性分析</w:t>
            </w:r>
          </w:p>
          <w:p w14:paraId="0B9E7B4F">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根据《宿州市“三线一单”》，宿州市共划定重点管控单元22个，面积为1641.71平方公里，占全市国土面积的16.52%，一般管控单元5个，面积为7225.23平方公里，占全市国土面积的72.7%。本项目位于宿州市“三线一单”生态环境分区管控的重点</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管控单元内（环境管控单元编码：ZH34130220013），经与“三线一单”成果数据分析，与1个环境管控单元存在交叠，其中优先保护类0个，重点管控类1个，一般管控类0个。具体管控要求及交叠情况详见附件。</w:t>
            </w:r>
          </w:p>
          <w:p w14:paraId="001F6630">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项目基本信息见下表及下图。附图4宿州市生态红线图；附图5宿州市大气环境分区管控图、附图6宿州市水环境分区管控图及附图7宿州市土壤污染风险分区管控图。详细管控要求见附件6。</w:t>
            </w:r>
          </w:p>
          <w:p w14:paraId="4EA94C69">
            <w:pPr>
              <w:keepNext w:val="0"/>
              <w:keepLines w:val="0"/>
              <w:pageBreakBefore w:val="0"/>
              <w:widowControl/>
              <w:kinsoku w:val="0"/>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color w:val="000000" w:themeColor="text1"/>
                <w:kern w:val="0"/>
                <w:sz w:val="24"/>
                <w14:textFill>
                  <w14:solidFill>
                    <w14:schemeClr w14:val="tx1"/>
                  </w14:solidFill>
                </w14:textFill>
              </w:rPr>
            </w:pPr>
            <w:r>
              <w:rPr>
                <w:rFonts w:hint="default" w:ascii="Times New Roman" w:hAnsi="Times New Roman" w:eastAsia="宋体" w:cs="Times New Roman"/>
                <w:b/>
                <w:color w:val="000000" w:themeColor="text1"/>
                <w:kern w:val="0"/>
                <w:sz w:val="24"/>
                <w14:textFill>
                  <w14:solidFill>
                    <w14:schemeClr w14:val="tx1"/>
                  </w14:solidFill>
                </w14:textFill>
              </w:rPr>
              <w:t>表1</w:t>
            </w:r>
            <w:r>
              <w:rPr>
                <w:rFonts w:hint="default" w:ascii="Times New Roman" w:hAnsi="Times New Roman" w:eastAsia="宋体" w:cs="Times New Roman"/>
                <w:b/>
                <w:color w:val="000000" w:themeColor="text1"/>
                <w:kern w:val="0"/>
                <w:sz w:val="24"/>
                <w:lang w:val="en-US" w:eastAsia="zh-CN"/>
                <w14:textFill>
                  <w14:solidFill>
                    <w14:schemeClr w14:val="tx1"/>
                  </w14:solidFill>
                </w14:textFill>
              </w:rPr>
              <w:t>-3</w:t>
            </w:r>
            <w:r>
              <w:rPr>
                <w:rFonts w:hint="default" w:ascii="Times New Roman" w:hAnsi="Times New Roman" w:eastAsia="宋体" w:cs="Times New Roman"/>
                <w:b/>
                <w:color w:val="000000" w:themeColor="text1"/>
                <w:kern w:val="0"/>
                <w:sz w:val="24"/>
                <w14:textFill>
                  <w14:solidFill>
                    <w14:schemeClr w14:val="tx1"/>
                  </w14:solidFill>
                </w14:textFill>
              </w:rPr>
              <w:t xml:space="preserve">  项目基本信息</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0"/>
              <w:gridCol w:w="3103"/>
              <w:gridCol w:w="3640"/>
            </w:tblGrid>
            <w:tr w14:paraId="12714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1" w:type="dxa"/>
                  <w:noWrap w:val="0"/>
                  <w:vAlign w:val="center"/>
                </w:tcPr>
                <w:p w14:paraId="560A03FC">
                  <w:pPr>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3180" w:type="dxa"/>
                  <w:noWrap w:val="0"/>
                  <w:vAlign w:val="center"/>
                </w:tcPr>
                <w:p w14:paraId="31251FE6">
                  <w:pPr>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类别</w:t>
                  </w:r>
                </w:p>
              </w:tc>
              <w:tc>
                <w:tcPr>
                  <w:tcW w:w="3731" w:type="dxa"/>
                  <w:noWrap w:val="0"/>
                  <w:vAlign w:val="center"/>
                </w:tcPr>
                <w:p w14:paraId="6D772D61">
                  <w:pPr>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本项目</w:t>
                  </w:r>
                </w:p>
              </w:tc>
            </w:tr>
            <w:tr w14:paraId="6696F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1" w:type="dxa"/>
                  <w:noWrap w:val="0"/>
                  <w:vAlign w:val="center"/>
                </w:tcPr>
                <w:p w14:paraId="53475080">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180" w:type="dxa"/>
                  <w:noWrap w:val="0"/>
                  <w:vAlign w:val="center"/>
                </w:tcPr>
                <w:p w14:paraId="08FB09D0">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环境管控单元编码</w:t>
                  </w:r>
                </w:p>
              </w:tc>
              <w:tc>
                <w:tcPr>
                  <w:tcW w:w="3731" w:type="dxa"/>
                  <w:noWrap w:val="0"/>
                  <w:vAlign w:val="center"/>
                </w:tcPr>
                <w:p w14:paraId="371C4214">
                  <w:pPr>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ZH34130220013</w:t>
                  </w:r>
                </w:p>
              </w:tc>
            </w:tr>
            <w:tr w14:paraId="71585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1" w:type="dxa"/>
                  <w:noWrap w:val="0"/>
                  <w:vAlign w:val="center"/>
                </w:tcPr>
                <w:p w14:paraId="5841ADF8">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180" w:type="dxa"/>
                  <w:noWrap w:val="0"/>
                  <w:vAlign w:val="center"/>
                </w:tcPr>
                <w:p w14:paraId="1CB7E696">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管控单元分类</w:t>
                  </w:r>
                </w:p>
              </w:tc>
              <w:tc>
                <w:tcPr>
                  <w:tcW w:w="3731" w:type="dxa"/>
                  <w:noWrap w:val="0"/>
                  <w:vAlign w:val="center"/>
                </w:tcPr>
                <w:p w14:paraId="2695BAB5">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重点管控单元</w:t>
                  </w:r>
                </w:p>
              </w:tc>
            </w:tr>
            <w:tr w14:paraId="63FF2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01" w:type="dxa"/>
                  <w:noWrap w:val="0"/>
                  <w:vAlign w:val="center"/>
                </w:tcPr>
                <w:p w14:paraId="3CADEA5D">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180" w:type="dxa"/>
                  <w:noWrap w:val="0"/>
                  <w:vAlign w:val="center"/>
                </w:tcPr>
                <w:p w14:paraId="61ACC1C3">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行政区</w:t>
                  </w:r>
                </w:p>
              </w:tc>
              <w:tc>
                <w:tcPr>
                  <w:tcW w:w="3731" w:type="dxa"/>
                  <w:noWrap w:val="0"/>
                  <w:vAlign w:val="center"/>
                </w:tcPr>
                <w:p w14:paraId="1B1BBD9E">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安徽省宿州市</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埇桥</w:t>
                  </w:r>
                  <w:r>
                    <w:rPr>
                      <w:rFonts w:hint="default" w:ascii="Times New Roman" w:hAnsi="Times New Roman" w:eastAsia="宋体" w:cs="Times New Roman"/>
                      <w:color w:val="000000" w:themeColor="text1"/>
                      <w:sz w:val="21"/>
                      <w:szCs w:val="21"/>
                      <w14:textFill>
                        <w14:solidFill>
                          <w14:schemeClr w14:val="tx1"/>
                        </w14:solidFill>
                      </w14:textFill>
                    </w:rPr>
                    <w:t>济开发区</w:t>
                  </w:r>
                </w:p>
              </w:tc>
            </w:tr>
            <w:tr w14:paraId="6AC4F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1" w:type="dxa"/>
                  <w:noWrap w:val="0"/>
                  <w:vAlign w:val="center"/>
                </w:tcPr>
                <w:p w14:paraId="2C4CADC9">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180" w:type="dxa"/>
                  <w:noWrap w:val="0"/>
                  <w:vAlign w:val="center"/>
                </w:tcPr>
                <w:p w14:paraId="7F3B2826">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管控单位细类</w:t>
                  </w:r>
                </w:p>
              </w:tc>
              <w:tc>
                <w:tcPr>
                  <w:tcW w:w="3731" w:type="dxa"/>
                  <w:noWrap w:val="0"/>
                  <w:vAlign w:val="center"/>
                </w:tcPr>
                <w:p w14:paraId="640ED03D">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水重点/大气重点</w:t>
                  </w:r>
                </w:p>
              </w:tc>
            </w:tr>
          </w:tbl>
          <w:p w14:paraId="0ED0C96C">
            <w:pPr>
              <w:keepNext w:val="0"/>
              <w:keepLines w:val="0"/>
              <w:pageBreakBefore w:val="0"/>
              <w:widowControl/>
              <w:kinsoku w:val="0"/>
              <w:wordWrap/>
              <w:overflowPunct/>
              <w:topLinePunct w:val="0"/>
              <w:autoSpaceDE w:val="0"/>
              <w:autoSpaceDN w:val="0"/>
              <w:bidi w:val="0"/>
              <w:adjustRightInd/>
              <w:snapToGrid/>
              <w:spacing w:line="360" w:lineRule="auto"/>
              <w:textAlignment w:val="baseline"/>
              <w:rPr>
                <w:rFonts w:hint="default" w:ascii="Times New Roman" w:hAnsi="Times New Roman" w:eastAsia="宋体" w:cs="Times New Roman"/>
                <w:color w:val="0000FF"/>
                <w:lang w:eastAsia="zh-CN"/>
              </w:rPr>
            </w:pPr>
            <w:r>
              <w:rPr>
                <w:rFonts w:hint="default" w:ascii="Times New Roman" w:hAnsi="Times New Roman" w:eastAsia="宋体" w:cs="Times New Roman"/>
                <w:color w:val="0000FF"/>
                <w:sz w:val="21"/>
              </w:rPr>
              <mc:AlternateContent>
                <mc:Choice Requires="wps">
                  <w:drawing>
                    <wp:anchor distT="0" distB="0" distL="114300" distR="114300" simplePos="0" relativeHeight="251662336" behindDoc="0" locked="0" layoutInCell="1" allowOverlap="1">
                      <wp:simplePos x="0" y="0"/>
                      <wp:positionH relativeFrom="column">
                        <wp:posOffset>2834640</wp:posOffset>
                      </wp:positionH>
                      <wp:positionV relativeFrom="paragraph">
                        <wp:posOffset>619125</wp:posOffset>
                      </wp:positionV>
                      <wp:extent cx="858520" cy="255270"/>
                      <wp:effectExtent l="6350" t="6350" r="11430" b="500380"/>
                      <wp:wrapNone/>
                      <wp:docPr id="12" name="矩形标注 12"/>
                      <wp:cNvGraphicFramePr/>
                      <a:graphic xmlns:a="http://schemas.openxmlformats.org/drawingml/2006/main">
                        <a:graphicData uri="http://schemas.microsoft.com/office/word/2010/wordprocessingShape">
                          <wps:wsp>
                            <wps:cNvSpPr/>
                            <wps:spPr>
                              <a:xfrm>
                                <a:off x="3699510" y="5909945"/>
                                <a:ext cx="858520" cy="255270"/>
                              </a:xfrm>
                              <a:prstGeom prst="wedgeRectCallout">
                                <a:avLst>
                                  <a:gd name="adj1" fmla="val -16568"/>
                                  <a:gd name="adj2" fmla="val 231592"/>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E9A0CC1">
                                  <w:pPr>
                                    <w:jc w:val="center"/>
                                    <w:rPr>
                                      <w:rFonts w:hint="eastAsia" w:eastAsia="宋体"/>
                                      <w:b/>
                                      <w:bCs/>
                                      <w:sz w:val="15"/>
                                      <w:szCs w:val="15"/>
                                      <w:lang w:val="en-US" w:eastAsia="zh-CN"/>
                                    </w:rPr>
                                  </w:pPr>
                                  <w:r>
                                    <w:rPr>
                                      <w:rFonts w:hint="eastAsia" w:eastAsia="宋体"/>
                                      <w:b/>
                                      <w:bCs/>
                                      <w:sz w:val="15"/>
                                      <w:szCs w:val="15"/>
                                      <w:lang w:val="en-US"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23.2pt;margin-top:48.75pt;height:20.1pt;width:67.6pt;z-index:251662336;v-text-anchor:middle;mso-width-relative:page;mso-height-relative:page;" fillcolor="#FFFFFF [3212]" filled="t" stroked="t" coordsize="21600,21600" o:gfxdata="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BZQ4ry1wAAAAoBAAAPAAAAAAAAAAEA&#10;IAAAACIAAABkcnMvZG93bnJldi54bWxQSwECFAAUAAAACACHTuJAAS+dZbsCAABxBQAADgAAAAAA&#10;AAABACAAAAAmAQAAZHJzL2Uyb0RvYy54bWxQSwUGAAAAAAYABgBZAQAAUwYAAAAA&#10;" adj="7221,60824">
                      <v:fill on="t" focussize="0,0"/>
                      <v:stroke weight="1pt" color="#000000 [3213]" miterlimit="8" joinstyle="miter"/>
                      <v:imagedata o:title=""/>
                      <o:lock v:ext="edit" aspectratio="f"/>
                      <v:textbox>
                        <w:txbxContent>
                          <w:p w14:paraId="3E9A0CC1">
                            <w:pPr>
                              <w:jc w:val="center"/>
                              <w:rPr>
                                <w:rFonts w:hint="eastAsia" w:eastAsia="宋体"/>
                                <w:b/>
                                <w:bCs/>
                                <w:sz w:val="15"/>
                                <w:szCs w:val="15"/>
                                <w:lang w:val="en-US" w:eastAsia="zh-CN"/>
                              </w:rPr>
                            </w:pPr>
                            <w:r>
                              <w:rPr>
                                <w:rFonts w:hint="eastAsia" w:eastAsia="宋体"/>
                                <w:b/>
                                <w:bCs/>
                                <w:sz w:val="15"/>
                                <w:szCs w:val="15"/>
                                <w:lang w:val="en-US" w:eastAsia="zh-CN"/>
                              </w:rPr>
                              <w:t>项目所在地</w:t>
                            </w:r>
                          </w:p>
                        </w:txbxContent>
                      </v:textbox>
                    </v:shape>
                  </w:pict>
                </mc:Fallback>
              </mc:AlternateContent>
            </w:r>
            <w:r>
              <w:rPr>
                <w:rFonts w:hint="default" w:ascii="Times New Roman" w:hAnsi="Times New Roman" w:eastAsia="宋体" w:cs="Times New Roman"/>
                <w:color w:val="0000FF"/>
                <w:lang w:eastAsia="zh-CN"/>
              </w:rPr>
              <w:drawing>
                <wp:inline distT="0" distB="0" distL="114300" distR="114300">
                  <wp:extent cx="5154295" cy="2958465"/>
                  <wp:effectExtent l="0" t="0" r="8255" b="13335"/>
                  <wp:docPr id="11" name="图片 11" descr="550f4c2c8e04421cd61f0757c6fe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50f4c2c8e04421cd61f0757c6fe275"/>
                          <pic:cNvPicPr>
                            <a:picLocks noChangeAspect="1"/>
                          </pic:cNvPicPr>
                        </pic:nvPicPr>
                        <pic:blipFill>
                          <a:blip r:embed="rId12"/>
                          <a:stretch>
                            <a:fillRect/>
                          </a:stretch>
                        </pic:blipFill>
                        <pic:spPr>
                          <a:xfrm>
                            <a:off x="0" y="0"/>
                            <a:ext cx="5154295" cy="2958465"/>
                          </a:xfrm>
                          <a:prstGeom prst="rect">
                            <a:avLst/>
                          </a:prstGeom>
                        </pic:spPr>
                      </pic:pic>
                    </a:graphicData>
                  </a:graphic>
                </wp:inline>
              </w:drawing>
            </w:r>
          </w:p>
          <w:p w14:paraId="136B081E">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综上所述，本项目建设满足生态保护红线、环境质量底线、资源利用上线，且不在环境准入负面清单中，符合“三线一单”与分区管控要求。</w:t>
            </w:r>
          </w:p>
          <w:p w14:paraId="0BF9B8A8">
            <w:pPr>
              <w:keepNext w:val="0"/>
              <w:keepLines w:val="0"/>
              <w:pageBreakBefore w:val="0"/>
              <w:widowControl/>
              <w:kinsoku w:val="0"/>
              <w:wordWrap/>
              <w:overflowPunct/>
              <w:topLinePunct w:val="0"/>
              <w:autoSpaceDE w:val="0"/>
              <w:autoSpaceDN w:val="0"/>
              <w:bidi w:val="0"/>
              <w:adjustRightInd/>
              <w:snapToGrid/>
              <w:spacing w:line="360" w:lineRule="auto"/>
              <w:textAlignment w:val="baseline"/>
              <w:rPr>
                <w:rFonts w:hint="default" w:ascii="Times New Roman" w:hAnsi="Times New Roman" w:eastAsia="宋体" w:cs="Times New Roman"/>
                <w:b/>
                <w:bCs/>
                <w:color w:val="000000" w:themeColor="text1"/>
                <w:sz w:val="24"/>
                <w:lang w:eastAsia="zh-CN"/>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w:t>
            </w:r>
            <w:r>
              <w:rPr>
                <w:rFonts w:hint="default" w:ascii="Times New Roman" w:hAnsi="Times New Roman" w:eastAsia="宋体" w:cs="Times New Roman"/>
                <w:b/>
                <w:bCs/>
                <w:color w:val="000000" w:themeColor="text1"/>
                <w:sz w:val="24"/>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14:textFill>
                  <w14:solidFill>
                    <w14:schemeClr w14:val="tx1"/>
                  </w14:solidFill>
                </w14:textFill>
              </w:rPr>
              <w:t>）与《安徽省空气质量持续改善行动方案》的相符性</w:t>
            </w:r>
            <w:r>
              <w:rPr>
                <w:rFonts w:hint="default" w:ascii="Times New Roman" w:hAnsi="Times New Roman" w:eastAsia="宋体" w:cs="Times New Roman"/>
                <w:b/>
                <w:bCs/>
                <w:color w:val="000000" w:themeColor="text1"/>
                <w:sz w:val="24"/>
                <w:lang w:eastAsia="zh-CN"/>
                <w14:textFill>
                  <w14:solidFill>
                    <w14:schemeClr w14:val="tx1"/>
                  </w14:solidFill>
                </w14:textFill>
              </w:rPr>
              <w:t>分析</w:t>
            </w:r>
          </w:p>
          <w:p w14:paraId="062DABFF">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表1-</w:t>
            </w:r>
            <w:r>
              <w:rPr>
                <w:rFonts w:hint="default" w:ascii="Times New Roman" w:hAnsi="Times New Roman" w:eastAsia="宋体" w:cs="Times New Roman"/>
                <w:b/>
                <w:bCs/>
                <w:color w:val="000000" w:themeColor="text1"/>
                <w:sz w:val="24"/>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14:textFill>
                  <w14:solidFill>
                    <w14:schemeClr w14:val="tx1"/>
                  </w14:solidFill>
                </w14:textFill>
              </w:rPr>
              <w:t>与</w:t>
            </w:r>
            <w:r>
              <w:rPr>
                <w:rFonts w:hint="default" w:ascii="Times New Roman" w:hAnsi="Times New Roman" w:eastAsia="宋体" w:cs="Times New Roman"/>
                <w:b/>
                <w:bCs/>
                <w:color w:val="000000" w:themeColor="text1"/>
                <w:sz w:val="24"/>
                <w:lang w:eastAsia="zh-CN"/>
                <w14:textFill>
                  <w14:solidFill>
                    <w14:schemeClr w14:val="tx1"/>
                  </w14:solidFill>
                </w14:textFill>
              </w:rPr>
              <w:t>《</w:t>
            </w:r>
            <w:r>
              <w:rPr>
                <w:rFonts w:hint="default" w:ascii="Times New Roman" w:hAnsi="Times New Roman" w:eastAsia="宋体" w:cs="Times New Roman"/>
                <w:b/>
                <w:bCs/>
                <w:color w:val="000000" w:themeColor="text1"/>
                <w:sz w:val="24"/>
                <w14:textFill>
                  <w14:solidFill>
                    <w14:schemeClr w14:val="tx1"/>
                  </w14:solidFill>
                </w14:textFill>
              </w:rPr>
              <w:t>安徽省空气质量持续改善行动方案符</w:t>
            </w:r>
            <w:r>
              <w:rPr>
                <w:rFonts w:hint="default" w:ascii="Times New Roman" w:hAnsi="Times New Roman" w:eastAsia="宋体" w:cs="Times New Roman"/>
                <w:b/>
                <w:bCs/>
                <w:color w:val="000000" w:themeColor="text1"/>
                <w:sz w:val="24"/>
                <w:lang w:eastAsia="zh-CN"/>
                <w14:textFill>
                  <w14:solidFill>
                    <w14:schemeClr w14:val="tx1"/>
                  </w14:solidFill>
                </w14:textFill>
              </w:rPr>
              <w:t>》</w:t>
            </w:r>
            <w:r>
              <w:rPr>
                <w:rFonts w:hint="default" w:ascii="Times New Roman" w:hAnsi="Times New Roman" w:eastAsia="宋体" w:cs="Times New Roman"/>
                <w:b/>
                <w:bCs/>
                <w:color w:val="000000" w:themeColor="text1"/>
                <w:sz w:val="24"/>
                <w14:textFill>
                  <w14:solidFill>
                    <w14:schemeClr w14:val="tx1"/>
                  </w14:solidFill>
                </w14:textFill>
              </w:rPr>
              <w:t>合性分析</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478"/>
              <w:gridCol w:w="1842"/>
              <w:gridCol w:w="1022"/>
            </w:tblGrid>
            <w:tr w14:paraId="58D59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shd w:val="clear" w:color="auto" w:fill="auto"/>
                  <w:vAlign w:val="center"/>
                </w:tcPr>
                <w:p w14:paraId="212C1A7F">
                  <w:pPr>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序号</w:t>
                  </w:r>
                </w:p>
              </w:tc>
              <w:tc>
                <w:tcPr>
                  <w:tcW w:w="2759" w:type="pct"/>
                  <w:shd w:val="clear" w:color="auto" w:fill="auto"/>
                  <w:vAlign w:val="center"/>
                </w:tcPr>
                <w:p w14:paraId="34015134">
                  <w:pPr>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相关规范要求</w:t>
                  </w:r>
                </w:p>
              </w:tc>
              <w:tc>
                <w:tcPr>
                  <w:tcW w:w="1135" w:type="pct"/>
                  <w:shd w:val="clear" w:color="auto" w:fill="auto"/>
                  <w:vAlign w:val="center"/>
                </w:tcPr>
                <w:p w14:paraId="31951447">
                  <w:pPr>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本项目情况</w:t>
                  </w:r>
                </w:p>
              </w:tc>
              <w:tc>
                <w:tcPr>
                  <w:tcW w:w="629" w:type="pct"/>
                  <w:shd w:val="clear" w:color="auto" w:fill="auto"/>
                  <w:vAlign w:val="center"/>
                </w:tcPr>
                <w:p w14:paraId="3F37C035">
                  <w:pPr>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符合性</w:t>
                  </w:r>
                </w:p>
              </w:tc>
            </w:tr>
            <w:tr w14:paraId="34384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shd w:val="clear" w:color="auto" w:fill="auto"/>
                  <w:vAlign w:val="center"/>
                </w:tcPr>
                <w:p w14:paraId="15345326">
                  <w:pPr>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w:t>
                  </w:r>
                </w:p>
              </w:tc>
              <w:tc>
                <w:tcPr>
                  <w:tcW w:w="2759" w:type="pct"/>
                  <w:shd w:val="clear" w:color="auto" w:fill="auto"/>
                  <w:vAlign w:val="center"/>
                </w:tcPr>
                <w:p w14:paraId="13669FEA">
                  <w:pPr>
                    <w:pStyle w:val="76"/>
                    <w:spacing w:line="240" w:lineRule="auto"/>
                    <w:ind w:firstLine="0" w:firstLine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三）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实施“高污染、高耗能”项目部门联审，源头管控低水平项目上马。制定实施安徽省加强生态环境分区管控方案。严格落实产能置换要求，不以任何名义、任何方式核准、备案产能严重过剩行业新增产能项目，被置换产能及其配套设施关停后，新建项目方可投产。</w:t>
                  </w:r>
                </w:p>
              </w:tc>
              <w:tc>
                <w:tcPr>
                  <w:tcW w:w="1135" w:type="pct"/>
                  <w:shd w:val="clear" w:color="auto" w:fill="auto"/>
                  <w:vAlign w:val="center"/>
                </w:tcPr>
                <w:p w14:paraId="631195F1">
                  <w:pPr>
                    <w:jc w:val="center"/>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本项目不属于高耗能、高排放、低水平项目</w:t>
                  </w:r>
                </w:p>
              </w:tc>
              <w:tc>
                <w:tcPr>
                  <w:tcW w:w="629" w:type="pct"/>
                  <w:shd w:val="clear" w:color="auto" w:fill="auto"/>
                  <w:vAlign w:val="center"/>
                </w:tcPr>
                <w:p w14:paraId="34B238C3">
                  <w:pPr>
                    <w:jc w:val="center"/>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tc>
            </w:tr>
            <w:tr w14:paraId="1400E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shd w:val="clear" w:color="auto" w:fill="auto"/>
                  <w:vAlign w:val="center"/>
                </w:tcPr>
                <w:p w14:paraId="6F1A3827">
                  <w:pPr>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w:t>
                  </w:r>
                </w:p>
              </w:tc>
              <w:tc>
                <w:tcPr>
                  <w:tcW w:w="2759" w:type="pct"/>
                  <w:shd w:val="clear" w:color="auto" w:fill="auto"/>
                  <w:vAlign w:val="center"/>
                </w:tcPr>
                <w:p w14:paraId="5BE92D26">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四）有序推动落后产能淘汰。严格执行《产业结构调整指导目录》。综合运用能耗、环保、质量、安全、技术等要求，依法依规推动落后产能退出，逐步退出限制类涉气行业工艺和装备。有序推动生产设施老旧、工艺水平落后、环境管理水平低下的独立焦化、烧结、球团、热轧企业和落后煤炭洗选企业退出市场。逐步淘汰步进式烧结机和球团竖炉以及半封闭式硅锰合金、镍铁、高碳铬铁、高碳锰铁电炉。严禁违规新增钢铁、水泥（熟料）、焦化、电解铝、平板玻璃（不含光伏压延玻璃）产能。鼓励钢铁行业龙头企业实施兼并重组，到2025年，短流程炼钢产量占比达15%。</w:t>
                  </w:r>
                </w:p>
              </w:tc>
              <w:tc>
                <w:tcPr>
                  <w:tcW w:w="1135" w:type="pct"/>
                  <w:shd w:val="clear" w:color="auto" w:fill="auto"/>
                  <w:vAlign w:val="center"/>
                </w:tcPr>
                <w:p w14:paraId="1B75E3BF">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本项目不属于《产业结构调整指导目录（2024年本）》中限制、淘汰的目录的建设项目，</w:t>
                  </w:r>
                </w:p>
              </w:tc>
              <w:tc>
                <w:tcPr>
                  <w:tcW w:w="629" w:type="pct"/>
                  <w:shd w:val="clear" w:color="auto" w:fill="auto"/>
                  <w:vAlign w:val="center"/>
                </w:tcPr>
                <w:p w14:paraId="14AEE12B">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tc>
            </w:tr>
            <w:tr w14:paraId="000BC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shd w:val="clear" w:color="auto" w:fill="auto"/>
                  <w:vAlign w:val="center"/>
                </w:tcPr>
                <w:p w14:paraId="12D9B3BB">
                  <w:pPr>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3</w:t>
                  </w:r>
                </w:p>
              </w:tc>
              <w:tc>
                <w:tcPr>
                  <w:tcW w:w="2759" w:type="pct"/>
                  <w:shd w:val="clear" w:color="auto" w:fill="auto"/>
                  <w:vAlign w:val="center"/>
                </w:tcPr>
                <w:p w14:paraId="18B3F078">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六）推动新能源和节能环保等产业健康发展。深化新能源和节能环保产业“双招双引”，在低（无）VOCs含量原辅材料生产和使用、VOCs污染治理、超低排放、环境和大气成分监测等领域支持培育一批技术水平高、市场竞争力强的龙头企业。加快发展新能源汽车和智能网联汽车等战略性新兴产业。开展招标投标领域优化营商环境对标提升行动，系统治理环保领域低价低质中标乱象，营造公平竞争环境，推动产业健康有序发展。</w:t>
                  </w:r>
                </w:p>
              </w:tc>
              <w:tc>
                <w:tcPr>
                  <w:tcW w:w="1135" w:type="pct"/>
                  <w:shd w:val="clear" w:color="auto" w:fill="auto"/>
                  <w:vAlign w:val="center"/>
                </w:tcPr>
                <w:p w14:paraId="1E2438AD">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涂胶、烘干、复合工序生产过程产生废气经集气罩收集后进入一套集气系统+水喷淋（TA003）+二级活性炭吸附装置（TA004）处理后由一根高为15米的排气筒排放(DA003)。不属于废气污染严重的项目，处理效率均达90%。</w:t>
                  </w:r>
                </w:p>
              </w:tc>
              <w:tc>
                <w:tcPr>
                  <w:tcW w:w="629" w:type="pct"/>
                  <w:shd w:val="clear" w:color="auto" w:fill="auto"/>
                  <w:vAlign w:val="center"/>
                </w:tcPr>
                <w:p w14:paraId="3C67AF6A">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符合</w:t>
                  </w:r>
                </w:p>
              </w:tc>
            </w:tr>
          </w:tbl>
          <w:p w14:paraId="25676B54">
            <w:pPr>
              <w:keepNext w:val="0"/>
              <w:keepLines w:val="0"/>
              <w:pageBreakBefore w:val="0"/>
              <w:widowControl/>
              <w:kinsoku w:val="0"/>
              <w:wordWrap/>
              <w:overflowPunct/>
              <w:topLinePunct w:val="0"/>
              <w:autoSpaceDE w:val="0"/>
              <w:autoSpaceDN w:val="0"/>
              <w:bidi w:val="0"/>
              <w:adjustRightInd/>
              <w:snapToGrid/>
              <w:spacing w:line="360" w:lineRule="auto"/>
              <w:textAlignment w:val="baseline"/>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w:t>
            </w:r>
            <w:r>
              <w:rPr>
                <w:rFonts w:hint="default" w:ascii="Times New Roman" w:hAnsi="Times New Roman" w:eastAsia="宋体" w:cs="Times New Roman"/>
                <w:b/>
                <w:bCs/>
                <w:color w:val="000000" w:themeColor="text1"/>
                <w:sz w:val="24"/>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14:textFill>
                  <w14:solidFill>
                    <w14:schemeClr w14:val="tx1"/>
                  </w14:solidFill>
                </w14:textFill>
              </w:rPr>
              <w:t>）与《挥发性有机物无组织排放控制标准》（GB37822-2019 ）符合性分析</w:t>
            </w:r>
          </w:p>
          <w:p w14:paraId="2FAA7832">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表</w:t>
            </w:r>
            <w:r>
              <w:rPr>
                <w:rFonts w:hint="default" w:ascii="Times New Roman" w:hAnsi="Times New Roman" w:eastAsia="宋体" w:cs="Times New Roman"/>
                <w:b/>
                <w:bCs/>
                <w:color w:val="000000" w:themeColor="text1"/>
                <w:sz w:val="24"/>
                <w:lang w:val="en-US" w:eastAsia="zh-CN"/>
                <w14:textFill>
                  <w14:solidFill>
                    <w14:schemeClr w14:val="tx1"/>
                  </w14:solidFill>
                </w14:textFill>
              </w:rPr>
              <w:t>1-5</w:t>
            </w:r>
            <w:r>
              <w:rPr>
                <w:rFonts w:hint="default" w:ascii="Times New Roman" w:hAnsi="Times New Roman" w:eastAsia="宋体" w:cs="Times New Roman"/>
                <w:b/>
                <w:bCs/>
                <w:color w:val="000000" w:themeColor="text1"/>
                <w:sz w:val="24"/>
                <w14:textFill>
                  <w14:solidFill>
                    <w14:schemeClr w14:val="tx1"/>
                  </w14:solidFill>
                </w14:textFill>
              </w:rPr>
              <w:t xml:space="preserve">  与《挥发性有机物无组织排放控制标准》符合性分析</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4"/>
              <w:gridCol w:w="3223"/>
              <w:gridCol w:w="726"/>
            </w:tblGrid>
            <w:tr w14:paraId="5E4DF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70" w:type="dxa"/>
                  <w:noWrap w:val="0"/>
                  <w:vAlign w:val="center"/>
                </w:tcPr>
                <w:p w14:paraId="2E0B6874">
                  <w:pPr>
                    <w:pStyle w:val="77"/>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文件要求</w:t>
                  </w:r>
                </w:p>
              </w:tc>
              <w:tc>
                <w:tcPr>
                  <w:tcW w:w="3303" w:type="dxa"/>
                  <w:noWrap w:val="0"/>
                  <w:vAlign w:val="center"/>
                </w:tcPr>
                <w:p w14:paraId="6DEEEE1D">
                  <w:pPr>
                    <w:pStyle w:val="77"/>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本项目情况</w:t>
                  </w:r>
                </w:p>
              </w:tc>
              <w:tc>
                <w:tcPr>
                  <w:tcW w:w="739" w:type="dxa"/>
                  <w:noWrap w:val="0"/>
                  <w:vAlign w:val="center"/>
                </w:tcPr>
                <w:p w14:paraId="1BA83650">
                  <w:pPr>
                    <w:pStyle w:val="77"/>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结果</w:t>
                  </w:r>
                </w:p>
              </w:tc>
            </w:tr>
            <w:tr w14:paraId="4BC3B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70" w:type="dxa"/>
                  <w:noWrap w:val="0"/>
                  <w:vAlign w:val="center"/>
                </w:tcPr>
                <w:p w14:paraId="5A05AAA9">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VOC</w:t>
                  </w:r>
                  <w:r>
                    <w:rPr>
                      <w:rFonts w:hint="default" w:ascii="Times New Roman" w:hAnsi="Times New Roman" w:eastAsia="宋体" w:cs="Times New Roman"/>
                      <w:color w:val="000000" w:themeColor="text1"/>
                      <w:vertAlign w:val="subscript"/>
                      <w14:textFill>
                        <w14:solidFill>
                          <w14:schemeClr w14:val="tx1"/>
                        </w14:solidFill>
                      </w14:textFill>
                    </w:rPr>
                    <w:t>S</w:t>
                  </w:r>
                  <w:r>
                    <w:rPr>
                      <w:rFonts w:hint="default" w:ascii="Times New Roman" w:hAnsi="Times New Roman" w:eastAsia="宋体" w:cs="Times New Roman"/>
                      <w:color w:val="000000" w:themeColor="text1"/>
                      <w14:textFill>
                        <w14:solidFill>
                          <w14:schemeClr w14:val="tx1"/>
                        </w14:solidFill>
                      </w14:textFill>
                    </w:rPr>
                    <w:t>废气收集处理系统应与生产工艺设备同步进行。</w:t>
                  </w:r>
                  <w:r>
                    <w:rPr>
                      <w:rFonts w:hint="default" w:ascii="Times New Roman" w:hAnsi="Times New Roman" w:eastAsia="宋体" w:cs="Times New Roman"/>
                      <w:color w:val="000000" w:themeColor="text1"/>
                      <w:lang w:val="zh-CN"/>
                      <w14:textFill>
                        <w14:solidFill>
                          <w14:schemeClr w14:val="tx1"/>
                        </w14:solidFill>
                      </w14:textFill>
                    </w:rPr>
                    <w:t>VOC</w:t>
                  </w:r>
                  <w:r>
                    <w:rPr>
                      <w:rFonts w:hint="default" w:ascii="Times New Roman" w:hAnsi="Times New Roman" w:eastAsia="宋体" w:cs="Times New Roman"/>
                      <w:color w:val="000000" w:themeColor="text1"/>
                      <w:vertAlign w:val="subscript"/>
                      <w14:textFill>
                        <w14:solidFill>
                          <w14:schemeClr w14:val="tx1"/>
                        </w14:solidFill>
                      </w14:textFill>
                    </w:rPr>
                    <w:t>S</w:t>
                  </w:r>
                  <w:r>
                    <w:rPr>
                      <w:rFonts w:hint="default" w:ascii="Times New Roman" w:hAnsi="Times New Roman" w:eastAsia="宋体" w:cs="Times New Roman"/>
                      <w:color w:val="000000" w:themeColor="text1"/>
                      <w14:textFill>
                        <w14:solidFill>
                          <w14:schemeClr w14:val="tx1"/>
                        </w14:solidFill>
                      </w14:textFill>
                    </w:rPr>
                    <w:t>废气收集处理系统发生故障或检修时，对应的生产工艺设备停止运行，待检修完毕后同步投入使用；生产工艺设备不能停止运行或不能及时停止运行的，应设置废气应急处理设施或采取其他替代措施</w:t>
                  </w:r>
                </w:p>
              </w:tc>
              <w:tc>
                <w:tcPr>
                  <w:tcW w:w="3303" w:type="dxa"/>
                  <w:noWrap w:val="0"/>
                  <w:vAlign w:val="center"/>
                </w:tcPr>
                <w:p w14:paraId="6E176B80">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环评要求污染治理设施先于生产设备运行，后由于生产设备关闭，出现废气治理设施故障等非正常工况时，应立即停止相应工段的生产并进行检修，检修完成后恢复生产</w:t>
                  </w:r>
                </w:p>
              </w:tc>
              <w:tc>
                <w:tcPr>
                  <w:tcW w:w="739" w:type="dxa"/>
                  <w:noWrap w:val="0"/>
                  <w:vAlign w:val="center"/>
                </w:tcPr>
                <w:p w14:paraId="7255B3AD">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tc>
            </w:tr>
            <w:tr w14:paraId="17EBF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70" w:type="dxa"/>
                  <w:noWrap w:val="0"/>
                  <w:vAlign w:val="center"/>
                </w:tcPr>
                <w:p w14:paraId="297D83F0">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收集的废气中NMHC初始排放速率≥3kg/h 时，应配置</w:t>
                  </w:r>
                  <w:r>
                    <w:rPr>
                      <w:rFonts w:hint="default" w:ascii="Times New Roman" w:hAnsi="Times New Roman" w:eastAsia="宋体" w:cs="Times New Roman"/>
                      <w:color w:val="000000" w:themeColor="text1"/>
                      <w:lang w:val="zh-CN"/>
                      <w14:textFill>
                        <w14:solidFill>
                          <w14:schemeClr w14:val="tx1"/>
                        </w14:solidFill>
                      </w14:textFill>
                    </w:rPr>
                    <w:t>VOC</w:t>
                  </w:r>
                  <w:r>
                    <w:rPr>
                      <w:rFonts w:hint="default" w:ascii="Times New Roman" w:hAnsi="Times New Roman" w:eastAsia="宋体" w:cs="Times New Roman"/>
                      <w:color w:val="000000" w:themeColor="text1"/>
                      <w:vertAlign w:val="subscript"/>
                      <w14:textFill>
                        <w14:solidFill>
                          <w14:schemeClr w14:val="tx1"/>
                        </w14:solidFill>
                      </w14:textFill>
                    </w:rPr>
                    <w:t>S</w:t>
                  </w:r>
                  <w:r>
                    <w:rPr>
                      <w:rFonts w:hint="default" w:ascii="Times New Roman" w:hAnsi="Times New Roman" w:eastAsia="宋体" w:cs="Times New Roman"/>
                      <w:color w:val="000000" w:themeColor="text1"/>
                      <w14:textFill>
                        <w14:solidFill>
                          <w14:schemeClr w14:val="tx1"/>
                        </w14:solidFill>
                      </w14:textFill>
                    </w:rPr>
                    <w:t>处理设施，处理效率不应低于80%；对于重点区域，收集的废气中 NMHC初始排放速率≥2kg/h时，应配置</w:t>
                  </w:r>
                  <w:r>
                    <w:rPr>
                      <w:rFonts w:hint="default" w:ascii="Times New Roman" w:hAnsi="Times New Roman" w:eastAsia="宋体" w:cs="Times New Roman"/>
                      <w:color w:val="000000" w:themeColor="text1"/>
                      <w:lang w:val="zh-CN"/>
                      <w14:textFill>
                        <w14:solidFill>
                          <w14:schemeClr w14:val="tx1"/>
                        </w14:solidFill>
                      </w14:textFill>
                    </w:rPr>
                    <w:t>VOC</w:t>
                  </w:r>
                  <w:r>
                    <w:rPr>
                      <w:rFonts w:hint="default" w:ascii="Times New Roman" w:hAnsi="Times New Roman" w:eastAsia="宋体" w:cs="Times New Roman"/>
                      <w:color w:val="000000" w:themeColor="text1"/>
                      <w:vertAlign w:val="subscript"/>
                      <w14:textFill>
                        <w14:solidFill>
                          <w14:schemeClr w14:val="tx1"/>
                        </w14:solidFill>
                      </w14:textFill>
                    </w:rPr>
                    <w:t>S</w:t>
                  </w:r>
                  <w:r>
                    <w:rPr>
                      <w:rFonts w:hint="default" w:ascii="Times New Roman" w:hAnsi="Times New Roman" w:eastAsia="宋体" w:cs="Times New Roman"/>
                      <w:color w:val="000000" w:themeColor="text1"/>
                      <w14:textFill>
                        <w14:solidFill>
                          <w14:schemeClr w14:val="tx1"/>
                        </w14:solidFill>
                      </w14:textFill>
                    </w:rPr>
                    <w:t>处理设施，处理效率不应低于80%；采用的原辅材料符合国家有关低</w:t>
                  </w:r>
                  <w:r>
                    <w:rPr>
                      <w:rFonts w:hint="default" w:ascii="Times New Roman" w:hAnsi="Times New Roman" w:eastAsia="宋体" w:cs="Times New Roman"/>
                      <w:color w:val="000000" w:themeColor="text1"/>
                      <w:lang w:val="zh-CN"/>
                      <w14:textFill>
                        <w14:solidFill>
                          <w14:schemeClr w14:val="tx1"/>
                        </w14:solidFill>
                      </w14:textFill>
                    </w:rPr>
                    <w:t>VOC</w:t>
                  </w:r>
                  <w:r>
                    <w:rPr>
                      <w:rFonts w:hint="default" w:ascii="Times New Roman" w:hAnsi="Times New Roman" w:eastAsia="宋体" w:cs="Times New Roman"/>
                      <w:color w:val="000000" w:themeColor="text1"/>
                      <w:vertAlign w:val="subscript"/>
                      <w14:textFill>
                        <w14:solidFill>
                          <w14:schemeClr w14:val="tx1"/>
                        </w14:solidFill>
                      </w14:textFill>
                    </w:rPr>
                    <w:t>S</w:t>
                  </w:r>
                  <w:r>
                    <w:rPr>
                      <w:rFonts w:hint="default" w:ascii="Times New Roman" w:hAnsi="Times New Roman" w:eastAsia="宋体" w:cs="Times New Roman"/>
                      <w:color w:val="000000" w:themeColor="text1"/>
                      <w14:textFill>
                        <w14:solidFill>
                          <w14:schemeClr w14:val="tx1"/>
                        </w14:solidFill>
                      </w14:textFill>
                    </w:rPr>
                    <w:t>含量产品规定的除外。</w:t>
                  </w:r>
                </w:p>
              </w:tc>
              <w:tc>
                <w:tcPr>
                  <w:tcW w:w="3303" w:type="dxa"/>
                  <w:noWrap w:val="0"/>
                  <w:vAlign w:val="center"/>
                </w:tcPr>
                <w:p w14:paraId="7DC75235">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w:t>
                  </w:r>
                  <w:r>
                    <w:rPr>
                      <w:rFonts w:hint="default" w:ascii="Times New Roman" w:hAnsi="Times New Roman" w:eastAsia="宋体" w:cs="Times New Roman"/>
                      <w:color w:val="000000" w:themeColor="text1"/>
                      <w:lang w:val="zh-CN"/>
                      <w14:textFill>
                        <w14:solidFill>
                          <w14:schemeClr w14:val="tx1"/>
                        </w14:solidFill>
                      </w14:textFill>
                    </w:rPr>
                    <w:t>VOC</w:t>
                  </w:r>
                  <w:r>
                    <w:rPr>
                      <w:rFonts w:hint="default" w:ascii="Times New Roman" w:hAnsi="Times New Roman" w:eastAsia="宋体" w:cs="Times New Roman"/>
                      <w:color w:val="000000" w:themeColor="text1"/>
                      <w14:textFill>
                        <w14:solidFill>
                          <w14:schemeClr w14:val="tx1"/>
                        </w14:solidFill>
                      </w14:textFill>
                    </w:rPr>
                    <w:t>S初始排放速率为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0.122</w:t>
                  </w:r>
                  <w:r>
                    <w:rPr>
                      <w:rFonts w:hint="default" w:ascii="Times New Roman" w:hAnsi="Times New Roman" w:eastAsia="宋体" w:cs="Times New Roman"/>
                      <w:color w:val="000000" w:themeColor="text1"/>
                      <w14:textFill>
                        <w14:solidFill>
                          <w14:schemeClr w14:val="tx1"/>
                        </w14:solidFill>
                      </w14:textFill>
                    </w:rPr>
                    <w:t>kg/h，</w:t>
                  </w:r>
                  <w:r>
                    <w:rPr>
                      <w:rFonts w:hint="default" w:ascii="Times New Roman" w:hAnsi="Times New Roman" w:eastAsia="宋体" w:cs="Times New Roman"/>
                      <w:color w:val="000000" w:themeColor="text1"/>
                      <w:lang w:val="en-US" w:eastAsia="zh-CN"/>
                      <w14:textFill>
                        <w14:solidFill>
                          <w14:schemeClr w14:val="tx1"/>
                        </w14:solidFill>
                      </w14:textFill>
                    </w:rPr>
                    <w:t>经集气罩收集后进入一套集气系统+水喷淋（TA003）+二级活性炭吸附装置（TA004）处理后由一根高为15米的排气筒排放(DA003)</w:t>
                  </w:r>
                  <w:r>
                    <w:rPr>
                      <w:rFonts w:hint="default" w:ascii="Times New Roman" w:hAnsi="Times New Roman" w:eastAsia="宋体" w:cs="Times New Roman"/>
                      <w:color w:val="000000" w:themeColor="text1"/>
                      <w14:textFill>
                        <w14:solidFill>
                          <w14:schemeClr w14:val="tx1"/>
                        </w14:solidFill>
                      </w14:textFill>
                    </w:rPr>
                    <w:t>，处理效率为90%，满足标准要求。</w:t>
                  </w:r>
                </w:p>
              </w:tc>
              <w:tc>
                <w:tcPr>
                  <w:tcW w:w="739" w:type="dxa"/>
                  <w:noWrap w:val="0"/>
                  <w:vAlign w:val="center"/>
                </w:tcPr>
                <w:p w14:paraId="1525DFB2">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tc>
            </w:tr>
            <w:tr w14:paraId="7226F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0" w:type="dxa"/>
                  <w:noWrap w:val="0"/>
                  <w:vAlign w:val="center"/>
                </w:tcPr>
                <w:p w14:paraId="3B3C4A1D">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排气筒高度不低于15米（因安全考虑或有特殊工艺要求的除外），具体高度以及与周围建筑物的相对高度关系应根据环境影响评价文件确定。</w:t>
                  </w:r>
                </w:p>
              </w:tc>
              <w:tc>
                <w:tcPr>
                  <w:tcW w:w="3303" w:type="dxa"/>
                  <w:noWrap w:val="0"/>
                  <w:vAlign w:val="center"/>
                </w:tcPr>
                <w:p w14:paraId="7B829CEE">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项目排气筒高度为15米</w:t>
                  </w:r>
                </w:p>
              </w:tc>
              <w:tc>
                <w:tcPr>
                  <w:tcW w:w="739" w:type="dxa"/>
                  <w:noWrap w:val="0"/>
                  <w:vAlign w:val="center"/>
                </w:tcPr>
                <w:p w14:paraId="427CBA46">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tc>
            </w:tr>
            <w:tr w14:paraId="7D46E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70" w:type="dxa"/>
                  <w:noWrap w:val="0"/>
                  <w:vAlign w:val="center"/>
                </w:tcPr>
                <w:p w14:paraId="402F51A9">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企业应建立台账，记录废气收集系统、</w:t>
                  </w:r>
                  <w:r>
                    <w:rPr>
                      <w:rFonts w:hint="default" w:ascii="Times New Roman" w:hAnsi="Times New Roman" w:eastAsia="宋体" w:cs="Times New Roman"/>
                      <w:color w:val="000000" w:themeColor="text1"/>
                      <w:lang w:val="zh-CN"/>
                      <w14:textFill>
                        <w14:solidFill>
                          <w14:schemeClr w14:val="tx1"/>
                        </w14:solidFill>
                      </w14:textFill>
                    </w:rPr>
                    <w:t>VOC</w:t>
                  </w:r>
                  <w:r>
                    <w:rPr>
                      <w:rFonts w:hint="default" w:ascii="Times New Roman" w:hAnsi="Times New Roman" w:eastAsia="宋体" w:cs="Times New Roman"/>
                      <w:color w:val="000000" w:themeColor="text1"/>
                      <w:vertAlign w:val="subscript"/>
                      <w14:textFill>
                        <w14:solidFill>
                          <w14:schemeClr w14:val="tx1"/>
                        </w14:solidFill>
                      </w14:textFill>
                    </w:rPr>
                    <w:t>S</w:t>
                  </w:r>
                  <w:r>
                    <w:rPr>
                      <w:rFonts w:hint="default" w:ascii="Times New Roman" w:hAnsi="Times New Roman" w:eastAsia="宋体" w:cs="Times New Roman"/>
                      <w:color w:val="000000" w:themeColor="text1"/>
                      <w14:textFill>
                        <w14:solidFill>
                          <w14:schemeClr w14:val="tx1"/>
                        </w14:solidFill>
                      </w14:textFill>
                    </w:rPr>
                    <w:t>处理设施的主要运行和维护信息，如运行时间、废气处理量、操作温度、停留时间、吸附剂再生/更换周期和更换量、催化剂更换周期和更换量、吸收液pH值等关键运行参数。台账保存期限不少于3年</w:t>
                  </w:r>
                </w:p>
              </w:tc>
              <w:tc>
                <w:tcPr>
                  <w:tcW w:w="3303" w:type="dxa"/>
                  <w:noWrap w:val="0"/>
                  <w:vAlign w:val="center"/>
                </w:tcPr>
                <w:p w14:paraId="7BF54465">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环评要求建设单位建立环境管理体系和管理台账，按要求记录相关内容。台账保存3年</w:t>
                  </w:r>
                </w:p>
              </w:tc>
              <w:tc>
                <w:tcPr>
                  <w:tcW w:w="739" w:type="dxa"/>
                  <w:noWrap w:val="0"/>
                  <w:vAlign w:val="center"/>
                </w:tcPr>
                <w:p w14:paraId="1D7BEEB9">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tc>
            </w:tr>
          </w:tbl>
          <w:p w14:paraId="6C2E54EA">
            <w:pPr>
              <w:keepNext w:val="0"/>
              <w:keepLines w:val="0"/>
              <w:pageBreakBefore w:val="0"/>
              <w:widowControl/>
              <w:numPr>
                <w:ilvl w:val="0"/>
                <w:numId w:val="5"/>
              </w:numPr>
              <w:kinsoku w:val="0"/>
              <w:wordWrap/>
              <w:overflowPunct/>
              <w:topLinePunct w:val="0"/>
              <w:autoSpaceDE w:val="0"/>
              <w:autoSpaceDN w:val="0"/>
              <w:bidi w:val="0"/>
              <w:adjustRightInd/>
              <w:snapToGrid/>
              <w:spacing w:line="360" w:lineRule="auto"/>
              <w:textAlignment w:val="baseline"/>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与《安徽省大气办关于深入开展挥发性有机物污染治理工作的通知》（皖大气办〔2021〕4号）符合性分析</w:t>
            </w:r>
          </w:p>
          <w:p w14:paraId="62A9D443">
            <w:pPr>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jc w:val="center"/>
              <w:textAlignment w:val="baseline"/>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表</w:t>
            </w:r>
            <w:r>
              <w:rPr>
                <w:rFonts w:hint="default" w:ascii="Times New Roman" w:hAnsi="Times New Roman" w:eastAsia="宋体" w:cs="Times New Roman"/>
                <w:b/>
                <w:bCs/>
                <w:color w:val="000000" w:themeColor="text1"/>
                <w:sz w:val="24"/>
                <w:lang w:val="en-US" w:eastAsia="zh-CN"/>
                <w14:textFill>
                  <w14:solidFill>
                    <w14:schemeClr w14:val="tx1"/>
                  </w14:solidFill>
                </w14:textFill>
              </w:rPr>
              <w:t>1-6</w:t>
            </w:r>
            <w:r>
              <w:rPr>
                <w:rFonts w:hint="default" w:ascii="Times New Roman" w:hAnsi="Times New Roman" w:eastAsia="宋体" w:cs="Times New Roman"/>
                <w:b/>
                <w:bCs/>
                <w:color w:val="000000" w:themeColor="text1"/>
                <w:sz w:val="24"/>
                <w14:textFill>
                  <w14:solidFill>
                    <w14:schemeClr w14:val="tx1"/>
                  </w14:solidFill>
                </w14:textFill>
              </w:rPr>
              <w:t>与《安徽省大气办关于深入开展挥发性有机物污染治理工作的通知》符合性分析</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4"/>
              <w:gridCol w:w="3076"/>
              <w:gridCol w:w="743"/>
            </w:tblGrid>
            <w:tr w14:paraId="239EE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46" w:type="pct"/>
                  <w:noWrap w:val="0"/>
                  <w:vAlign w:val="center"/>
                </w:tcPr>
                <w:p w14:paraId="398F7A0F">
                  <w:pPr>
                    <w:pStyle w:val="77"/>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文件要求</w:t>
                  </w:r>
                </w:p>
              </w:tc>
              <w:tc>
                <w:tcPr>
                  <w:tcW w:w="1895" w:type="pct"/>
                  <w:noWrap w:val="0"/>
                  <w:vAlign w:val="center"/>
                </w:tcPr>
                <w:p w14:paraId="7E6F693C">
                  <w:pPr>
                    <w:pStyle w:val="77"/>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本项目情况</w:t>
                  </w:r>
                </w:p>
              </w:tc>
              <w:tc>
                <w:tcPr>
                  <w:tcW w:w="458" w:type="pct"/>
                  <w:noWrap w:val="0"/>
                  <w:vAlign w:val="center"/>
                </w:tcPr>
                <w:p w14:paraId="4F8DABDC">
                  <w:pPr>
                    <w:pStyle w:val="77"/>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结果</w:t>
                  </w:r>
                </w:p>
              </w:tc>
            </w:tr>
            <w:tr w14:paraId="78DF9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46" w:type="pct"/>
                  <w:noWrap w:val="0"/>
                  <w:vAlign w:val="center"/>
                </w:tcPr>
                <w:p w14:paraId="453F8A97">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 xml:space="preserve"> 重点推进源头削减。鼓励支持使用涂料、油墨、胶粘剂、涂层剂（树脂）、清洗剂等原辅材料的企业，进行低</w:t>
                  </w:r>
                  <w:r>
                    <w:rPr>
                      <w:rFonts w:hint="default" w:ascii="Times New Roman" w:hAnsi="Times New Roman" w:eastAsia="宋体" w:cs="Times New Roman"/>
                      <w:color w:val="000000" w:themeColor="text1"/>
                      <w:lang w:val="zh-CN"/>
                      <w14:textFill>
                        <w14:solidFill>
                          <w14:schemeClr w14:val="tx1"/>
                        </w14:solidFill>
                      </w14:textFill>
                    </w:rPr>
                    <w:t>VOC</w:t>
                  </w:r>
                  <w:r>
                    <w:rPr>
                      <w:rFonts w:hint="default" w:ascii="Times New Roman" w:hAnsi="Times New Roman" w:eastAsia="宋体" w:cs="Times New Roman"/>
                      <w:color w:val="000000" w:themeColor="text1"/>
                      <w:vertAlign w:val="subscript"/>
                      <w14:textFill>
                        <w14:solidFill>
                          <w14:schemeClr w14:val="tx1"/>
                        </w14:solidFill>
                      </w14:textFill>
                    </w:rPr>
                    <w:t>S</w:t>
                  </w:r>
                  <w:r>
                    <w:rPr>
                      <w:rFonts w:hint="default" w:ascii="Times New Roman" w:hAnsi="Times New Roman" w:eastAsia="宋体" w:cs="Times New Roman"/>
                      <w:color w:val="000000" w:themeColor="text1"/>
                      <w14:textFill>
                        <w14:solidFill>
                          <w14:schemeClr w14:val="tx1"/>
                        </w14:solidFill>
                      </w14:textFill>
                    </w:rPr>
                    <w:t>含量原辅材料的源头替代，7月1日前各地指导企业建立管理台账，记录</w:t>
                  </w:r>
                  <w:r>
                    <w:rPr>
                      <w:rFonts w:hint="default" w:ascii="Times New Roman" w:hAnsi="Times New Roman" w:eastAsia="宋体" w:cs="Times New Roman"/>
                      <w:color w:val="000000" w:themeColor="text1"/>
                      <w:lang w:val="zh-CN"/>
                      <w14:textFill>
                        <w14:solidFill>
                          <w14:schemeClr w14:val="tx1"/>
                        </w14:solidFill>
                      </w14:textFill>
                    </w:rPr>
                    <w:t>VOC</w:t>
                  </w:r>
                  <w:r>
                    <w:rPr>
                      <w:rFonts w:hint="default" w:ascii="Times New Roman" w:hAnsi="Times New Roman" w:eastAsia="宋体" w:cs="Times New Roman"/>
                      <w:color w:val="000000" w:themeColor="text1"/>
                      <w:vertAlign w:val="subscript"/>
                      <w14:textFill>
                        <w14:solidFill>
                          <w14:schemeClr w14:val="tx1"/>
                        </w14:solidFill>
                      </w14:textFill>
                    </w:rPr>
                    <w:t>S</w:t>
                  </w:r>
                  <w:r>
                    <w:rPr>
                      <w:rFonts w:hint="default" w:ascii="Times New Roman" w:hAnsi="Times New Roman" w:eastAsia="宋体" w:cs="Times New Roman"/>
                      <w:color w:val="000000" w:themeColor="text1"/>
                      <w14:textFill>
                        <w14:solidFill>
                          <w14:schemeClr w14:val="tx1"/>
                        </w14:solidFill>
                      </w14:textFill>
                    </w:rPr>
                    <w:t>原辅材料的产品名称、</w:t>
                  </w:r>
                  <w:r>
                    <w:rPr>
                      <w:rFonts w:hint="default" w:ascii="Times New Roman" w:hAnsi="Times New Roman" w:eastAsia="宋体" w:cs="Times New Roman"/>
                      <w:color w:val="000000" w:themeColor="text1"/>
                      <w:lang w:val="zh-CN"/>
                      <w14:textFill>
                        <w14:solidFill>
                          <w14:schemeClr w14:val="tx1"/>
                        </w14:solidFill>
                      </w14:textFill>
                    </w:rPr>
                    <w:t>VOC</w:t>
                  </w:r>
                  <w:r>
                    <w:rPr>
                      <w:rFonts w:hint="default" w:ascii="Times New Roman" w:hAnsi="Times New Roman" w:eastAsia="宋体" w:cs="Times New Roman"/>
                      <w:color w:val="000000" w:themeColor="text1"/>
                      <w:vertAlign w:val="subscript"/>
                      <w14:textFill>
                        <w14:solidFill>
                          <w14:schemeClr w14:val="tx1"/>
                        </w14:solidFill>
                      </w14:textFill>
                    </w:rPr>
                    <w:t>S</w:t>
                  </w:r>
                  <w:r>
                    <w:rPr>
                      <w:rFonts w:hint="default" w:ascii="Times New Roman" w:hAnsi="Times New Roman" w:eastAsia="宋体" w:cs="Times New Roman"/>
                      <w:color w:val="000000" w:themeColor="text1"/>
                      <w14:textFill>
                        <w14:solidFill>
                          <w14:schemeClr w14:val="tx1"/>
                        </w14:solidFill>
                      </w14:textFill>
                    </w:rPr>
                    <w:t>含量和使用量等。各地应结合本地产业特点和源头替代参考目录，重点在工业涂装、包装印刷、鞋革箱包制造、竹木制品胶合、电子等重点领域，推广</w:t>
                  </w:r>
                  <w:r>
                    <w:rPr>
                      <w:rFonts w:hint="default" w:ascii="Times New Roman" w:hAnsi="Times New Roman" w:eastAsia="宋体" w:cs="Times New Roman"/>
                      <w:color w:val="000000" w:themeColor="text1"/>
                      <w:lang w:val="zh-CN"/>
                      <w14:textFill>
                        <w14:solidFill>
                          <w14:schemeClr w14:val="tx1"/>
                        </w14:solidFill>
                      </w14:textFill>
                    </w:rPr>
                    <w:t>VOC</w:t>
                  </w:r>
                  <w:r>
                    <w:rPr>
                      <w:rFonts w:hint="default" w:ascii="Times New Roman" w:hAnsi="Times New Roman" w:eastAsia="宋体" w:cs="Times New Roman"/>
                      <w:color w:val="000000" w:themeColor="text1"/>
                      <w:vertAlign w:val="subscript"/>
                      <w14:textFill>
                        <w14:solidFill>
                          <w14:schemeClr w14:val="tx1"/>
                        </w14:solidFill>
                      </w14:textFill>
                    </w:rPr>
                    <w:t>S</w:t>
                  </w:r>
                  <w:r>
                    <w:rPr>
                      <w:rFonts w:hint="default" w:ascii="Times New Roman" w:hAnsi="Times New Roman" w:eastAsia="宋体" w:cs="Times New Roman"/>
                      <w:color w:val="000000" w:themeColor="text1"/>
                      <w14:textFill>
                        <w14:solidFill>
                          <w14:schemeClr w14:val="tx1"/>
                        </w14:solidFill>
                      </w14:textFill>
                    </w:rPr>
                    <w:t>含量低于10%原辅材料的源头替代，并纳入年度源头削减项目管理，实现“可替尽替、应代尽代”，源头削减年度完成项目占30%以上</w:t>
                  </w:r>
                </w:p>
              </w:tc>
              <w:tc>
                <w:tcPr>
                  <w:tcW w:w="1895" w:type="pct"/>
                  <w:noWrap w:val="0"/>
                  <w:vAlign w:val="center"/>
                </w:tcPr>
                <w:p w14:paraId="599BB9A4">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项目为</w:t>
                  </w:r>
                  <w:r>
                    <w:rPr>
                      <w:rFonts w:hint="default" w:ascii="Times New Roman" w:hAnsi="Times New Roman" w:eastAsia="宋体" w:cs="Times New Roman"/>
                      <w:color w:val="000000" w:themeColor="text1"/>
                      <w:kern w:val="0"/>
                      <w:szCs w:val="21"/>
                      <w:lang w:eastAsia="zh-CN"/>
                      <w14:textFill>
                        <w14:solidFill>
                          <w14:schemeClr w14:val="tx1"/>
                        </w14:solidFill>
                      </w14:textFill>
                    </w:rPr>
                    <w:t>C3399其他未列明金属制品制造</w:t>
                  </w:r>
                  <w:r>
                    <w:rPr>
                      <w:rFonts w:hint="default" w:ascii="Times New Roman" w:hAnsi="Times New Roman" w:eastAsia="宋体" w:cs="Times New Roman"/>
                      <w:color w:val="000000" w:themeColor="text1"/>
                      <w14:textFill>
                        <w14:solidFill>
                          <w14:schemeClr w14:val="tx1"/>
                        </w14:solidFill>
                      </w14:textFill>
                    </w:rPr>
                    <w:t>，项目所用</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低挥发性水性复合，</w:t>
                  </w:r>
                  <w:r>
                    <w:rPr>
                      <w:rFonts w:hint="default" w:ascii="Times New Roman" w:hAnsi="Times New Roman" w:eastAsia="宋体" w:cs="Times New Roman"/>
                      <w:color w:val="000000" w:themeColor="text1"/>
                      <w14:textFill>
                        <w14:solidFill>
                          <w14:schemeClr w14:val="tx1"/>
                        </w14:solidFill>
                      </w14:textFill>
                    </w:rPr>
                    <w:t>满足相关文件要。</w:t>
                  </w:r>
                </w:p>
              </w:tc>
              <w:tc>
                <w:tcPr>
                  <w:tcW w:w="458" w:type="pct"/>
                  <w:noWrap w:val="0"/>
                  <w:vAlign w:val="center"/>
                </w:tcPr>
                <w:p w14:paraId="47D09579">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tc>
            </w:tr>
            <w:tr w14:paraId="731B5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46" w:type="pct"/>
                  <w:noWrap w:val="0"/>
                  <w:vAlign w:val="center"/>
                </w:tcPr>
                <w:p w14:paraId="7D79D42D">
                  <w:pPr>
                    <w:pStyle w:val="77"/>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强化执法联动。7月1日起，各市要按照“双随机、一公开”模式，开展为期一个月的《挥发性有机物无组织排放控制标准》“回头看”执法行动，重点关注石油炼制、石油化工、合成树脂、煤化工、焦化、制药、农药等行业企业敞开液面逸散废气收集处理，对不能稳定达标排放、不满足无组织控制要求的企业，依法依规及时予以处罚。各市生态环境部门、公安、交通运输、应急、城管、商务、市场管理等部门，要充分厘清职责范围，规范执法流程，加大联合执法力度，强化餐饮、汽修、机动车和非道路移动机械、危险化学品等领域执法检查</w:t>
                  </w:r>
                </w:p>
              </w:tc>
              <w:tc>
                <w:tcPr>
                  <w:tcW w:w="1895" w:type="pct"/>
                  <w:noWrap w:val="0"/>
                  <w:vAlign w:val="center"/>
                </w:tcPr>
                <w:p w14:paraId="7394B3DF">
                  <w:pPr>
                    <w:pStyle w:val="77"/>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项目为</w:t>
                  </w:r>
                  <w:r>
                    <w:rPr>
                      <w:rFonts w:hint="default" w:ascii="Times New Roman" w:hAnsi="Times New Roman" w:eastAsia="宋体" w:cs="Times New Roman"/>
                      <w:color w:val="000000" w:themeColor="text1"/>
                      <w:kern w:val="0"/>
                      <w:szCs w:val="21"/>
                      <w:lang w:eastAsia="zh-CN"/>
                      <w14:textFill>
                        <w14:solidFill>
                          <w14:schemeClr w14:val="tx1"/>
                        </w14:solidFill>
                      </w14:textFill>
                    </w:rPr>
                    <w:t>C3399其他未列明金属制品制造</w:t>
                  </w:r>
                  <w:r>
                    <w:rPr>
                      <w:rFonts w:hint="default" w:ascii="Times New Roman" w:hAnsi="Times New Roman" w:eastAsia="宋体" w:cs="Times New Roman"/>
                      <w:color w:val="000000" w:themeColor="text1"/>
                      <w:kern w:val="0"/>
                      <w:szCs w:val="21"/>
                      <w14:textFill>
                        <w14:solidFill>
                          <w14:schemeClr w14:val="tx1"/>
                        </w14:solidFill>
                      </w14:textFill>
                    </w:rPr>
                    <w:t>，项目</w:t>
                  </w:r>
                  <w:r>
                    <w:rPr>
                      <w:rFonts w:hint="default" w:ascii="Times New Roman" w:hAnsi="Times New Roman" w:eastAsia="宋体" w:cs="Times New Roman"/>
                      <w:color w:val="000000" w:themeColor="text1"/>
                      <w:kern w:val="0"/>
                      <w:szCs w:val="21"/>
                      <w:lang w:eastAsia="zh-CN"/>
                      <w14:textFill>
                        <w14:solidFill>
                          <w14:schemeClr w14:val="tx1"/>
                        </w14:solidFill>
                      </w14:textFill>
                    </w:rPr>
                    <w:t>涂胶、烘干、复合工序生产过程产生废气经集气罩收集后进入一套集气系统+水喷淋（TA003）+二级活性炭吸附装置（TA004）处理后由一根高为15米的排气筒排放(DA003)</w:t>
                  </w:r>
                  <w:r>
                    <w:rPr>
                      <w:rFonts w:hint="default" w:ascii="Times New Roman" w:hAnsi="Times New Roman" w:eastAsia="宋体" w:cs="Times New Roman"/>
                      <w:color w:val="000000" w:themeColor="text1"/>
                      <w:kern w:val="0"/>
                      <w:szCs w:val="21"/>
                      <w14:textFill>
                        <w14:solidFill>
                          <w14:schemeClr w14:val="tx1"/>
                        </w14:solidFill>
                      </w14:textFill>
                    </w:rPr>
                    <w:t>。能达到项目排放的喷漆、晾</w:t>
                  </w:r>
                  <w:r>
                    <w:rPr>
                      <w:rFonts w:hint="default" w:ascii="Times New Roman" w:hAnsi="Times New Roman" w:eastAsia="宋体" w:cs="Times New Roman"/>
                      <w:color w:val="000000" w:themeColor="text1"/>
                      <w:kern w:val="0"/>
                      <w:szCs w:val="21"/>
                      <w:lang w:eastAsia="zh-CN"/>
                      <w14:textFill>
                        <w14:solidFill>
                          <w14:schemeClr w14:val="tx1"/>
                        </w14:solidFill>
                      </w14:textFill>
                    </w:rPr>
                    <w:t>干工序产生非甲烷总烃执行《大气污染物综合排放标准》（GB16297-1996）中二级标准及</w:t>
                  </w:r>
                  <w:r>
                    <w:rPr>
                      <w:rFonts w:hint="default" w:ascii="Times New Roman" w:hAnsi="Times New Roman" w:eastAsia="宋体" w:cs="Times New Roman"/>
                      <w:color w:val="000000" w:themeColor="text1"/>
                      <w:kern w:val="0"/>
                      <w:szCs w:val="21"/>
                      <w:lang w:val="en-US" w:eastAsia="zh-CN"/>
                      <w14:textFill>
                        <w14:solidFill>
                          <w14:schemeClr w14:val="tx1"/>
                        </w14:solidFill>
                      </w14:textFill>
                    </w:rPr>
                    <w:t>《固定源挥发性有机物综合排放标准第1部分:涂料、油墨及胶粘剂工业》（DB34/4812.1-2024）</w:t>
                  </w:r>
                  <w:r>
                    <w:rPr>
                      <w:rFonts w:hint="default" w:ascii="Times New Roman" w:hAnsi="Times New Roman" w:eastAsia="宋体" w:cs="Times New Roman"/>
                      <w:color w:val="000000" w:themeColor="text1"/>
                      <w:kern w:val="0"/>
                      <w:szCs w:val="21"/>
                      <w:lang w:eastAsia="zh-CN"/>
                      <w14:textFill>
                        <w14:solidFill>
                          <w14:schemeClr w14:val="tx1"/>
                        </w14:solidFill>
                      </w14:textFill>
                    </w:rPr>
                    <w:t>及表4无组织排放限值要求</w:t>
                  </w:r>
                </w:p>
              </w:tc>
              <w:tc>
                <w:tcPr>
                  <w:tcW w:w="458" w:type="pct"/>
                  <w:noWrap w:val="0"/>
                  <w:vAlign w:val="center"/>
                </w:tcPr>
                <w:p w14:paraId="7E384F83">
                  <w:pPr>
                    <w:pStyle w:val="77"/>
                    <w:rPr>
                      <w:rFonts w:hint="default" w:ascii="Times New Roman" w:hAnsi="Times New Roman" w:eastAsia="宋体" w:cs="Times New Roman"/>
                      <w:color w:val="0000FF"/>
                    </w:rPr>
                  </w:pPr>
                  <w:r>
                    <w:rPr>
                      <w:rFonts w:hint="default" w:ascii="Times New Roman" w:hAnsi="Times New Roman" w:eastAsia="宋体" w:cs="Times New Roman"/>
                      <w:color w:val="000000" w:themeColor="text1"/>
                      <w14:textFill>
                        <w14:solidFill>
                          <w14:schemeClr w14:val="tx1"/>
                        </w14:solidFill>
                      </w14:textFill>
                    </w:rPr>
                    <w:t>符合</w:t>
                  </w:r>
                </w:p>
              </w:tc>
            </w:tr>
            <w:tr w14:paraId="0A2B4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46" w:type="pct"/>
                  <w:noWrap w:val="0"/>
                  <w:vAlign w:val="center"/>
                </w:tcPr>
                <w:p w14:paraId="7CE9BCFC">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实施排污许可。建立健全以排污许可核发为中心的</w:t>
                  </w:r>
                  <w:r>
                    <w:rPr>
                      <w:rFonts w:hint="default" w:ascii="Times New Roman" w:hAnsi="Times New Roman" w:eastAsia="宋体" w:cs="Times New Roman"/>
                      <w:color w:val="000000" w:themeColor="text1"/>
                      <w:lang w:val="zh-CN"/>
                      <w14:textFill>
                        <w14:solidFill>
                          <w14:schemeClr w14:val="tx1"/>
                        </w14:solidFill>
                      </w14:textFill>
                    </w:rPr>
                    <w:t>VOC</w:t>
                  </w:r>
                  <w:r>
                    <w:rPr>
                      <w:rFonts w:hint="default" w:ascii="Times New Roman" w:hAnsi="Times New Roman" w:eastAsia="宋体" w:cs="Times New Roman"/>
                      <w:color w:val="000000" w:themeColor="text1"/>
                      <w:vertAlign w:val="subscript"/>
                      <w14:textFill>
                        <w14:solidFill>
                          <w14:schemeClr w14:val="tx1"/>
                        </w14:solidFill>
                      </w14:textFill>
                    </w:rPr>
                    <w:t>S</w:t>
                  </w:r>
                  <w:r>
                    <w:rPr>
                      <w:rFonts w:hint="default" w:ascii="Times New Roman" w:hAnsi="Times New Roman" w:eastAsia="宋体" w:cs="Times New Roman"/>
                      <w:color w:val="000000" w:themeColor="text1"/>
                      <w14:textFill>
                        <w14:solidFill>
                          <w14:schemeClr w14:val="tx1"/>
                        </w14:solidFill>
                      </w14:textFill>
                    </w:rPr>
                    <w:t>管控依据，在石油、化工、工业涂装、包装印刷、油品储运销五大领域全面推行排污许可制度，不断规范涉</w:t>
                  </w:r>
                  <w:r>
                    <w:rPr>
                      <w:rFonts w:hint="default" w:ascii="Times New Roman" w:hAnsi="Times New Roman" w:eastAsia="宋体" w:cs="Times New Roman"/>
                      <w:color w:val="000000" w:themeColor="text1"/>
                      <w:lang w:val="zh-CN"/>
                      <w14:textFill>
                        <w14:solidFill>
                          <w14:schemeClr w14:val="tx1"/>
                        </w14:solidFill>
                      </w14:textFill>
                    </w:rPr>
                    <w:t>VOC</w:t>
                  </w:r>
                  <w:r>
                    <w:rPr>
                      <w:rFonts w:hint="default" w:ascii="Times New Roman" w:hAnsi="Times New Roman" w:eastAsia="宋体" w:cs="Times New Roman"/>
                      <w:color w:val="000000" w:themeColor="text1"/>
                      <w:vertAlign w:val="subscript"/>
                      <w14:textFill>
                        <w14:solidFill>
                          <w14:schemeClr w14:val="tx1"/>
                        </w14:solidFill>
                      </w14:textFill>
                    </w:rPr>
                    <w:t>S</w:t>
                  </w:r>
                  <w:r>
                    <w:rPr>
                      <w:rFonts w:hint="default" w:ascii="Times New Roman" w:hAnsi="Times New Roman" w:eastAsia="宋体" w:cs="Times New Roman"/>
                      <w:color w:val="000000" w:themeColor="text1"/>
                      <w14:textFill>
                        <w14:solidFill>
                          <w14:schemeClr w14:val="tx1"/>
                        </w14:solidFill>
                      </w14:textFill>
                    </w:rPr>
                    <w:t>工业企业的排污许可登记管理，落实企业</w:t>
                  </w:r>
                  <w:r>
                    <w:rPr>
                      <w:rFonts w:hint="default" w:ascii="Times New Roman" w:hAnsi="Times New Roman" w:eastAsia="宋体" w:cs="Times New Roman"/>
                      <w:color w:val="000000" w:themeColor="text1"/>
                      <w:lang w:val="zh-CN"/>
                      <w14:textFill>
                        <w14:solidFill>
                          <w14:schemeClr w14:val="tx1"/>
                        </w14:solidFill>
                      </w14:textFill>
                    </w:rPr>
                    <w:t>VOC</w:t>
                  </w:r>
                  <w:r>
                    <w:rPr>
                      <w:rFonts w:hint="default" w:ascii="Times New Roman" w:hAnsi="Times New Roman" w:eastAsia="宋体" w:cs="Times New Roman"/>
                      <w:color w:val="000000" w:themeColor="text1"/>
                      <w:vertAlign w:val="subscript"/>
                      <w14:textFill>
                        <w14:solidFill>
                          <w14:schemeClr w14:val="tx1"/>
                        </w14:solidFill>
                      </w14:textFill>
                    </w:rPr>
                    <w:t>S</w:t>
                  </w:r>
                  <w:r>
                    <w:rPr>
                      <w:rFonts w:hint="default" w:ascii="Times New Roman" w:hAnsi="Times New Roman" w:eastAsia="宋体" w:cs="Times New Roman"/>
                      <w:color w:val="000000" w:themeColor="text1"/>
                      <w14:textFill>
                        <w14:solidFill>
                          <w14:schemeClr w14:val="tx1"/>
                        </w14:solidFill>
                      </w14:textFill>
                    </w:rPr>
                    <w:t>源头削减、过程控制和末端污染治理工作，推进企业自行监测、台账落实和定期报告的具体规定落地，严厉处罚无证和不按证排污行为。</w:t>
                  </w:r>
                </w:p>
              </w:tc>
              <w:tc>
                <w:tcPr>
                  <w:tcW w:w="1895" w:type="pct"/>
                  <w:noWrap w:val="0"/>
                  <w:vAlign w:val="center"/>
                </w:tcPr>
                <w:p w14:paraId="710F8F5B">
                  <w:pPr>
                    <w:pStyle w:val="77"/>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本项目属于“二十八、金属制品业</w:t>
                  </w:r>
                  <w:r>
                    <w:rPr>
                      <w:rFonts w:hint="default" w:ascii="Times New Roman" w:hAnsi="Times New Roman" w:eastAsia="宋体" w:cs="Times New Roman"/>
                      <w:color w:val="000000" w:themeColor="text1"/>
                      <w:lang w:val="en-US" w:eastAsia="zh-CN"/>
                      <w14:textFill>
                        <w14:solidFill>
                          <w14:schemeClr w14:val="tx1"/>
                        </w14:solidFill>
                      </w14:textFill>
                    </w:rPr>
                    <w:t>33-</w:t>
                  </w:r>
                  <w:r>
                    <w:rPr>
                      <w:rFonts w:hint="default" w:ascii="Times New Roman" w:hAnsi="Times New Roman" w:eastAsia="宋体" w:cs="Times New Roman"/>
                      <w:color w:val="000000" w:themeColor="text1"/>
                      <w14:textFill>
                        <w14:solidFill>
                          <w14:schemeClr w14:val="tx1"/>
                        </w14:solidFill>
                      </w14:textFill>
                    </w:rPr>
                    <w:t>80金属制日用品制造338</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不涉及</w:t>
                  </w:r>
                  <w:r>
                    <w:rPr>
                      <w:rFonts w:hint="default" w:ascii="Times New Roman" w:hAnsi="Times New Roman" w:eastAsia="宋体" w:cs="Times New Roman"/>
                      <w:color w:val="000000" w:themeColor="text1"/>
                      <w14:textFill>
                        <w14:solidFill>
                          <w14:schemeClr w14:val="tx1"/>
                        </w14:solidFill>
                      </w14:textFill>
                    </w:rPr>
                    <w:t>通用工序</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项目</w:t>
                  </w:r>
                  <w:r>
                    <w:rPr>
                      <w:rFonts w:hint="default" w:ascii="Times New Roman" w:hAnsi="Times New Roman" w:eastAsia="宋体" w:cs="Times New Roman"/>
                      <w:color w:val="000000" w:themeColor="text1"/>
                      <w:lang w:eastAsia="zh-CN"/>
                      <w14:textFill>
                        <w14:solidFill>
                          <w14:schemeClr w14:val="tx1"/>
                        </w14:solidFill>
                      </w14:textFill>
                    </w:rPr>
                    <w:t>产品为</w:t>
                  </w:r>
                  <w:r>
                    <w:rPr>
                      <w:rFonts w:hint="default" w:ascii="Times New Roman" w:hAnsi="Times New Roman" w:eastAsia="宋体" w:cs="Times New Roman"/>
                      <w:color w:val="000000" w:themeColor="text1"/>
                      <w:lang w:val="en-US" w:eastAsia="zh-CN"/>
                      <w14:textFill>
                        <w14:solidFill>
                          <w14:schemeClr w14:val="tx1"/>
                        </w14:solidFill>
                      </w14:textFill>
                    </w:rPr>
                    <w:t>铝箔复合膜、牛皮纸加筋铝箔制造，</w:t>
                  </w:r>
                  <w:r>
                    <w:rPr>
                      <w:rFonts w:hint="default" w:ascii="Times New Roman" w:hAnsi="Times New Roman" w:eastAsia="宋体" w:cs="Times New Roman"/>
                      <w:color w:val="000000" w:themeColor="text1"/>
                      <w14:textFill>
                        <w14:solidFill>
                          <w14:schemeClr w14:val="tx1"/>
                        </w14:solidFill>
                      </w14:textFill>
                    </w:rPr>
                    <w:t>因此本项目排污许可实行登记管理</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环评要求本项目正式排污前进行排污许可申请工作</w:t>
                  </w:r>
                  <w:r>
                    <w:rPr>
                      <w:rFonts w:hint="default" w:ascii="Times New Roman" w:hAnsi="Times New Roman" w:eastAsia="宋体" w:cs="Times New Roman"/>
                      <w:color w:val="000000" w:themeColor="text1"/>
                      <w:lang w:eastAsia="zh-CN"/>
                      <w14:textFill>
                        <w14:solidFill>
                          <w14:schemeClr w14:val="tx1"/>
                        </w14:solidFill>
                      </w14:textFill>
                    </w:rPr>
                    <w:t>。</w:t>
                  </w:r>
                </w:p>
              </w:tc>
              <w:tc>
                <w:tcPr>
                  <w:tcW w:w="458" w:type="pct"/>
                  <w:noWrap w:val="0"/>
                  <w:vAlign w:val="center"/>
                </w:tcPr>
                <w:p w14:paraId="6B77DED7">
                  <w:pPr>
                    <w:pStyle w:val="77"/>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符合</w:t>
                  </w:r>
                </w:p>
              </w:tc>
            </w:tr>
          </w:tbl>
          <w:p w14:paraId="18EA5250">
            <w:pPr>
              <w:keepNext w:val="0"/>
              <w:keepLines w:val="0"/>
              <w:pageBreakBefore w:val="0"/>
              <w:widowControl/>
              <w:kinsoku w:val="0"/>
              <w:wordWrap/>
              <w:overflowPunct/>
              <w:topLinePunct w:val="0"/>
              <w:autoSpaceDE w:val="0"/>
              <w:autoSpaceDN w:val="0"/>
              <w:bidi w:val="0"/>
              <w:adjustRightInd/>
              <w:snapToGrid/>
              <w:spacing w:line="360" w:lineRule="auto"/>
              <w:textAlignment w:val="baseline"/>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w:t>
            </w:r>
            <w:r>
              <w:rPr>
                <w:rFonts w:hint="default" w:ascii="Times New Roman" w:hAnsi="Times New Roman" w:eastAsia="宋体" w:cs="Times New Roman"/>
                <w:b/>
                <w:bCs/>
                <w:color w:val="000000" w:themeColor="text1"/>
                <w:sz w:val="24"/>
                <w:lang w:val="en-US" w:eastAsia="zh-CN"/>
                <w14:textFill>
                  <w14:solidFill>
                    <w14:schemeClr w14:val="tx1"/>
                  </w14:solidFill>
                </w14:textFill>
              </w:rPr>
              <w:t>8</w:t>
            </w:r>
            <w:r>
              <w:rPr>
                <w:rFonts w:hint="default" w:ascii="Times New Roman" w:hAnsi="Times New Roman" w:eastAsia="宋体" w:cs="Times New Roman"/>
                <w:b/>
                <w:bCs/>
                <w:color w:val="000000" w:themeColor="text1"/>
                <w:sz w:val="24"/>
                <w14:textFill>
                  <w14:solidFill>
                    <w14:schemeClr w14:val="tx1"/>
                  </w14:solidFill>
                </w14:textFill>
              </w:rPr>
              <w:t>）与宿州市人民政府办公室关于印发《宿州市2024-2025年空气质量提升攻坚行动方案的通知》（宿政办秘〔2024〕12号）的符合性分析</w:t>
            </w:r>
          </w:p>
          <w:p w14:paraId="0B82195B">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表</w:t>
            </w:r>
            <w:r>
              <w:rPr>
                <w:rFonts w:hint="default" w:ascii="Times New Roman" w:hAnsi="Times New Roman" w:eastAsia="宋体" w:cs="Times New Roman"/>
                <w:b/>
                <w:bCs/>
                <w:color w:val="000000" w:themeColor="text1"/>
                <w:sz w:val="24"/>
                <w:lang w:val="en-US" w:eastAsia="zh-CN"/>
                <w14:textFill>
                  <w14:solidFill>
                    <w14:schemeClr w14:val="tx1"/>
                  </w14:solidFill>
                </w14:textFill>
              </w:rPr>
              <w:t>1-7</w:t>
            </w:r>
            <w:r>
              <w:rPr>
                <w:rFonts w:hint="default" w:ascii="Times New Roman" w:hAnsi="Times New Roman" w:eastAsia="宋体" w:cs="Times New Roman"/>
                <w:b/>
                <w:bCs/>
                <w:color w:val="000000" w:themeColor="text1"/>
                <w:sz w:val="24"/>
                <w14:textFill>
                  <w14:solidFill>
                    <w14:schemeClr w14:val="tx1"/>
                  </w14:solidFill>
                </w14:textFill>
              </w:rPr>
              <w:t>与《宿州市2024-2025年空气质量提升攻坚行动方案的通知》</w:t>
            </w:r>
          </w:p>
          <w:p w14:paraId="78756BBE">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符合性分析一览表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6"/>
              <w:gridCol w:w="2001"/>
              <w:gridCol w:w="856"/>
            </w:tblGrid>
            <w:tr w14:paraId="7A408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04" w:type="dxa"/>
                  <w:noWrap w:val="0"/>
                  <w:vAlign w:val="center"/>
                </w:tcPr>
                <w:p w14:paraId="337A3DB1">
                  <w:pPr>
                    <w:pStyle w:val="77"/>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文件要求</w:t>
                  </w:r>
                </w:p>
              </w:tc>
              <w:tc>
                <w:tcPr>
                  <w:tcW w:w="1867" w:type="dxa"/>
                  <w:noWrap w:val="0"/>
                  <w:vAlign w:val="center"/>
                </w:tcPr>
                <w:p w14:paraId="7BAD211B">
                  <w:pPr>
                    <w:pStyle w:val="77"/>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项目情况</w:t>
                  </w:r>
                </w:p>
              </w:tc>
              <w:tc>
                <w:tcPr>
                  <w:tcW w:w="799" w:type="dxa"/>
                  <w:noWrap w:val="0"/>
                  <w:vAlign w:val="center"/>
                </w:tcPr>
                <w:p w14:paraId="4B8056C8">
                  <w:pPr>
                    <w:pStyle w:val="77"/>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结果</w:t>
                  </w:r>
                </w:p>
              </w:tc>
            </w:tr>
            <w:tr w14:paraId="68EEC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04" w:type="dxa"/>
                  <w:noWrap w:val="0"/>
                  <w:vAlign w:val="center"/>
                </w:tcPr>
                <w:p w14:paraId="4AE9D7A2">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坚决遏制“两高”项目盲目发展。对水泥、陶瓷等“两高”项目动态监控，严格落实错峰生产和重污染天气应急管理措施；实施排污权储备管理，对没有倍量替代的县（区）、市管各园区新建项目，不予总量审批。</w:t>
                  </w:r>
                </w:p>
              </w:tc>
              <w:tc>
                <w:tcPr>
                  <w:tcW w:w="1867" w:type="dxa"/>
                  <w:noWrap w:val="0"/>
                  <w:vAlign w:val="center"/>
                </w:tcPr>
                <w:p w14:paraId="7C72E48B">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项目属于</w:t>
                  </w:r>
                  <w:r>
                    <w:rPr>
                      <w:rFonts w:hint="default" w:ascii="Times New Roman" w:hAnsi="Times New Roman" w:eastAsia="宋体" w:cs="Times New Roman"/>
                      <w:color w:val="000000" w:themeColor="text1"/>
                      <w:lang w:eastAsia="zh-CN"/>
                      <w14:textFill>
                        <w14:solidFill>
                          <w14:schemeClr w14:val="tx1"/>
                        </w14:solidFill>
                      </w14:textFill>
                    </w:rPr>
                    <w:t>C3389 其他金属制日用品制造</w:t>
                  </w:r>
                  <w:r>
                    <w:rPr>
                      <w:rFonts w:hint="default" w:ascii="Times New Roman" w:hAnsi="Times New Roman" w:eastAsia="宋体" w:cs="Times New Roman"/>
                      <w:color w:val="000000" w:themeColor="text1"/>
                      <w14:textFill>
                        <w14:solidFill>
                          <w14:schemeClr w14:val="tx1"/>
                        </w14:solidFill>
                      </w14:textFill>
                    </w:rPr>
                    <w:t>，不属于“两高”行业，项目</w:t>
                  </w:r>
                  <w:r>
                    <w:rPr>
                      <w:rFonts w:hint="default" w:ascii="Times New Roman" w:hAnsi="Times New Roman" w:eastAsia="宋体" w:cs="Times New Roman"/>
                      <w:color w:val="000000" w:themeColor="text1"/>
                      <w:lang w:val="en-US" w:eastAsia="zh-CN"/>
                      <w14:textFill>
                        <w14:solidFill>
                          <w14:schemeClr w14:val="tx1"/>
                        </w14:solidFill>
                      </w14:textFill>
                    </w:rPr>
                    <w:t>已取得</w:t>
                  </w:r>
                  <w:r>
                    <w:rPr>
                      <w:rFonts w:hint="default" w:ascii="Times New Roman" w:hAnsi="Times New Roman" w:eastAsia="宋体" w:cs="Times New Roman"/>
                      <w:color w:val="000000" w:themeColor="text1"/>
                      <w14:textFill>
                        <w14:solidFill>
                          <w14:schemeClr w14:val="tx1"/>
                        </w14:solidFill>
                      </w14:textFill>
                    </w:rPr>
                    <w:t>总量控制指标</w:t>
                  </w:r>
                </w:p>
              </w:tc>
              <w:tc>
                <w:tcPr>
                  <w:tcW w:w="799" w:type="dxa"/>
                  <w:noWrap w:val="0"/>
                  <w:vAlign w:val="center"/>
                </w:tcPr>
                <w:p w14:paraId="4BAF29A0">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相符</w:t>
                  </w:r>
                </w:p>
              </w:tc>
            </w:tr>
            <w:tr w14:paraId="700DC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04" w:type="dxa"/>
                  <w:noWrap w:val="0"/>
                  <w:vAlign w:val="center"/>
                </w:tcPr>
                <w:p w14:paraId="3B1AB0C6">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开展“散乱污”企业整治回头看专项行动。全面排查塑料加工、人造板、木材加工、家具制造、合成革、包装印刷、石材加工、煤和矸石破碎加工（含煤球等）、粮食饲料加工、中药材加工、不规范搅拌站、汽车维修（抛光、打磨）、黑色和有色金属熔炼加工、陶瓷烧制、砖瓦窑等涉气“散乱污”企业，实施清单管理，动态清零，依法依规限期退出，推动相关产业转型升级。</w:t>
                  </w:r>
                </w:p>
              </w:tc>
              <w:tc>
                <w:tcPr>
                  <w:tcW w:w="1867" w:type="dxa"/>
                  <w:noWrap w:val="0"/>
                  <w:vAlign w:val="center"/>
                </w:tcPr>
                <w:p w14:paraId="4CFB48C7">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项目属于</w:t>
                  </w:r>
                  <w:r>
                    <w:rPr>
                      <w:rFonts w:hint="default" w:ascii="Times New Roman" w:hAnsi="Times New Roman" w:eastAsia="宋体" w:cs="Times New Roman"/>
                      <w:color w:val="000000" w:themeColor="text1"/>
                      <w:kern w:val="0"/>
                      <w:szCs w:val="21"/>
                      <w:lang w:eastAsia="zh-CN"/>
                      <w14:textFill>
                        <w14:solidFill>
                          <w14:schemeClr w14:val="tx1"/>
                        </w14:solidFill>
                      </w14:textFill>
                    </w:rPr>
                    <w:t>C3389 其他金属制日用品制造</w:t>
                  </w:r>
                  <w:r>
                    <w:rPr>
                      <w:rFonts w:hint="default" w:ascii="Times New Roman" w:hAnsi="Times New Roman" w:eastAsia="宋体" w:cs="Times New Roman"/>
                      <w:color w:val="000000" w:themeColor="text1"/>
                      <w14:textFill>
                        <w14:solidFill>
                          <w14:schemeClr w14:val="tx1"/>
                        </w14:solidFill>
                      </w14:textFill>
                    </w:rPr>
                    <w:t>，项目位于</w:t>
                  </w:r>
                  <w:r>
                    <w:rPr>
                      <w:rFonts w:hint="default" w:ascii="Times New Roman" w:hAnsi="Times New Roman" w:eastAsia="宋体" w:cs="Times New Roman"/>
                      <w:color w:val="000000" w:themeColor="text1"/>
                      <w:lang w:eastAsia="zh-CN"/>
                      <w14:textFill>
                        <w14:solidFill>
                          <w14:schemeClr w14:val="tx1"/>
                        </w14:solidFill>
                      </w14:textFill>
                    </w:rPr>
                    <w:t>宿州市埇桥区经济开发区滨河路西侧</w:t>
                  </w:r>
                  <w:r>
                    <w:rPr>
                      <w:rFonts w:hint="default" w:ascii="Times New Roman" w:hAnsi="Times New Roman" w:eastAsia="宋体" w:cs="Times New Roman"/>
                      <w:color w:val="000000" w:themeColor="text1"/>
                      <w14:textFill>
                        <w14:solidFill>
                          <w14:schemeClr w14:val="tx1"/>
                        </w14:solidFill>
                      </w14:textFill>
                    </w:rPr>
                    <w:t>，不属于“散乱污”企业</w:t>
                  </w:r>
                </w:p>
              </w:tc>
              <w:tc>
                <w:tcPr>
                  <w:tcW w:w="799" w:type="dxa"/>
                  <w:noWrap w:val="0"/>
                  <w:vAlign w:val="center"/>
                </w:tcPr>
                <w:p w14:paraId="39B3FD74">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相符</w:t>
                  </w:r>
                </w:p>
              </w:tc>
            </w:tr>
            <w:tr w14:paraId="356DB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04" w:type="dxa"/>
                  <w:noWrap w:val="0"/>
                  <w:vAlign w:val="center"/>
                </w:tcPr>
                <w:p w14:paraId="2A00CF8F">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强化挥发性有机物深度治理。大力推动家具制造、板材加工、化工等涉挥发性有机物工业源重点行业全过程治理。实施低挥发性有机物含量原辅材料和产品源头替代工程，强化包装印刷、工业涂装、油品储运销等行业挥发性有机物收集效率，淘汰低效治理设施。加快推进采用单一低温等离子、光氧化、光催化以及非水溶性VOCS废气采用单一喷淋吸收等治理技术且无法稳定达标的治理设施升级改造。持续开展挥发性有机物无组织排放问题排查整治。</w:t>
                  </w:r>
                </w:p>
              </w:tc>
              <w:tc>
                <w:tcPr>
                  <w:tcW w:w="1867" w:type="dxa"/>
                  <w:noWrap w:val="0"/>
                  <w:vAlign w:val="center"/>
                </w:tcPr>
                <w:p w14:paraId="4964EBA0">
                  <w:pPr>
                    <w:pStyle w:val="77"/>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w:t>
                  </w:r>
                  <w:r>
                    <w:rPr>
                      <w:rFonts w:hint="default" w:ascii="Times New Roman" w:hAnsi="Times New Roman" w:eastAsia="宋体" w:cs="Times New Roman"/>
                      <w:color w:val="000000" w:themeColor="text1"/>
                      <w:kern w:val="0"/>
                      <w:szCs w:val="21"/>
                      <w:lang w:eastAsia="zh-CN"/>
                      <w14:textFill>
                        <w14:solidFill>
                          <w14:schemeClr w14:val="tx1"/>
                        </w14:solidFill>
                      </w14:textFill>
                    </w:rPr>
                    <w:t>涂胶、烘干、复合工序生产过程产生废气经集气罩收集后进入一套集气系统+水喷淋（TA003）+二级活性炭吸附装置（TA004）处理后由一根高为15米的排气筒排放(DA003)。</w:t>
                  </w:r>
                </w:p>
              </w:tc>
              <w:tc>
                <w:tcPr>
                  <w:tcW w:w="799" w:type="dxa"/>
                  <w:noWrap w:val="0"/>
                  <w:vAlign w:val="center"/>
                </w:tcPr>
                <w:p w14:paraId="75D7D11F">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相符</w:t>
                  </w:r>
                </w:p>
              </w:tc>
            </w:tr>
          </w:tbl>
          <w:p w14:paraId="537E8427">
            <w:pPr>
              <w:keepNext w:val="0"/>
              <w:keepLines w:val="0"/>
              <w:pageBreakBefore w:val="0"/>
              <w:widowControl/>
              <w:kinsoku w:val="0"/>
              <w:wordWrap/>
              <w:overflowPunct/>
              <w:topLinePunct w:val="0"/>
              <w:autoSpaceDE w:val="0"/>
              <w:autoSpaceDN w:val="0"/>
              <w:bidi w:val="0"/>
              <w:adjustRightInd/>
              <w:snapToGrid/>
              <w:spacing w:line="360" w:lineRule="auto"/>
              <w:jc w:val="left"/>
              <w:textAlignment w:val="baseline"/>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w:t>
            </w:r>
            <w:r>
              <w:rPr>
                <w:rFonts w:hint="default" w:ascii="Times New Roman" w:hAnsi="Times New Roman" w:eastAsia="宋体" w:cs="Times New Roman"/>
                <w:b/>
                <w:color w:val="000000" w:themeColor="text1"/>
                <w:sz w:val="24"/>
                <w:lang w:val="en-US" w:eastAsia="zh-CN"/>
                <w14:textFill>
                  <w14:solidFill>
                    <w14:schemeClr w14:val="tx1"/>
                  </w14:solidFill>
                </w14:textFill>
              </w:rPr>
              <w:t>9</w:t>
            </w:r>
            <w:r>
              <w:rPr>
                <w:rFonts w:hint="default" w:ascii="Times New Roman" w:hAnsi="Times New Roman" w:eastAsia="宋体" w:cs="Times New Roman"/>
                <w:b/>
                <w:color w:val="000000" w:themeColor="text1"/>
                <w:sz w:val="24"/>
                <w14:textFill>
                  <w14:solidFill>
                    <w14:schemeClr w14:val="tx1"/>
                  </w14:solidFill>
                </w14:textFill>
              </w:rPr>
              <w:t>）项目与《挥发性有机物（VOCS）污染防治技术政策》相符性分析详见下表</w:t>
            </w:r>
          </w:p>
          <w:p w14:paraId="47E2EAB4">
            <w:pPr>
              <w:keepNext w:val="0"/>
              <w:keepLines w:val="0"/>
              <w:pageBreakBefore w:val="0"/>
              <w:widowControl/>
              <w:kinsoku w:val="0"/>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表</w:t>
            </w:r>
            <w:r>
              <w:rPr>
                <w:rFonts w:hint="default" w:ascii="Times New Roman" w:hAnsi="Times New Roman" w:eastAsia="宋体" w:cs="Times New Roman"/>
                <w:b/>
                <w:color w:val="000000" w:themeColor="text1"/>
                <w:sz w:val="24"/>
                <w:lang w:val="en-US" w:eastAsia="zh-CN"/>
                <w14:textFill>
                  <w14:solidFill>
                    <w14:schemeClr w14:val="tx1"/>
                  </w14:solidFill>
                </w14:textFill>
              </w:rPr>
              <w:t>1-8</w:t>
            </w:r>
            <w:r>
              <w:rPr>
                <w:rFonts w:hint="default" w:ascii="Times New Roman" w:hAnsi="Times New Roman" w:eastAsia="宋体" w:cs="Times New Roman"/>
                <w:b/>
                <w:color w:val="000000" w:themeColor="text1"/>
                <w:sz w:val="24"/>
                <w14:textFill>
                  <w14:solidFill>
                    <w14:schemeClr w14:val="tx1"/>
                  </w14:solidFill>
                </w14:textFill>
              </w:rPr>
              <w:t>挥发性有机物（VOCS）污染防治技术政策相符性分析一览表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3803"/>
              <w:gridCol w:w="2673"/>
              <w:gridCol w:w="994"/>
            </w:tblGrid>
            <w:tr w14:paraId="05591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3" w:type="dxa"/>
                  <w:noWrap w:val="0"/>
                  <w:vAlign w:val="center"/>
                </w:tcPr>
                <w:p w14:paraId="2062C263">
                  <w:pPr>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3803" w:type="dxa"/>
                  <w:noWrap w:val="0"/>
                  <w:vAlign w:val="center"/>
                </w:tcPr>
                <w:p w14:paraId="5CDA0E48">
                  <w:pPr>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挥发性有机物（VOC</w:t>
                  </w:r>
                  <w:r>
                    <w:rPr>
                      <w:rFonts w:hint="default" w:ascii="Times New Roman" w:hAnsi="Times New Roman" w:eastAsia="宋体" w:cs="Times New Roman"/>
                      <w:b/>
                      <w:bCs/>
                      <w:color w:val="000000" w:themeColor="text1"/>
                      <w:sz w:val="21"/>
                      <w:szCs w:val="21"/>
                      <w:vertAlign w:val="subscript"/>
                      <w14:textFill>
                        <w14:solidFill>
                          <w14:schemeClr w14:val="tx1"/>
                        </w14:solidFill>
                      </w14:textFill>
                    </w:rPr>
                    <w:t>S</w:t>
                  </w:r>
                  <w:r>
                    <w:rPr>
                      <w:rFonts w:hint="default" w:ascii="Times New Roman" w:hAnsi="Times New Roman" w:eastAsia="宋体" w:cs="Times New Roman"/>
                      <w:b/>
                      <w:bCs/>
                      <w:color w:val="000000" w:themeColor="text1"/>
                      <w:sz w:val="21"/>
                      <w:szCs w:val="21"/>
                      <w14:textFill>
                        <w14:solidFill>
                          <w14:schemeClr w14:val="tx1"/>
                        </w14:solidFill>
                      </w14:textFill>
                    </w:rPr>
                    <w:t>）污染防治技术政策</w:t>
                  </w:r>
                </w:p>
              </w:tc>
              <w:tc>
                <w:tcPr>
                  <w:tcW w:w="2673" w:type="dxa"/>
                  <w:noWrap w:val="0"/>
                  <w:vAlign w:val="center"/>
                </w:tcPr>
                <w:p w14:paraId="52054B02">
                  <w:pPr>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项目情况</w:t>
                  </w:r>
                </w:p>
              </w:tc>
              <w:tc>
                <w:tcPr>
                  <w:tcW w:w="994" w:type="dxa"/>
                  <w:noWrap w:val="0"/>
                  <w:vAlign w:val="center"/>
                </w:tcPr>
                <w:p w14:paraId="6747EBA1">
                  <w:pPr>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相符性</w:t>
                  </w:r>
                </w:p>
              </w:tc>
            </w:tr>
            <w:tr w14:paraId="421B9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3" w:type="dxa"/>
                  <w:noWrap w:val="0"/>
                  <w:vAlign w:val="center"/>
                </w:tcPr>
                <w:p w14:paraId="69FFBF8C">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803" w:type="dxa"/>
                  <w:noWrap w:val="0"/>
                  <w:vAlign w:val="center"/>
                </w:tcPr>
                <w:p w14:paraId="7CE37A26">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含VOC</w:t>
                  </w:r>
                  <w:r>
                    <w:rPr>
                      <w:rFonts w:hint="default" w:ascii="Times New Roman" w:hAnsi="Times New Roman" w:eastAsia="宋体" w:cs="Times New Roman"/>
                      <w:color w:val="000000" w:themeColor="text1"/>
                      <w:sz w:val="21"/>
                      <w:szCs w:val="21"/>
                      <w:vertAlign w:val="subscript"/>
                      <w14:textFill>
                        <w14:solidFill>
                          <w14:schemeClr w14:val="tx1"/>
                        </w14:solidFill>
                      </w14:textFill>
                    </w:rPr>
                    <w:t>S</w:t>
                  </w:r>
                  <w:r>
                    <w:rPr>
                      <w:rFonts w:hint="default" w:ascii="Times New Roman" w:hAnsi="Times New Roman" w:eastAsia="宋体" w:cs="Times New Roman"/>
                      <w:color w:val="000000" w:themeColor="text1"/>
                      <w:sz w:val="21"/>
                      <w:szCs w:val="21"/>
                      <w14:textFill>
                        <w14:solidFill>
                          <w14:schemeClr w14:val="tx1"/>
                        </w14:solidFill>
                      </w14:textFill>
                    </w:rPr>
                    <w:t>产品的使用过程中，应采取废气收集措施，提高废气收集效率，减少废气的无组织排放与逸散，并对收集后的废气进行回收或处理后达标排放。</w:t>
                  </w:r>
                </w:p>
              </w:tc>
              <w:tc>
                <w:tcPr>
                  <w:tcW w:w="2673" w:type="dxa"/>
                  <w:noWrap w:val="0"/>
                  <w:vAlign w:val="center"/>
                </w:tcPr>
                <w:p w14:paraId="3114D097">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项目</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涂胶、烘干、复合工序生产过程产生废气经集气罩收集后进入一套集气系统+水喷淋（TA003）+二级活性炭吸附装置（TA004）处理后由一根高为15米的排气筒排放(DA003)</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994" w:type="dxa"/>
                  <w:noWrap w:val="0"/>
                  <w:vAlign w:val="center"/>
                </w:tcPr>
                <w:p w14:paraId="541EC934">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bl>
          <w:p w14:paraId="41E45024">
            <w:pPr>
              <w:keepNext w:val="0"/>
              <w:keepLines w:val="0"/>
              <w:pageBreakBefore w:val="0"/>
              <w:widowControl/>
              <w:kinsoku w:val="0"/>
              <w:wordWrap/>
              <w:overflowPunct/>
              <w:topLinePunct w:val="0"/>
              <w:autoSpaceDE w:val="0"/>
              <w:autoSpaceDN w:val="0"/>
              <w:bidi w:val="0"/>
              <w:adjustRightInd/>
              <w:snapToGrid/>
              <w:spacing w:line="360" w:lineRule="auto"/>
              <w:jc w:val="left"/>
              <w:textAlignment w:val="baseline"/>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w:t>
            </w:r>
            <w:r>
              <w:rPr>
                <w:rFonts w:hint="default" w:ascii="Times New Roman" w:hAnsi="Times New Roman" w:eastAsia="宋体" w:cs="Times New Roman"/>
                <w:b/>
                <w:color w:val="000000" w:themeColor="text1"/>
                <w:sz w:val="24"/>
                <w:lang w:val="en-US" w:eastAsia="zh-CN"/>
                <w14:textFill>
                  <w14:solidFill>
                    <w14:schemeClr w14:val="tx1"/>
                  </w14:solidFill>
                </w14:textFill>
              </w:rPr>
              <w:t>10</w:t>
            </w:r>
            <w:r>
              <w:rPr>
                <w:rFonts w:hint="default" w:ascii="Times New Roman" w:hAnsi="Times New Roman" w:eastAsia="宋体" w:cs="Times New Roman"/>
                <w:b/>
                <w:color w:val="000000" w:themeColor="text1"/>
                <w:sz w:val="24"/>
                <w14:textFill>
                  <w14:solidFill>
                    <w14:schemeClr w14:val="tx1"/>
                  </w14:solidFill>
                </w14:textFill>
              </w:rPr>
              <w:t>）项目与《安徽省低挥发性有机物含量原辅材料替代工作方案》（皖环发〔2024〕1号）相符性详见下表</w:t>
            </w:r>
          </w:p>
          <w:p w14:paraId="79E0CE77">
            <w:pPr>
              <w:keepNext w:val="0"/>
              <w:keepLines w:val="0"/>
              <w:pageBreakBefore w:val="0"/>
              <w:widowControl/>
              <w:kinsoku w:val="0"/>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表</w:t>
            </w:r>
            <w:r>
              <w:rPr>
                <w:rFonts w:hint="default" w:ascii="Times New Roman" w:hAnsi="Times New Roman" w:eastAsia="宋体" w:cs="Times New Roman"/>
                <w:b/>
                <w:color w:val="000000" w:themeColor="text1"/>
                <w:sz w:val="24"/>
                <w:lang w:val="en-US" w:eastAsia="zh-CN"/>
                <w14:textFill>
                  <w14:solidFill>
                    <w14:schemeClr w14:val="tx1"/>
                  </w14:solidFill>
                </w14:textFill>
              </w:rPr>
              <w:t>1-9</w:t>
            </w:r>
            <w:r>
              <w:rPr>
                <w:rFonts w:hint="default" w:ascii="Times New Roman" w:hAnsi="Times New Roman" w:eastAsia="宋体" w:cs="Times New Roman"/>
                <w:b/>
                <w:color w:val="000000" w:themeColor="text1"/>
                <w:sz w:val="24"/>
                <w14:textFill>
                  <w14:solidFill>
                    <w14:schemeClr w14:val="tx1"/>
                  </w14:solidFill>
                </w14:textFill>
              </w:rPr>
              <w:t>与《安徽省低挥发性有机物含量原辅材料替代工作方案》相符性分析</w:t>
            </w:r>
          </w:p>
          <w:tbl>
            <w:tblPr>
              <w:tblStyle w:val="26"/>
              <w:tblW w:w="8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4"/>
              <w:gridCol w:w="5813"/>
              <w:gridCol w:w="1230"/>
              <w:gridCol w:w="679"/>
            </w:tblGrid>
            <w:tr w14:paraId="3AAA1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42" w:type="pct"/>
                  <w:tcBorders>
                    <w:top w:val="single" w:color="auto" w:sz="4" w:space="0"/>
                    <w:left w:val="single" w:color="auto" w:sz="4" w:space="0"/>
                    <w:bottom w:val="single" w:color="auto" w:sz="4" w:space="0"/>
                    <w:right w:val="single" w:color="auto" w:sz="4" w:space="0"/>
                  </w:tcBorders>
                  <w:noWrap w:val="0"/>
                  <w:vAlign w:val="center"/>
                </w:tcPr>
                <w:p w14:paraId="0CFE8305">
                  <w:pPr>
                    <w:pStyle w:val="81"/>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序号</w:t>
                  </w:r>
                </w:p>
              </w:tc>
              <w:tc>
                <w:tcPr>
                  <w:tcW w:w="3581" w:type="pct"/>
                  <w:tcBorders>
                    <w:top w:val="single" w:color="auto" w:sz="4" w:space="0"/>
                    <w:left w:val="nil"/>
                    <w:bottom w:val="single" w:color="auto" w:sz="4" w:space="0"/>
                    <w:right w:val="single" w:color="auto" w:sz="4" w:space="0"/>
                  </w:tcBorders>
                  <w:noWrap w:val="0"/>
                  <w:vAlign w:val="center"/>
                </w:tcPr>
                <w:p w14:paraId="489BFB86">
                  <w:pPr>
                    <w:pStyle w:val="81"/>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安徽省低挥发性有机物含量原辅材料替代工作方案</w:t>
                  </w:r>
                </w:p>
              </w:tc>
              <w:tc>
                <w:tcPr>
                  <w:tcW w:w="757" w:type="pct"/>
                  <w:tcBorders>
                    <w:top w:val="single" w:color="auto" w:sz="4" w:space="0"/>
                    <w:left w:val="nil"/>
                    <w:bottom w:val="single" w:color="auto" w:sz="4" w:space="0"/>
                    <w:right w:val="single" w:color="auto" w:sz="4" w:space="0"/>
                  </w:tcBorders>
                  <w:noWrap w:val="0"/>
                  <w:vAlign w:val="center"/>
                </w:tcPr>
                <w:p w14:paraId="19BF7BFF">
                  <w:pPr>
                    <w:pStyle w:val="81"/>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项目情况</w:t>
                  </w:r>
                </w:p>
              </w:tc>
              <w:tc>
                <w:tcPr>
                  <w:tcW w:w="418" w:type="pct"/>
                  <w:tcBorders>
                    <w:top w:val="single" w:color="auto" w:sz="4" w:space="0"/>
                    <w:left w:val="nil"/>
                    <w:bottom w:val="single" w:color="auto" w:sz="4" w:space="0"/>
                    <w:right w:val="single" w:color="auto" w:sz="4" w:space="0"/>
                  </w:tcBorders>
                  <w:noWrap w:val="0"/>
                  <w:vAlign w:val="center"/>
                </w:tcPr>
                <w:p w14:paraId="671B3BDE">
                  <w:pPr>
                    <w:pStyle w:val="81"/>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相符性</w:t>
                  </w:r>
                </w:p>
              </w:tc>
            </w:tr>
            <w:tr w14:paraId="6410D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42" w:type="pct"/>
                  <w:tcBorders>
                    <w:top w:val="single" w:color="auto" w:sz="4" w:space="0"/>
                    <w:left w:val="single" w:color="auto" w:sz="4" w:space="0"/>
                    <w:bottom w:val="single" w:color="auto" w:sz="4" w:space="0"/>
                    <w:right w:val="single" w:color="auto" w:sz="4" w:space="0"/>
                  </w:tcBorders>
                  <w:noWrap w:val="0"/>
                  <w:vAlign w:val="center"/>
                </w:tcPr>
                <w:p w14:paraId="39681B88">
                  <w:pPr>
                    <w:pStyle w:val="81"/>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581" w:type="pct"/>
                  <w:tcBorders>
                    <w:top w:val="single" w:color="auto" w:sz="4" w:space="0"/>
                    <w:left w:val="nil"/>
                    <w:bottom w:val="single" w:color="auto" w:sz="4" w:space="0"/>
                    <w:right w:val="single" w:color="auto" w:sz="4" w:space="0"/>
                  </w:tcBorders>
                  <w:noWrap w:val="0"/>
                  <w:vAlign w:val="center"/>
                </w:tcPr>
                <w:p w14:paraId="2CBAB080">
                  <w:pPr>
                    <w:pStyle w:val="81"/>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一）加强替代管理。工业涂装、包装印刷、竹木加工、家具制造、汽车修理与维护、鞋和皮革制品制造等重点行业企业，要按照《低挥发性有机物含量原辅材料源头替代技术指引（试行）》（附件）要求，开展低VOCs原辅材料和生产方式替代，优化管控台账及档案管理，持续提升环境管理水平。各地要根据《关于深入开展挥发性有机物污染治理工作的通知》（皖大气办[2021]4号）要求，在认真梳理2021至2023年度VOCs源头削减治理项目清单基础上，对涉VOCs重点行业和使用溶剂型涂料、油墨、胶粘剂、清洗剂以及涉及有机化工生产的产业集群进行再排查，将含VOCs原辅材料使用企业全面纳入源头替代企业排查台账（附件2），对具备替代条件的，加强调度指导；对无法替代的，要开展论证核实，严格把关并逐一说明。</w:t>
                  </w:r>
                </w:p>
              </w:tc>
              <w:tc>
                <w:tcPr>
                  <w:tcW w:w="757" w:type="pct"/>
                  <w:vMerge w:val="restart"/>
                  <w:tcBorders>
                    <w:top w:val="single" w:color="auto" w:sz="4" w:space="0"/>
                    <w:left w:val="nil"/>
                    <w:right w:val="single" w:color="auto" w:sz="4" w:space="0"/>
                  </w:tcBorders>
                  <w:noWrap w:val="0"/>
                  <w:vAlign w:val="center"/>
                </w:tcPr>
                <w:p w14:paraId="4487EB1A">
                  <w:pPr>
                    <w:pStyle w:val="81"/>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本项目生产过程使用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低挥发性水性复合胶</w:t>
                  </w:r>
                  <w:r>
                    <w:rPr>
                      <w:rFonts w:hint="default" w:ascii="Times New Roman" w:hAnsi="Times New Roman" w:eastAsia="宋体" w:cs="Times New Roman"/>
                      <w:color w:val="000000" w:themeColor="text1"/>
                      <w:sz w:val="21"/>
                      <w:szCs w:val="21"/>
                      <w:lang w:eastAsia="zh-CN"/>
                      <w14:textFill>
                        <w14:solidFill>
                          <w14:schemeClr w14:val="tx1"/>
                        </w14:solidFill>
                      </w14:textFill>
                    </w:rPr>
                    <w:t>VOCs值为7g/L，</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满足《胶粘剂挥发性有机化合物限量》（GB/T 33372-2020）</w:t>
                  </w:r>
                  <w:r>
                    <w:rPr>
                      <w:rFonts w:hint="default" w:ascii="Times New Roman" w:hAnsi="Times New Roman" w:eastAsia="宋体" w:cs="Times New Roman"/>
                      <w:color w:val="000000" w:themeColor="text1"/>
                      <w:kern w:val="0"/>
                      <w:sz w:val="21"/>
                      <w:szCs w:val="21"/>
                      <w14:textFill>
                        <w14:solidFill>
                          <w14:schemeClr w14:val="tx1"/>
                        </w14:solidFill>
                      </w14:textFill>
                    </w:rPr>
                    <w:t>要求</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100g/L</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以及满足</w:t>
                  </w:r>
                  <w:r>
                    <w:rPr>
                      <w:rFonts w:hint="default" w:ascii="Times New Roman" w:hAnsi="Times New Roman" w:eastAsia="宋体" w:cs="Times New Roman"/>
                      <w:color w:val="000000" w:themeColor="text1"/>
                      <w:sz w:val="21"/>
                      <w:szCs w:val="21"/>
                      <w:lang w:eastAsia="zh-CN"/>
                      <w14:textFill>
                        <w14:solidFill>
                          <w14:schemeClr w14:val="tx1"/>
                        </w14:solidFill>
                      </w14:textFill>
                    </w:rPr>
                    <w:t>《低挥发性有机物含量原辅材料源头替代技术指引（试行）》（附件）要求）。</w:t>
                  </w:r>
                </w:p>
              </w:tc>
              <w:tc>
                <w:tcPr>
                  <w:tcW w:w="418" w:type="pct"/>
                  <w:tcBorders>
                    <w:top w:val="single" w:color="auto" w:sz="4" w:space="0"/>
                    <w:left w:val="nil"/>
                    <w:bottom w:val="single" w:color="auto" w:sz="4" w:space="0"/>
                    <w:right w:val="single" w:color="auto" w:sz="4" w:space="0"/>
                  </w:tcBorders>
                  <w:noWrap w:val="0"/>
                  <w:vAlign w:val="center"/>
                </w:tcPr>
                <w:p w14:paraId="1EA5F3E2">
                  <w:pPr>
                    <w:pStyle w:val="81"/>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6944A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42" w:type="pct"/>
                  <w:tcBorders>
                    <w:top w:val="single" w:color="auto" w:sz="4" w:space="0"/>
                    <w:left w:val="single" w:color="auto" w:sz="4" w:space="0"/>
                    <w:bottom w:val="single" w:color="auto" w:sz="4" w:space="0"/>
                    <w:right w:val="single" w:color="auto" w:sz="4" w:space="0"/>
                  </w:tcBorders>
                  <w:noWrap w:val="0"/>
                  <w:vAlign w:val="center"/>
                </w:tcPr>
                <w:p w14:paraId="72F7DFF7">
                  <w:pPr>
                    <w:pStyle w:val="81"/>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581" w:type="pct"/>
                  <w:tcBorders>
                    <w:top w:val="single" w:color="auto" w:sz="4" w:space="0"/>
                    <w:left w:val="nil"/>
                    <w:bottom w:val="single" w:color="auto" w:sz="4" w:space="0"/>
                    <w:right w:val="single" w:color="auto" w:sz="4" w:space="0"/>
                  </w:tcBorders>
                  <w:noWrap w:val="0"/>
                  <w:vAlign w:val="center"/>
                </w:tcPr>
                <w:p w14:paraId="4EA12107">
                  <w:pPr>
                    <w:pStyle w:val="81"/>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（二）严格项目准入。根据《低挥发性有机化合物含量涂料产品技术要求》（GB/T 38597-2020）要求，进一步完善VOCs 排放管控地方标准建设，细化相关行业涂料种类及各项污染物指标限值，编制实施固定源挥发性有机物综合排放标准和制鞋、汽修、木材等行业大气污染物排放标准。禁止建设生产和使用高VOCs含量的溶剂型涂料、油墨、胶黏剂等项目，全省工业涂装、包装印刷等重点行业和涂料、油墨等生产企业的新（改、扩）建项目需满足低（无）VOCs含量限值要求。省内市场上流通的水性涂料等低VOCs含量涂料产品，执行《低挥发性有机化合物含量涂料产品技术要求》，应在包装标志或产品说明上标明符合标准的分类、产品类别及产品类型（或施涂方式）。</w:t>
                  </w:r>
                </w:p>
              </w:tc>
              <w:tc>
                <w:tcPr>
                  <w:tcW w:w="757" w:type="pct"/>
                  <w:vMerge w:val="continue"/>
                  <w:tcBorders>
                    <w:left w:val="nil"/>
                    <w:right w:val="single" w:color="auto" w:sz="4" w:space="0"/>
                  </w:tcBorders>
                  <w:noWrap w:val="0"/>
                  <w:vAlign w:val="center"/>
                </w:tcPr>
                <w:p w14:paraId="41AA9907">
                  <w:pPr>
                    <w:pStyle w:val="81"/>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418" w:type="pct"/>
                  <w:tcBorders>
                    <w:top w:val="single" w:color="auto" w:sz="4" w:space="0"/>
                    <w:left w:val="nil"/>
                    <w:bottom w:val="single" w:color="auto" w:sz="4" w:space="0"/>
                    <w:right w:val="single" w:color="auto" w:sz="4" w:space="0"/>
                  </w:tcBorders>
                  <w:noWrap w:val="0"/>
                  <w:vAlign w:val="center"/>
                </w:tcPr>
                <w:p w14:paraId="17B8C518">
                  <w:pPr>
                    <w:pStyle w:val="81"/>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38789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42" w:type="pct"/>
                  <w:tcBorders>
                    <w:top w:val="single" w:color="auto" w:sz="4" w:space="0"/>
                    <w:left w:val="single" w:color="auto" w:sz="4" w:space="0"/>
                    <w:bottom w:val="single" w:color="auto" w:sz="4" w:space="0"/>
                    <w:right w:val="single" w:color="auto" w:sz="4" w:space="0"/>
                  </w:tcBorders>
                  <w:noWrap w:val="0"/>
                  <w:vAlign w:val="center"/>
                </w:tcPr>
                <w:p w14:paraId="7D010265">
                  <w:pPr>
                    <w:pStyle w:val="81"/>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3</w:t>
                  </w:r>
                </w:p>
              </w:tc>
              <w:tc>
                <w:tcPr>
                  <w:tcW w:w="3581" w:type="pct"/>
                  <w:tcBorders>
                    <w:top w:val="single" w:color="auto" w:sz="4" w:space="0"/>
                    <w:left w:val="nil"/>
                    <w:bottom w:val="single" w:color="auto" w:sz="4" w:space="0"/>
                    <w:right w:val="single" w:color="auto" w:sz="4" w:space="0"/>
                  </w:tcBorders>
                  <w:noWrap w:val="0"/>
                  <w:vAlign w:val="center"/>
                </w:tcPr>
                <w:p w14:paraId="7BE0CB7F">
                  <w:pPr>
                    <w:pStyle w:val="81"/>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2.替代要求。使用含VOCs原辅材料的企业应充分综合考虑经济、环境、技术可行性，确定合适的源头替代方法，优先选用VOCs含量（质量比）低于10%的低VOCs含量原辅材料。低VOCs含量原辅材料应符合2.1规定的涂料、2.2规定的油墨、2.3规定的胶粘剂、2.4规定的清洗剂进行替代，低VOCs含量原辅材料含量限值要求见附录A。</w:t>
                  </w:r>
                </w:p>
              </w:tc>
              <w:tc>
                <w:tcPr>
                  <w:tcW w:w="757" w:type="pct"/>
                  <w:vMerge w:val="continue"/>
                  <w:tcBorders>
                    <w:left w:val="nil"/>
                    <w:bottom w:val="single" w:color="auto" w:sz="4" w:space="0"/>
                    <w:right w:val="single" w:color="auto" w:sz="4" w:space="0"/>
                  </w:tcBorders>
                  <w:noWrap w:val="0"/>
                  <w:vAlign w:val="center"/>
                </w:tcPr>
                <w:p w14:paraId="25E69EA3">
                  <w:pPr>
                    <w:pStyle w:val="81"/>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418" w:type="pct"/>
                  <w:tcBorders>
                    <w:top w:val="single" w:color="auto" w:sz="4" w:space="0"/>
                    <w:left w:val="nil"/>
                    <w:bottom w:val="single" w:color="auto" w:sz="4" w:space="0"/>
                    <w:right w:val="single" w:color="auto" w:sz="4" w:space="0"/>
                  </w:tcBorders>
                  <w:noWrap w:val="0"/>
                  <w:vAlign w:val="center"/>
                </w:tcPr>
                <w:p w14:paraId="2770864E">
                  <w:pPr>
                    <w:pStyle w:val="81"/>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相符</w:t>
                  </w:r>
                </w:p>
              </w:tc>
            </w:tr>
          </w:tbl>
          <w:p w14:paraId="293A7F25">
            <w:pPr>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textAlignment w:val="baseline"/>
              <w:rPr>
                <w:rFonts w:hint="default" w:ascii="Times New Roman" w:hAnsi="Times New Roman" w:eastAsia="宋体" w:cs="Times New Roman"/>
                <w:b/>
                <w:bCs/>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sz w:val="24"/>
                <w:lang w:eastAsia="zh-CN"/>
                <w14:textFill>
                  <w14:solidFill>
                    <w14:schemeClr w14:val="tx1"/>
                  </w14:solidFill>
                </w14:textFill>
              </w:rPr>
              <w:t>（</w:t>
            </w:r>
            <w:r>
              <w:rPr>
                <w:rFonts w:hint="default" w:ascii="Times New Roman" w:hAnsi="Times New Roman" w:eastAsia="宋体" w:cs="Times New Roman"/>
                <w:b/>
                <w:bCs/>
                <w:color w:val="000000" w:themeColor="text1"/>
                <w:sz w:val="24"/>
                <w:lang w:val="en-US" w:eastAsia="zh-CN"/>
                <w14:textFill>
                  <w14:solidFill>
                    <w14:schemeClr w14:val="tx1"/>
                  </w14:solidFill>
                </w14:textFill>
              </w:rPr>
              <w:t>11</w:t>
            </w:r>
            <w:r>
              <w:rPr>
                <w:rFonts w:hint="default" w:ascii="Times New Roman" w:hAnsi="Times New Roman" w:eastAsia="宋体" w:cs="Times New Roman"/>
                <w:b/>
                <w:bCs/>
                <w:color w:val="000000" w:themeColor="text1"/>
                <w:sz w:val="24"/>
                <w:lang w:eastAsia="zh-CN"/>
                <w14:textFill>
                  <w14:solidFill>
                    <w14:schemeClr w14:val="tx1"/>
                  </w14:solidFill>
                </w14:textFill>
              </w:rPr>
              <w:t>）</w:t>
            </w:r>
            <w:r>
              <w:rPr>
                <w:rFonts w:hint="default" w:ascii="Times New Roman" w:hAnsi="Times New Roman" w:eastAsia="宋体" w:cs="Times New Roman"/>
                <w:b/>
                <w:bCs/>
                <w:color w:val="000000" w:themeColor="text1"/>
                <w:sz w:val="24"/>
                <w14:textFill>
                  <w14:solidFill>
                    <w14:schemeClr w14:val="tx1"/>
                  </w14:solidFill>
                </w14:textFill>
              </w:rPr>
              <w:t>与《重点行业挥发性有机物综合治理方案》</w:t>
            </w:r>
            <w:r>
              <w:rPr>
                <w:rFonts w:hint="default" w:ascii="Times New Roman" w:hAnsi="Times New Roman" w:eastAsia="宋体" w:cs="Times New Roman"/>
                <w:b/>
                <w:color w:val="000000" w:themeColor="text1"/>
                <w:sz w:val="24"/>
                <w14:textFill>
                  <w14:solidFill>
                    <w14:schemeClr w14:val="tx1"/>
                  </w14:solidFill>
                </w14:textFill>
              </w:rPr>
              <w:t>环大气〔2019〕53号）</w:t>
            </w:r>
            <w:r>
              <w:rPr>
                <w:rFonts w:hint="default" w:ascii="Times New Roman" w:hAnsi="Times New Roman" w:eastAsia="宋体" w:cs="Times New Roman"/>
                <w:b/>
                <w:bCs/>
                <w:color w:val="000000" w:themeColor="text1"/>
                <w:sz w:val="24"/>
                <w14:textFill>
                  <w14:solidFill>
                    <w14:schemeClr w14:val="tx1"/>
                  </w14:solidFill>
                </w14:textFill>
              </w:rPr>
              <w:t>的</w:t>
            </w:r>
            <w:r>
              <w:rPr>
                <w:rFonts w:hint="default" w:ascii="Times New Roman" w:hAnsi="Times New Roman" w:eastAsia="宋体" w:cs="Times New Roman"/>
                <w:b/>
                <w:bCs/>
                <w:color w:val="000000" w:themeColor="text1"/>
                <w:kern w:val="0"/>
                <w:sz w:val="24"/>
                <w14:textFill>
                  <w14:solidFill>
                    <w14:schemeClr w14:val="tx1"/>
                  </w14:solidFill>
                </w14:textFill>
              </w:rPr>
              <w:t>符合性分析</w:t>
            </w:r>
          </w:p>
          <w:p w14:paraId="610491E8">
            <w:pPr>
              <w:keepNext w:val="0"/>
              <w:keepLines w:val="0"/>
              <w:pageBreakBefore w:val="0"/>
              <w:widowControl/>
              <w:kinsoku w:val="0"/>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表1</w:t>
            </w:r>
            <w:r>
              <w:rPr>
                <w:rFonts w:hint="default" w:ascii="Times New Roman" w:hAnsi="Times New Roman" w:eastAsia="宋体" w:cs="Times New Roman"/>
                <w:b/>
                <w:color w:val="000000" w:themeColor="text1"/>
                <w:sz w:val="24"/>
                <w:lang w:val="en-US" w:eastAsia="zh-CN"/>
                <w14:textFill>
                  <w14:solidFill>
                    <w14:schemeClr w14:val="tx1"/>
                  </w14:solidFill>
                </w14:textFill>
              </w:rPr>
              <w:t>-10</w:t>
            </w:r>
            <w:r>
              <w:rPr>
                <w:rFonts w:hint="default" w:ascii="Times New Roman" w:hAnsi="Times New Roman" w:eastAsia="宋体" w:cs="Times New Roman"/>
                <w:b/>
                <w:color w:val="000000" w:themeColor="text1"/>
                <w:sz w:val="24"/>
                <w14:textFill>
                  <w14:solidFill>
                    <w14:schemeClr w14:val="tx1"/>
                  </w14:solidFill>
                </w14:textFill>
              </w:rPr>
              <w:t>项目与</w:t>
            </w:r>
            <w:r>
              <w:rPr>
                <w:rFonts w:hint="default" w:ascii="Times New Roman" w:hAnsi="Times New Roman" w:eastAsia="宋体" w:cs="Times New Roman"/>
                <w:b/>
                <w:bCs/>
                <w:color w:val="000000" w:themeColor="text1"/>
                <w:sz w:val="24"/>
                <w14:textFill>
                  <w14:solidFill>
                    <w14:schemeClr w14:val="tx1"/>
                  </w14:solidFill>
                </w14:textFill>
              </w:rPr>
              <w:t>《重点行业挥发性有机物综合治理方案》</w:t>
            </w:r>
            <w:r>
              <w:rPr>
                <w:rFonts w:hint="default" w:ascii="Times New Roman" w:hAnsi="Times New Roman" w:eastAsia="宋体" w:cs="Times New Roman"/>
                <w:b/>
                <w:color w:val="000000" w:themeColor="text1"/>
                <w:sz w:val="24"/>
                <w14:textFill>
                  <w14:solidFill>
                    <w14:schemeClr w14:val="tx1"/>
                  </w14:solidFill>
                </w14:textFill>
              </w:rPr>
              <w:t>符合性分析一览表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0"/>
              <w:gridCol w:w="2062"/>
              <w:gridCol w:w="641"/>
            </w:tblGrid>
            <w:tr w14:paraId="219F6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4" w:type="pct"/>
                  <w:vAlign w:val="center"/>
                </w:tcPr>
                <w:p w14:paraId="1AF3774C">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文件要求</w:t>
                  </w:r>
                </w:p>
              </w:tc>
              <w:tc>
                <w:tcPr>
                  <w:tcW w:w="1270" w:type="pct"/>
                  <w:vAlign w:val="center"/>
                </w:tcPr>
                <w:p w14:paraId="0F244BA1">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本项目情况对照简析</w:t>
                  </w:r>
                </w:p>
              </w:tc>
              <w:tc>
                <w:tcPr>
                  <w:tcW w:w="395" w:type="pct"/>
                  <w:vAlign w:val="center"/>
                </w:tcPr>
                <w:p w14:paraId="2226B331">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分析结果</w:t>
                  </w:r>
                </w:p>
              </w:tc>
            </w:tr>
            <w:tr w14:paraId="50F14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4" w:type="pct"/>
                  <w:vAlign w:val="center"/>
                </w:tcPr>
                <w:p w14:paraId="536AD681">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工业涂装、包装印刷等行业要加大源头替代力度；化工行业要推广使用低（无）VOCs含量、低反应活性的原辅材料，加快对芳香烃、含卤素有机化合物的绿色替代。企业应大力推广使用低VOCs含量木器涂料、车辆涂料、机械设备涂料、集装箱涂料以及建筑物和构筑物防护涂料等，在技术成熟的行业，推广使用低VOCs含量油墨和胶粘剂</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1270" w:type="pct"/>
                  <w:vAlign w:val="center"/>
                </w:tcPr>
                <w:p w14:paraId="61917553">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本项目生产过程使用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低挥发性水性复合胶</w:t>
                  </w:r>
                  <w:r>
                    <w:rPr>
                      <w:rFonts w:hint="default" w:ascii="Times New Roman" w:hAnsi="Times New Roman" w:eastAsia="宋体" w:cs="Times New Roman"/>
                      <w:color w:val="000000" w:themeColor="text1"/>
                      <w:sz w:val="21"/>
                      <w:szCs w:val="21"/>
                      <w:lang w:eastAsia="zh-CN"/>
                      <w14:textFill>
                        <w14:solidFill>
                          <w14:schemeClr w14:val="tx1"/>
                        </w14:solidFill>
                      </w14:textFill>
                    </w:rPr>
                    <w:t>VOCs值为7g/L，</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满足《胶粘剂挥发性有机化合物限量》（GB/T 33372-2020）</w:t>
                  </w:r>
                  <w:r>
                    <w:rPr>
                      <w:rFonts w:hint="default" w:ascii="Times New Roman" w:hAnsi="Times New Roman" w:eastAsia="宋体" w:cs="Times New Roman"/>
                      <w:color w:val="000000" w:themeColor="text1"/>
                      <w:kern w:val="0"/>
                      <w:sz w:val="21"/>
                      <w:szCs w:val="21"/>
                      <w14:textFill>
                        <w14:solidFill>
                          <w14:schemeClr w14:val="tx1"/>
                        </w14:solidFill>
                      </w14:textFill>
                    </w:rPr>
                    <w:t>要求</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100g/L</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395" w:type="pct"/>
                  <w:vAlign w:val="center"/>
                </w:tcPr>
                <w:p w14:paraId="0D1CEE3E">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5CC18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4" w:type="pct"/>
                  <w:vAlign w:val="center"/>
                </w:tcPr>
                <w:p w14:paraId="7F95ABF0">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加强设备与场所密闭管理。含VOCs物料应储存于密闭容器、包装袋，高效密封储罐，封闭式储库、料仓等。含VOCs物料转移和输送，应采用密闭管道或密闭容器、罐车等。含VOCs物料生产和使用过程，应采取有效收集措施或在密闭空间中操作。</w:t>
                  </w:r>
                </w:p>
              </w:tc>
              <w:tc>
                <w:tcPr>
                  <w:tcW w:w="1270" w:type="pct"/>
                  <w:vAlign w:val="center"/>
                </w:tcPr>
                <w:p w14:paraId="5766626D">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低挥发性水性复合胶</w:t>
                  </w:r>
                  <w:r>
                    <w:rPr>
                      <w:rFonts w:hint="default" w:ascii="Times New Roman" w:hAnsi="Times New Roman" w:eastAsia="宋体" w:cs="Times New Roman"/>
                      <w:color w:val="000000" w:themeColor="text1"/>
                      <w:sz w:val="21"/>
                      <w:szCs w:val="21"/>
                      <w14:textFill>
                        <w14:solidFill>
                          <w14:schemeClr w14:val="tx1"/>
                        </w14:solidFill>
                      </w14:textFill>
                    </w:rPr>
                    <w:t>均存储于密闭容器内，并储存在专用库内；非取用状态下，桶均密闭储存，不得敞口</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395" w:type="pct"/>
                  <w:vAlign w:val="center"/>
                </w:tcPr>
                <w:p w14:paraId="79AC8362">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51A35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4" w:type="pct"/>
                  <w:vAlign w:val="center"/>
                </w:tcPr>
                <w:p w14:paraId="65535B12">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tc>
              <w:tc>
                <w:tcPr>
                  <w:tcW w:w="1270" w:type="pct"/>
                  <w:vAlign w:val="center"/>
                </w:tcPr>
                <w:p w14:paraId="69075C3C">
                  <w:pPr>
                    <w:pStyle w:val="8"/>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w:t>
                  </w:r>
                  <w:r>
                    <w:rPr>
                      <w:rFonts w:hint="default" w:ascii="Times New Roman" w:hAnsi="Times New Roman" w:eastAsia="宋体" w:cs="Times New Roman"/>
                      <w:color w:val="000000" w:themeColor="text1"/>
                      <w:sz w:val="21"/>
                      <w:szCs w:val="21"/>
                      <w:lang w:eastAsia="zh-CN"/>
                      <w14:textFill>
                        <w14:solidFill>
                          <w14:schemeClr w14:val="tx1"/>
                        </w14:solidFill>
                      </w14:textFill>
                    </w:rPr>
                    <w:t>涂胶、烘干、复合工序生产过程产生废气经集气罩收集后进入一套集气系统+水喷淋（TA003）+二级活性炭吸附装置（TA004）处理后由一根高为15米的排气筒排放(DA003)，有机废气</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收集率为90%</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395" w:type="pct"/>
                  <w:vAlign w:val="center"/>
                </w:tcPr>
                <w:p w14:paraId="41E307A4">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140B8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4" w:type="pct"/>
                  <w:vAlign w:val="center"/>
                </w:tcPr>
                <w:p w14:paraId="5C2BAFA7">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有条件的工业园区和产业集群等，推广集中喷涂、溶剂集中回收、活性炭集中再生等，加强资源共享，提高VOCs治理效率。采用催化燃烧工艺的，应满足《催化燃烧法工业有机废气治理工程技术规范》要求。采用蓄热燃烧等其他处理工艺的，应按相关技术规范要求设计。实行重点排放源排放浓度与去除效率双重控制。车间或生产设施收集排放的废气，VOCs初始排放速率大于等于3千克/小时、重点区域大于等于2千克/小时的，应加大控制力度，除确保排放浓度稳定达标外，还应实行去除效率控制，去除效率不低于80%；采用的原辅材料符合国家有关低VOCs含量产品规定的除外，有行业排放标准的按其相关规定执行。</w:t>
                  </w:r>
                </w:p>
              </w:tc>
              <w:tc>
                <w:tcPr>
                  <w:tcW w:w="1270" w:type="pct"/>
                  <w:vAlign w:val="center"/>
                </w:tcPr>
                <w:p w14:paraId="52580079">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企业使用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低挥发性水性复合胶</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涂胶、烘干、复合工序产生的废气。涂胶、烘干、复合工序生产过程产生废气经集气罩收集后进入一套集气系统+水喷淋（TA003）+二级活性炭吸附装置（TA004）处理后由一根高为15米的排气筒排放(DA003)</w:t>
                  </w:r>
                  <w:r>
                    <w:rPr>
                      <w:rFonts w:hint="default" w:ascii="Times New Roman" w:hAnsi="Times New Roman" w:eastAsia="宋体" w:cs="Times New Roman"/>
                      <w:color w:val="000000" w:themeColor="text1"/>
                      <w:sz w:val="21"/>
                      <w:szCs w:val="21"/>
                      <w14:textFill>
                        <w14:solidFill>
                          <w14:schemeClr w14:val="tx1"/>
                        </w14:solidFill>
                      </w14:textFill>
                    </w:rPr>
                    <w:t>，有机废气收集率高，处理效率</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color w:val="000000" w:themeColor="text1"/>
                      <w:sz w:val="21"/>
                      <w:szCs w:val="21"/>
                      <w14:textFill>
                        <w14:solidFill>
                          <w14:schemeClr w14:val="tx1"/>
                        </w14:solidFill>
                      </w14:textFill>
                    </w:rPr>
                    <w:t>0%</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395" w:type="pct"/>
                  <w:vAlign w:val="center"/>
                </w:tcPr>
                <w:p w14:paraId="52D0DF34">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7B1E4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4" w:type="pct"/>
                  <w:vAlign w:val="center"/>
                </w:tcPr>
                <w:p w14:paraId="2208696E">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强化源头控制，加快使用粉末、水性、高固体分、辐射固化等低VOCs含量的涂料替代溶剂型涂料。重点区域汽车制造底漆大力推广使用水性涂料，乘用车中涂、色漆大力推广使用高固体分或水性涂料，加快客车、货车等中涂、色漆改造。钢制集装箱制造在箱内、箱外、木地板涂装等工序大力推广使用水性涂料，在确保防腐蚀功能的前提下，加快推进特种集装箱采用水性涂料。木质家具制造大力推广使用水性、辐射固化、粉末等涂料和水性胶粘剂；金属家具制造大力推广使用粉末涂料；软体家具制造大力推广使用水性胶粘剂。工程机械制造大力推广使用水性、粉末和高固体分涂料。电子产品制造推广使用粉末、水性、辐射固化等涂料。</w:t>
                  </w:r>
                </w:p>
              </w:tc>
              <w:tc>
                <w:tcPr>
                  <w:tcW w:w="1270" w:type="pct"/>
                  <w:vAlign w:val="center"/>
                </w:tcPr>
                <w:p w14:paraId="1F703877">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本项目使用的</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低挥发性水性复合胶</w:t>
                  </w:r>
                  <w:r>
                    <w:rPr>
                      <w:rFonts w:hint="default" w:ascii="Times New Roman" w:hAnsi="Times New Roman" w:eastAsia="宋体" w:cs="Times New Roman"/>
                      <w:color w:val="000000" w:themeColor="text1"/>
                      <w:sz w:val="21"/>
                      <w:szCs w:val="21"/>
                      <w14:textFill>
                        <w14:solidFill>
                          <w14:schemeClr w14:val="tx1"/>
                        </w14:solidFill>
                      </w14:textFill>
                    </w:rPr>
                    <w:t>，产品从源头减少VOCs产生</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395" w:type="pct"/>
                  <w:vAlign w:val="center"/>
                </w:tcPr>
                <w:p w14:paraId="25995867">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1C607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4" w:type="pct"/>
                  <w:vAlign w:val="center"/>
                </w:tcPr>
                <w:p w14:paraId="7894862C">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有效控制无组织排放。涂料、稀释剂、清洗剂等原辅材料应密闭存储，调配、使用、回收等过程应采用密闭设备或在密闭空间内操作，采用密闭管道或密闭容器等输送。除大型工件外，禁止敞开式喷涂、晾（风）干作业。除工艺限制外，原则上实行集中调配。调配、喷涂和干燥等VOCs排放工序应配备有效的废气收集系统。</w:t>
                  </w:r>
                </w:p>
              </w:tc>
              <w:tc>
                <w:tcPr>
                  <w:tcW w:w="1270" w:type="pct"/>
                  <w:vAlign w:val="center"/>
                </w:tcPr>
                <w:p w14:paraId="6EEC0022">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低挥发性水性复合胶</w:t>
                  </w:r>
                  <w:r>
                    <w:rPr>
                      <w:rFonts w:hint="default" w:ascii="Times New Roman" w:hAnsi="Times New Roman" w:eastAsia="宋体" w:cs="Times New Roman"/>
                      <w:color w:val="000000" w:themeColor="text1"/>
                      <w:sz w:val="21"/>
                      <w:szCs w:val="21"/>
                      <w14:textFill>
                        <w14:solidFill>
                          <w14:schemeClr w14:val="tx1"/>
                        </w14:solidFill>
                      </w14:textFill>
                    </w:rPr>
                    <w:t>均存储于密闭容器内，并储存在专用库内；非取用状态下，桶均密闭储存，不得敞口</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，无室外或露天作业</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395" w:type="pct"/>
                  <w:vAlign w:val="center"/>
                </w:tcPr>
                <w:p w14:paraId="18B23462">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bl>
          <w:p w14:paraId="5CBE83CA">
            <w:pPr>
              <w:keepNext w:val="0"/>
              <w:keepLines w:val="0"/>
              <w:pageBreakBefore w:val="0"/>
              <w:widowControl/>
              <w:kinsoku w:val="0"/>
              <w:wordWrap/>
              <w:overflowPunct/>
              <w:topLinePunct w:val="0"/>
              <w:autoSpaceDE w:val="0"/>
              <w:autoSpaceDN w:val="0"/>
              <w:bidi w:val="0"/>
              <w:adjustRightInd/>
              <w:snapToGrid/>
              <w:spacing w:line="360" w:lineRule="auto"/>
              <w:jc w:val="left"/>
              <w:textAlignment w:val="baseline"/>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lang w:eastAsia="zh-CN"/>
                <w14:textFill>
                  <w14:solidFill>
                    <w14:schemeClr w14:val="tx1"/>
                  </w14:solidFill>
                </w14:textFill>
              </w:rPr>
              <w:t>（</w:t>
            </w:r>
            <w:r>
              <w:rPr>
                <w:rFonts w:hint="default" w:ascii="Times New Roman" w:hAnsi="Times New Roman" w:eastAsia="宋体" w:cs="Times New Roman"/>
                <w:b/>
                <w:color w:val="000000" w:themeColor="text1"/>
                <w:sz w:val="24"/>
                <w:lang w:val="en-US" w:eastAsia="zh-CN"/>
                <w14:textFill>
                  <w14:solidFill>
                    <w14:schemeClr w14:val="tx1"/>
                  </w14:solidFill>
                </w14:textFill>
              </w:rPr>
              <w:t>12</w:t>
            </w:r>
            <w:r>
              <w:rPr>
                <w:rFonts w:hint="default" w:ascii="Times New Roman" w:hAnsi="Times New Roman" w:eastAsia="宋体" w:cs="Times New Roman"/>
                <w:b/>
                <w:color w:val="000000" w:themeColor="text1"/>
                <w:sz w:val="24"/>
                <w:lang w:eastAsia="zh-CN"/>
                <w14:textFill>
                  <w14:solidFill>
                    <w14:schemeClr w14:val="tx1"/>
                  </w14:solidFill>
                </w14:textFill>
              </w:rPr>
              <w:t>）</w:t>
            </w:r>
            <w:r>
              <w:rPr>
                <w:rFonts w:hint="default" w:ascii="Times New Roman" w:hAnsi="Times New Roman" w:eastAsia="宋体" w:cs="Times New Roman"/>
                <w:b/>
                <w:color w:val="000000" w:themeColor="text1"/>
                <w:sz w:val="24"/>
                <w14:textFill>
                  <w14:solidFill>
                    <w14:schemeClr w14:val="tx1"/>
                  </w14:solidFill>
                </w14:textFill>
              </w:rPr>
              <w:t>项目与《挥发性有机物（VOCS）污染防治技术政策》符合性分析公告2013年第31号）符合性分析</w:t>
            </w:r>
          </w:p>
          <w:p w14:paraId="6A63F163">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表1</w:t>
            </w:r>
            <w:r>
              <w:rPr>
                <w:rFonts w:hint="default" w:ascii="Times New Roman" w:hAnsi="Times New Roman" w:eastAsia="宋体" w:cs="Times New Roman"/>
                <w:b/>
                <w:bCs/>
                <w:color w:val="000000" w:themeColor="text1"/>
                <w:sz w:val="24"/>
                <w:lang w:val="en-US" w:eastAsia="zh-CN"/>
                <w14:textFill>
                  <w14:solidFill>
                    <w14:schemeClr w14:val="tx1"/>
                  </w14:solidFill>
                </w14:textFill>
              </w:rPr>
              <w:t>-11</w:t>
            </w:r>
            <w:r>
              <w:rPr>
                <w:rFonts w:hint="default" w:ascii="Times New Roman" w:hAnsi="Times New Roman" w:eastAsia="宋体" w:cs="Times New Roman"/>
                <w:b/>
                <w:bCs/>
                <w:color w:val="000000" w:themeColor="text1"/>
                <w:sz w:val="24"/>
                <w14:textFill>
                  <w14:solidFill>
                    <w14:schemeClr w14:val="tx1"/>
                  </w14:solidFill>
                </w14:textFill>
              </w:rPr>
              <w:t>《</w:t>
            </w:r>
            <w:r>
              <w:rPr>
                <w:rFonts w:hint="default" w:ascii="Times New Roman" w:hAnsi="Times New Roman" w:eastAsia="宋体" w:cs="Times New Roman"/>
                <w:b/>
                <w:color w:val="000000" w:themeColor="text1"/>
                <w:sz w:val="24"/>
                <w14:textFill>
                  <w14:solidFill>
                    <w14:schemeClr w14:val="tx1"/>
                  </w14:solidFill>
                </w14:textFill>
              </w:rPr>
              <w:t>挥发性有机物（VOC</w:t>
            </w:r>
            <w:r>
              <w:rPr>
                <w:rFonts w:hint="default" w:ascii="Times New Roman" w:hAnsi="Times New Roman" w:eastAsia="宋体" w:cs="Times New Roman"/>
                <w:b/>
                <w:color w:val="000000" w:themeColor="text1"/>
                <w:sz w:val="24"/>
                <w:vertAlign w:val="subscript"/>
                <w14:textFill>
                  <w14:solidFill>
                    <w14:schemeClr w14:val="tx1"/>
                  </w14:solidFill>
                </w14:textFill>
              </w:rPr>
              <w:t>S</w:t>
            </w:r>
            <w:r>
              <w:rPr>
                <w:rFonts w:hint="default" w:ascii="Times New Roman" w:hAnsi="Times New Roman" w:eastAsia="宋体" w:cs="Times New Roman"/>
                <w:b/>
                <w:color w:val="000000" w:themeColor="text1"/>
                <w:sz w:val="24"/>
                <w14:textFill>
                  <w14:solidFill>
                    <w14:schemeClr w14:val="tx1"/>
                  </w14:solidFill>
                </w14:textFill>
              </w:rPr>
              <w:t>）污染防治技术政策</w:t>
            </w:r>
            <w:r>
              <w:rPr>
                <w:rFonts w:hint="default" w:ascii="Times New Roman" w:hAnsi="Times New Roman" w:eastAsia="宋体" w:cs="Times New Roman"/>
                <w:b/>
                <w:bCs/>
                <w:color w:val="000000" w:themeColor="text1"/>
                <w:sz w:val="24"/>
                <w14:textFill>
                  <w14:solidFill>
                    <w14:schemeClr w14:val="tx1"/>
                  </w14:solidFill>
                </w14:textFill>
              </w:rPr>
              <w:t>》符合性分析</w:t>
            </w:r>
          </w:p>
          <w:tbl>
            <w:tblPr>
              <w:tblStyle w:val="26"/>
              <w:tblW w:w="495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09"/>
              <w:gridCol w:w="3455"/>
              <w:gridCol w:w="873"/>
            </w:tblGrid>
            <w:tr w14:paraId="2BA0B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07" w:type="pct"/>
                  <w:vAlign w:val="center"/>
                </w:tcPr>
                <w:p w14:paraId="0F92B895">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bCs w:val="0"/>
                      <w:color w:val="000000" w:themeColor="text1"/>
                      <w:kern w:val="0"/>
                      <w:sz w:val="21"/>
                      <w:szCs w:val="21"/>
                      <w14:textFill>
                        <w14:solidFill>
                          <w14:schemeClr w14:val="tx1"/>
                        </w14:solidFill>
                      </w14:textFill>
                    </w:rPr>
                  </w:pPr>
                  <w:r>
                    <w:rPr>
                      <w:rFonts w:hint="default" w:ascii="Times New Roman" w:hAnsi="Times New Roman" w:eastAsia="宋体" w:cs="Times New Roman"/>
                      <w:b/>
                      <w:bCs w:val="0"/>
                      <w:color w:val="000000" w:themeColor="text1"/>
                      <w:kern w:val="0"/>
                      <w:sz w:val="21"/>
                      <w:szCs w:val="21"/>
                      <w14:textFill>
                        <w14:solidFill>
                          <w14:schemeClr w14:val="tx1"/>
                        </w14:solidFill>
                      </w14:textFill>
                    </w:rPr>
                    <w:t>内容要求</w:t>
                  </w:r>
                </w:p>
              </w:tc>
              <w:tc>
                <w:tcPr>
                  <w:tcW w:w="2149" w:type="pct"/>
                  <w:vAlign w:val="center"/>
                </w:tcPr>
                <w:p w14:paraId="6893AB0B">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bCs w:val="0"/>
                      <w:color w:val="000000" w:themeColor="text1"/>
                      <w:kern w:val="0"/>
                      <w:sz w:val="21"/>
                      <w:szCs w:val="21"/>
                      <w14:textFill>
                        <w14:solidFill>
                          <w14:schemeClr w14:val="tx1"/>
                        </w14:solidFill>
                      </w14:textFill>
                    </w:rPr>
                  </w:pPr>
                  <w:r>
                    <w:rPr>
                      <w:rFonts w:hint="default" w:ascii="Times New Roman" w:hAnsi="Times New Roman" w:eastAsia="宋体" w:cs="Times New Roman"/>
                      <w:b/>
                      <w:bCs w:val="0"/>
                      <w:color w:val="000000" w:themeColor="text1"/>
                      <w:kern w:val="0"/>
                      <w:sz w:val="21"/>
                      <w:szCs w:val="21"/>
                      <w14:textFill>
                        <w14:solidFill>
                          <w14:schemeClr w14:val="tx1"/>
                        </w14:solidFill>
                      </w14:textFill>
                    </w:rPr>
                    <w:t>项目情况</w:t>
                  </w:r>
                </w:p>
              </w:tc>
              <w:tc>
                <w:tcPr>
                  <w:tcW w:w="543" w:type="pct"/>
                  <w:vAlign w:val="center"/>
                </w:tcPr>
                <w:p w14:paraId="5A4A3CC5">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bCs w:val="0"/>
                      <w:color w:val="000000" w:themeColor="text1"/>
                      <w:kern w:val="0"/>
                      <w:sz w:val="21"/>
                      <w:szCs w:val="21"/>
                      <w14:textFill>
                        <w14:solidFill>
                          <w14:schemeClr w14:val="tx1"/>
                        </w14:solidFill>
                      </w14:textFill>
                    </w:rPr>
                  </w:pPr>
                  <w:r>
                    <w:rPr>
                      <w:rFonts w:hint="default" w:ascii="Times New Roman" w:hAnsi="Times New Roman" w:eastAsia="宋体" w:cs="Times New Roman"/>
                      <w:b/>
                      <w:bCs w:val="0"/>
                      <w:color w:val="000000" w:themeColor="text1"/>
                      <w:kern w:val="0"/>
                      <w:sz w:val="21"/>
                      <w:szCs w:val="21"/>
                      <w14:textFill>
                        <w14:solidFill>
                          <w14:schemeClr w14:val="tx1"/>
                        </w14:solidFill>
                      </w14:textFill>
                    </w:rPr>
                    <w:t>符合性</w:t>
                  </w:r>
                </w:p>
              </w:tc>
            </w:tr>
            <w:tr w14:paraId="16A30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8" w:hRule="atLeast"/>
              </w:trPr>
              <w:tc>
                <w:tcPr>
                  <w:tcW w:w="2307" w:type="pct"/>
                  <w:shd w:val="clear" w:color="auto" w:fill="auto"/>
                  <w:vAlign w:val="center"/>
                </w:tcPr>
                <w:p w14:paraId="567AE1D7">
                  <w:pPr>
                    <w:pStyle w:val="77"/>
                    <w:ind w:firstLine="0" w:firstLineChars="0"/>
                    <w:rPr>
                      <w:rFonts w:hint="default" w:ascii="Times New Roman" w:hAnsi="Times New Roman" w:eastAsia="宋体" w:cs="Times New Roman"/>
                      <w:snapToGrid w:val="0"/>
                      <w:color w:val="000000" w:themeColor="text1"/>
                      <w:sz w:val="21"/>
                      <w:szCs w:val="24"/>
                      <w:lang w:val="en-US" w:eastAsia="en-US"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对生产装置排放的含</w:t>
                  </w:r>
                  <w:r>
                    <w:rPr>
                      <w:rFonts w:hint="default" w:ascii="Times New Roman" w:hAnsi="Times New Roman" w:eastAsia="宋体" w:cs="Times New Roman"/>
                      <w:color w:val="000000" w:themeColor="text1"/>
                      <w:lang w:val="zh-CN"/>
                      <w14:textFill>
                        <w14:solidFill>
                          <w14:schemeClr w14:val="tx1"/>
                        </w14:solidFill>
                      </w14:textFill>
                    </w:rPr>
                    <w:t>VOC</w:t>
                  </w:r>
                  <w:r>
                    <w:rPr>
                      <w:rFonts w:hint="default" w:ascii="Times New Roman" w:hAnsi="Times New Roman" w:eastAsia="宋体" w:cs="Times New Roman"/>
                      <w:color w:val="000000" w:themeColor="text1"/>
                      <w:vertAlign w:val="subscript"/>
                      <w14:textFill>
                        <w14:solidFill>
                          <w14:schemeClr w14:val="tx1"/>
                        </w14:solidFill>
                      </w14:textFill>
                    </w:rPr>
                    <w:t>S</w:t>
                  </w:r>
                  <w:r>
                    <w:rPr>
                      <w:rFonts w:hint="default" w:ascii="Times New Roman" w:hAnsi="Times New Roman" w:eastAsia="宋体" w:cs="Times New Roman"/>
                      <w:color w:val="000000" w:themeColor="text1"/>
                      <w14:textFill>
                        <w14:solidFill>
                          <w14:schemeClr w14:val="tx1"/>
                        </w14:solidFill>
                      </w14:textFill>
                    </w:rPr>
                    <w:t>工艺排气宜优先回收利用，不能（或不能完全）回收利用的经处理后达标排放；应急情况下的泄放气可导入燃烧塔（火炬），经过充分燃烧后排放</w:t>
                  </w:r>
                </w:p>
              </w:tc>
              <w:tc>
                <w:tcPr>
                  <w:tcW w:w="2149" w:type="pct"/>
                  <w:vAlign w:val="center"/>
                </w:tcPr>
                <w:p w14:paraId="66CB918A">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Cs/>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低挥发性水性复合胶</w:t>
                  </w:r>
                  <w:r>
                    <w:rPr>
                      <w:rFonts w:hint="default" w:ascii="Times New Roman" w:hAnsi="Times New Roman" w:eastAsia="宋体" w:cs="Times New Roman"/>
                      <w:color w:val="000000" w:themeColor="text1"/>
                      <w:sz w:val="21"/>
                      <w:szCs w:val="21"/>
                      <w14:textFill>
                        <w14:solidFill>
                          <w14:schemeClr w14:val="tx1"/>
                        </w14:solidFill>
                      </w14:textFill>
                    </w:rPr>
                    <w:t>均存储于密闭容器内，并储存在专用库内；非取用状态下，桶均密闭储存，不得敞口</w:t>
                  </w:r>
                  <w:r>
                    <w:rPr>
                      <w:rFonts w:hint="default" w:ascii="Times New Roman" w:hAnsi="Times New Roman" w:eastAsia="宋体" w:cs="Times New Roman"/>
                      <w:color w:val="000000" w:themeColor="text1"/>
                      <w:sz w:val="21"/>
                      <w:szCs w:val="21"/>
                      <w:lang w:eastAsia="zh-CN"/>
                      <w14:textFill>
                        <w14:solidFill>
                          <w14:schemeClr w14:val="tx1"/>
                        </w14:solidFill>
                      </w14:textFill>
                    </w:rPr>
                    <w:t>。涂胶、烘干、复合工序生产过程产生废气经集气罩收集后进入一套集气系统+水喷淋（TA003）+二级活性炭吸附装置（TA004）处理后由一根高为15米的排气筒排放(DA003)</w:t>
                  </w:r>
                  <w:r>
                    <w:rPr>
                      <w:rFonts w:hint="default" w:ascii="Times New Roman" w:hAnsi="Times New Roman" w:eastAsia="宋体" w:cs="Times New Roman"/>
                      <w:bCs/>
                      <w:color w:val="000000" w:themeColor="text1"/>
                      <w:kern w:val="0"/>
                      <w:sz w:val="21"/>
                      <w:szCs w:val="21"/>
                      <w14:textFill>
                        <w14:solidFill>
                          <w14:schemeClr w14:val="tx1"/>
                        </w14:solidFill>
                      </w14:textFill>
                    </w:rPr>
                    <w:t>。</w:t>
                  </w:r>
                </w:p>
              </w:tc>
              <w:tc>
                <w:tcPr>
                  <w:tcW w:w="543" w:type="pct"/>
                  <w:vAlign w:val="center"/>
                </w:tcPr>
                <w:p w14:paraId="7CA3FE31">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Cs/>
                      <w:color w:val="000000" w:themeColor="text1"/>
                      <w:kern w:val="0"/>
                      <w:sz w:val="21"/>
                      <w:szCs w:val="21"/>
                      <w:highlight w:val="yellow"/>
                      <w14:textFill>
                        <w14:solidFill>
                          <w14:schemeClr w14:val="tx1"/>
                        </w14:solidFill>
                      </w14:textFill>
                    </w:rPr>
                  </w:pPr>
                  <w:r>
                    <w:rPr>
                      <w:rFonts w:hint="default" w:ascii="Times New Roman" w:hAnsi="Times New Roman" w:eastAsia="宋体" w:cs="Times New Roman"/>
                      <w:bCs/>
                      <w:color w:val="000000" w:themeColor="text1"/>
                      <w:kern w:val="0"/>
                      <w:sz w:val="21"/>
                      <w:szCs w:val="21"/>
                      <w14:textFill>
                        <w14:solidFill>
                          <w14:schemeClr w14:val="tx1"/>
                        </w14:solidFill>
                      </w14:textFill>
                    </w:rPr>
                    <w:t>符合</w:t>
                  </w:r>
                </w:p>
              </w:tc>
            </w:tr>
            <w:tr w14:paraId="42BE9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07" w:type="pct"/>
                  <w:shd w:val="clear" w:color="auto" w:fill="auto"/>
                  <w:vAlign w:val="center"/>
                </w:tcPr>
                <w:p w14:paraId="10EB5F1C">
                  <w:pPr>
                    <w:pStyle w:val="77"/>
                    <w:ind w:firstLine="0" w:firstLineChars="0"/>
                    <w:rPr>
                      <w:rFonts w:hint="default" w:ascii="Times New Roman" w:hAnsi="Times New Roman" w:eastAsia="宋体" w:cs="Times New Roman"/>
                      <w:snapToGrid w:val="0"/>
                      <w:color w:val="000000" w:themeColor="text1"/>
                      <w:sz w:val="21"/>
                      <w:szCs w:val="24"/>
                      <w:lang w:val="en-US" w:eastAsia="en-US"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鼓励使用通过环境标志产品认证的环保型涂料、油墨、胶粘剂和清洗剂</w:t>
                  </w:r>
                </w:p>
              </w:tc>
              <w:tc>
                <w:tcPr>
                  <w:tcW w:w="2149" w:type="pct"/>
                  <w:vAlign w:val="center"/>
                </w:tcPr>
                <w:p w14:paraId="2E93F99D">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Cs/>
                      <w:color w:val="000000" w:themeColor="text1"/>
                      <w:kern w:val="0"/>
                      <w:sz w:val="21"/>
                      <w:szCs w:val="21"/>
                      <w14:textFill>
                        <w14:solidFill>
                          <w14:schemeClr w14:val="tx1"/>
                        </w14:solidFill>
                      </w14:textFill>
                    </w:rPr>
                  </w:pPr>
                  <w:r>
                    <w:rPr>
                      <w:rFonts w:hint="default" w:ascii="Times New Roman" w:hAnsi="Times New Roman" w:eastAsia="宋体" w:cs="Times New Roman"/>
                      <w:bCs/>
                      <w:color w:val="000000" w:themeColor="text1"/>
                      <w:kern w:val="0"/>
                      <w:sz w:val="21"/>
                      <w:szCs w:val="21"/>
                      <w14:textFill>
                        <w14:solidFill>
                          <w14:schemeClr w14:val="tx1"/>
                        </w14:solidFill>
                      </w14:textFill>
                    </w:rPr>
                    <w:t>本项目</w:t>
                  </w:r>
                  <w:r>
                    <w:rPr>
                      <w:rFonts w:hint="default" w:ascii="Times New Roman" w:hAnsi="Times New Roman" w:eastAsia="宋体" w:cs="Times New Roman"/>
                      <w:bCs/>
                      <w:color w:val="000000" w:themeColor="text1"/>
                      <w:kern w:val="0"/>
                      <w:sz w:val="21"/>
                      <w:szCs w:val="21"/>
                      <w:lang w:eastAsia="zh-CN"/>
                      <w14:textFill>
                        <w14:solidFill>
                          <w14:schemeClr w14:val="tx1"/>
                        </w14:solidFill>
                      </w14:textFill>
                    </w:rPr>
                    <w:t>使用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低挥发性水性复合胶</w:t>
                  </w:r>
                  <w:r>
                    <w:rPr>
                      <w:rFonts w:hint="default" w:ascii="Times New Roman" w:hAnsi="Times New Roman" w:eastAsia="宋体" w:cs="Times New Roman"/>
                      <w:bCs/>
                      <w:color w:val="000000" w:themeColor="text1"/>
                      <w:kern w:val="0"/>
                      <w:sz w:val="21"/>
                      <w:szCs w:val="21"/>
                      <w14:textFill>
                        <w14:solidFill>
                          <w14:schemeClr w14:val="tx1"/>
                        </w14:solidFill>
                      </w14:textFill>
                    </w:rPr>
                    <w:t>属于低挥发性有机物；</w:t>
                  </w:r>
                  <w:r>
                    <w:rPr>
                      <w:rFonts w:hint="default" w:ascii="Times New Roman" w:hAnsi="Times New Roman" w:eastAsia="宋体" w:cs="Times New Roman"/>
                      <w:color w:val="000000" w:themeColor="text1"/>
                      <w14:textFill>
                        <w14:solidFill>
                          <w14:schemeClr w14:val="tx1"/>
                        </w14:solidFill>
                      </w14:textFill>
                    </w:rPr>
                    <w:t>通过环境标志产品认证</w:t>
                  </w:r>
                </w:p>
              </w:tc>
              <w:tc>
                <w:tcPr>
                  <w:tcW w:w="543" w:type="pct"/>
                  <w:vAlign w:val="center"/>
                </w:tcPr>
                <w:p w14:paraId="585364C9">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Cs/>
                      <w:color w:val="000000" w:themeColor="text1"/>
                      <w:kern w:val="0"/>
                      <w:sz w:val="21"/>
                      <w:szCs w:val="21"/>
                      <w:highlight w:val="yellow"/>
                      <w14:textFill>
                        <w14:solidFill>
                          <w14:schemeClr w14:val="tx1"/>
                        </w14:solidFill>
                      </w14:textFill>
                    </w:rPr>
                  </w:pPr>
                  <w:r>
                    <w:rPr>
                      <w:rFonts w:hint="default" w:ascii="Times New Roman" w:hAnsi="Times New Roman" w:eastAsia="宋体" w:cs="Times New Roman"/>
                      <w:bCs/>
                      <w:color w:val="000000" w:themeColor="text1"/>
                      <w:kern w:val="0"/>
                      <w:sz w:val="21"/>
                      <w:szCs w:val="21"/>
                      <w14:textFill>
                        <w14:solidFill>
                          <w14:schemeClr w14:val="tx1"/>
                        </w14:solidFill>
                      </w14:textFill>
                    </w:rPr>
                    <w:t>符合</w:t>
                  </w:r>
                </w:p>
              </w:tc>
            </w:tr>
            <w:tr w14:paraId="7C9E4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2307" w:type="pct"/>
                  <w:shd w:val="clear" w:color="auto" w:fill="auto"/>
                  <w:vAlign w:val="center"/>
                </w:tcPr>
                <w:p w14:paraId="038E1331">
                  <w:pPr>
                    <w:pStyle w:val="77"/>
                    <w:ind w:firstLine="0" w:firstLineChars="0"/>
                    <w:rPr>
                      <w:rFonts w:hint="default" w:ascii="Times New Roman" w:hAnsi="Times New Roman" w:eastAsia="宋体" w:cs="Times New Roman"/>
                      <w:snapToGrid w:val="0"/>
                      <w:color w:val="000000" w:themeColor="text1"/>
                      <w:sz w:val="21"/>
                      <w:szCs w:val="24"/>
                      <w:lang w:val="en-US" w:eastAsia="en-US"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含</w:t>
                  </w:r>
                  <w:r>
                    <w:rPr>
                      <w:rFonts w:hint="default" w:ascii="Times New Roman" w:hAnsi="Times New Roman" w:eastAsia="宋体" w:cs="Times New Roman"/>
                      <w:color w:val="000000" w:themeColor="text1"/>
                      <w:lang w:val="zh-CN"/>
                      <w14:textFill>
                        <w14:solidFill>
                          <w14:schemeClr w14:val="tx1"/>
                        </w14:solidFill>
                      </w14:textFill>
                    </w:rPr>
                    <w:t>VOC</w:t>
                  </w:r>
                  <w:r>
                    <w:rPr>
                      <w:rFonts w:hint="default" w:ascii="Times New Roman" w:hAnsi="Times New Roman" w:eastAsia="宋体" w:cs="Times New Roman"/>
                      <w:color w:val="000000" w:themeColor="text1"/>
                      <w:vertAlign w:val="subscript"/>
                      <w14:textFill>
                        <w14:solidFill>
                          <w14:schemeClr w14:val="tx1"/>
                        </w14:solidFill>
                      </w14:textFill>
                    </w:rPr>
                    <w:t>S</w:t>
                  </w:r>
                  <w:r>
                    <w:rPr>
                      <w:rFonts w:hint="default" w:ascii="Times New Roman" w:hAnsi="Times New Roman" w:eastAsia="宋体" w:cs="Times New Roman"/>
                      <w:color w:val="000000" w:themeColor="text1"/>
                      <w14:textFill>
                        <w14:solidFill>
                          <w14:schemeClr w14:val="tx1"/>
                        </w14:solidFill>
                      </w14:textFill>
                    </w:rPr>
                    <w:t>产品的使用过程中，应采取废气收集措施，提高废气收集效率，减少废气的无组织排放和散逸，并对收集后的废气进行回收或处理后达标排放对于含低浓度</w:t>
                  </w:r>
                  <w:r>
                    <w:rPr>
                      <w:rFonts w:hint="default" w:ascii="Times New Roman" w:hAnsi="Times New Roman" w:eastAsia="宋体" w:cs="Times New Roman"/>
                      <w:color w:val="000000" w:themeColor="text1"/>
                      <w:lang w:val="zh-CN"/>
                      <w14:textFill>
                        <w14:solidFill>
                          <w14:schemeClr w14:val="tx1"/>
                        </w14:solidFill>
                      </w14:textFill>
                    </w:rPr>
                    <w:t>VOC</w:t>
                  </w:r>
                  <w:r>
                    <w:rPr>
                      <w:rFonts w:hint="default" w:ascii="Times New Roman" w:hAnsi="Times New Roman" w:eastAsia="宋体" w:cs="Times New Roman"/>
                      <w:color w:val="000000" w:themeColor="text1"/>
                      <w:vertAlign w:val="subscript"/>
                      <w14:textFill>
                        <w14:solidFill>
                          <w14:schemeClr w14:val="tx1"/>
                        </w14:solidFill>
                      </w14:textFill>
                    </w:rPr>
                    <w:t>S</w:t>
                  </w:r>
                  <w:r>
                    <w:rPr>
                      <w:rFonts w:hint="default" w:ascii="Times New Roman" w:hAnsi="Times New Roman" w:eastAsia="宋体" w:cs="Times New Roman"/>
                      <w:color w:val="000000" w:themeColor="text1"/>
                      <w14:textFill>
                        <w14:solidFill>
                          <w14:schemeClr w14:val="tx1"/>
                        </w14:solidFill>
                      </w14:textFill>
                    </w:rPr>
                    <w:t>的废气，有回收价值时可采用吸附技术、吸收技术对有机溶剂回收后达标排放；不宜回收时，可采用吸附浓缩燃烧技术、生物技术、吸附技术、等离子体技术或紫外光高级氧化技术等净化后达标排放</w:t>
                  </w:r>
                </w:p>
              </w:tc>
              <w:tc>
                <w:tcPr>
                  <w:tcW w:w="2149" w:type="pct"/>
                  <w:vAlign w:val="center"/>
                </w:tcPr>
                <w:p w14:paraId="55999CD7">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Cs/>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w:t>
                  </w:r>
                  <w:r>
                    <w:rPr>
                      <w:rFonts w:hint="default" w:ascii="Times New Roman" w:hAnsi="Times New Roman" w:eastAsia="宋体" w:cs="Times New Roman"/>
                      <w:color w:val="000000" w:themeColor="text1"/>
                      <w:sz w:val="21"/>
                      <w:szCs w:val="21"/>
                      <w:lang w:eastAsia="zh-CN"/>
                      <w14:textFill>
                        <w14:solidFill>
                          <w14:schemeClr w14:val="tx1"/>
                        </w14:solidFill>
                      </w14:textFill>
                    </w:rPr>
                    <w:t>涂胶、烘干、复合工序生产过程产生废气经集气罩收集后进入一套集气系统+水喷淋（TA003）+二级活性炭吸附装置（TA004）处理后由一根高为15米的排气筒排放(DA003)。</w:t>
                  </w:r>
                </w:p>
              </w:tc>
              <w:tc>
                <w:tcPr>
                  <w:tcW w:w="543" w:type="pct"/>
                  <w:shd w:val="clear" w:color="auto" w:fill="auto"/>
                  <w:vAlign w:val="center"/>
                </w:tcPr>
                <w:p w14:paraId="6E49B99F">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Cs/>
                      <w:snapToGrid w:val="0"/>
                      <w:color w:val="000000" w:themeColor="text1"/>
                      <w:kern w:val="0"/>
                      <w:sz w:val="21"/>
                      <w:szCs w:val="21"/>
                      <w:highlight w:val="yellow"/>
                      <w:lang w:val="en-US" w:eastAsia="en-US" w:bidi="ar-SA"/>
                      <w14:textFill>
                        <w14:solidFill>
                          <w14:schemeClr w14:val="tx1"/>
                        </w14:solidFill>
                      </w14:textFill>
                    </w:rPr>
                  </w:pPr>
                  <w:r>
                    <w:rPr>
                      <w:rFonts w:hint="default" w:ascii="Times New Roman" w:hAnsi="Times New Roman" w:eastAsia="宋体" w:cs="Times New Roman"/>
                      <w:bCs/>
                      <w:color w:val="000000" w:themeColor="text1"/>
                      <w:kern w:val="0"/>
                      <w:sz w:val="21"/>
                      <w:szCs w:val="21"/>
                      <w14:textFill>
                        <w14:solidFill>
                          <w14:schemeClr w14:val="tx1"/>
                        </w14:solidFill>
                      </w14:textFill>
                    </w:rPr>
                    <w:t>符合</w:t>
                  </w:r>
                </w:p>
              </w:tc>
            </w:tr>
          </w:tbl>
          <w:p w14:paraId="07FC97EE">
            <w:pPr>
              <w:keepNext w:val="0"/>
              <w:keepLines w:val="0"/>
              <w:pageBreakBefore w:val="0"/>
              <w:widowControl/>
              <w:kinsoku w:val="0"/>
              <w:wordWrap/>
              <w:overflowPunct/>
              <w:topLinePunct w:val="0"/>
              <w:autoSpaceDE w:val="0"/>
              <w:autoSpaceDN w:val="0"/>
              <w:bidi w:val="0"/>
              <w:adjustRightInd/>
              <w:snapToGrid/>
              <w:spacing w:line="360" w:lineRule="auto"/>
              <w:jc w:val="left"/>
              <w:textAlignment w:val="baseline"/>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lang w:eastAsia="zh-CN"/>
                <w14:textFill>
                  <w14:solidFill>
                    <w14:schemeClr w14:val="tx1"/>
                  </w14:solidFill>
                </w14:textFill>
              </w:rPr>
              <w:t>（</w:t>
            </w:r>
            <w:r>
              <w:rPr>
                <w:rFonts w:hint="default" w:ascii="Times New Roman" w:hAnsi="Times New Roman" w:eastAsia="宋体" w:cs="Times New Roman"/>
                <w:b/>
                <w:color w:val="000000" w:themeColor="text1"/>
                <w:sz w:val="24"/>
                <w:lang w:val="en-US" w:eastAsia="zh-CN"/>
                <w14:textFill>
                  <w14:solidFill>
                    <w14:schemeClr w14:val="tx1"/>
                  </w14:solidFill>
                </w14:textFill>
              </w:rPr>
              <w:t>1</w:t>
            </w:r>
            <w:r>
              <w:rPr>
                <w:rFonts w:hint="eastAsia" w:ascii="Times New Roman" w:hAnsi="Times New Roman" w:eastAsia="宋体" w:cs="Times New Roman"/>
                <w:b/>
                <w:color w:val="000000" w:themeColor="text1"/>
                <w:sz w:val="24"/>
                <w:lang w:val="en-US" w:eastAsia="zh-CN"/>
                <w14:textFill>
                  <w14:solidFill>
                    <w14:schemeClr w14:val="tx1"/>
                  </w14:solidFill>
                </w14:textFill>
              </w:rPr>
              <w:t>3</w:t>
            </w:r>
            <w:r>
              <w:rPr>
                <w:rFonts w:hint="default" w:ascii="Times New Roman" w:hAnsi="Times New Roman" w:eastAsia="宋体" w:cs="Times New Roman"/>
                <w:b/>
                <w:color w:val="000000" w:themeColor="text1"/>
                <w:sz w:val="24"/>
                <w:lang w:eastAsia="zh-CN"/>
                <w14:textFill>
                  <w14:solidFill>
                    <w14:schemeClr w14:val="tx1"/>
                  </w14:solidFill>
                </w14:textFill>
              </w:rPr>
              <w:t>）</w:t>
            </w:r>
            <w:r>
              <w:rPr>
                <w:rFonts w:hint="default" w:ascii="Times New Roman" w:hAnsi="Times New Roman" w:eastAsia="宋体" w:cs="Times New Roman"/>
                <w:b/>
                <w:color w:val="000000" w:themeColor="text1"/>
                <w:sz w:val="24"/>
                <w14:textFill>
                  <w14:solidFill>
                    <w14:schemeClr w14:val="tx1"/>
                  </w14:solidFill>
                </w14:textFill>
              </w:rPr>
              <w:t>项目与《</w:t>
            </w:r>
            <w:r>
              <w:rPr>
                <w:rFonts w:hint="default" w:ascii="Times New Roman" w:hAnsi="Times New Roman" w:eastAsia="宋体" w:cs="Times New Roman"/>
                <w:b/>
                <w:color w:val="000000" w:themeColor="text1"/>
                <w:sz w:val="24"/>
                <w:lang w:val="en-US" w:eastAsia="zh-CN"/>
                <w14:textFill>
                  <w14:solidFill>
                    <w14:schemeClr w14:val="tx1"/>
                  </w14:solidFill>
                </w14:textFill>
              </w:rPr>
              <w:t>胶粘剂挥发性有机化合物限量</w:t>
            </w:r>
            <w:r>
              <w:rPr>
                <w:rFonts w:hint="default" w:ascii="Times New Roman" w:hAnsi="Times New Roman" w:eastAsia="宋体" w:cs="Times New Roman"/>
                <w:b/>
                <w:color w:val="000000" w:themeColor="text1"/>
                <w:sz w:val="24"/>
                <w14:textFill>
                  <w14:solidFill>
                    <w14:schemeClr w14:val="tx1"/>
                  </w14:solidFill>
                </w14:textFill>
              </w:rPr>
              <w:t>》</w:t>
            </w:r>
            <w:r>
              <w:rPr>
                <w:rFonts w:hint="default" w:ascii="Times New Roman" w:hAnsi="Times New Roman" w:eastAsia="宋体" w:cs="Times New Roman"/>
                <w:b/>
                <w:color w:val="000000" w:themeColor="text1"/>
                <w:sz w:val="24"/>
                <w:lang w:val="en-US" w:eastAsia="zh-CN"/>
                <w14:textFill>
                  <w14:solidFill>
                    <w14:schemeClr w14:val="tx1"/>
                  </w14:solidFill>
                </w14:textFill>
              </w:rPr>
              <w:t>（GB/T 33372-2020）</w:t>
            </w:r>
            <w:r>
              <w:rPr>
                <w:rFonts w:hint="default" w:ascii="Times New Roman" w:hAnsi="Times New Roman" w:eastAsia="宋体" w:cs="Times New Roman"/>
                <w:b/>
                <w:color w:val="000000" w:themeColor="text1"/>
                <w:sz w:val="24"/>
                <w14:textFill>
                  <w14:solidFill>
                    <w14:schemeClr w14:val="tx1"/>
                  </w14:solidFill>
                </w14:textFill>
              </w:rPr>
              <w:t>符合性分析</w:t>
            </w:r>
          </w:p>
          <w:p w14:paraId="7384F391">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表1</w:t>
            </w:r>
            <w:r>
              <w:rPr>
                <w:rFonts w:hint="default" w:ascii="Times New Roman" w:hAnsi="Times New Roman" w:eastAsia="宋体" w:cs="Times New Roman"/>
                <w:b/>
                <w:bCs/>
                <w:color w:val="000000" w:themeColor="text1"/>
                <w:sz w:val="24"/>
                <w:lang w:val="en-US" w:eastAsia="zh-CN"/>
                <w14:textFill>
                  <w14:solidFill>
                    <w14:schemeClr w14:val="tx1"/>
                  </w14:solidFill>
                </w14:textFill>
              </w:rPr>
              <w:t>-1</w:t>
            </w:r>
            <w:r>
              <w:rPr>
                <w:rFonts w:hint="eastAsia" w:ascii="Times New Roman" w:hAnsi="Times New Roman" w:eastAsia="宋体" w:cs="Times New Roman"/>
                <w:b/>
                <w:bCs/>
                <w:color w:val="000000" w:themeColor="text1"/>
                <w:sz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14:textFill>
                  <w14:solidFill>
                    <w14:schemeClr w14:val="tx1"/>
                  </w14:solidFill>
                </w14:textFill>
              </w:rPr>
              <w:t>《</w:t>
            </w:r>
            <w:r>
              <w:rPr>
                <w:rFonts w:hint="default" w:ascii="Times New Roman" w:hAnsi="Times New Roman" w:eastAsia="宋体" w:cs="Times New Roman"/>
                <w:b/>
                <w:color w:val="000000" w:themeColor="text1"/>
                <w:sz w:val="24"/>
                <w:lang w:val="en-US" w:eastAsia="zh-CN"/>
                <w14:textFill>
                  <w14:solidFill>
                    <w14:schemeClr w14:val="tx1"/>
                  </w14:solidFill>
                </w14:textFill>
              </w:rPr>
              <w:t>胶粘剂挥发性有机化合物限量</w:t>
            </w:r>
            <w:r>
              <w:rPr>
                <w:rFonts w:hint="default" w:ascii="Times New Roman" w:hAnsi="Times New Roman" w:eastAsia="宋体" w:cs="Times New Roman"/>
                <w:b/>
                <w:bCs/>
                <w:color w:val="000000" w:themeColor="text1"/>
                <w:sz w:val="24"/>
                <w14:textFill>
                  <w14:solidFill>
                    <w14:schemeClr w14:val="tx1"/>
                  </w14:solidFill>
                </w14:textFill>
              </w:rPr>
              <w:t>》符合性分析</w:t>
            </w:r>
          </w:p>
          <w:tbl>
            <w:tblPr>
              <w:tblStyle w:val="27"/>
              <w:tblW w:w="81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835"/>
              <w:gridCol w:w="5083"/>
            </w:tblGrid>
            <w:tr w14:paraId="48755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vAlign w:val="center"/>
                </w:tcPr>
                <w:p w14:paraId="419AAA7E">
                  <w:pPr>
                    <w:keepNext w:val="0"/>
                    <w:keepLines w:val="0"/>
                    <w:pageBreakBefore w:val="0"/>
                    <w:widowControl w:val="0"/>
                    <w:kinsoku/>
                    <w:wordWrap/>
                    <w:overflowPunct/>
                    <w:topLinePunct w:val="0"/>
                    <w:autoSpaceDE/>
                    <w:autoSpaceDN/>
                    <w:bidi w:val="0"/>
                    <w:ind w:firstLineChars="0"/>
                    <w:jc w:val="center"/>
                    <w:textAlignment w:val="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应用领域</w:t>
                  </w:r>
                </w:p>
              </w:tc>
              <w:tc>
                <w:tcPr>
                  <w:tcW w:w="1835" w:type="dxa"/>
                  <w:vAlign w:val="center"/>
                </w:tcPr>
                <w:p w14:paraId="1680C00F">
                  <w:pPr>
                    <w:keepNext w:val="0"/>
                    <w:keepLines w:val="0"/>
                    <w:pageBreakBefore w:val="0"/>
                    <w:widowControl w:val="0"/>
                    <w:kinsoku/>
                    <w:wordWrap/>
                    <w:overflowPunct/>
                    <w:topLinePunct w:val="0"/>
                    <w:autoSpaceDE/>
                    <w:autoSpaceDN/>
                    <w:bidi w:val="0"/>
                    <w:ind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丙烯酸酯类限制</w:t>
                  </w:r>
                </w:p>
              </w:tc>
              <w:tc>
                <w:tcPr>
                  <w:tcW w:w="5083" w:type="dxa"/>
                  <w:vAlign w:val="center"/>
                </w:tcPr>
                <w:p w14:paraId="459083D7">
                  <w:pPr>
                    <w:keepNext w:val="0"/>
                    <w:keepLines w:val="0"/>
                    <w:pageBreakBefore w:val="0"/>
                    <w:widowControl w:val="0"/>
                    <w:kinsoku/>
                    <w:wordWrap/>
                    <w:overflowPunct/>
                    <w:topLinePunct w:val="0"/>
                    <w:autoSpaceDE/>
                    <w:autoSpaceDN/>
                    <w:bidi w:val="0"/>
                    <w:ind w:firstLineChars="0"/>
                    <w:jc w:val="center"/>
                    <w:textAlignment w:val="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分析结果</w:t>
                  </w:r>
                </w:p>
              </w:tc>
            </w:tr>
            <w:tr w14:paraId="291F4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vAlign w:val="center"/>
                </w:tcPr>
                <w:p w14:paraId="1861DC12">
                  <w:pPr>
                    <w:keepNext w:val="0"/>
                    <w:keepLines w:val="0"/>
                    <w:pageBreakBefore w:val="0"/>
                    <w:widowControl w:val="0"/>
                    <w:kinsoku/>
                    <w:wordWrap/>
                    <w:overflowPunct/>
                    <w:topLinePunct w:val="0"/>
                    <w:autoSpaceDE/>
                    <w:autoSpaceDN/>
                    <w:bidi w:val="0"/>
                    <w:ind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建筑</w:t>
                  </w:r>
                </w:p>
              </w:tc>
              <w:tc>
                <w:tcPr>
                  <w:tcW w:w="1835" w:type="dxa"/>
                  <w:vAlign w:val="center"/>
                </w:tcPr>
                <w:p w14:paraId="2C690EEF">
                  <w:pPr>
                    <w:keepNext w:val="0"/>
                    <w:keepLines w:val="0"/>
                    <w:pageBreakBefore w:val="0"/>
                    <w:widowControl w:val="0"/>
                    <w:kinsoku/>
                    <w:wordWrap/>
                    <w:overflowPunct/>
                    <w:topLinePunct w:val="0"/>
                    <w:autoSpaceDE/>
                    <w:autoSpaceDN/>
                    <w:bidi w:val="0"/>
                    <w:ind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≦100</w:t>
                  </w:r>
                </w:p>
              </w:tc>
              <w:tc>
                <w:tcPr>
                  <w:tcW w:w="5083" w:type="dxa"/>
                  <w:vMerge w:val="restart"/>
                  <w:vAlign w:val="center"/>
                </w:tcPr>
                <w:p w14:paraId="0D828CF0">
                  <w:pPr>
                    <w:keepNext w:val="0"/>
                    <w:keepLines w:val="0"/>
                    <w:pageBreakBefore w:val="0"/>
                    <w:widowControl w:val="0"/>
                    <w:kinsoku/>
                    <w:wordWrap/>
                    <w:overflowPunct/>
                    <w:topLinePunct w:val="0"/>
                    <w:autoSpaceDE/>
                    <w:autoSpaceDN/>
                    <w:bidi w:val="0"/>
                    <w:ind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本项目生产过程使用水性复合胶VOCs值为7g/L，满足《胶粘剂挥发性有机化合物限量》（GB/T 33372-2020）要求（≦100g/L）求</w:t>
                  </w:r>
                </w:p>
              </w:tc>
            </w:tr>
            <w:tr w14:paraId="6C96B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vAlign w:val="center"/>
                </w:tcPr>
                <w:p w14:paraId="568CCC56">
                  <w:pPr>
                    <w:keepNext w:val="0"/>
                    <w:keepLines w:val="0"/>
                    <w:pageBreakBefore w:val="0"/>
                    <w:widowControl w:val="0"/>
                    <w:kinsoku/>
                    <w:wordWrap/>
                    <w:overflowPunct/>
                    <w:topLinePunct w:val="0"/>
                    <w:autoSpaceDE/>
                    <w:autoSpaceDN/>
                    <w:bidi w:val="0"/>
                    <w:ind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其他</w:t>
                  </w:r>
                </w:p>
              </w:tc>
              <w:tc>
                <w:tcPr>
                  <w:tcW w:w="1835" w:type="dxa"/>
                  <w:vAlign w:val="center"/>
                </w:tcPr>
                <w:p w14:paraId="48734928">
                  <w:pPr>
                    <w:keepNext w:val="0"/>
                    <w:keepLines w:val="0"/>
                    <w:pageBreakBefore w:val="0"/>
                    <w:widowControl w:val="0"/>
                    <w:kinsoku/>
                    <w:wordWrap/>
                    <w:overflowPunct/>
                    <w:topLinePunct w:val="0"/>
                    <w:autoSpaceDE/>
                    <w:autoSpaceDN/>
                    <w:bidi w:val="0"/>
                    <w:ind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5083" w:type="dxa"/>
                  <w:vMerge w:val="continue"/>
                  <w:vAlign w:val="center"/>
                </w:tcPr>
                <w:p w14:paraId="0445B735">
                  <w:pPr>
                    <w:keepNext w:val="0"/>
                    <w:keepLines w:val="0"/>
                    <w:pageBreakBefore w:val="0"/>
                    <w:widowControl w:val="0"/>
                    <w:kinsoku/>
                    <w:wordWrap/>
                    <w:overflowPunct/>
                    <w:topLinePunct w:val="0"/>
                    <w:autoSpaceDE/>
                    <w:autoSpaceDN/>
                    <w:bidi w:val="0"/>
                    <w:ind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r>
          </w:tbl>
          <w:p w14:paraId="6A66AB1D">
            <w:pPr>
              <w:pStyle w:val="38"/>
              <w:rPr>
                <w:rFonts w:hint="default" w:ascii="Times New Roman" w:hAnsi="Times New Roman" w:eastAsia="宋体" w:cs="Times New Roman"/>
                <w:color w:val="0000FF"/>
                <w:sz w:val="24"/>
              </w:rPr>
            </w:pPr>
          </w:p>
        </w:tc>
      </w:tr>
    </w:tbl>
    <w:p w14:paraId="69040E45">
      <w:pPr>
        <w:rPr>
          <w:rFonts w:hint="default" w:ascii="Times New Roman" w:hAnsi="Times New Roman" w:eastAsia="宋体" w:cs="Times New Roman"/>
          <w:color w:val="0000FF"/>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2117C2C5">
      <w:pPr>
        <w:pStyle w:val="24"/>
        <w:kinsoku/>
        <w:spacing w:before="0" w:beforeAutospacing="0" w:after="0" w:afterAutospacing="0"/>
        <w:jc w:val="center"/>
        <w:outlineLvl w:val="0"/>
        <w:rPr>
          <w:rFonts w:hint="default" w:ascii="Times New Roman" w:hAnsi="Times New Roman" w:eastAsia="宋体" w:cs="Times New Roman"/>
          <w:b/>
          <w:bCs/>
          <w:color w:val="000000" w:themeColor="text1"/>
          <w:sz w:val="30"/>
          <w:szCs w:val="30"/>
          <w14:textFill>
            <w14:solidFill>
              <w14:schemeClr w14:val="tx1"/>
            </w14:solidFill>
          </w14:textFill>
        </w:rPr>
      </w:pPr>
      <w:r>
        <w:rPr>
          <w:rFonts w:hint="default" w:ascii="Times New Roman" w:hAnsi="Times New Roman" w:eastAsia="宋体" w:cs="Times New Roman"/>
          <w:b/>
          <w:bCs/>
          <w:color w:val="000000" w:themeColor="text1"/>
          <w:sz w:val="30"/>
          <w:szCs w:val="30"/>
          <w:lang w:eastAsia="zh-CN"/>
          <w14:textFill>
            <w14:solidFill>
              <w14:schemeClr w14:val="tx1"/>
            </w14:solidFill>
          </w14:textFill>
        </w:rPr>
        <w:t>二</w:t>
      </w:r>
      <w:r>
        <w:rPr>
          <w:rFonts w:hint="default" w:ascii="Times New Roman" w:hAnsi="Times New Roman" w:eastAsia="宋体" w:cs="Times New Roman"/>
          <w:b/>
          <w:bCs/>
          <w:color w:val="000000" w:themeColor="text1"/>
          <w:sz w:val="30"/>
          <w:szCs w:val="30"/>
          <w14:textFill>
            <w14:solidFill>
              <w14:schemeClr w14:val="tx1"/>
            </w14:solidFill>
          </w14:textFill>
        </w:rPr>
        <w:t>、建设项目工程分析</w:t>
      </w:r>
    </w:p>
    <w:tbl>
      <w:tblPr>
        <w:tblStyle w:val="26"/>
        <w:tblW w:w="87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1"/>
        <w:gridCol w:w="8143"/>
      </w:tblGrid>
      <w:tr w14:paraId="214993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680" w:hRule="atLeast"/>
          <w:jc w:val="center"/>
        </w:trPr>
        <w:tc>
          <w:tcPr>
            <w:tcW w:w="561" w:type="dxa"/>
            <w:vAlign w:val="center"/>
          </w:tcPr>
          <w:p w14:paraId="2797BF68">
            <w:pPr>
              <w:pStyle w:val="24"/>
              <w:kinsoku/>
              <w:spacing w:before="0" w:beforeAutospacing="0" w:after="0" w:afterAutospacing="0"/>
              <w:jc w:val="center"/>
              <w:rPr>
                <w:rFonts w:hint="default" w:ascii="Times New Roman" w:hAnsi="Times New Roman" w:eastAsia="宋体" w:cs="Times New Roman"/>
                <w:color w:val="0000FF"/>
                <w:szCs w:val="24"/>
              </w:rPr>
            </w:pPr>
            <w:r>
              <w:rPr>
                <w:rFonts w:hint="default" w:ascii="Times New Roman" w:hAnsi="Times New Roman" w:eastAsia="宋体" w:cs="Times New Roman"/>
                <w:color w:val="000000" w:themeColor="text1"/>
                <w:szCs w:val="24"/>
                <w14:textFill>
                  <w14:solidFill>
                    <w14:schemeClr w14:val="tx1"/>
                  </w14:solidFill>
                </w14:textFill>
              </w:rPr>
              <w:t>建设内容</w:t>
            </w:r>
          </w:p>
        </w:tc>
        <w:tc>
          <w:tcPr>
            <w:tcW w:w="8143" w:type="dxa"/>
          </w:tcPr>
          <w:p w14:paraId="0396C955">
            <w:pPr>
              <w:kinsoku/>
              <w:adjustRightInd/>
              <w:snapToGrid/>
              <w:spacing w:line="360" w:lineRule="auto"/>
              <w:ind w:firstLine="482" w:firstLineChars="200"/>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14:textFill>
                  <w14:solidFill>
                    <w14:schemeClr w14:val="tx1"/>
                  </w14:solidFill>
                </w14:textFill>
              </w:rPr>
              <w:t>项目建设基本情况</w:t>
            </w:r>
          </w:p>
          <w:p w14:paraId="1AD9FE2D">
            <w:pPr>
              <w:widowControl w:val="0"/>
              <w:kinsoku/>
              <w:autoSpaceDE/>
              <w:autoSpaceDN/>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（1）项目由来</w:t>
            </w:r>
          </w:p>
          <w:p w14:paraId="18388859">
            <w:pPr>
              <w:widowControl w:val="0"/>
              <w:kinsoku/>
              <w:autoSpaceDE/>
              <w:autoSpaceDN/>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安徽德美新材料科技股份有限公司位于宿州市埇桥区经济开发区滨河路西侧，</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占地面积约为22102.56平方米</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。其中：1#厂房6088.6平方米，2#厂房7128平方米，办公楼892.5平方米。</w:t>
            </w:r>
          </w:p>
          <w:p w14:paraId="2F9CDCCB">
            <w:pPr>
              <w:widowControl w:val="0"/>
              <w:kinsoku/>
              <w:autoSpaceDE/>
              <w:autoSpaceDN/>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2025年，安徽德美新材料科技股份有限公司因市场发展需要，在现有基础上进行扩建，公司不新增建筑面积，在原有的生产车间新增生产线，扩建生产项目。项目</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2025年6月宿州埇桥区工业和信息化局备案《高性能铝箔材料生产扩建项目》，备案号：2506-341302-07-01958013</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扩建后原有铝箔复合膜产量由7500万m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/a增加至8000万m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/a，牛皮纸加筋铝箔产量由7500万m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/a增加至8000万m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/a，并购置新的生产设备、环保处理措施等设备</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扩建后年产铝箔复合膜8000万m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/a以及牛皮纸加筋铝箔年产8000万m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/a的</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生产能力。</w:t>
            </w:r>
          </w:p>
          <w:p w14:paraId="585A886E">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（2）环评报告类别确定</w:t>
            </w:r>
          </w:p>
          <w:p w14:paraId="2177C70B">
            <w:pPr>
              <w:widowControl w:val="0"/>
              <w:kinsoku/>
              <w:autoSpaceDE/>
              <w:autoSpaceDN/>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根据《中华人民共和国环境保护法》《中华人民共和国环境影响评价法》《建设项目环境影响评价分类管理名录（2021 年版）》（生态环境部令第16号）中的有关规定，本项目属于“</w:t>
            </w:r>
            <w:r>
              <w:rPr>
                <w:rFonts w:hint="default" w:ascii="Times New Roman" w:hAnsi="Times New Roman" w:eastAsia="宋体" w:cs="Times New Roman"/>
                <w:color w:val="000000" w:themeColor="text1"/>
                <w:sz w:val="24"/>
                <w:szCs w:val="24"/>
                <w:lang w:val="en-US" w:eastAsia="en-US"/>
                <w14:textFill>
                  <w14:solidFill>
                    <w14:schemeClr w14:val="tx1"/>
                  </w14:solidFill>
                </w14:textFill>
              </w:rPr>
              <w:t>三十、金属制品业 33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 66-金</w:t>
            </w:r>
            <w:r>
              <w:rPr>
                <w:rFonts w:hint="default" w:ascii="Times New Roman" w:hAnsi="Times New Roman" w:eastAsia="宋体" w:cs="Times New Roman"/>
                <w:color w:val="000000" w:themeColor="text1"/>
                <w:sz w:val="24"/>
                <w:szCs w:val="24"/>
                <w:lang w:val="en-US" w:eastAsia="en-US"/>
                <w14:textFill>
                  <w14:solidFill>
                    <w14:schemeClr w14:val="tx1"/>
                  </w14:solidFill>
                </w14:textFill>
              </w:rPr>
              <w:t>属制日用品制造338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”其他（仅分割、焊接、组装的除外；年用非溶剂型低VOCs含量涂料10吨以下的除外），应当编制环境影响报告表。</w:t>
            </w:r>
          </w:p>
          <w:p w14:paraId="00D14401">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表</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1-1</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环评类别对照表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
              <w:gridCol w:w="2163"/>
              <w:gridCol w:w="1735"/>
              <w:gridCol w:w="1494"/>
              <w:gridCol w:w="856"/>
              <w:gridCol w:w="1185"/>
            </w:tblGrid>
            <w:tr w14:paraId="3BB6C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70" w:type="pct"/>
                  <w:gridSpan w:val="2"/>
                  <w:vMerge w:val="restart"/>
                  <w:noWrap w:val="0"/>
                  <w:vAlign w:val="center"/>
                </w:tcPr>
                <w:p w14:paraId="77F5029B">
                  <w:pPr>
                    <w:keepNext w:val="0"/>
                    <w:keepLines w:val="0"/>
                    <w:pageBreakBefore w:val="0"/>
                    <w:widowControl w:val="0"/>
                    <w:kinsoku/>
                    <w:wordWrap/>
                    <w:overflowPunct/>
                    <w:topLinePunct w:val="0"/>
                    <w:autoSpaceDE/>
                    <w:autoSpaceDN/>
                    <w:bidi w:val="0"/>
                    <w:ind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项目类别</w:t>
                  </w:r>
                </w:p>
                <w:p w14:paraId="2E4672DE">
                  <w:pPr>
                    <w:keepNext w:val="0"/>
                    <w:keepLines w:val="0"/>
                    <w:pageBreakBefore w:val="0"/>
                    <w:widowControl w:val="0"/>
                    <w:kinsoku/>
                    <w:wordWrap/>
                    <w:overflowPunct/>
                    <w:topLinePunct w:val="0"/>
                    <w:autoSpaceDE/>
                    <w:autoSpaceDN/>
                    <w:bidi w:val="0"/>
                    <w:ind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环评类别</w:t>
                  </w:r>
                </w:p>
              </w:tc>
              <w:tc>
                <w:tcPr>
                  <w:tcW w:w="2580" w:type="pct"/>
                  <w:gridSpan w:val="3"/>
                  <w:noWrap w:val="0"/>
                  <w:vAlign w:val="center"/>
                </w:tcPr>
                <w:p w14:paraId="3DE1303A">
                  <w:pPr>
                    <w:keepNext w:val="0"/>
                    <w:keepLines w:val="0"/>
                    <w:pageBreakBefore w:val="0"/>
                    <w:widowControl w:val="0"/>
                    <w:kinsoku/>
                    <w:wordWrap/>
                    <w:overflowPunct/>
                    <w:topLinePunct w:val="0"/>
                    <w:autoSpaceDE/>
                    <w:autoSpaceDN/>
                    <w:bidi w:val="0"/>
                    <w:ind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环境影响评价类别</w:t>
                  </w:r>
                </w:p>
              </w:tc>
              <w:tc>
                <w:tcPr>
                  <w:tcW w:w="748" w:type="pct"/>
                  <w:vMerge w:val="restart"/>
                  <w:noWrap w:val="0"/>
                  <w:vAlign w:val="center"/>
                </w:tcPr>
                <w:p w14:paraId="16F83B41">
                  <w:pPr>
                    <w:keepNext w:val="0"/>
                    <w:keepLines w:val="0"/>
                    <w:pageBreakBefore w:val="0"/>
                    <w:widowControl w:val="0"/>
                    <w:kinsoku/>
                    <w:wordWrap/>
                    <w:overflowPunct/>
                    <w:topLinePunct w:val="0"/>
                    <w:autoSpaceDE/>
                    <w:autoSpaceDN/>
                    <w:bidi w:val="0"/>
                    <w:ind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项目环评类别判定</w:t>
                  </w:r>
                </w:p>
              </w:tc>
            </w:tr>
            <w:tr w14:paraId="0FBEE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70" w:type="pct"/>
                  <w:gridSpan w:val="2"/>
                  <w:vMerge w:val="continue"/>
                  <w:noWrap w:val="0"/>
                  <w:vAlign w:val="center"/>
                </w:tcPr>
                <w:p w14:paraId="69B0A9B5">
                  <w:pPr>
                    <w:keepNext w:val="0"/>
                    <w:keepLines w:val="0"/>
                    <w:pageBreakBefore w:val="0"/>
                    <w:widowControl w:val="0"/>
                    <w:kinsoku/>
                    <w:wordWrap/>
                    <w:overflowPunct/>
                    <w:topLinePunct w:val="0"/>
                    <w:autoSpaceDE/>
                    <w:autoSpaceDN/>
                    <w:bidi w:val="0"/>
                    <w:ind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096" w:type="pct"/>
                  <w:noWrap w:val="0"/>
                  <w:vAlign w:val="center"/>
                </w:tcPr>
                <w:p w14:paraId="650A4CC8">
                  <w:pPr>
                    <w:keepNext w:val="0"/>
                    <w:keepLines w:val="0"/>
                    <w:pageBreakBefore w:val="0"/>
                    <w:widowControl w:val="0"/>
                    <w:kinsoku/>
                    <w:wordWrap/>
                    <w:overflowPunct/>
                    <w:topLinePunct w:val="0"/>
                    <w:autoSpaceDE/>
                    <w:autoSpaceDN/>
                    <w:bidi w:val="0"/>
                    <w:ind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报告书</w:t>
                  </w:r>
                </w:p>
              </w:tc>
              <w:tc>
                <w:tcPr>
                  <w:tcW w:w="943" w:type="pct"/>
                  <w:noWrap w:val="0"/>
                  <w:vAlign w:val="center"/>
                </w:tcPr>
                <w:p w14:paraId="67DAB0DB">
                  <w:pPr>
                    <w:keepNext w:val="0"/>
                    <w:keepLines w:val="0"/>
                    <w:pageBreakBefore w:val="0"/>
                    <w:widowControl w:val="0"/>
                    <w:kinsoku/>
                    <w:wordWrap/>
                    <w:overflowPunct/>
                    <w:topLinePunct w:val="0"/>
                    <w:autoSpaceDE/>
                    <w:autoSpaceDN/>
                    <w:bidi w:val="0"/>
                    <w:ind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报告表</w:t>
                  </w:r>
                </w:p>
              </w:tc>
              <w:tc>
                <w:tcPr>
                  <w:tcW w:w="540" w:type="pct"/>
                  <w:noWrap w:val="0"/>
                  <w:vAlign w:val="center"/>
                </w:tcPr>
                <w:p w14:paraId="01EA9D77">
                  <w:pPr>
                    <w:keepNext w:val="0"/>
                    <w:keepLines w:val="0"/>
                    <w:pageBreakBefore w:val="0"/>
                    <w:widowControl w:val="0"/>
                    <w:kinsoku/>
                    <w:wordWrap/>
                    <w:overflowPunct/>
                    <w:topLinePunct w:val="0"/>
                    <w:autoSpaceDE/>
                    <w:autoSpaceDN/>
                    <w:bidi w:val="0"/>
                    <w:ind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登记表</w:t>
                  </w:r>
                </w:p>
              </w:tc>
              <w:tc>
                <w:tcPr>
                  <w:tcW w:w="748" w:type="pct"/>
                  <w:vMerge w:val="continue"/>
                  <w:noWrap w:val="0"/>
                  <w:vAlign w:val="center"/>
                </w:tcPr>
                <w:p w14:paraId="2C3D27B7">
                  <w:pPr>
                    <w:keepNext w:val="0"/>
                    <w:keepLines w:val="0"/>
                    <w:pageBreakBefore w:val="0"/>
                    <w:widowControl w:val="0"/>
                    <w:kinsoku/>
                    <w:wordWrap/>
                    <w:overflowPunct/>
                    <w:topLinePunct w:val="0"/>
                    <w:autoSpaceDE/>
                    <w:autoSpaceDN/>
                    <w:bidi w:val="0"/>
                    <w:ind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58F38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6"/>
                  <w:noWrap w:val="0"/>
                  <w:vAlign w:val="center"/>
                </w:tcPr>
                <w:p w14:paraId="743E4616">
                  <w:pPr>
                    <w:keepNext w:val="0"/>
                    <w:keepLines w:val="0"/>
                    <w:pageBreakBefore w:val="0"/>
                    <w:widowControl w:val="0"/>
                    <w:kinsoku/>
                    <w:wordWrap/>
                    <w:overflowPunct/>
                    <w:topLinePunct w:val="0"/>
                    <w:autoSpaceDE/>
                    <w:autoSpaceDN/>
                    <w:bidi w:val="0"/>
                    <w:ind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en-US"/>
                      <w14:textFill>
                        <w14:solidFill>
                          <w14:schemeClr w14:val="tx1"/>
                        </w14:solidFill>
                      </w14:textFill>
                    </w:rPr>
                    <w:t>三十、金属制品业 33</w:t>
                  </w:r>
                </w:p>
              </w:tc>
            </w:tr>
            <w:tr w14:paraId="3461E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3" w:type="pct"/>
                  <w:shd w:val="clear" w:color="auto" w:fill="auto"/>
                  <w:noWrap w:val="0"/>
                  <w:vAlign w:val="center"/>
                </w:tcPr>
                <w:p w14:paraId="492BE3BF">
                  <w:pPr>
                    <w:keepNext w:val="0"/>
                    <w:keepLines w:val="0"/>
                    <w:pageBreakBefore w:val="0"/>
                    <w:widowControl w:val="0"/>
                    <w:kinsoku/>
                    <w:wordWrap/>
                    <w:overflowPunct/>
                    <w:topLinePunct w:val="0"/>
                    <w:autoSpaceDE/>
                    <w:autoSpaceDN/>
                    <w:bidi w:val="0"/>
                    <w:ind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en-US"/>
                      <w14:textFill>
                        <w14:solidFill>
                          <w14:schemeClr w14:val="tx1"/>
                        </w14:solidFill>
                      </w14:textFill>
                    </w:rPr>
                    <w:t>66</w:t>
                  </w:r>
                </w:p>
              </w:tc>
              <w:tc>
                <w:tcPr>
                  <w:tcW w:w="1366" w:type="pct"/>
                  <w:shd w:val="clear" w:color="auto" w:fill="auto"/>
                  <w:noWrap w:val="0"/>
                  <w:vAlign w:val="center"/>
                </w:tcPr>
                <w:p w14:paraId="1D0805C6">
                  <w:pPr>
                    <w:keepNext w:val="0"/>
                    <w:keepLines w:val="0"/>
                    <w:pageBreakBefore w:val="0"/>
                    <w:widowControl w:val="0"/>
                    <w:kinsoku/>
                    <w:wordWrap/>
                    <w:overflowPunct/>
                    <w:topLinePunct w:val="0"/>
                    <w:autoSpaceDE/>
                    <w:autoSpaceDN/>
                    <w:bidi w:val="0"/>
                    <w:ind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结构性金属制品制造331；金属工具制造332；集装箱及金属包装容器制造333；金属丝绳及其制品制造334；建筑、安全用金属制品制造335；搪瓷制品制造337；金</w:t>
                  </w:r>
                  <w:r>
                    <w:rPr>
                      <w:rFonts w:hint="default" w:ascii="Times New Roman" w:hAnsi="Times New Roman" w:eastAsia="宋体" w:cs="Times New Roman"/>
                      <w:color w:val="000000" w:themeColor="text1"/>
                      <w:sz w:val="21"/>
                      <w:szCs w:val="21"/>
                      <w:lang w:eastAsia="en-US"/>
                      <w14:textFill>
                        <w14:solidFill>
                          <w14:schemeClr w14:val="tx1"/>
                        </w14:solidFill>
                      </w14:textFill>
                    </w:rPr>
                    <w:t>属制日用品制造338</w:t>
                  </w:r>
                </w:p>
              </w:tc>
              <w:tc>
                <w:tcPr>
                  <w:tcW w:w="1096" w:type="pct"/>
                  <w:shd w:val="clear" w:color="auto" w:fill="auto"/>
                  <w:noWrap w:val="0"/>
                  <w:vAlign w:val="center"/>
                </w:tcPr>
                <w:p w14:paraId="7ACE5254">
                  <w:pPr>
                    <w:keepNext w:val="0"/>
                    <w:keepLines w:val="0"/>
                    <w:pageBreakBefore w:val="0"/>
                    <w:widowControl w:val="0"/>
                    <w:kinsoku/>
                    <w:wordWrap/>
                    <w:overflowPunct/>
                    <w:topLinePunct w:val="0"/>
                    <w:autoSpaceDE/>
                    <w:autoSpaceDN/>
                    <w:bidi w:val="0"/>
                    <w:ind w:firstLineChars="0"/>
                    <w:jc w:val="center"/>
                    <w:textAlignment w:val="auto"/>
                    <w:rPr>
                      <w:rFonts w:hint="default" w:ascii="Times New Roman" w:hAnsi="Times New Roman" w:eastAsia="宋体" w:cs="Times New Roman"/>
                      <w:color w:val="000000" w:themeColor="text1"/>
                      <w:sz w:val="21"/>
                      <w:szCs w:val="21"/>
                      <w:lang w:val="zh-CN"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有电镀工艺的；年用溶剂型涂料（含稀释剂）10吨及以上的</w:t>
                  </w:r>
                </w:p>
              </w:tc>
              <w:tc>
                <w:tcPr>
                  <w:tcW w:w="943" w:type="pct"/>
                  <w:shd w:val="clear" w:color="auto" w:fill="auto"/>
                  <w:noWrap w:val="0"/>
                  <w:vAlign w:val="center"/>
                </w:tcPr>
                <w:p w14:paraId="25BE999A">
                  <w:pPr>
                    <w:keepNext w:val="0"/>
                    <w:keepLines w:val="0"/>
                    <w:pageBreakBefore w:val="0"/>
                    <w:widowControl w:val="0"/>
                    <w:kinsoku/>
                    <w:wordWrap/>
                    <w:overflowPunct/>
                    <w:topLinePunct w:val="0"/>
                    <w:autoSpaceDE/>
                    <w:autoSpaceDN/>
                    <w:bidi w:val="0"/>
                    <w:ind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其他（仅分割、焊接、组装的除外；年用非溶剂型低VOCs含量涂料10吨以下的除外）</w:t>
                  </w:r>
                </w:p>
              </w:tc>
              <w:tc>
                <w:tcPr>
                  <w:tcW w:w="540" w:type="pct"/>
                  <w:noWrap w:val="0"/>
                  <w:vAlign w:val="center"/>
                </w:tcPr>
                <w:p w14:paraId="34E7A6DD">
                  <w:pPr>
                    <w:keepNext w:val="0"/>
                    <w:keepLines w:val="0"/>
                    <w:pageBreakBefore w:val="0"/>
                    <w:widowControl w:val="0"/>
                    <w:kinsoku/>
                    <w:wordWrap/>
                    <w:overflowPunct/>
                    <w:topLinePunct w:val="0"/>
                    <w:autoSpaceDE/>
                    <w:autoSpaceDN/>
                    <w:bidi w:val="0"/>
                    <w:ind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748" w:type="pct"/>
                  <w:noWrap w:val="0"/>
                  <w:vAlign w:val="center"/>
                </w:tcPr>
                <w:p w14:paraId="42A679C8">
                  <w:pPr>
                    <w:keepNext w:val="0"/>
                    <w:keepLines w:val="0"/>
                    <w:pageBreakBefore w:val="0"/>
                    <w:widowControl w:val="0"/>
                    <w:kinsoku/>
                    <w:wordWrap/>
                    <w:overflowPunct/>
                    <w:topLinePunct w:val="0"/>
                    <w:autoSpaceDE/>
                    <w:autoSpaceDN/>
                    <w:bidi w:val="0"/>
                    <w:ind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报告表</w:t>
                  </w:r>
                </w:p>
              </w:tc>
            </w:tr>
          </w:tbl>
          <w:p w14:paraId="12525FF1">
            <w:pPr>
              <w:widowControl w:val="0"/>
              <w:kinsoku/>
              <w:autoSpaceDE/>
              <w:autoSpaceDN/>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（3）排污许可管理类别确定</w:t>
            </w:r>
          </w:p>
          <w:p w14:paraId="43C119C4">
            <w:pPr>
              <w:widowControl w:val="0"/>
              <w:kinsoku/>
              <w:autoSpaceDE/>
              <w:autoSpaceDN/>
              <w:adjustRightInd/>
              <w:snapToGrid/>
              <w:spacing w:line="360" w:lineRule="auto"/>
              <w:ind w:firstLine="480" w:firstLineChars="200"/>
              <w:textAlignment w:val="auto"/>
              <w:rPr>
                <w:rFonts w:hint="default" w:ascii="Times New Roman" w:hAnsi="Times New Roman" w:eastAsia="宋体" w:cs="Times New Roman"/>
                <w:color w:val="FF0000"/>
                <w:kern w:val="0"/>
                <w:sz w:val="24"/>
                <w:szCs w:val="24"/>
                <w:lang w:val="en-US" w:eastAsia="zh-CN"/>
              </w:rPr>
            </w:pPr>
            <w:r>
              <w:rPr>
                <w:rFonts w:hint="default" w:ascii="Times New Roman" w:hAnsi="Times New Roman" w:eastAsia="宋体" w:cs="Times New Roman"/>
                <w:color w:val="000000" w:themeColor="text1"/>
                <w:kern w:val="0"/>
                <w:sz w:val="24"/>
                <w14:textFill>
                  <w14:solidFill>
                    <w14:schemeClr w14:val="tx1"/>
                  </w14:solidFill>
                </w14:textFill>
              </w:rPr>
              <w:t>根据《固定污染源排污许可分类管理名录》（2019年版），本项目属于“二十八、金属制品业</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 xml:space="preserve">33 </w:t>
            </w:r>
            <w:r>
              <w:rPr>
                <w:rFonts w:hint="default" w:ascii="Times New Roman" w:hAnsi="Times New Roman" w:eastAsia="宋体" w:cs="Times New Roman"/>
                <w:color w:val="000000" w:themeColor="text1"/>
                <w:kern w:val="0"/>
                <w:sz w:val="24"/>
                <w14:textFill>
                  <w14:solidFill>
                    <w14:schemeClr w14:val="tx1"/>
                  </w14:solidFill>
                </w14:textFill>
              </w:rPr>
              <w:t>80结构性金属制品制造331，金属工具制造332，集装箱及金属包装容器制造333，金属丝绳及其制品制造334，建筑、安全用金属制品制造335，搪瓷制品制造337，金属制日用品制造338，铸造及其他金属制品制造339（除黑色金属铸造3391、有色金属铸造3392）”。其中“涉及通用工序重点管理的”为重点管理，“涉及通用工序简化管理的”为简化管理，“其他”为登记管理。</w:t>
            </w:r>
            <w:r>
              <w:rPr>
                <w:rFonts w:hint="default" w:ascii="Times New Roman" w:hAnsi="Times New Roman" w:eastAsia="宋体" w:cs="Times New Roman"/>
                <w:color w:val="000000" w:themeColor="text1"/>
                <w:kern w:val="0"/>
                <w:sz w:val="24"/>
                <w:lang w:eastAsia="zh-CN"/>
                <w14:textFill>
                  <w14:solidFill>
                    <w14:schemeClr w14:val="tx1"/>
                  </w14:solidFill>
                </w14:textFill>
              </w:rPr>
              <w:t>本项目属于</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C3389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其他金属制日用品制造</w:t>
            </w:r>
            <w:r>
              <w:rPr>
                <w:rFonts w:hint="default"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不涉及</w:t>
            </w:r>
            <w:r>
              <w:rPr>
                <w:rFonts w:hint="default" w:ascii="Times New Roman" w:hAnsi="Times New Roman" w:eastAsia="宋体" w:cs="Times New Roman"/>
                <w:color w:val="000000" w:themeColor="text1"/>
                <w:kern w:val="0"/>
                <w:sz w:val="24"/>
                <w14:textFill>
                  <w14:solidFill>
                    <w14:schemeClr w14:val="tx1"/>
                  </w14:solidFill>
                </w14:textFill>
              </w:rPr>
              <w:t>通用工序</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项目</w:t>
            </w:r>
            <w:r>
              <w:rPr>
                <w:rFonts w:hint="default" w:ascii="Times New Roman" w:hAnsi="Times New Roman" w:eastAsia="宋体" w:cs="Times New Roman"/>
                <w:color w:val="000000" w:themeColor="text1"/>
                <w:kern w:val="0"/>
                <w:sz w:val="24"/>
                <w:lang w:eastAsia="zh-CN"/>
                <w14:textFill>
                  <w14:solidFill>
                    <w14:schemeClr w14:val="tx1"/>
                  </w14:solidFill>
                </w14:textFill>
              </w:rPr>
              <w:t>产品为</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铝箔复合膜、牛皮纸加筋铝箔制造，</w:t>
            </w:r>
            <w:r>
              <w:rPr>
                <w:rFonts w:hint="default" w:ascii="Times New Roman" w:hAnsi="Times New Roman" w:eastAsia="宋体" w:cs="Times New Roman"/>
                <w:color w:val="000000" w:themeColor="text1"/>
                <w:kern w:val="0"/>
                <w:sz w:val="24"/>
                <w14:textFill>
                  <w14:solidFill>
                    <w14:schemeClr w14:val="tx1"/>
                  </w14:solidFill>
                </w14:textFill>
              </w:rPr>
              <w:t>因此本项目排污许可实行登记管理</w:t>
            </w:r>
            <w:r>
              <w:rPr>
                <w:rFonts w:hint="default" w:ascii="Times New Roman" w:hAnsi="Times New Roman" w:eastAsia="宋体" w:cs="Times New Roman"/>
                <w:color w:val="FF0000"/>
                <w:kern w:val="0"/>
                <w:sz w:val="24"/>
                <w:szCs w:val="24"/>
                <w:lang w:val="en-US" w:eastAsia="zh-CN"/>
              </w:rPr>
              <w:t>。</w:t>
            </w:r>
          </w:p>
          <w:p w14:paraId="6E5A4B7A">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表</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2  排污许可类别对照</w:t>
            </w:r>
          </w:p>
          <w:tbl>
            <w:tblPr>
              <w:tblStyle w:val="27"/>
              <w:tblW w:w="8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2766"/>
              <w:gridCol w:w="1166"/>
              <w:gridCol w:w="1166"/>
              <w:gridCol w:w="1166"/>
              <w:gridCol w:w="1092"/>
            </w:tblGrid>
            <w:tr w14:paraId="56868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3448" w:type="dxa"/>
                  <w:gridSpan w:val="2"/>
                  <w:vMerge w:val="restart"/>
                  <w:vAlign w:val="center"/>
                </w:tcPr>
                <w:p w14:paraId="04352B46">
                  <w:pPr>
                    <w:keepNext w:val="0"/>
                    <w:keepLines w:val="0"/>
                    <w:pageBreakBefore w:val="0"/>
                    <w:widowControl w:val="0"/>
                    <w:kinsoku/>
                    <w:wordWrap/>
                    <w:overflowPunct/>
                    <w:topLinePunct w:val="0"/>
                    <w:autoSpaceDE/>
                    <w:autoSpaceDN/>
                    <w:bidi w:val="0"/>
                    <w:ind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项目类别</w:t>
                  </w:r>
                </w:p>
                <w:p w14:paraId="21D34364">
                  <w:pPr>
                    <w:keepNext w:val="0"/>
                    <w:keepLines w:val="0"/>
                    <w:pageBreakBefore w:val="0"/>
                    <w:widowControl w:val="0"/>
                    <w:kinsoku/>
                    <w:wordWrap/>
                    <w:overflowPunct/>
                    <w:topLinePunct w:val="0"/>
                    <w:autoSpaceDE/>
                    <w:autoSpaceDN/>
                    <w:bidi w:val="0"/>
                    <w:ind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排污许可类别</w:t>
                  </w:r>
                </w:p>
              </w:tc>
              <w:tc>
                <w:tcPr>
                  <w:tcW w:w="3498" w:type="dxa"/>
                  <w:gridSpan w:val="3"/>
                  <w:vAlign w:val="center"/>
                </w:tcPr>
                <w:p w14:paraId="77149F46">
                  <w:pPr>
                    <w:keepNext w:val="0"/>
                    <w:keepLines w:val="0"/>
                    <w:pageBreakBefore w:val="0"/>
                    <w:widowControl w:val="0"/>
                    <w:kinsoku/>
                    <w:wordWrap/>
                    <w:overflowPunct/>
                    <w:topLinePunct w:val="0"/>
                    <w:autoSpaceDE/>
                    <w:autoSpaceDN/>
                    <w:bidi w:val="0"/>
                    <w:ind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排污许可类别</w:t>
                  </w:r>
                </w:p>
              </w:tc>
              <w:tc>
                <w:tcPr>
                  <w:tcW w:w="1092" w:type="dxa"/>
                  <w:vMerge w:val="restart"/>
                  <w:vAlign w:val="center"/>
                </w:tcPr>
                <w:p w14:paraId="40EBE64A">
                  <w:pPr>
                    <w:keepNext w:val="0"/>
                    <w:keepLines w:val="0"/>
                    <w:pageBreakBefore w:val="0"/>
                    <w:widowControl w:val="0"/>
                    <w:kinsoku/>
                    <w:wordWrap/>
                    <w:overflowPunct/>
                    <w:topLinePunct w:val="0"/>
                    <w:autoSpaceDE/>
                    <w:autoSpaceDN/>
                    <w:bidi w:val="0"/>
                    <w:ind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排污许可</w:t>
                  </w:r>
                </w:p>
                <w:p w14:paraId="47756156">
                  <w:pPr>
                    <w:keepNext w:val="0"/>
                    <w:keepLines w:val="0"/>
                    <w:pageBreakBefore w:val="0"/>
                    <w:widowControl w:val="0"/>
                    <w:kinsoku/>
                    <w:wordWrap/>
                    <w:overflowPunct/>
                    <w:topLinePunct w:val="0"/>
                    <w:autoSpaceDE/>
                    <w:autoSpaceDN/>
                    <w:bidi w:val="0"/>
                    <w:ind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管理类别</w:t>
                  </w:r>
                </w:p>
              </w:tc>
            </w:tr>
            <w:tr w14:paraId="7460E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3448" w:type="dxa"/>
                  <w:gridSpan w:val="2"/>
                  <w:vMerge w:val="continue"/>
                  <w:vAlign w:val="center"/>
                </w:tcPr>
                <w:p w14:paraId="4400524F">
                  <w:pPr>
                    <w:keepNext w:val="0"/>
                    <w:keepLines w:val="0"/>
                    <w:pageBreakBefore w:val="0"/>
                    <w:widowControl w:val="0"/>
                    <w:kinsoku/>
                    <w:wordWrap/>
                    <w:overflowPunct/>
                    <w:topLinePunct w:val="0"/>
                    <w:autoSpaceDE/>
                    <w:autoSpaceDN/>
                    <w:bidi w:val="0"/>
                    <w:ind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66" w:type="dxa"/>
                  <w:vAlign w:val="center"/>
                </w:tcPr>
                <w:p w14:paraId="001E9123">
                  <w:pPr>
                    <w:keepNext w:val="0"/>
                    <w:keepLines w:val="0"/>
                    <w:pageBreakBefore w:val="0"/>
                    <w:widowControl w:val="0"/>
                    <w:kinsoku/>
                    <w:wordWrap/>
                    <w:overflowPunct/>
                    <w:topLinePunct w:val="0"/>
                    <w:autoSpaceDE/>
                    <w:autoSpaceDN/>
                    <w:bidi w:val="0"/>
                    <w:ind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重点管理</w:t>
                  </w:r>
                </w:p>
              </w:tc>
              <w:tc>
                <w:tcPr>
                  <w:tcW w:w="1166" w:type="dxa"/>
                  <w:vAlign w:val="center"/>
                </w:tcPr>
                <w:p w14:paraId="0A425D84">
                  <w:pPr>
                    <w:keepNext w:val="0"/>
                    <w:keepLines w:val="0"/>
                    <w:pageBreakBefore w:val="0"/>
                    <w:widowControl w:val="0"/>
                    <w:kinsoku/>
                    <w:wordWrap/>
                    <w:overflowPunct/>
                    <w:topLinePunct w:val="0"/>
                    <w:autoSpaceDE/>
                    <w:autoSpaceDN/>
                    <w:bidi w:val="0"/>
                    <w:ind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简化管理</w:t>
                  </w:r>
                </w:p>
              </w:tc>
              <w:tc>
                <w:tcPr>
                  <w:tcW w:w="1166" w:type="dxa"/>
                  <w:vAlign w:val="center"/>
                </w:tcPr>
                <w:p w14:paraId="68D9BDBC">
                  <w:pPr>
                    <w:keepNext w:val="0"/>
                    <w:keepLines w:val="0"/>
                    <w:pageBreakBefore w:val="0"/>
                    <w:widowControl w:val="0"/>
                    <w:kinsoku/>
                    <w:wordWrap/>
                    <w:overflowPunct/>
                    <w:topLinePunct w:val="0"/>
                    <w:autoSpaceDE/>
                    <w:autoSpaceDN/>
                    <w:bidi w:val="0"/>
                    <w:ind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登记管理</w:t>
                  </w:r>
                </w:p>
              </w:tc>
              <w:tc>
                <w:tcPr>
                  <w:tcW w:w="1092" w:type="dxa"/>
                  <w:vMerge w:val="continue"/>
                  <w:vAlign w:val="center"/>
                </w:tcPr>
                <w:p w14:paraId="7BD17B25">
                  <w:pPr>
                    <w:keepNext w:val="0"/>
                    <w:keepLines w:val="0"/>
                    <w:pageBreakBefore w:val="0"/>
                    <w:widowControl w:val="0"/>
                    <w:kinsoku/>
                    <w:wordWrap/>
                    <w:overflowPunct/>
                    <w:topLinePunct w:val="0"/>
                    <w:autoSpaceDE/>
                    <w:autoSpaceDN/>
                    <w:bidi w:val="0"/>
                    <w:ind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D82A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038" w:type="dxa"/>
                  <w:gridSpan w:val="6"/>
                  <w:vAlign w:val="center"/>
                </w:tcPr>
                <w:p w14:paraId="4194914D">
                  <w:pPr>
                    <w:keepNext w:val="0"/>
                    <w:keepLines w:val="0"/>
                    <w:pageBreakBefore w:val="0"/>
                    <w:widowControl w:val="0"/>
                    <w:kinsoku/>
                    <w:wordWrap/>
                    <w:overflowPunct/>
                    <w:topLinePunct w:val="0"/>
                    <w:autoSpaceDE/>
                    <w:autoSpaceDN/>
                    <w:bidi w:val="0"/>
                    <w:ind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二十八、金属制品业</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33</w:t>
                  </w:r>
                </w:p>
              </w:tc>
            </w:tr>
            <w:tr w14:paraId="7544E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2" w:hRule="atLeast"/>
                <w:jc w:val="center"/>
              </w:trPr>
              <w:tc>
                <w:tcPr>
                  <w:tcW w:w="682" w:type="dxa"/>
                  <w:vAlign w:val="center"/>
                </w:tcPr>
                <w:p w14:paraId="681D1B8F">
                  <w:pPr>
                    <w:keepNext w:val="0"/>
                    <w:keepLines w:val="0"/>
                    <w:pageBreakBefore w:val="0"/>
                    <w:widowControl w:val="0"/>
                    <w:kinsoku/>
                    <w:wordWrap/>
                    <w:overflowPunct/>
                    <w:topLinePunct w:val="0"/>
                    <w:autoSpaceDE/>
                    <w:autoSpaceDN/>
                    <w:bidi w:val="0"/>
                    <w:ind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80</w:t>
                  </w:r>
                </w:p>
              </w:tc>
              <w:tc>
                <w:tcPr>
                  <w:tcW w:w="2766" w:type="dxa"/>
                  <w:vAlign w:val="center"/>
                </w:tcPr>
                <w:p w14:paraId="29AF3B86">
                  <w:pPr>
                    <w:keepNext w:val="0"/>
                    <w:keepLines w:val="0"/>
                    <w:pageBreakBefore w:val="0"/>
                    <w:widowControl w:val="0"/>
                    <w:kinsoku/>
                    <w:wordWrap/>
                    <w:overflowPunct/>
                    <w:topLinePunct w:val="0"/>
                    <w:autoSpaceDE/>
                    <w:autoSpaceDN/>
                    <w:bidi w:val="0"/>
                    <w:ind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构性金属制品制造331，金属工具制造332，集装箱及金属包装容器制造333，金属丝绳及其制品制造334，建 筑、安全用金属制品制造335，搪瓷制 品制造337，金属制日用品制造338，铸造及其他金属制品制造339（除黑色金属铸造3391、有色金属铸造3392）</w:t>
                  </w:r>
                </w:p>
              </w:tc>
              <w:tc>
                <w:tcPr>
                  <w:tcW w:w="1166" w:type="dxa"/>
                  <w:vAlign w:val="center"/>
                </w:tcPr>
                <w:p w14:paraId="4B768F0A">
                  <w:pPr>
                    <w:keepNext w:val="0"/>
                    <w:keepLines w:val="0"/>
                    <w:pageBreakBefore w:val="0"/>
                    <w:widowControl w:val="0"/>
                    <w:kinsoku/>
                    <w:wordWrap/>
                    <w:overflowPunct/>
                    <w:topLinePunct w:val="0"/>
                    <w:autoSpaceDE/>
                    <w:autoSpaceDN/>
                    <w:bidi w:val="0"/>
                    <w:ind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涉及通用工序重点管理的</w:t>
                  </w:r>
                </w:p>
              </w:tc>
              <w:tc>
                <w:tcPr>
                  <w:tcW w:w="1166" w:type="dxa"/>
                  <w:vAlign w:val="center"/>
                </w:tcPr>
                <w:p w14:paraId="137BC03B">
                  <w:pPr>
                    <w:keepNext w:val="0"/>
                    <w:keepLines w:val="0"/>
                    <w:pageBreakBefore w:val="0"/>
                    <w:widowControl w:val="0"/>
                    <w:kinsoku/>
                    <w:wordWrap/>
                    <w:overflowPunct/>
                    <w:topLinePunct w:val="0"/>
                    <w:autoSpaceDE/>
                    <w:autoSpaceDN/>
                    <w:bidi w:val="0"/>
                    <w:ind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涉及通用工序简化管理的</w:t>
                  </w:r>
                </w:p>
              </w:tc>
              <w:tc>
                <w:tcPr>
                  <w:tcW w:w="1166" w:type="dxa"/>
                  <w:vAlign w:val="center"/>
                </w:tcPr>
                <w:p w14:paraId="1E76129C">
                  <w:pPr>
                    <w:keepNext w:val="0"/>
                    <w:keepLines w:val="0"/>
                    <w:pageBreakBefore w:val="0"/>
                    <w:widowControl w:val="0"/>
                    <w:kinsoku/>
                    <w:wordWrap/>
                    <w:overflowPunct/>
                    <w:topLinePunct w:val="0"/>
                    <w:autoSpaceDE/>
                    <w:autoSpaceDN/>
                    <w:bidi w:val="0"/>
                    <w:ind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其他</w:t>
                  </w:r>
                </w:p>
              </w:tc>
              <w:tc>
                <w:tcPr>
                  <w:tcW w:w="1092" w:type="dxa"/>
                  <w:vAlign w:val="center"/>
                </w:tcPr>
                <w:p w14:paraId="62334BA8">
                  <w:pPr>
                    <w:keepNext w:val="0"/>
                    <w:keepLines w:val="0"/>
                    <w:pageBreakBefore w:val="0"/>
                    <w:widowControl w:val="0"/>
                    <w:kinsoku/>
                    <w:wordWrap/>
                    <w:overflowPunct/>
                    <w:topLinePunct w:val="0"/>
                    <w:autoSpaceDE/>
                    <w:autoSpaceDN/>
                    <w:bidi w:val="0"/>
                    <w:ind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登记</w:t>
                  </w:r>
                  <w:r>
                    <w:rPr>
                      <w:rFonts w:hint="default" w:ascii="Times New Roman" w:hAnsi="Times New Roman" w:eastAsia="宋体" w:cs="Times New Roman"/>
                      <w:color w:val="000000" w:themeColor="text1"/>
                      <w:sz w:val="21"/>
                      <w:szCs w:val="21"/>
                      <w14:textFill>
                        <w14:solidFill>
                          <w14:schemeClr w14:val="tx1"/>
                        </w14:solidFill>
                      </w14:textFill>
                    </w:rPr>
                    <w:t>管理</w:t>
                  </w:r>
                </w:p>
              </w:tc>
            </w:tr>
          </w:tbl>
          <w:p w14:paraId="3B8D2AA5">
            <w:pPr>
              <w:kinsoku/>
              <w:adjustRightInd/>
              <w:snapToGrid/>
              <w:spacing w:line="360" w:lineRule="auto"/>
              <w:ind w:firstLine="241" w:firstLineChars="1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14:textFill>
                  <w14:solidFill>
                    <w14:schemeClr w14:val="tx1"/>
                  </w14:solidFill>
                </w14:textFill>
              </w:rPr>
              <w:t>项目建设基本情况</w:t>
            </w:r>
          </w:p>
          <w:p w14:paraId="63EC5D80">
            <w:pPr>
              <w:widowControl w:val="0"/>
              <w:kinsoku/>
              <w:autoSpaceDE/>
              <w:autoSpaceDN/>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项目建设基本情况一览表见表2.1：</w:t>
            </w:r>
          </w:p>
          <w:p w14:paraId="133CB6A0">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表2-1 工程建设内容及规模一览表</w:t>
            </w:r>
          </w:p>
          <w:tbl>
            <w:tblPr>
              <w:tblStyle w:val="26"/>
              <w:tblW w:w="777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3"/>
              <w:gridCol w:w="766"/>
              <w:gridCol w:w="2178"/>
              <w:gridCol w:w="1235"/>
              <w:gridCol w:w="2103"/>
              <w:gridCol w:w="1004"/>
            </w:tblGrid>
            <w:tr w14:paraId="6A00DE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jc w:val="center"/>
              </w:trPr>
              <w:tc>
                <w:tcPr>
                  <w:tcW w:w="493" w:type="dxa"/>
                  <w:vAlign w:val="center"/>
                </w:tcPr>
                <w:p w14:paraId="1B36C2FD">
                  <w:pPr>
                    <w:kinsoku/>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工程类别</w:t>
                  </w:r>
                </w:p>
              </w:tc>
              <w:tc>
                <w:tcPr>
                  <w:tcW w:w="766" w:type="dxa"/>
                  <w:vAlign w:val="center"/>
                </w:tcPr>
                <w:p w14:paraId="1EE3137E">
                  <w:pPr>
                    <w:kinsoku/>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工程内容</w:t>
                  </w:r>
                </w:p>
              </w:tc>
              <w:tc>
                <w:tcPr>
                  <w:tcW w:w="2178" w:type="dxa"/>
                  <w:shd w:val="clear" w:color="auto" w:fill="auto"/>
                  <w:vAlign w:val="center"/>
                </w:tcPr>
                <w:p w14:paraId="086F895E">
                  <w:pPr>
                    <w:kinsoku/>
                    <w:jc w:val="center"/>
                    <w:rPr>
                      <w:rFonts w:hint="default" w:ascii="Times New Roman" w:hAnsi="Times New Roman" w:eastAsia="宋体" w:cs="Times New Roman"/>
                      <w:b/>
                      <w:bCs/>
                      <w:color w:val="000000" w:themeColor="text1"/>
                      <w:lang w:val="en-US" w:eastAsia="en-US"/>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现有工程内容</w:t>
                  </w:r>
                </w:p>
              </w:tc>
              <w:tc>
                <w:tcPr>
                  <w:tcW w:w="1235" w:type="dxa"/>
                  <w:shd w:val="clear" w:color="auto" w:fill="auto"/>
                  <w:vAlign w:val="center"/>
                </w:tcPr>
                <w:p w14:paraId="39F57E4A">
                  <w:pPr>
                    <w:kinsoku/>
                    <w:jc w:val="center"/>
                    <w:rPr>
                      <w:rFonts w:hint="default" w:ascii="Times New Roman" w:hAnsi="Times New Roman" w:eastAsia="宋体" w:cs="Times New Roman"/>
                      <w:b/>
                      <w:bCs/>
                      <w:color w:val="000000" w:themeColor="text1"/>
                      <w:lang w:val="en-US" w:eastAsia="en-US"/>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扩建项目内容</w:t>
                  </w:r>
                </w:p>
              </w:tc>
              <w:tc>
                <w:tcPr>
                  <w:tcW w:w="2103" w:type="dxa"/>
                  <w:shd w:val="clear" w:color="auto" w:fill="auto"/>
                  <w:vAlign w:val="center"/>
                </w:tcPr>
                <w:p w14:paraId="0EB73A9D">
                  <w:pPr>
                    <w:kinsoku/>
                    <w:jc w:val="center"/>
                    <w:rPr>
                      <w:rFonts w:hint="default" w:ascii="Times New Roman" w:hAnsi="Times New Roman" w:eastAsia="宋体" w:cs="Times New Roman"/>
                      <w:b/>
                      <w:bCs/>
                      <w:color w:val="000000" w:themeColor="text1"/>
                      <w:lang w:val="en-US" w:eastAsia="en-US"/>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全厂建设内容</w:t>
                  </w:r>
                </w:p>
              </w:tc>
              <w:tc>
                <w:tcPr>
                  <w:tcW w:w="1004" w:type="dxa"/>
                  <w:shd w:val="clear" w:color="auto" w:fill="auto"/>
                  <w:vAlign w:val="center"/>
                </w:tcPr>
                <w:p w14:paraId="69BF676F">
                  <w:pPr>
                    <w:kinsoku/>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备注</w:t>
                  </w:r>
                </w:p>
              </w:tc>
            </w:tr>
            <w:tr w14:paraId="3FEE9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3" w:hRule="atLeast"/>
                <w:jc w:val="center"/>
              </w:trPr>
              <w:tc>
                <w:tcPr>
                  <w:tcW w:w="493" w:type="dxa"/>
                  <w:vMerge w:val="restart"/>
                  <w:vAlign w:val="center"/>
                </w:tcPr>
                <w:p w14:paraId="43577C56">
                  <w:pPr>
                    <w:pStyle w:val="41"/>
                    <w:kinsoku/>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主体工程</w:t>
                  </w:r>
                </w:p>
              </w:tc>
              <w:tc>
                <w:tcPr>
                  <w:tcW w:w="766" w:type="dxa"/>
                  <w:shd w:val="clear" w:color="auto" w:fill="auto"/>
                  <w:vAlign w:val="center"/>
                </w:tcPr>
                <w:p w14:paraId="567B4CF4">
                  <w:pPr>
                    <w:pStyle w:val="41"/>
                    <w:kinsoku/>
                    <w:jc w:val="center"/>
                    <w:rPr>
                      <w:rFonts w:hint="default" w:ascii="Times New Roman" w:hAnsi="Times New Roman" w:eastAsia="宋体" w:cs="Times New Roman"/>
                      <w:color w:val="000000" w:themeColor="text1"/>
                      <w:lang w:eastAsia="zh-CN"/>
                      <w14:textFill>
                        <w14:solidFill>
                          <w14:schemeClr w14:val="tx1"/>
                        </w14:solidFill>
                      </w14:textFill>
                    </w:rPr>
                  </w:pPr>
                </w:p>
                <w:p w14:paraId="3E2916FD">
                  <w:pPr>
                    <w:pStyle w:val="41"/>
                    <w:kinsoku/>
                    <w:jc w:val="center"/>
                    <w:rPr>
                      <w:rFonts w:hint="default" w:ascii="Times New Roman" w:hAnsi="Times New Roman" w:eastAsia="宋体" w:cs="Times New Roman"/>
                      <w:color w:val="000000" w:themeColor="text1"/>
                      <w:lang w:val="en-US" w:eastAsia="en-US"/>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1#厂房</w:t>
                  </w:r>
                </w:p>
              </w:tc>
              <w:tc>
                <w:tcPr>
                  <w:tcW w:w="2178" w:type="dxa"/>
                  <w:shd w:val="clear" w:color="auto" w:fill="auto"/>
                  <w:vAlign w:val="center"/>
                </w:tcPr>
                <w:p w14:paraId="1405FC0D">
                  <w:pPr>
                    <w:pStyle w:val="41"/>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一层轻钢结构，占地面积、建筑面积均为6088.6m²;作为仓库及备用厂房。</w:t>
                  </w:r>
                </w:p>
              </w:tc>
              <w:tc>
                <w:tcPr>
                  <w:tcW w:w="1235" w:type="dxa"/>
                  <w:vAlign w:val="center"/>
                </w:tcPr>
                <w:p w14:paraId="71BACBCA">
                  <w:pPr>
                    <w:pStyle w:val="41"/>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依托原有厂房，新增生</w:t>
                  </w:r>
                  <w:r>
                    <w:rPr>
                      <w:rFonts w:hint="default" w:ascii="Times New Roman" w:hAnsi="Times New Roman" w:eastAsia="宋体" w:cs="Times New Roman"/>
                      <w:color w:val="000000" w:themeColor="text1"/>
                      <w:lang w:val="en-US" w:eastAsia="zh-CN"/>
                      <w14:textFill>
                        <w14:solidFill>
                          <w14:schemeClr w14:val="tx1"/>
                        </w14:solidFill>
                      </w14:textFill>
                    </w:rPr>
                    <w:t>年产铝箔复合膜500万m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lang w:val="en-US" w:eastAsia="zh-CN"/>
                      <w14:textFill>
                        <w14:solidFill>
                          <w14:schemeClr w14:val="tx1"/>
                        </w14:solidFill>
                      </w14:textFill>
                    </w:rPr>
                    <w:t>/a以及牛皮纸加筋铝箔500万m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lang w:val="en-US" w:eastAsia="zh-CN"/>
                      <w14:textFill>
                        <w14:solidFill>
                          <w14:schemeClr w14:val="tx1"/>
                        </w14:solidFill>
                      </w14:textFill>
                    </w:rPr>
                    <w:t>/a的生产能力</w:t>
                  </w:r>
                </w:p>
              </w:tc>
              <w:tc>
                <w:tcPr>
                  <w:tcW w:w="2103" w:type="dxa"/>
                  <w:vAlign w:val="center"/>
                </w:tcPr>
                <w:p w14:paraId="4A720B5E">
                  <w:pPr>
                    <w:pStyle w:val="41"/>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一层轻钢结构，占地面积、建筑面积均为6088.6m²，</w:t>
                  </w:r>
                  <w:r>
                    <w:rPr>
                      <w:rFonts w:hint="default" w:ascii="Times New Roman" w:hAnsi="Times New Roman" w:eastAsia="宋体" w:cs="Times New Roman"/>
                      <w:color w:val="000000" w:themeColor="text1"/>
                      <w:lang w:val="en-US" w:eastAsia="zh-CN"/>
                      <w14:textFill>
                        <w14:solidFill>
                          <w14:schemeClr w14:val="tx1"/>
                        </w14:solidFill>
                      </w14:textFill>
                    </w:rPr>
                    <w:t>年产铝箔复合膜500万m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lang w:val="en-US" w:eastAsia="zh-CN"/>
                      <w14:textFill>
                        <w14:solidFill>
                          <w14:schemeClr w14:val="tx1"/>
                        </w14:solidFill>
                      </w14:textFill>
                    </w:rPr>
                    <w:t>/a以及牛皮纸加筋铝箔500万m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lang w:val="en-US" w:eastAsia="zh-CN"/>
                      <w14:textFill>
                        <w14:solidFill>
                          <w14:schemeClr w14:val="tx1"/>
                        </w14:solidFill>
                      </w14:textFill>
                    </w:rPr>
                    <w:t>/a的生产能力</w:t>
                  </w:r>
                </w:p>
              </w:tc>
              <w:tc>
                <w:tcPr>
                  <w:tcW w:w="1004" w:type="dxa"/>
                  <w:vAlign w:val="center"/>
                </w:tcPr>
                <w:p w14:paraId="61DA1DBC">
                  <w:pPr>
                    <w:pStyle w:val="41"/>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新增年产铝箔复合膜500万m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lang w:val="en-US" w:eastAsia="zh-CN"/>
                      <w14:textFill>
                        <w14:solidFill>
                          <w14:schemeClr w14:val="tx1"/>
                        </w14:solidFill>
                      </w14:textFill>
                    </w:rPr>
                    <w:t>/a以及牛皮纸加筋铝箔500万m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lang w:val="en-US" w:eastAsia="zh-CN"/>
                      <w14:textFill>
                        <w14:solidFill>
                          <w14:schemeClr w14:val="tx1"/>
                        </w14:solidFill>
                      </w14:textFill>
                    </w:rPr>
                    <w:t>/a的生产能力</w:t>
                  </w:r>
                </w:p>
              </w:tc>
            </w:tr>
            <w:tr w14:paraId="129FB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jc w:val="center"/>
              </w:trPr>
              <w:tc>
                <w:tcPr>
                  <w:tcW w:w="493" w:type="dxa"/>
                  <w:vMerge w:val="continue"/>
                  <w:vAlign w:val="center"/>
                </w:tcPr>
                <w:p w14:paraId="283A6DE4">
                  <w:pPr>
                    <w:pStyle w:val="41"/>
                    <w:kinsoku/>
                    <w:jc w:val="center"/>
                    <w:rPr>
                      <w:rFonts w:hint="default" w:ascii="Times New Roman" w:hAnsi="Times New Roman" w:eastAsia="宋体" w:cs="Times New Roman"/>
                      <w:color w:val="000000" w:themeColor="text1"/>
                      <w14:textFill>
                        <w14:solidFill>
                          <w14:schemeClr w14:val="tx1"/>
                        </w14:solidFill>
                      </w14:textFill>
                    </w:rPr>
                  </w:pPr>
                </w:p>
              </w:tc>
              <w:tc>
                <w:tcPr>
                  <w:tcW w:w="766" w:type="dxa"/>
                  <w:shd w:val="clear" w:color="auto" w:fill="auto"/>
                  <w:vAlign w:val="center"/>
                </w:tcPr>
                <w:p w14:paraId="5A7C5CCC">
                  <w:pPr>
                    <w:pStyle w:val="41"/>
                    <w:kinsoku/>
                    <w:jc w:val="center"/>
                    <w:rPr>
                      <w:rFonts w:hint="default" w:ascii="Times New Roman" w:hAnsi="Times New Roman" w:eastAsia="宋体" w:cs="Times New Roman"/>
                      <w:color w:val="000000" w:themeColor="text1"/>
                      <w:lang w:eastAsia="zh-CN"/>
                      <w14:textFill>
                        <w14:solidFill>
                          <w14:schemeClr w14:val="tx1"/>
                        </w14:solidFill>
                      </w14:textFill>
                    </w:rPr>
                  </w:pPr>
                </w:p>
                <w:p w14:paraId="2167A831">
                  <w:pPr>
                    <w:pStyle w:val="41"/>
                    <w:kinsoku/>
                    <w:jc w:val="center"/>
                    <w:rPr>
                      <w:rFonts w:hint="default" w:ascii="Times New Roman" w:hAnsi="Times New Roman" w:eastAsia="宋体" w:cs="Times New Roman"/>
                      <w:color w:val="000000" w:themeColor="text1"/>
                      <w:lang w:val="en-US" w:eastAsia="en-US"/>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2#厂房</w:t>
                  </w:r>
                </w:p>
              </w:tc>
              <w:tc>
                <w:tcPr>
                  <w:tcW w:w="2178" w:type="dxa"/>
                  <w:shd w:val="clear" w:color="auto" w:fill="auto"/>
                  <w:vAlign w:val="center"/>
                </w:tcPr>
                <w:p w14:paraId="09BCCDB9">
                  <w:pPr>
                    <w:pStyle w:val="41"/>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一层轻钢结构，占地面积、建筑面积均为7128m²;作为生产厂房。</w:t>
                  </w:r>
                </w:p>
              </w:tc>
              <w:tc>
                <w:tcPr>
                  <w:tcW w:w="1235" w:type="dxa"/>
                  <w:vAlign w:val="center"/>
                </w:tcPr>
                <w:p w14:paraId="1ABD7470">
                  <w:pPr>
                    <w:pStyle w:val="41"/>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2103" w:type="dxa"/>
                  <w:vAlign w:val="center"/>
                </w:tcPr>
                <w:p w14:paraId="201698F4">
                  <w:pPr>
                    <w:pStyle w:val="41"/>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一层轻钢结构，占地面积、建筑面积均为7128m²;作为生产厂房。</w:t>
                  </w:r>
                  <w:r>
                    <w:rPr>
                      <w:rFonts w:hint="default" w:ascii="Times New Roman" w:hAnsi="Times New Roman" w:eastAsia="宋体" w:cs="Times New Roman"/>
                      <w:color w:val="000000" w:themeColor="text1"/>
                      <w:lang w:val="en-US" w:eastAsia="zh-CN"/>
                      <w14:textFill>
                        <w14:solidFill>
                          <w14:schemeClr w14:val="tx1"/>
                        </w14:solidFill>
                      </w14:textFill>
                    </w:rPr>
                    <w:t>年产铝箔复合膜7500万m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lang w:val="en-US" w:eastAsia="zh-CN"/>
                      <w14:textFill>
                        <w14:solidFill>
                          <w14:schemeClr w14:val="tx1"/>
                        </w14:solidFill>
                      </w14:textFill>
                    </w:rPr>
                    <w:t>/a以年产及牛皮纸加筋铝箔产7500万m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lang w:val="en-US" w:eastAsia="zh-CN"/>
                      <w14:textFill>
                        <w14:solidFill>
                          <w14:schemeClr w14:val="tx1"/>
                        </w14:solidFill>
                      </w14:textFill>
                    </w:rPr>
                    <w:t>/a的生产能力</w:t>
                  </w:r>
                </w:p>
              </w:tc>
              <w:tc>
                <w:tcPr>
                  <w:tcW w:w="1004" w:type="dxa"/>
                  <w:vAlign w:val="center"/>
                </w:tcPr>
                <w:p w14:paraId="66777DDF">
                  <w:pPr>
                    <w:pStyle w:val="41"/>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依托原有</w:t>
                  </w:r>
                </w:p>
              </w:tc>
            </w:tr>
            <w:tr w14:paraId="58188B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jc w:val="center"/>
              </w:trPr>
              <w:tc>
                <w:tcPr>
                  <w:tcW w:w="493" w:type="dxa"/>
                  <w:vAlign w:val="center"/>
                </w:tcPr>
                <w:p w14:paraId="66BEFF4B">
                  <w:pPr>
                    <w:pStyle w:val="41"/>
                    <w:kinsoku/>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辅助工程</w:t>
                  </w:r>
                </w:p>
              </w:tc>
              <w:tc>
                <w:tcPr>
                  <w:tcW w:w="766" w:type="dxa"/>
                  <w:tcBorders>
                    <w:bottom w:val="single" w:color="auto" w:sz="4" w:space="0"/>
                  </w:tcBorders>
                  <w:vAlign w:val="center"/>
                </w:tcPr>
                <w:p w14:paraId="4854C71F">
                  <w:pPr>
                    <w:pStyle w:val="41"/>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办公区</w:t>
                  </w:r>
                </w:p>
              </w:tc>
              <w:tc>
                <w:tcPr>
                  <w:tcW w:w="2178" w:type="dxa"/>
                  <w:tcBorders>
                    <w:bottom w:val="single" w:color="auto" w:sz="4" w:space="0"/>
                  </w:tcBorders>
                  <w:vAlign w:val="center"/>
                </w:tcPr>
                <w:p w14:paraId="7767D929">
                  <w:pPr>
                    <w:pStyle w:val="41"/>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1栋，3层框架结构，占地面积297.5m²,建筑面积为892.5m²</w:t>
                  </w:r>
                </w:p>
              </w:tc>
              <w:tc>
                <w:tcPr>
                  <w:tcW w:w="1235" w:type="dxa"/>
                  <w:tcBorders>
                    <w:bottom w:val="single" w:color="auto" w:sz="4" w:space="0"/>
                  </w:tcBorders>
                  <w:vAlign w:val="center"/>
                </w:tcPr>
                <w:p w14:paraId="6602DF1F">
                  <w:pPr>
                    <w:pStyle w:val="41"/>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新增20名员工</w:t>
                  </w:r>
                </w:p>
              </w:tc>
              <w:tc>
                <w:tcPr>
                  <w:tcW w:w="2103" w:type="dxa"/>
                  <w:tcBorders>
                    <w:bottom w:val="single" w:color="auto" w:sz="4" w:space="0"/>
                  </w:tcBorders>
                  <w:vAlign w:val="center"/>
                </w:tcPr>
                <w:p w14:paraId="00588030">
                  <w:pPr>
                    <w:pStyle w:val="42"/>
                    <w:tabs>
                      <w:tab w:val="left" w:pos="7488"/>
                    </w:tabs>
                    <w:kinsoku/>
                    <w:adjustRightInd/>
                    <w:snapToGrid/>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1栋，3层框架结构，占地面积297.5m²,建筑面积为892.5m²</w:t>
                  </w:r>
                </w:p>
              </w:tc>
              <w:tc>
                <w:tcPr>
                  <w:tcW w:w="1004" w:type="dxa"/>
                  <w:tcBorders>
                    <w:bottom w:val="single" w:color="auto" w:sz="4" w:space="0"/>
                  </w:tcBorders>
                  <w:vAlign w:val="center"/>
                </w:tcPr>
                <w:p w14:paraId="2DD43949">
                  <w:pPr>
                    <w:pStyle w:val="42"/>
                    <w:tabs>
                      <w:tab w:val="left" w:pos="7488"/>
                    </w:tabs>
                    <w:kinsoku/>
                    <w:adjustRightInd/>
                    <w:snapToGrid/>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依托原有办公区，</w:t>
                  </w:r>
                </w:p>
                <w:p w14:paraId="4156ECA8">
                  <w:pPr>
                    <w:pStyle w:val="42"/>
                    <w:tabs>
                      <w:tab w:val="left" w:pos="7488"/>
                    </w:tabs>
                    <w:kinsoku/>
                    <w:adjustRightInd/>
                    <w:snapToGrid/>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新增20名员工</w:t>
                  </w:r>
                </w:p>
              </w:tc>
            </w:tr>
            <w:tr w14:paraId="181F73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jc w:val="center"/>
              </w:trPr>
              <w:tc>
                <w:tcPr>
                  <w:tcW w:w="493" w:type="dxa"/>
                  <w:vMerge w:val="restart"/>
                  <w:shd w:val="clear" w:color="auto" w:fill="auto"/>
                  <w:vAlign w:val="center"/>
                </w:tcPr>
                <w:p w14:paraId="3595BBDC">
                  <w:pPr>
                    <w:pStyle w:val="41"/>
                    <w:kinsoku/>
                    <w:jc w:val="center"/>
                    <w:rPr>
                      <w:rFonts w:hint="default" w:ascii="Times New Roman" w:hAnsi="Times New Roman" w:eastAsia="宋体" w:cs="Times New Roman"/>
                      <w:color w:val="000000" w:themeColor="text1"/>
                      <w:lang w:val="en-US" w:eastAsia="en-US"/>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储运工程</w:t>
                  </w:r>
                </w:p>
                <w:p w14:paraId="65C43FCA">
                  <w:pPr>
                    <w:pStyle w:val="41"/>
                    <w:kinsoku/>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766" w:type="dxa"/>
                  <w:tcBorders>
                    <w:bottom w:val="single" w:color="auto" w:sz="4" w:space="0"/>
                  </w:tcBorders>
                  <w:shd w:val="clear" w:color="auto" w:fill="auto"/>
                  <w:vAlign w:val="center"/>
                </w:tcPr>
                <w:p w14:paraId="09150B8A">
                  <w:pPr>
                    <w:pStyle w:val="41"/>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原料区</w:t>
                  </w:r>
                </w:p>
              </w:tc>
              <w:tc>
                <w:tcPr>
                  <w:tcW w:w="2178" w:type="dxa"/>
                  <w:tcBorders>
                    <w:bottom w:val="single" w:color="auto" w:sz="4" w:space="0"/>
                  </w:tcBorders>
                  <w:shd w:val="clear" w:color="auto" w:fill="auto"/>
                  <w:vAlign w:val="center"/>
                </w:tcPr>
                <w:p w14:paraId="3ED709BF">
                  <w:pPr>
                    <w:pStyle w:val="41"/>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1235" w:type="dxa"/>
                  <w:tcBorders>
                    <w:bottom w:val="single" w:color="auto" w:sz="4" w:space="0"/>
                  </w:tcBorders>
                  <w:shd w:val="clear" w:color="auto" w:fill="auto"/>
                  <w:vAlign w:val="center"/>
                </w:tcPr>
                <w:p w14:paraId="593A1752">
                  <w:pPr>
                    <w:pStyle w:val="41"/>
                    <w:kinsoku/>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位于1#厂房，生产车间</w:t>
                  </w:r>
                  <w:r>
                    <w:rPr>
                      <w:rFonts w:hint="default" w:ascii="Times New Roman" w:hAnsi="Times New Roman" w:eastAsia="宋体" w:cs="Times New Roman"/>
                      <w:color w:val="000000" w:themeColor="text1"/>
                      <w:lang w:val="en-US" w:eastAsia="zh-CN"/>
                      <w14:textFill>
                        <w14:solidFill>
                          <w14:schemeClr w14:val="tx1"/>
                        </w14:solidFill>
                      </w14:textFill>
                    </w:rPr>
                    <w:t>东南角</w:t>
                  </w:r>
                  <w:r>
                    <w:rPr>
                      <w:rFonts w:hint="default" w:ascii="Times New Roman" w:hAnsi="Times New Roman" w:eastAsia="宋体" w:cs="Times New Roman"/>
                      <w:color w:val="000000" w:themeColor="text1"/>
                      <w:lang w:eastAsia="zh-CN"/>
                      <w14:textFill>
                        <w14:solidFill>
                          <w14:schemeClr w14:val="tx1"/>
                        </w14:solidFill>
                      </w14:textFill>
                    </w:rPr>
                    <w:t>，主要用于</w:t>
                  </w:r>
                  <w:r>
                    <w:rPr>
                      <w:rFonts w:hint="default" w:ascii="Times New Roman" w:hAnsi="Times New Roman" w:eastAsia="宋体" w:cs="Times New Roman"/>
                      <w:color w:val="000000" w:themeColor="text1"/>
                      <w:lang w:val="en-US" w:eastAsia="zh-CN"/>
                      <w14:textFill>
                        <w14:solidFill>
                          <w14:schemeClr w14:val="tx1"/>
                        </w14:solidFill>
                      </w14:textFill>
                    </w:rPr>
                    <w:t>原料</w:t>
                  </w:r>
                  <w:r>
                    <w:rPr>
                      <w:rFonts w:hint="default" w:ascii="Times New Roman" w:hAnsi="Times New Roman" w:eastAsia="宋体" w:cs="Times New Roman"/>
                      <w:color w:val="000000" w:themeColor="text1"/>
                      <w:lang w:eastAsia="zh-CN"/>
                      <w14:textFill>
                        <w14:solidFill>
                          <w14:schemeClr w14:val="tx1"/>
                        </w14:solidFill>
                      </w14:textFill>
                    </w:rPr>
                    <w:t>的储存。</w:t>
                  </w:r>
                </w:p>
              </w:tc>
              <w:tc>
                <w:tcPr>
                  <w:tcW w:w="2103" w:type="dxa"/>
                  <w:tcBorders>
                    <w:bottom w:val="single" w:color="auto" w:sz="4" w:space="0"/>
                  </w:tcBorders>
                  <w:shd w:val="clear" w:color="auto" w:fill="auto"/>
                  <w:vAlign w:val="center"/>
                </w:tcPr>
                <w:p w14:paraId="1E59FD63">
                  <w:pPr>
                    <w:pStyle w:val="41"/>
                    <w:kinsoku/>
                    <w:ind w:firstLine="0" w:firstLineChars="0"/>
                    <w:jc w:val="center"/>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位于1#厂房，生产车间</w:t>
                  </w:r>
                  <w:r>
                    <w:rPr>
                      <w:rFonts w:hint="default" w:ascii="Times New Roman" w:hAnsi="Times New Roman" w:eastAsia="宋体" w:cs="Times New Roman"/>
                      <w:color w:val="000000" w:themeColor="text1"/>
                      <w:lang w:val="en-US" w:eastAsia="zh-CN"/>
                      <w14:textFill>
                        <w14:solidFill>
                          <w14:schemeClr w14:val="tx1"/>
                        </w14:solidFill>
                      </w14:textFill>
                    </w:rPr>
                    <w:t>东南角</w:t>
                  </w:r>
                  <w:r>
                    <w:rPr>
                      <w:rFonts w:hint="default" w:ascii="Times New Roman" w:hAnsi="Times New Roman" w:eastAsia="宋体" w:cs="Times New Roman"/>
                      <w:color w:val="000000" w:themeColor="text1"/>
                      <w:lang w:eastAsia="zh-CN"/>
                      <w14:textFill>
                        <w14:solidFill>
                          <w14:schemeClr w14:val="tx1"/>
                        </w14:solidFill>
                      </w14:textFill>
                    </w:rPr>
                    <w:t>，主要用于</w:t>
                  </w:r>
                  <w:r>
                    <w:rPr>
                      <w:rFonts w:hint="default" w:ascii="Times New Roman" w:hAnsi="Times New Roman" w:eastAsia="宋体" w:cs="Times New Roman"/>
                      <w:color w:val="000000" w:themeColor="text1"/>
                      <w:lang w:val="en-US" w:eastAsia="zh-CN"/>
                      <w14:textFill>
                        <w14:solidFill>
                          <w14:schemeClr w14:val="tx1"/>
                        </w14:solidFill>
                      </w14:textFill>
                    </w:rPr>
                    <w:t>原料</w:t>
                  </w:r>
                  <w:r>
                    <w:rPr>
                      <w:rFonts w:hint="default" w:ascii="Times New Roman" w:hAnsi="Times New Roman" w:eastAsia="宋体" w:cs="Times New Roman"/>
                      <w:color w:val="000000" w:themeColor="text1"/>
                      <w:lang w:eastAsia="zh-CN"/>
                      <w14:textFill>
                        <w14:solidFill>
                          <w14:schemeClr w14:val="tx1"/>
                        </w14:solidFill>
                      </w14:textFill>
                    </w:rPr>
                    <w:t>的储存。</w:t>
                  </w:r>
                </w:p>
              </w:tc>
              <w:tc>
                <w:tcPr>
                  <w:tcW w:w="1004" w:type="dxa"/>
                  <w:tcBorders>
                    <w:bottom w:val="single" w:color="auto" w:sz="4" w:space="0"/>
                  </w:tcBorders>
                  <w:vAlign w:val="center"/>
                </w:tcPr>
                <w:p w14:paraId="1DD5C6FF">
                  <w:pPr>
                    <w:pStyle w:val="41"/>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新增原料</w:t>
                  </w:r>
                  <w:r>
                    <w:rPr>
                      <w:rFonts w:hint="default" w:ascii="Times New Roman" w:hAnsi="Times New Roman" w:eastAsia="宋体" w:cs="Times New Roman"/>
                      <w:color w:val="000000" w:themeColor="text1"/>
                      <w:lang w:eastAsia="zh-CN"/>
                      <w14:textFill>
                        <w14:solidFill>
                          <w14:schemeClr w14:val="tx1"/>
                        </w14:solidFill>
                      </w14:textFill>
                    </w:rPr>
                    <w:t>储存</w:t>
                  </w:r>
                  <w:r>
                    <w:rPr>
                      <w:rFonts w:hint="default" w:ascii="Times New Roman" w:hAnsi="Times New Roman" w:eastAsia="宋体" w:cs="Times New Roman"/>
                      <w:color w:val="000000" w:themeColor="text1"/>
                      <w:lang w:val="en-US" w:eastAsia="zh-CN"/>
                      <w14:textFill>
                        <w14:solidFill>
                          <w14:schemeClr w14:val="tx1"/>
                        </w14:solidFill>
                      </w14:textFill>
                    </w:rPr>
                    <w:t>区</w:t>
                  </w:r>
                </w:p>
              </w:tc>
            </w:tr>
            <w:tr w14:paraId="11D88D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jc w:val="center"/>
              </w:trPr>
              <w:tc>
                <w:tcPr>
                  <w:tcW w:w="493" w:type="dxa"/>
                  <w:vMerge w:val="continue"/>
                  <w:vAlign w:val="center"/>
                </w:tcPr>
                <w:p w14:paraId="74C1C7A8">
                  <w:pPr>
                    <w:pStyle w:val="41"/>
                    <w:kinsoku/>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766" w:type="dxa"/>
                  <w:tcBorders>
                    <w:bottom w:val="single" w:color="auto" w:sz="4" w:space="0"/>
                  </w:tcBorders>
                  <w:shd w:val="clear" w:color="auto" w:fill="auto"/>
                  <w:vAlign w:val="center"/>
                </w:tcPr>
                <w:p w14:paraId="46D48CE2">
                  <w:pPr>
                    <w:pStyle w:val="41"/>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成品区</w:t>
                  </w:r>
                </w:p>
              </w:tc>
              <w:tc>
                <w:tcPr>
                  <w:tcW w:w="2178" w:type="dxa"/>
                  <w:tcBorders>
                    <w:bottom w:val="single" w:color="auto" w:sz="4" w:space="0"/>
                  </w:tcBorders>
                  <w:shd w:val="clear" w:color="auto" w:fill="auto"/>
                  <w:vAlign w:val="center"/>
                </w:tcPr>
                <w:p w14:paraId="0437D112">
                  <w:pPr>
                    <w:pStyle w:val="41"/>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1235" w:type="dxa"/>
                  <w:tcBorders>
                    <w:bottom w:val="single" w:color="auto" w:sz="4" w:space="0"/>
                  </w:tcBorders>
                  <w:shd w:val="clear" w:color="auto" w:fill="auto"/>
                  <w:vAlign w:val="center"/>
                </w:tcPr>
                <w:p w14:paraId="3CC33ADA">
                  <w:pPr>
                    <w:pStyle w:val="41"/>
                    <w:kinsoku/>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位于1#厂房，生产车间</w:t>
                  </w:r>
                  <w:r>
                    <w:rPr>
                      <w:rFonts w:hint="default" w:ascii="Times New Roman" w:hAnsi="Times New Roman" w:eastAsia="宋体" w:cs="Times New Roman"/>
                      <w:color w:val="000000" w:themeColor="text1"/>
                      <w:lang w:val="en-US" w:eastAsia="zh-CN"/>
                      <w14:textFill>
                        <w14:solidFill>
                          <w14:schemeClr w14:val="tx1"/>
                        </w14:solidFill>
                      </w14:textFill>
                    </w:rPr>
                    <w:t>东南角</w:t>
                  </w:r>
                  <w:r>
                    <w:rPr>
                      <w:rFonts w:hint="default" w:ascii="Times New Roman" w:hAnsi="Times New Roman" w:eastAsia="宋体" w:cs="Times New Roman"/>
                      <w:color w:val="000000" w:themeColor="text1"/>
                      <w:lang w:eastAsia="zh-CN"/>
                      <w14:textFill>
                        <w14:solidFill>
                          <w14:schemeClr w14:val="tx1"/>
                        </w14:solidFill>
                      </w14:textFill>
                    </w:rPr>
                    <w:t>，主要用于</w:t>
                  </w:r>
                  <w:r>
                    <w:rPr>
                      <w:rFonts w:hint="default" w:ascii="Times New Roman" w:hAnsi="Times New Roman" w:eastAsia="宋体" w:cs="Times New Roman"/>
                      <w:color w:val="000000" w:themeColor="text1"/>
                      <w:lang w:val="en-US" w:eastAsia="zh-CN"/>
                      <w14:textFill>
                        <w14:solidFill>
                          <w14:schemeClr w14:val="tx1"/>
                        </w14:solidFill>
                      </w14:textFill>
                    </w:rPr>
                    <w:t>成品</w:t>
                  </w:r>
                  <w:r>
                    <w:rPr>
                      <w:rFonts w:hint="default" w:ascii="Times New Roman" w:hAnsi="Times New Roman" w:eastAsia="宋体" w:cs="Times New Roman"/>
                      <w:color w:val="000000" w:themeColor="text1"/>
                      <w:lang w:eastAsia="zh-CN"/>
                      <w14:textFill>
                        <w14:solidFill>
                          <w14:schemeClr w14:val="tx1"/>
                        </w14:solidFill>
                      </w14:textFill>
                    </w:rPr>
                    <w:t>的储存。</w:t>
                  </w:r>
                </w:p>
              </w:tc>
              <w:tc>
                <w:tcPr>
                  <w:tcW w:w="2103" w:type="dxa"/>
                  <w:tcBorders>
                    <w:bottom w:val="single" w:color="auto" w:sz="4" w:space="0"/>
                  </w:tcBorders>
                  <w:shd w:val="clear" w:color="auto" w:fill="auto"/>
                  <w:vAlign w:val="center"/>
                </w:tcPr>
                <w:p w14:paraId="643F9CDD">
                  <w:pPr>
                    <w:pStyle w:val="41"/>
                    <w:kinsoku/>
                    <w:ind w:firstLine="0" w:firstLineChars="0"/>
                    <w:jc w:val="center"/>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位于1#厂房，生产车间</w:t>
                  </w:r>
                  <w:r>
                    <w:rPr>
                      <w:rFonts w:hint="default" w:ascii="Times New Roman" w:hAnsi="Times New Roman" w:eastAsia="宋体" w:cs="Times New Roman"/>
                      <w:color w:val="000000" w:themeColor="text1"/>
                      <w:lang w:val="en-US" w:eastAsia="zh-CN"/>
                      <w14:textFill>
                        <w14:solidFill>
                          <w14:schemeClr w14:val="tx1"/>
                        </w14:solidFill>
                      </w14:textFill>
                    </w:rPr>
                    <w:t>东南角</w:t>
                  </w:r>
                  <w:r>
                    <w:rPr>
                      <w:rFonts w:hint="default" w:ascii="Times New Roman" w:hAnsi="Times New Roman" w:eastAsia="宋体" w:cs="Times New Roman"/>
                      <w:color w:val="000000" w:themeColor="text1"/>
                      <w:lang w:eastAsia="zh-CN"/>
                      <w14:textFill>
                        <w14:solidFill>
                          <w14:schemeClr w14:val="tx1"/>
                        </w14:solidFill>
                      </w14:textFill>
                    </w:rPr>
                    <w:t>，主要用于</w:t>
                  </w:r>
                  <w:r>
                    <w:rPr>
                      <w:rFonts w:hint="default" w:ascii="Times New Roman" w:hAnsi="Times New Roman" w:eastAsia="宋体" w:cs="Times New Roman"/>
                      <w:color w:val="000000" w:themeColor="text1"/>
                      <w:lang w:val="en-US" w:eastAsia="zh-CN"/>
                      <w14:textFill>
                        <w14:solidFill>
                          <w14:schemeClr w14:val="tx1"/>
                        </w14:solidFill>
                      </w14:textFill>
                    </w:rPr>
                    <w:t>成品</w:t>
                  </w:r>
                  <w:r>
                    <w:rPr>
                      <w:rFonts w:hint="default" w:ascii="Times New Roman" w:hAnsi="Times New Roman" w:eastAsia="宋体" w:cs="Times New Roman"/>
                      <w:color w:val="000000" w:themeColor="text1"/>
                      <w:lang w:eastAsia="zh-CN"/>
                      <w14:textFill>
                        <w14:solidFill>
                          <w14:schemeClr w14:val="tx1"/>
                        </w14:solidFill>
                      </w14:textFill>
                    </w:rPr>
                    <w:t>的储存。</w:t>
                  </w:r>
                </w:p>
              </w:tc>
              <w:tc>
                <w:tcPr>
                  <w:tcW w:w="1004" w:type="dxa"/>
                  <w:tcBorders>
                    <w:bottom w:val="single" w:color="auto" w:sz="4" w:space="0"/>
                  </w:tcBorders>
                  <w:vAlign w:val="center"/>
                </w:tcPr>
                <w:p w14:paraId="152BD9E5">
                  <w:pPr>
                    <w:pStyle w:val="41"/>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新增成品</w:t>
                  </w:r>
                  <w:r>
                    <w:rPr>
                      <w:rFonts w:hint="default" w:ascii="Times New Roman" w:hAnsi="Times New Roman" w:eastAsia="宋体" w:cs="Times New Roman"/>
                      <w:color w:val="000000" w:themeColor="text1"/>
                      <w:lang w:eastAsia="zh-CN"/>
                      <w14:textFill>
                        <w14:solidFill>
                          <w14:schemeClr w14:val="tx1"/>
                        </w14:solidFill>
                      </w14:textFill>
                    </w:rPr>
                    <w:t>储存</w:t>
                  </w:r>
                  <w:r>
                    <w:rPr>
                      <w:rFonts w:hint="default" w:ascii="Times New Roman" w:hAnsi="Times New Roman" w:eastAsia="宋体" w:cs="Times New Roman"/>
                      <w:color w:val="000000" w:themeColor="text1"/>
                      <w:lang w:val="en-US" w:eastAsia="zh-CN"/>
                      <w14:textFill>
                        <w14:solidFill>
                          <w14:schemeClr w14:val="tx1"/>
                        </w14:solidFill>
                      </w14:textFill>
                    </w:rPr>
                    <w:t>区</w:t>
                  </w:r>
                </w:p>
              </w:tc>
            </w:tr>
            <w:tr w14:paraId="35972D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jc w:val="center"/>
              </w:trPr>
              <w:tc>
                <w:tcPr>
                  <w:tcW w:w="493" w:type="dxa"/>
                  <w:vMerge w:val="restart"/>
                  <w:vAlign w:val="center"/>
                </w:tcPr>
                <w:p w14:paraId="7609A4B9">
                  <w:pPr>
                    <w:pStyle w:val="41"/>
                    <w:kinsoku/>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公用工程</w:t>
                  </w:r>
                </w:p>
              </w:tc>
              <w:tc>
                <w:tcPr>
                  <w:tcW w:w="766" w:type="dxa"/>
                  <w:vAlign w:val="center"/>
                </w:tcPr>
                <w:p w14:paraId="6B0148D6">
                  <w:pPr>
                    <w:pStyle w:val="41"/>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供水工程</w:t>
                  </w:r>
                </w:p>
              </w:tc>
              <w:tc>
                <w:tcPr>
                  <w:tcW w:w="2178" w:type="dxa"/>
                  <w:shd w:val="clear" w:color="auto" w:fill="auto"/>
                  <w:vAlign w:val="center"/>
                </w:tcPr>
                <w:p w14:paraId="2B542EDB">
                  <w:pPr>
                    <w:pStyle w:val="41"/>
                    <w:kinsoku/>
                    <w:jc w:val="center"/>
                    <w:rPr>
                      <w:rFonts w:hint="default" w:ascii="Times New Roman" w:hAnsi="Times New Roman" w:eastAsia="宋体" w:cs="Times New Roman"/>
                      <w:color w:val="000000" w:themeColor="text1"/>
                      <w:lang w:val="en-US" w:eastAsia="en-US"/>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由市政给水管网提供，年用水量4500t/a</w:t>
                  </w:r>
                </w:p>
              </w:tc>
              <w:tc>
                <w:tcPr>
                  <w:tcW w:w="1235" w:type="dxa"/>
                  <w:vAlign w:val="center"/>
                </w:tcPr>
                <w:p w14:paraId="57965DCD">
                  <w:pPr>
                    <w:pStyle w:val="41"/>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新增</w:t>
                  </w:r>
                  <w:r>
                    <w:rPr>
                      <w:rFonts w:hint="default" w:ascii="Times New Roman" w:hAnsi="Times New Roman" w:eastAsia="宋体" w:cs="Times New Roman"/>
                      <w:color w:val="000000" w:themeColor="text1"/>
                      <w:lang w:eastAsia="zh-CN"/>
                      <w14:textFill>
                        <w14:solidFill>
                          <w14:schemeClr w14:val="tx1"/>
                        </w14:solidFill>
                      </w14:textFill>
                    </w:rPr>
                    <w:t>年用水量</w:t>
                  </w:r>
                  <w:r>
                    <w:rPr>
                      <w:rFonts w:hint="default" w:ascii="Times New Roman" w:hAnsi="Times New Roman" w:eastAsia="宋体" w:cs="Times New Roman"/>
                      <w:color w:val="000000" w:themeColor="text1"/>
                      <w:lang w:val="en-US" w:eastAsia="zh-CN"/>
                      <w14:textFill>
                        <w14:solidFill>
                          <w14:schemeClr w14:val="tx1"/>
                        </w14:solidFill>
                      </w14:textFill>
                    </w:rPr>
                    <w:t>572.4</w:t>
                  </w:r>
                  <w:r>
                    <w:rPr>
                      <w:rFonts w:hint="default" w:ascii="Times New Roman" w:hAnsi="Times New Roman" w:eastAsia="宋体" w:cs="Times New Roman"/>
                      <w:color w:val="000000" w:themeColor="text1"/>
                      <w:lang w:eastAsia="zh-CN"/>
                      <w14:textFill>
                        <w14:solidFill>
                          <w14:schemeClr w14:val="tx1"/>
                        </w14:solidFill>
                      </w14:textFill>
                    </w:rPr>
                    <w:t>t/a</w:t>
                  </w:r>
                </w:p>
              </w:tc>
              <w:tc>
                <w:tcPr>
                  <w:tcW w:w="2103" w:type="dxa"/>
                  <w:vAlign w:val="center"/>
                </w:tcPr>
                <w:p w14:paraId="6FFEE50D">
                  <w:pPr>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扩建后全厂70名员工，</w:t>
                  </w:r>
                  <w:r>
                    <w:rPr>
                      <w:rFonts w:hint="default" w:ascii="Times New Roman" w:hAnsi="Times New Roman" w:eastAsia="宋体" w:cs="Times New Roman"/>
                      <w:color w:val="000000" w:themeColor="text1"/>
                      <w:lang w:eastAsia="zh-CN"/>
                      <w14:textFill>
                        <w14:solidFill>
                          <w14:schemeClr w14:val="tx1"/>
                        </w14:solidFill>
                      </w14:textFill>
                    </w:rPr>
                    <w:t>由市政给水管网提供，年用水量</w:t>
                  </w:r>
                  <w:r>
                    <w:rPr>
                      <w:rFonts w:hint="default" w:ascii="Times New Roman" w:hAnsi="Times New Roman" w:eastAsia="宋体" w:cs="Times New Roman"/>
                      <w:color w:val="000000" w:themeColor="text1"/>
                      <w:lang w:val="en-US" w:eastAsia="zh-CN"/>
                      <w14:textFill>
                        <w14:solidFill>
                          <w14:schemeClr w14:val="tx1"/>
                        </w14:solidFill>
                      </w14:textFill>
                    </w:rPr>
                    <w:t>1772.4</w:t>
                  </w:r>
                  <w:r>
                    <w:rPr>
                      <w:rFonts w:hint="default" w:ascii="Times New Roman" w:hAnsi="Times New Roman" w:eastAsia="宋体" w:cs="Times New Roman"/>
                      <w:color w:val="000000" w:themeColor="text1"/>
                      <w:lang w:eastAsia="zh-CN"/>
                      <w14:textFill>
                        <w14:solidFill>
                          <w14:schemeClr w14:val="tx1"/>
                        </w14:solidFill>
                      </w14:textFill>
                    </w:rPr>
                    <w:t>t/a</w:t>
                  </w:r>
                </w:p>
              </w:tc>
              <w:tc>
                <w:tcPr>
                  <w:tcW w:w="1004" w:type="dxa"/>
                  <w:vAlign w:val="center"/>
                </w:tcPr>
                <w:p w14:paraId="1A260F95">
                  <w:pPr>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新增</w:t>
                  </w:r>
                  <w:r>
                    <w:rPr>
                      <w:rFonts w:hint="default" w:ascii="Times New Roman" w:hAnsi="Times New Roman" w:eastAsia="宋体" w:cs="Times New Roman"/>
                      <w:color w:val="000000" w:themeColor="text1"/>
                      <w:lang w:eastAsia="zh-CN"/>
                      <w14:textFill>
                        <w14:solidFill>
                          <w14:schemeClr w14:val="tx1"/>
                        </w14:solidFill>
                      </w14:textFill>
                    </w:rPr>
                    <w:t>年用水量</w:t>
                  </w:r>
                  <w:r>
                    <w:rPr>
                      <w:rFonts w:hint="default" w:ascii="Times New Roman" w:hAnsi="Times New Roman" w:eastAsia="宋体" w:cs="Times New Roman"/>
                      <w:color w:val="000000" w:themeColor="text1"/>
                      <w:lang w:val="en-US" w:eastAsia="zh-CN"/>
                      <w14:textFill>
                        <w14:solidFill>
                          <w14:schemeClr w14:val="tx1"/>
                        </w14:solidFill>
                      </w14:textFill>
                    </w:rPr>
                    <w:t>572.4</w:t>
                  </w:r>
                  <w:r>
                    <w:rPr>
                      <w:rFonts w:hint="default" w:ascii="Times New Roman" w:hAnsi="Times New Roman" w:eastAsia="宋体" w:cs="Times New Roman"/>
                      <w:color w:val="000000" w:themeColor="text1"/>
                      <w:lang w:eastAsia="zh-CN"/>
                      <w14:textFill>
                        <w14:solidFill>
                          <w14:schemeClr w14:val="tx1"/>
                        </w14:solidFill>
                      </w14:textFill>
                    </w:rPr>
                    <w:t>t/a</w:t>
                  </w:r>
                </w:p>
              </w:tc>
            </w:tr>
            <w:tr w14:paraId="0FC643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jc w:val="center"/>
              </w:trPr>
              <w:tc>
                <w:tcPr>
                  <w:tcW w:w="493" w:type="dxa"/>
                  <w:vMerge w:val="continue"/>
                  <w:vAlign w:val="center"/>
                </w:tcPr>
                <w:p w14:paraId="1CB57936">
                  <w:pPr>
                    <w:pStyle w:val="41"/>
                    <w:kinsoku/>
                    <w:jc w:val="center"/>
                    <w:rPr>
                      <w:rFonts w:hint="default" w:ascii="Times New Roman" w:hAnsi="Times New Roman" w:eastAsia="宋体" w:cs="Times New Roman"/>
                      <w:color w:val="000000" w:themeColor="text1"/>
                      <w14:textFill>
                        <w14:solidFill>
                          <w14:schemeClr w14:val="tx1"/>
                        </w14:solidFill>
                      </w14:textFill>
                    </w:rPr>
                  </w:pPr>
                </w:p>
              </w:tc>
              <w:tc>
                <w:tcPr>
                  <w:tcW w:w="766" w:type="dxa"/>
                  <w:vAlign w:val="center"/>
                </w:tcPr>
                <w:p w14:paraId="78F7C8DB">
                  <w:pPr>
                    <w:pStyle w:val="41"/>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排水工程</w:t>
                  </w:r>
                </w:p>
              </w:tc>
              <w:tc>
                <w:tcPr>
                  <w:tcW w:w="2178" w:type="dxa"/>
                  <w:shd w:val="clear" w:color="auto" w:fill="auto"/>
                  <w:vAlign w:val="center"/>
                </w:tcPr>
                <w:p w14:paraId="7F0DE71D">
                  <w:pPr>
                    <w:pStyle w:val="41"/>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项目采用雨污分流制，年排水量为4050t/a</w:t>
                  </w:r>
                </w:p>
              </w:tc>
              <w:tc>
                <w:tcPr>
                  <w:tcW w:w="1235" w:type="dxa"/>
                  <w:vAlign w:val="center"/>
                </w:tcPr>
                <w:p w14:paraId="69427CFF">
                  <w:pPr>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新增</w:t>
                  </w:r>
                  <w:r>
                    <w:rPr>
                      <w:rFonts w:hint="default" w:ascii="Times New Roman" w:hAnsi="Times New Roman" w:eastAsia="宋体" w:cs="Times New Roman"/>
                      <w:color w:val="000000" w:themeColor="text1"/>
                      <w:lang w:eastAsia="zh-CN"/>
                      <w14:textFill>
                        <w14:solidFill>
                          <w14:schemeClr w14:val="tx1"/>
                        </w14:solidFill>
                      </w14:textFill>
                    </w:rPr>
                    <w:t>年用排水量</w:t>
                  </w:r>
                  <w:r>
                    <w:rPr>
                      <w:rFonts w:hint="default" w:ascii="Times New Roman" w:hAnsi="Times New Roman" w:eastAsia="宋体" w:cs="Times New Roman"/>
                      <w:color w:val="000000" w:themeColor="text1"/>
                      <w:lang w:val="en-US" w:eastAsia="zh-CN"/>
                      <w14:textFill>
                        <w14:solidFill>
                          <w14:schemeClr w14:val="tx1"/>
                        </w14:solidFill>
                      </w14:textFill>
                    </w:rPr>
                    <w:t>336</w:t>
                  </w:r>
                  <w:r>
                    <w:rPr>
                      <w:rFonts w:hint="default" w:ascii="Times New Roman" w:hAnsi="Times New Roman" w:eastAsia="宋体" w:cs="Times New Roman"/>
                      <w:color w:val="000000" w:themeColor="text1"/>
                      <w:lang w:eastAsia="zh-CN"/>
                      <w14:textFill>
                        <w14:solidFill>
                          <w14:schemeClr w14:val="tx1"/>
                        </w14:solidFill>
                      </w14:textFill>
                    </w:rPr>
                    <w:t>t/a</w:t>
                  </w:r>
                </w:p>
              </w:tc>
              <w:tc>
                <w:tcPr>
                  <w:tcW w:w="2103" w:type="dxa"/>
                  <w:shd w:val="clear" w:color="auto" w:fill="auto"/>
                  <w:vAlign w:val="center"/>
                </w:tcPr>
                <w:p w14:paraId="2D21A50A">
                  <w:pPr>
                    <w:pStyle w:val="41"/>
                    <w:kinsoku/>
                    <w:ind w:firstLine="0" w:firstLineChars="0"/>
                    <w:jc w:val="center"/>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项目采用雨污分流制</w:t>
                  </w:r>
                </w:p>
              </w:tc>
              <w:tc>
                <w:tcPr>
                  <w:tcW w:w="1004" w:type="dxa"/>
                  <w:shd w:val="clear" w:color="auto" w:fill="auto"/>
                  <w:vAlign w:val="center"/>
                </w:tcPr>
                <w:p w14:paraId="1DF3E6AA">
                  <w:pPr>
                    <w:pStyle w:val="41"/>
                    <w:kinsoku/>
                    <w:ind w:firstLine="0" w:firstLineChars="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新增</w:t>
                  </w:r>
                  <w:r>
                    <w:rPr>
                      <w:rFonts w:hint="default" w:ascii="Times New Roman" w:hAnsi="Times New Roman" w:eastAsia="宋体" w:cs="Times New Roman"/>
                      <w:color w:val="000000" w:themeColor="text1"/>
                      <w:lang w:eastAsia="zh-CN"/>
                      <w14:textFill>
                        <w14:solidFill>
                          <w14:schemeClr w14:val="tx1"/>
                        </w14:solidFill>
                      </w14:textFill>
                    </w:rPr>
                    <w:t>年用排水量</w:t>
                  </w:r>
                  <w:r>
                    <w:rPr>
                      <w:rFonts w:hint="default" w:ascii="Times New Roman" w:hAnsi="Times New Roman" w:eastAsia="宋体" w:cs="Times New Roman"/>
                      <w:color w:val="000000" w:themeColor="text1"/>
                      <w:lang w:val="en-US" w:eastAsia="zh-CN"/>
                      <w14:textFill>
                        <w14:solidFill>
                          <w14:schemeClr w14:val="tx1"/>
                        </w14:solidFill>
                      </w14:textFill>
                    </w:rPr>
                    <w:t>336</w:t>
                  </w:r>
                  <w:r>
                    <w:rPr>
                      <w:rFonts w:hint="default" w:ascii="Times New Roman" w:hAnsi="Times New Roman" w:eastAsia="宋体" w:cs="Times New Roman"/>
                      <w:color w:val="000000" w:themeColor="text1"/>
                      <w:lang w:eastAsia="zh-CN"/>
                      <w14:textFill>
                        <w14:solidFill>
                          <w14:schemeClr w14:val="tx1"/>
                        </w14:solidFill>
                      </w14:textFill>
                    </w:rPr>
                    <w:t>t/a</w:t>
                  </w:r>
                </w:p>
              </w:tc>
            </w:tr>
            <w:tr w14:paraId="1F3B0D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jc w:val="center"/>
              </w:trPr>
              <w:tc>
                <w:tcPr>
                  <w:tcW w:w="493" w:type="dxa"/>
                  <w:vMerge w:val="continue"/>
                  <w:vAlign w:val="center"/>
                </w:tcPr>
                <w:p w14:paraId="55AAA25B">
                  <w:pPr>
                    <w:pStyle w:val="41"/>
                    <w:kinsoku/>
                    <w:jc w:val="center"/>
                    <w:rPr>
                      <w:rFonts w:hint="default" w:ascii="Times New Roman" w:hAnsi="Times New Roman" w:eastAsia="宋体" w:cs="Times New Roman"/>
                      <w:color w:val="000000" w:themeColor="text1"/>
                      <w14:textFill>
                        <w14:solidFill>
                          <w14:schemeClr w14:val="tx1"/>
                        </w14:solidFill>
                      </w14:textFill>
                    </w:rPr>
                  </w:pPr>
                </w:p>
              </w:tc>
              <w:tc>
                <w:tcPr>
                  <w:tcW w:w="766" w:type="dxa"/>
                  <w:vAlign w:val="center"/>
                </w:tcPr>
                <w:p w14:paraId="0E234F7C">
                  <w:pPr>
                    <w:pStyle w:val="41"/>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供电工程</w:t>
                  </w:r>
                </w:p>
              </w:tc>
              <w:tc>
                <w:tcPr>
                  <w:tcW w:w="2178" w:type="dxa"/>
                  <w:shd w:val="clear" w:color="auto" w:fill="auto"/>
                  <w:vAlign w:val="center"/>
                </w:tcPr>
                <w:p w14:paraId="16F43597">
                  <w:pPr>
                    <w:pStyle w:val="41"/>
                    <w:kinsoku/>
                    <w:jc w:val="center"/>
                    <w:rPr>
                      <w:rFonts w:hint="default" w:ascii="Times New Roman" w:hAnsi="Times New Roman" w:eastAsia="宋体" w:cs="Times New Roman"/>
                      <w:color w:val="000000" w:themeColor="text1"/>
                      <w:lang w:val="en-US" w:eastAsia="en-US"/>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由市政供电系统提供，年用电量约为25万kwh/a。</w:t>
                  </w:r>
                </w:p>
              </w:tc>
              <w:tc>
                <w:tcPr>
                  <w:tcW w:w="1235" w:type="dxa"/>
                  <w:vAlign w:val="center"/>
                </w:tcPr>
                <w:p w14:paraId="351AA249">
                  <w:pPr>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新增</w:t>
                  </w:r>
                  <w:r>
                    <w:rPr>
                      <w:rFonts w:hint="default" w:ascii="Times New Roman" w:hAnsi="Times New Roman" w:eastAsia="宋体" w:cs="Times New Roman"/>
                      <w:color w:val="000000" w:themeColor="text1"/>
                      <w:lang w:eastAsia="zh-CN"/>
                      <w14:textFill>
                        <w14:solidFill>
                          <w14:schemeClr w14:val="tx1"/>
                        </w14:solidFill>
                      </w14:textFill>
                    </w:rPr>
                    <w:t>年用</w:t>
                  </w:r>
                  <w:r>
                    <w:rPr>
                      <w:rFonts w:hint="default" w:ascii="Times New Roman" w:hAnsi="Times New Roman" w:eastAsia="宋体" w:cs="Times New Roman"/>
                      <w:color w:val="000000" w:themeColor="text1"/>
                      <w:lang w:val="en-US" w:eastAsia="zh-CN"/>
                      <w14:textFill>
                        <w14:solidFill>
                          <w14:schemeClr w14:val="tx1"/>
                        </w14:solidFill>
                      </w14:textFill>
                    </w:rPr>
                    <w:t>电</w:t>
                  </w:r>
                  <w:r>
                    <w:rPr>
                      <w:rFonts w:hint="default" w:ascii="Times New Roman" w:hAnsi="Times New Roman" w:eastAsia="宋体" w:cs="Times New Roman"/>
                      <w:color w:val="000000" w:themeColor="text1"/>
                      <w:lang w:eastAsia="zh-CN"/>
                      <w14:textFill>
                        <w14:solidFill>
                          <w14:schemeClr w14:val="tx1"/>
                        </w14:solidFill>
                      </w14:textFill>
                    </w:rPr>
                    <w:t>量万</w:t>
                  </w:r>
                  <w:r>
                    <w:rPr>
                      <w:rFonts w:hint="default" w:ascii="Times New Roman" w:hAnsi="Times New Roman" w:eastAsia="宋体" w:cs="Times New Roman"/>
                      <w:color w:val="000000" w:themeColor="text1"/>
                      <w:lang w:val="en-US" w:eastAsia="zh-CN"/>
                      <w14:textFill>
                        <w14:solidFill>
                          <w14:schemeClr w14:val="tx1"/>
                        </w14:solidFill>
                      </w14:textFill>
                    </w:rPr>
                    <w:t>33</w:t>
                  </w:r>
                  <w:r>
                    <w:rPr>
                      <w:rFonts w:hint="default" w:ascii="Times New Roman" w:hAnsi="Times New Roman" w:eastAsia="宋体" w:cs="Times New Roman"/>
                      <w:color w:val="000000" w:themeColor="text1"/>
                      <w:lang w:eastAsia="zh-CN"/>
                      <w14:textFill>
                        <w14:solidFill>
                          <w14:schemeClr w14:val="tx1"/>
                        </w14:solidFill>
                      </w14:textFill>
                    </w:rPr>
                    <w:t>kwh/a</w:t>
                  </w:r>
                </w:p>
              </w:tc>
              <w:tc>
                <w:tcPr>
                  <w:tcW w:w="2103" w:type="dxa"/>
                  <w:shd w:val="clear" w:color="auto" w:fill="auto"/>
                  <w:vAlign w:val="center"/>
                </w:tcPr>
                <w:p w14:paraId="16E4641C">
                  <w:pPr>
                    <w:pStyle w:val="41"/>
                    <w:kinsoku/>
                    <w:ind w:firstLine="0" w:firstLineChars="0"/>
                    <w:jc w:val="center"/>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由市政供电系统提供，年用电量约为</w:t>
                  </w:r>
                  <w:r>
                    <w:rPr>
                      <w:rFonts w:hint="default" w:ascii="Times New Roman" w:hAnsi="Times New Roman" w:eastAsia="宋体" w:cs="Times New Roman"/>
                      <w:color w:val="000000" w:themeColor="text1"/>
                      <w:lang w:val="en-US" w:eastAsia="zh-CN"/>
                      <w14:textFill>
                        <w14:solidFill>
                          <w14:schemeClr w14:val="tx1"/>
                        </w14:solidFill>
                      </w14:textFill>
                    </w:rPr>
                    <w:t>58</w:t>
                  </w:r>
                  <w:r>
                    <w:rPr>
                      <w:rFonts w:hint="default" w:ascii="Times New Roman" w:hAnsi="Times New Roman" w:eastAsia="宋体" w:cs="Times New Roman"/>
                      <w:color w:val="000000" w:themeColor="text1"/>
                      <w:lang w:eastAsia="zh-CN"/>
                      <w14:textFill>
                        <w14:solidFill>
                          <w14:schemeClr w14:val="tx1"/>
                        </w14:solidFill>
                      </w14:textFill>
                    </w:rPr>
                    <w:t>万kwh/a</w:t>
                  </w:r>
                </w:p>
              </w:tc>
              <w:tc>
                <w:tcPr>
                  <w:tcW w:w="1004" w:type="dxa"/>
                  <w:shd w:val="clear" w:color="auto" w:fill="auto"/>
                  <w:vAlign w:val="center"/>
                </w:tcPr>
                <w:p w14:paraId="0C4E02D3">
                  <w:pPr>
                    <w:pStyle w:val="41"/>
                    <w:kinsoku/>
                    <w:ind w:firstLine="0" w:firstLineChars="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新增</w:t>
                  </w:r>
                  <w:r>
                    <w:rPr>
                      <w:rFonts w:hint="default" w:ascii="Times New Roman" w:hAnsi="Times New Roman" w:eastAsia="宋体" w:cs="Times New Roman"/>
                      <w:color w:val="000000" w:themeColor="text1"/>
                      <w:lang w:eastAsia="zh-CN"/>
                      <w14:textFill>
                        <w14:solidFill>
                          <w14:schemeClr w14:val="tx1"/>
                        </w14:solidFill>
                      </w14:textFill>
                    </w:rPr>
                    <w:t>年用</w:t>
                  </w:r>
                  <w:r>
                    <w:rPr>
                      <w:rFonts w:hint="default" w:ascii="Times New Roman" w:hAnsi="Times New Roman" w:eastAsia="宋体" w:cs="Times New Roman"/>
                      <w:color w:val="000000" w:themeColor="text1"/>
                      <w:lang w:val="en-US" w:eastAsia="zh-CN"/>
                      <w14:textFill>
                        <w14:solidFill>
                          <w14:schemeClr w14:val="tx1"/>
                        </w14:solidFill>
                      </w14:textFill>
                    </w:rPr>
                    <w:t>电</w:t>
                  </w:r>
                  <w:r>
                    <w:rPr>
                      <w:rFonts w:hint="default" w:ascii="Times New Roman" w:hAnsi="Times New Roman" w:eastAsia="宋体" w:cs="Times New Roman"/>
                      <w:color w:val="000000" w:themeColor="text1"/>
                      <w:lang w:eastAsia="zh-CN"/>
                      <w14:textFill>
                        <w14:solidFill>
                          <w14:schemeClr w14:val="tx1"/>
                        </w14:solidFill>
                      </w14:textFill>
                    </w:rPr>
                    <w:t>量万</w:t>
                  </w:r>
                  <w:r>
                    <w:rPr>
                      <w:rFonts w:hint="default" w:ascii="Times New Roman" w:hAnsi="Times New Roman" w:eastAsia="宋体" w:cs="Times New Roman"/>
                      <w:color w:val="000000" w:themeColor="text1"/>
                      <w:lang w:val="en-US" w:eastAsia="zh-CN"/>
                      <w14:textFill>
                        <w14:solidFill>
                          <w14:schemeClr w14:val="tx1"/>
                        </w14:solidFill>
                      </w14:textFill>
                    </w:rPr>
                    <w:t>33</w:t>
                  </w:r>
                  <w:r>
                    <w:rPr>
                      <w:rFonts w:hint="default" w:ascii="Times New Roman" w:hAnsi="Times New Roman" w:eastAsia="宋体" w:cs="Times New Roman"/>
                      <w:color w:val="000000" w:themeColor="text1"/>
                      <w:lang w:eastAsia="zh-CN"/>
                      <w14:textFill>
                        <w14:solidFill>
                          <w14:schemeClr w14:val="tx1"/>
                        </w14:solidFill>
                      </w14:textFill>
                    </w:rPr>
                    <w:t>kwh/a</w:t>
                  </w:r>
                </w:p>
              </w:tc>
            </w:tr>
            <w:tr w14:paraId="1D260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jc w:val="center"/>
              </w:trPr>
              <w:tc>
                <w:tcPr>
                  <w:tcW w:w="493" w:type="dxa"/>
                  <w:vMerge w:val="restart"/>
                  <w:vAlign w:val="center"/>
                </w:tcPr>
                <w:p w14:paraId="32B740AF">
                  <w:pPr>
                    <w:pStyle w:val="41"/>
                    <w:kinsoku/>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环保工程</w:t>
                  </w:r>
                </w:p>
              </w:tc>
              <w:tc>
                <w:tcPr>
                  <w:tcW w:w="766" w:type="dxa"/>
                  <w:vMerge w:val="restart"/>
                  <w:vAlign w:val="center"/>
                </w:tcPr>
                <w:p w14:paraId="3B3943FB">
                  <w:pPr>
                    <w:pStyle w:val="41"/>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废气处理</w:t>
                  </w:r>
                </w:p>
              </w:tc>
              <w:tc>
                <w:tcPr>
                  <w:tcW w:w="2178" w:type="dxa"/>
                  <w:tcBorders>
                    <w:bottom w:val="single" w:color="auto" w:sz="4" w:space="0"/>
                  </w:tcBorders>
                  <w:shd w:val="clear" w:color="auto" w:fill="auto"/>
                  <w:vAlign w:val="center"/>
                </w:tcPr>
                <w:p w14:paraId="7EB84611">
                  <w:pPr>
                    <w:pStyle w:val="41"/>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有机废气采用一套集气系统+二级活性炭吸附装置进行收集处理后通过(编号G1)15m排气筒排放；集气效率为90%,风机风量为20000m³</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h。</w:t>
                  </w:r>
                </w:p>
              </w:tc>
              <w:tc>
                <w:tcPr>
                  <w:tcW w:w="1235" w:type="dxa"/>
                  <w:tcBorders>
                    <w:bottom w:val="single" w:color="auto" w:sz="4" w:space="0"/>
                  </w:tcBorders>
                  <w:vAlign w:val="center"/>
                </w:tcPr>
                <w:p w14:paraId="39D917A0">
                  <w:pPr>
                    <w:pStyle w:val="41"/>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2103" w:type="dxa"/>
                  <w:tcBorders>
                    <w:bottom w:val="single" w:color="auto" w:sz="4" w:space="0"/>
                  </w:tcBorders>
                  <w:vAlign w:val="center"/>
                </w:tcPr>
                <w:p w14:paraId="5677403B">
                  <w:pPr>
                    <w:kinsoku/>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2#厂房有机废气采用一套集气系统+二级活性炭吸附装置进行收集处理后通过15m排气筒排放</w:t>
                  </w:r>
                  <w:r>
                    <w:rPr>
                      <w:rFonts w:hint="default" w:ascii="Times New Roman" w:hAnsi="Times New Roman" w:eastAsia="宋体" w:cs="Times New Roman"/>
                      <w:color w:val="000000" w:themeColor="text1"/>
                      <w:lang w:val="en-US" w:eastAsia="zh-CN"/>
                      <w14:textFill>
                        <w14:solidFill>
                          <w14:schemeClr w14:val="tx1"/>
                        </w14:solidFill>
                      </w14:textFill>
                    </w:rPr>
                    <w:t>(DA001)</w:t>
                  </w:r>
                  <w:r>
                    <w:rPr>
                      <w:rFonts w:hint="default" w:ascii="Times New Roman" w:hAnsi="Times New Roman" w:eastAsia="宋体" w:cs="Times New Roman"/>
                      <w:color w:val="000000" w:themeColor="text1"/>
                      <w:lang w:eastAsia="zh-CN"/>
                      <w14:textFill>
                        <w14:solidFill>
                          <w14:schemeClr w14:val="tx1"/>
                        </w14:solidFill>
                      </w14:textFill>
                    </w:rPr>
                    <w:t>；集气效率为90%,风机风量为20000m³</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h。</w:t>
                  </w:r>
                </w:p>
              </w:tc>
              <w:tc>
                <w:tcPr>
                  <w:tcW w:w="1004" w:type="dxa"/>
                  <w:tcBorders>
                    <w:bottom w:val="single" w:color="auto" w:sz="4" w:space="0"/>
                  </w:tcBorders>
                  <w:vAlign w:val="center"/>
                </w:tcPr>
                <w:p w14:paraId="4C54B9E1">
                  <w:pPr>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无变化</w:t>
                  </w:r>
                </w:p>
              </w:tc>
            </w:tr>
            <w:tr w14:paraId="11A5FC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jc w:val="center"/>
              </w:trPr>
              <w:tc>
                <w:tcPr>
                  <w:tcW w:w="493" w:type="dxa"/>
                  <w:vMerge w:val="continue"/>
                  <w:vAlign w:val="center"/>
                </w:tcPr>
                <w:p w14:paraId="067B4862">
                  <w:pPr>
                    <w:pStyle w:val="41"/>
                    <w:kinsoku/>
                    <w:jc w:val="center"/>
                    <w:rPr>
                      <w:rFonts w:hint="default" w:ascii="Times New Roman" w:hAnsi="Times New Roman" w:eastAsia="宋体" w:cs="Times New Roman"/>
                      <w:color w:val="0000FF"/>
                    </w:rPr>
                  </w:pPr>
                </w:p>
              </w:tc>
              <w:tc>
                <w:tcPr>
                  <w:tcW w:w="766" w:type="dxa"/>
                  <w:vMerge w:val="continue"/>
                  <w:vAlign w:val="center"/>
                </w:tcPr>
                <w:p w14:paraId="29EC2F28">
                  <w:pPr>
                    <w:pStyle w:val="41"/>
                    <w:kinsoku/>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2178" w:type="dxa"/>
                  <w:tcBorders>
                    <w:bottom w:val="single" w:color="auto" w:sz="4" w:space="0"/>
                  </w:tcBorders>
                  <w:shd w:val="clear" w:color="auto" w:fill="auto"/>
                  <w:vAlign w:val="center"/>
                </w:tcPr>
                <w:p w14:paraId="51B77464">
                  <w:pPr>
                    <w:pStyle w:val="41"/>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1235" w:type="dxa"/>
                  <w:tcBorders>
                    <w:bottom w:val="single" w:color="auto" w:sz="4" w:space="0"/>
                  </w:tcBorders>
                  <w:vAlign w:val="center"/>
                </w:tcPr>
                <w:p w14:paraId="252997B5">
                  <w:pPr>
                    <w:pStyle w:val="41"/>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1#厂房，</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涂胶、烘干、复合废气</w:t>
                  </w:r>
                  <w:r>
                    <w:rPr>
                      <w:rFonts w:hint="default" w:ascii="Times New Roman" w:hAnsi="Times New Roman" w:eastAsia="宋体" w:cs="Times New Roman"/>
                      <w:color w:val="000000" w:themeColor="text1"/>
                      <w:lang w:eastAsia="zh-CN"/>
                      <w14:textFill>
                        <w14:solidFill>
                          <w14:schemeClr w14:val="tx1"/>
                        </w14:solidFill>
                      </w14:textFill>
                    </w:rPr>
                    <w:t>采用一套集气系统+二级活性炭吸附装置进行收集处理后通过15m排气筒排放（</w:t>
                  </w:r>
                  <w:r>
                    <w:rPr>
                      <w:rFonts w:hint="default" w:ascii="Times New Roman" w:hAnsi="Times New Roman" w:eastAsia="宋体" w:cs="Times New Roman"/>
                      <w:color w:val="000000" w:themeColor="text1"/>
                      <w:lang w:val="en-US" w:eastAsia="zh-CN"/>
                      <w14:textFill>
                        <w14:solidFill>
                          <w14:schemeClr w14:val="tx1"/>
                        </w14:solidFill>
                      </w14:textFill>
                    </w:rPr>
                    <w:t>DA003</w:t>
                  </w:r>
                  <w:r>
                    <w:rPr>
                      <w:rFonts w:hint="default" w:ascii="Times New Roman" w:hAnsi="Times New Roman" w:eastAsia="宋体" w:cs="Times New Roman"/>
                      <w:color w:val="000000" w:themeColor="text1"/>
                      <w:lang w:eastAsia="zh-CN"/>
                      <w14:textFill>
                        <w14:solidFill>
                          <w14:schemeClr w14:val="tx1"/>
                        </w14:solidFill>
                      </w14:textFill>
                    </w:rPr>
                    <w:t>）。</w:t>
                  </w:r>
                </w:p>
              </w:tc>
              <w:tc>
                <w:tcPr>
                  <w:tcW w:w="2103" w:type="dxa"/>
                  <w:tcBorders>
                    <w:bottom w:val="single" w:color="auto" w:sz="4" w:space="0"/>
                  </w:tcBorders>
                  <w:vAlign w:val="center"/>
                </w:tcPr>
                <w:p w14:paraId="024ED456">
                  <w:pPr>
                    <w:kinsoku/>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1#厂房，</w:t>
                  </w:r>
                  <w:r>
                    <w:rPr>
                      <w:rFonts w:hint="default" w:ascii="Times New Roman" w:hAnsi="Times New Roman" w:eastAsia="宋体" w:cs="Times New Roman"/>
                      <w:color w:val="000000" w:themeColor="text1"/>
                      <w:kern w:val="0"/>
                      <w:sz w:val="21"/>
                      <w:szCs w:val="21"/>
                      <w14:textFill>
                        <w14:solidFill>
                          <w14:schemeClr w14:val="tx1"/>
                        </w14:solidFill>
                      </w14:textFill>
                    </w:rPr>
                    <w:t>本项目</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涂胶、烘干、复合工序生产过程产生废气经集气罩收集后进入一套集气系统+水喷淋（TA003）+二级活性炭吸附装置（TA004）处理后由一根高为15米的排气筒排放(DA003)。</w:t>
                  </w:r>
                </w:p>
              </w:tc>
              <w:tc>
                <w:tcPr>
                  <w:tcW w:w="1004" w:type="dxa"/>
                  <w:tcBorders>
                    <w:bottom w:val="single" w:color="auto" w:sz="4" w:space="0"/>
                  </w:tcBorders>
                  <w:vAlign w:val="center"/>
                </w:tcPr>
                <w:p w14:paraId="3775D738">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新增一套废气处理措施</w:t>
                  </w:r>
                </w:p>
              </w:tc>
            </w:tr>
            <w:tr w14:paraId="6B70F6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5" w:hRule="atLeast"/>
                <w:jc w:val="center"/>
              </w:trPr>
              <w:tc>
                <w:tcPr>
                  <w:tcW w:w="493" w:type="dxa"/>
                  <w:vMerge w:val="continue"/>
                  <w:vAlign w:val="center"/>
                </w:tcPr>
                <w:p w14:paraId="63DEEB48">
                  <w:pPr>
                    <w:pStyle w:val="41"/>
                    <w:kinsoku/>
                    <w:jc w:val="center"/>
                    <w:rPr>
                      <w:rFonts w:hint="default" w:ascii="Times New Roman" w:hAnsi="Times New Roman" w:eastAsia="宋体" w:cs="Times New Roman"/>
                      <w:color w:val="0000FF"/>
                    </w:rPr>
                  </w:pPr>
                </w:p>
              </w:tc>
              <w:tc>
                <w:tcPr>
                  <w:tcW w:w="766" w:type="dxa"/>
                  <w:vMerge w:val="continue"/>
                  <w:vAlign w:val="center"/>
                </w:tcPr>
                <w:p w14:paraId="24722F6A">
                  <w:pPr>
                    <w:pStyle w:val="41"/>
                    <w:kinsoku/>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2178" w:type="dxa"/>
                  <w:tcBorders>
                    <w:top w:val="single" w:color="auto" w:sz="4" w:space="0"/>
                  </w:tcBorders>
                  <w:shd w:val="clear" w:color="auto" w:fill="auto"/>
                  <w:vAlign w:val="center"/>
                </w:tcPr>
                <w:p w14:paraId="49457C96">
                  <w:pPr>
                    <w:pStyle w:val="41"/>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食堂油烟采用1套静电除油烟装置+楼顶5m排气筒(编号G2)处理，油烟收集率为90%,静电除油烟装</w:t>
                  </w:r>
                </w:p>
                <w:p w14:paraId="1B027154">
                  <w:pPr>
                    <w:pStyle w:val="41"/>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置处理效率最低为60%,风量4000m³/h。</w:t>
                  </w:r>
                </w:p>
              </w:tc>
              <w:tc>
                <w:tcPr>
                  <w:tcW w:w="1235" w:type="dxa"/>
                  <w:tcBorders>
                    <w:top w:val="single" w:color="auto" w:sz="4" w:space="0"/>
                  </w:tcBorders>
                  <w:vAlign w:val="center"/>
                </w:tcPr>
                <w:p w14:paraId="2EC494F1">
                  <w:pPr>
                    <w:pStyle w:val="41"/>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2103" w:type="dxa"/>
                  <w:tcBorders>
                    <w:top w:val="single" w:color="auto" w:sz="4" w:space="0"/>
                  </w:tcBorders>
                  <w:vAlign w:val="center"/>
                </w:tcPr>
                <w:p w14:paraId="77D640E2">
                  <w:pPr>
                    <w:pStyle w:val="41"/>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食堂油烟采用1套静电除油烟装置+楼顶5m排气筒(</w:t>
                  </w:r>
                  <w:r>
                    <w:rPr>
                      <w:rFonts w:hint="default" w:ascii="Times New Roman" w:hAnsi="Times New Roman" w:eastAsia="宋体" w:cs="Times New Roman"/>
                      <w:color w:val="000000" w:themeColor="text1"/>
                      <w:lang w:val="en-US" w:eastAsia="zh-CN"/>
                      <w14:textFill>
                        <w14:solidFill>
                          <w14:schemeClr w14:val="tx1"/>
                        </w14:solidFill>
                      </w14:textFill>
                    </w:rPr>
                    <w:t>DA002</w:t>
                  </w:r>
                  <w:r>
                    <w:rPr>
                      <w:rFonts w:hint="default" w:ascii="Times New Roman" w:hAnsi="Times New Roman" w:eastAsia="宋体" w:cs="Times New Roman"/>
                      <w:color w:val="000000" w:themeColor="text1"/>
                      <w:lang w:eastAsia="zh-CN"/>
                      <w14:textFill>
                        <w14:solidFill>
                          <w14:schemeClr w14:val="tx1"/>
                        </w14:solidFill>
                      </w14:textFill>
                    </w:rPr>
                    <w:t>处理，油烟收集率为90%,静电除油烟装</w:t>
                  </w:r>
                </w:p>
                <w:p w14:paraId="3228F1C3">
                  <w:pPr>
                    <w:kinsoku/>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置处理效率最低为60%,风量4000m³/h</w:t>
                  </w:r>
                </w:p>
              </w:tc>
              <w:tc>
                <w:tcPr>
                  <w:tcW w:w="1004" w:type="dxa"/>
                  <w:tcBorders>
                    <w:top w:val="single" w:color="auto" w:sz="4" w:space="0"/>
                  </w:tcBorders>
                  <w:shd w:val="clear" w:color="auto" w:fill="auto"/>
                  <w:vAlign w:val="center"/>
                </w:tcPr>
                <w:p w14:paraId="454EC447">
                  <w:pPr>
                    <w:pStyle w:val="41"/>
                    <w:kinsoku/>
                    <w:ind w:firstLine="0" w:firstLineChars="0"/>
                    <w:jc w:val="center"/>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依托原有</w:t>
                  </w:r>
                  <w:r>
                    <w:rPr>
                      <w:rFonts w:hint="default" w:ascii="Times New Roman" w:hAnsi="Times New Roman" w:eastAsia="宋体" w:cs="Times New Roman"/>
                      <w:color w:val="000000" w:themeColor="text1"/>
                      <w:lang w:val="en-US" w:eastAsia="zh-CN"/>
                      <w14:textFill>
                        <w14:solidFill>
                          <w14:schemeClr w14:val="tx1"/>
                        </w14:solidFill>
                      </w14:textFill>
                    </w:rPr>
                    <w:t>,新增20名员工。</w:t>
                  </w:r>
                </w:p>
              </w:tc>
            </w:tr>
            <w:tr w14:paraId="3D0B7A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7" w:hRule="atLeast"/>
                <w:jc w:val="center"/>
              </w:trPr>
              <w:tc>
                <w:tcPr>
                  <w:tcW w:w="493" w:type="dxa"/>
                  <w:vMerge w:val="continue"/>
                  <w:vAlign w:val="center"/>
                </w:tcPr>
                <w:p w14:paraId="1B0D9B90">
                  <w:pPr>
                    <w:pStyle w:val="41"/>
                    <w:kinsoku/>
                    <w:jc w:val="center"/>
                    <w:rPr>
                      <w:rFonts w:hint="default" w:ascii="Times New Roman" w:hAnsi="Times New Roman" w:eastAsia="宋体" w:cs="Times New Roman"/>
                      <w:color w:val="0000FF"/>
                    </w:rPr>
                  </w:pPr>
                </w:p>
              </w:tc>
              <w:tc>
                <w:tcPr>
                  <w:tcW w:w="766" w:type="dxa"/>
                  <w:vAlign w:val="center"/>
                </w:tcPr>
                <w:p w14:paraId="52F2800C">
                  <w:pPr>
                    <w:pStyle w:val="41"/>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废水处理</w:t>
                  </w:r>
                </w:p>
              </w:tc>
              <w:tc>
                <w:tcPr>
                  <w:tcW w:w="2178" w:type="dxa"/>
                  <w:vAlign w:val="center"/>
                </w:tcPr>
                <w:p w14:paraId="2276FDAB">
                  <w:pPr>
                    <w:pStyle w:val="41"/>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本项目废水产生量为13.5m³/d(即4050)t/a,经隔油池、化粪池与处理后纳管，送埇桥区经济开发区污水处理厂集中处理。</w:t>
                  </w:r>
                </w:p>
              </w:tc>
              <w:tc>
                <w:tcPr>
                  <w:tcW w:w="1235" w:type="dxa"/>
                  <w:vAlign w:val="center"/>
                </w:tcPr>
                <w:p w14:paraId="467552BD">
                  <w:pPr>
                    <w:pStyle w:val="41"/>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w:t>
                  </w:r>
                  <w:r>
                    <w:rPr>
                      <w:rFonts w:hint="default" w:ascii="Times New Roman" w:hAnsi="Times New Roman" w:eastAsia="宋体" w:cs="Times New Roman"/>
                      <w:color w:val="000000" w:themeColor="text1"/>
                      <w:lang w:val="en-US" w:eastAsia="zh-CN"/>
                      <w14:textFill>
                        <w14:solidFill>
                          <w14:schemeClr w14:val="tx1"/>
                        </w14:solidFill>
                      </w14:textFill>
                    </w:rPr>
                    <w:t>新增</w:t>
                  </w:r>
                  <w:r>
                    <w:rPr>
                      <w:rFonts w:hint="default" w:ascii="Times New Roman" w:hAnsi="Times New Roman" w:eastAsia="宋体" w:cs="Times New Roman"/>
                      <w:color w:val="000000" w:themeColor="text1"/>
                      <w:lang w:eastAsia="zh-CN"/>
                      <w14:textFill>
                        <w14:solidFill>
                          <w14:schemeClr w14:val="tx1"/>
                        </w14:solidFill>
                      </w14:textFill>
                    </w:rPr>
                    <w:t>废水产生量为</w:t>
                  </w:r>
                  <w:r>
                    <w:rPr>
                      <w:rFonts w:hint="default" w:ascii="Times New Roman" w:hAnsi="Times New Roman" w:eastAsia="宋体" w:cs="Times New Roman"/>
                      <w:color w:val="000000" w:themeColor="text1"/>
                      <w:lang w:val="en-US" w:eastAsia="zh-CN"/>
                      <w14:textFill>
                        <w14:solidFill>
                          <w14:schemeClr w14:val="tx1"/>
                        </w14:solidFill>
                      </w14:textFill>
                    </w:rPr>
                    <w:t>1.4</w:t>
                  </w:r>
                  <w:r>
                    <w:rPr>
                      <w:rFonts w:hint="default" w:ascii="Times New Roman" w:hAnsi="Times New Roman" w:eastAsia="宋体" w:cs="Times New Roman"/>
                      <w:color w:val="000000" w:themeColor="text1"/>
                      <w:lang w:eastAsia="zh-CN"/>
                      <w14:textFill>
                        <w14:solidFill>
                          <w14:schemeClr w14:val="tx1"/>
                        </w14:solidFill>
                      </w14:textFill>
                    </w:rPr>
                    <w:t>m³/d(即</w:t>
                  </w:r>
                  <w:r>
                    <w:rPr>
                      <w:rFonts w:hint="default" w:ascii="Times New Roman" w:hAnsi="Times New Roman" w:eastAsia="宋体" w:cs="Times New Roman"/>
                      <w:color w:val="000000" w:themeColor="text1"/>
                      <w:lang w:val="en-US" w:eastAsia="zh-CN"/>
                      <w14:textFill>
                        <w14:solidFill>
                          <w14:schemeClr w14:val="tx1"/>
                        </w14:solidFill>
                      </w14:textFill>
                    </w:rPr>
                    <w:t>420</w:t>
                  </w:r>
                  <w:r>
                    <w:rPr>
                      <w:rFonts w:hint="default" w:ascii="Times New Roman" w:hAnsi="Times New Roman" w:eastAsia="宋体" w:cs="Times New Roman"/>
                      <w:color w:val="000000" w:themeColor="text1"/>
                      <w:lang w:eastAsia="zh-CN"/>
                      <w14:textFill>
                        <w14:solidFill>
                          <w14:schemeClr w14:val="tx1"/>
                        </w14:solidFill>
                      </w14:textFill>
                    </w:rPr>
                    <w:t>)t/a,经隔油池、化粪池与处理后纳管，送埇桥区经济开发区污水处理厂集中处理</w:t>
                  </w:r>
                </w:p>
              </w:tc>
              <w:tc>
                <w:tcPr>
                  <w:tcW w:w="2103" w:type="dxa"/>
                  <w:vAlign w:val="center"/>
                </w:tcPr>
                <w:p w14:paraId="0003665D">
                  <w:pPr>
                    <w:kinsoku/>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w:t>
                  </w:r>
                  <w:r>
                    <w:rPr>
                      <w:rFonts w:hint="default" w:ascii="Times New Roman" w:hAnsi="Times New Roman" w:eastAsia="宋体" w:cs="Times New Roman"/>
                      <w:color w:val="000000" w:themeColor="text1"/>
                      <w:lang w:val="en-US" w:eastAsia="zh-CN"/>
                      <w14:textFill>
                        <w14:solidFill>
                          <w14:schemeClr w14:val="tx1"/>
                        </w14:solidFill>
                      </w14:textFill>
                    </w:rPr>
                    <w:t>生活污水</w:t>
                  </w:r>
                  <w:r>
                    <w:rPr>
                      <w:rFonts w:hint="default" w:ascii="Times New Roman" w:hAnsi="Times New Roman" w:eastAsia="宋体" w:cs="Times New Roman"/>
                      <w:color w:val="000000" w:themeColor="text1"/>
                      <w:lang w:eastAsia="zh-CN"/>
                      <w14:textFill>
                        <w14:solidFill>
                          <w14:schemeClr w14:val="tx1"/>
                        </w14:solidFill>
                      </w14:textFill>
                    </w:rPr>
                    <w:t>经隔油池</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化粪池与处理后纳管，送埇桥区经济开发区污水处理厂集中处理。</w:t>
                  </w:r>
                </w:p>
              </w:tc>
              <w:tc>
                <w:tcPr>
                  <w:tcW w:w="1004" w:type="dxa"/>
                  <w:shd w:val="clear" w:color="auto" w:fill="auto"/>
                  <w:vAlign w:val="center"/>
                </w:tcPr>
                <w:p w14:paraId="011C7F1D">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依托原有</w:t>
                  </w:r>
                  <w:r>
                    <w:rPr>
                      <w:rFonts w:hint="default" w:ascii="Times New Roman" w:hAnsi="Times New Roman" w:eastAsia="宋体" w:cs="Times New Roman"/>
                      <w:color w:val="000000" w:themeColor="text1"/>
                      <w:lang w:val="en-US" w:eastAsia="zh-CN"/>
                      <w14:textFill>
                        <w14:solidFill>
                          <w14:schemeClr w14:val="tx1"/>
                        </w14:solidFill>
                      </w14:textFill>
                    </w:rPr>
                    <w:t>处理措施，项目新增</w:t>
                  </w:r>
                  <w:r>
                    <w:rPr>
                      <w:rFonts w:hint="default" w:ascii="Times New Roman" w:hAnsi="Times New Roman" w:eastAsia="宋体" w:cs="Times New Roman"/>
                      <w:color w:val="000000" w:themeColor="text1"/>
                      <w:lang w:eastAsia="zh-CN"/>
                      <w14:textFill>
                        <w14:solidFill>
                          <w14:schemeClr w14:val="tx1"/>
                        </w14:solidFill>
                      </w14:textFill>
                    </w:rPr>
                    <w:t>生活用水、保洁用水及</w:t>
                  </w:r>
                  <w:r>
                    <w:rPr>
                      <w:rFonts w:hint="default" w:ascii="Times New Roman" w:hAnsi="Times New Roman" w:eastAsia="宋体" w:cs="Times New Roman"/>
                      <w:color w:val="000000" w:themeColor="text1"/>
                      <w:lang w:val="en-US" w:eastAsia="zh-CN"/>
                      <w14:textFill>
                        <w14:solidFill>
                          <w14:schemeClr w14:val="tx1"/>
                        </w14:solidFill>
                      </w14:textFill>
                    </w:rPr>
                    <w:t>喷淋废水</w:t>
                  </w:r>
                  <w:r>
                    <w:rPr>
                      <w:rFonts w:hint="default" w:ascii="Times New Roman" w:hAnsi="Times New Roman" w:eastAsia="宋体" w:cs="Times New Roman"/>
                      <w:color w:val="000000" w:themeColor="text1"/>
                      <w:lang w:eastAsia="zh-CN"/>
                      <w14:textFill>
                        <w14:solidFill>
                          <w14:schemeClr w14:val="tx1"/>
                        </w14:solidFill>
                      </w14:textFill>
                    </w:rPr>
                    <w:t>。</w:t>
                  </w:r>
                </w:p>
              </w:tc>
            </w:tr>
            <w:tr w14:paraId="6466A9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 w:hRule="atLeast"/>
                <w:jc w:val="center"/>
              </w:trPr>
              <w:tc>
                <w:tcPr>
                  <w:tcW w:w="493" w:type="dxa"/>
                  <w:vMerge w:val="continue"/>
                  <w:vAlign w:val="center"/>
                </w:tcPr>
                <w:p w14:paraId="36101DF8">
                  <w:pPr>
                    <w:pStyle w:val="41"/>
                    <w:kinsoku/>
                    <w:jc w:val="center"/>
                    <w:rPr>
                      <w:rFonts w:hint="default" w:ascii="Times New Roman" w:hAnsi="Times New Roman" w:eastAsia="宋体" w:cs="Times New Roman"/>
                      <w:color w:val="0000FF"/>
                    </w:rPr>
                  </w:pPr>
                </w:p>
              </w:tc>
              <w:tc>
                <w:tcPr>
                  <w:tcW w:w="766" w:type="dxa"/>
                  <w:vMerge w:val="restart"/>
                  <w:vAlign w:val="center"/>
                </w:tcPr>
                <w:p w14:paraId="235A9627">
                  <w:pPr>
                    <w:pStyle w:val="41"/>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固体废物</w:t>
                  </w:r>
                </w:p>
              </w:tc>
              <w:tc>
                <w:tcPr>
                  <w:tcW w:w="2178" w:type="dxa"/>
                  <w:shd w:val="clear" w:color="auto" w:fill="auto"/>
                  <w:vAlign w:val="center"/>
                </w:tcPr>
                <w:p w14:paraId="653F0E96">
                  <w:pPr>
                    <w:pStyle w:val="41"/>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一般固废</w:t>
                  </w:r>
                  <w:r>
                    <w:rPr>
                      <w:rFonts w:hint="default" w:ascii="Times New Roman" w:hAnsi="Times New Roman" w:eastAsia="宋体" w:cs="Times New Roman"/>
                      <w:color w:val="000000" w:themeColor="text1"/>
                      <w:lang w:val="en-US" w:eastAsia="zh-CN"/>
                      <w14:textFill>
                        <w14:solidFill>
                          <w14:schemeClr w14:val="tx1"/>
                        </w14:solidFill>
                      </w14:textFill>
                    </w:rPr>
                    <w:t>暂存间</w:t>
                  </w:r>
                  <w:r>
                    <w:rPr>
                      <w:rFonts w:hint="default" w:ascii="Times New Roman" w:hAnsi="Times New Roman" w:eastAsia="宋体" w:cs="Times New Roman"/>
                      <w:color w:val="000000" w:themeColor="text1"/>
                      <w:lang w:eastAsia="zh-CN"/>
                      <w14:textFill>
                        <w14:solidFill>
                          <w14:schemeClr w14:val="tx1"/>
                        </w14:solidFill>
                      </w14:textFill>
                    </w:rPr>
                    <w:t>，存储面积为20平方米，收集外售。</w:t>
                  </w:r>
                </w:p>
              </w:tc>
              <w:tc>
                <w:tcPr>
                  <w:tcW w:w="1235" w:type="dxa"/>
                  <w:vAlign w:val="center"/>
                </w:tcPr>
                <w:p w14:paraId="3F1F8814">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2103" w:type="dxa"/>
                  <w:shd w:val="clear" w:color="auto" w:fill="auto"/>
                  <w:vAlign w:val="center"/>
                </w:tcPr>
                <w:p w14:paraId="5426FFAE">
                  <w:pPr>
                    <w:pStyle w:val="41"/>
                    <w:kinsoku/>
                    <w:ind w:firstLine="0" w:firstLineChars="0"/>
                    <w:jc w:val="center"/>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一般固废</w:t>
                  </w:r>
                  <w:r>
                    <w:rPr>
                      <w:rFonts w:hint="default" w:ascii="Times New Roman" w:hAnsi="Times New Roman" w:eastAsia="宋体" w:cs="Times New Roman"/>
                      <w:color w:val="000000" w:themeColor="text1"/>
                      <w:lang w:val="en-US" w:eastAsia="zh-CN"/>
                      <w14:textFill>
                        <w14:solidFill>
                          <w14:schemeClr w14:val="tx1"/>
                        </w14:solidFill>
                      </w14:textFill>
                    </w:rPr>
                    <w:t>暂存间</w:t>
                  </w:r>
                  <w:r>
                    <w:rPr>
                      <w:rFonts w:hint="default" w:ascii="Times New Roman" w:hAnsi="Times New Roman" w:eastAsia="宋体" w:cs="Times New Roman"/>
                      <w:color w:val="000000" w:themeColor="text1"/>
                      <w:lang w:eastAsia="zh-CN"/>
                      <w14:textFill>
                        <w14:solidFill>
                          <w14:schemeClr w14:val="tx1"/>
                        </w14:solidFill>
                      </w14:textFill>
                    </w:rPr>
                    <w:t>，存储面积为20平方米，收集外售</w:t>
                  </w:r>
                </w:p>
              </w:tc>
              <w:tc>
                <w:tcPr>
                  <w:tcW w:w="1004" w:type="dxa"/>
                  <w:shd w:val="clear" w:color="auto" w:fill="auto"/>
                  <w:vAlign w:val="center"/>
                </w:tcPr>
                <w:p w14:paraId="350C9D46">
                  <w:pPr>
                    <w:pStyle w:val="41"/>
                    <w:kinsoku/>
                    <w:ind w:firstLine="0" w:firstLineChars="0"/>
                    <w:jc w:val="center"/>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依托原有一般固废</w:t>
                  </w:r>
                  <w:r>
                    <w:rPr>
                      <w:rFonts w:hint="default" w:ascii="Times New Roman" w:hAnsi="Times New Roman" w:eastAsia="宋体" w:cs="Times New Roman"/>
                      <w:color w:val="000000" w:themeColor="text1"/>
                      <w:lang w:val="en-US" w:eastAsia="zh-CN"/>
                      <w14:textFill>
                        <w14:solidFill>
                          <w14:schemeClr w14:val="tx1"/>
                        </w14:solidFill>
                      </w14:textFill>
                    </w:rPr>
                    <w:t>暂存间</w:t>
                  </w:r>
                </w:p>
              </w:tc>
            </w:tr>
            <w:tr w14:paraId="2E334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 w:hRule="atLeast"/>
                <w:jc w:val="center"/>
              </w:trPr>
              <w:tc>
                <w:tcPr>
                  <w:tcW w:w="493" w:type="dxa"/>
                  <w:vMerge w:val="continue"/>
                  <w:vAlign w:val="center"/>
                </w:tcPr>
                <w:p w14:paraId="05D0E6E1">
                  <w:pPr>
                    <w:pStyle w:val="42"/>
                    <w:tabs>
                      <w:tab w:val="left" w:pos="7488"/>
                    </w:tabs>
                    <w:kinsoku/>
                    <w:adjustRightInd/>
                    <w:snapToGrid/>
                    <w:jc w:val="center"/>
                    <w:rPr>
                      <w:rFonts w:hint="default" w:ascii="Times New Roman" w:hAnsi="Times New Roman" w:eastAsia="宋体" w:cs="Times New Roman"/>
                      <w:color w:val="0000FF"/>
                    </w:rPr>
                  </w:pPr>
                </w:p>
              </w:tc>
              <w:tc>
                <w:tcPr>
                  <w:tcW w:w="766" w:type="dxa"/>
                  <w:vMerge w:val="continue"/>
                  <w:vAlign w:val="center"/>
                </w:tcPr>
                <w:p w14:paraId="013982BB">
                  <w:pPr>
                    <w:pStyle w:val="41"/>
                    <w:kinsoku/>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2178" w:type="dxa"/>
                  <w:shd w:val="clear" w:color="auto" w:fill="auto"/>
                  <w:vAlign w:val="center"/>
                </w:tcPr>
                <w:p w14:paraId="422D2A38">
                  <w:pPr>
                    <w:pStyle w:val="41"/>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生活垃圾交由环卫部门清运。</w:t>
                  </w:r>
                </w:p>
              </w:tc>
              <w:tc>
                <w:tcPr>
                  <w:tcW w:w="1235" w:type="dxa"/>
                  <w:vAlign w:val="center"/>
                </w:tcPr>
                <w:p w14:paraId="601A7D65">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新增20名员工</w:t>
                  </w:r>
                </w:p>
              </w:tc>
              <w:tc>
                <w:tcPr>
                  <w:tcW w:w="2103" w:type="dxa"/>
                  <w:shd w:val="clear" w:color="auto" w:fill="auto"/>
                  <w:vAlign w:val="center"/>
                </w:tcPr>
                <w:p w14:paraId="7B5761CB">
                  <w:pPr>
                    <w:pStyle w:val="41"/>
                    <w:kinsoku/>
                    <w:ind w:firstLine="0" w:firstLineChars="0"/>
                    <w:jc w:val="center"/>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生活垃圾交由环卫部门清运</w:t>
                  </w:r>
                </w:p>
              </w:tc>
              <w:tc>
                <w:tcPr>
                  <w:tcW w:w="1004" w:type="dxa"/>
                  <w:shd w:val="clear" w:color="auto" w:fill="auto"/>
                  <w:vAlign w:val="center"/>
                </w:tcPr>
                <w:p w14:paraId="14D78023">
                  <w:pPr>
                    <w:pStyle w:val="41"/>
                    <w:kinsoku/>
                    <w:ind w:firstLine="0" w:firstLineChars="0"/>
                    <w:jc w:val="center"/>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依托原有</w:t>
                  </w:r>
                </w:p>
              </w:tc>
            </w:tr>
            <w:tr w14:paraId="510BA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jc w:val="center"/>
              </w:trPr>
              <w:tc>
                <w:tcPr>
                  <w:tcW w:w="493" w:type="dxa"/>
                  <w:vMerge w:val="continue"/>
                  <w:vAlign w:val="center"/>
                </w:tcPr>
                <w:p w14:paraId="6F904D89">
                  <w:pPr>
                    <w:pStyle w:val="42"/>
                    <w:tabs>
                      <w:tab w:val="left" w:pos="7488"/>
                    </w:tabs>
                    <w:kinsoku/>
                    <w:adjustRightInd/>
                    <w:snapToGrid/>
                    <w:jc w:val="center"/>
                    <w:rPr>
                      <w:rFonts w:hint="default" w:ascii="Times New Roman" w:hAnsi="Times New Roman" w:eastAsia="宋体" w:cs="Times New Roman"/>
                      <w:color w:val="0000FF"/>
                      <w:lang w:eastAsia="zh-CN"/>
                    </w:rPr>
                  </w:pPr>
                </w:p>
              </w:tc>
              <w:tc>
                <w:tcPr>
                  <w:tcW w:w="766" w:type="dxa"/>
                  <w:vMerge w:val="continue"/>
                  <w:vAlign w:val="center"/>
                </w:tcPr>
                <w:p w14:paraId="6D339B14">
                  <w:pPr>
                    <w:pStyle w:val="41"/>
                    <w:kinsoku/>
                    <w:jc w:val="center"/>
                    <w:rPr>
                      <w:rFonts w:hint="default" w:ascii="Times New Roman" w:hAnsi="Times New Roman" w:eastAsia="宋体" w:cs="Times New Roman"/>
                      <w:color w:val="0000FF"/>
                      <w:lang w:eastAsia="zh-CN"/>
                    </w:rPr>
                  </w:pPr>
                </w:p>
              </w:tc>
              <w:tc>
                <w:tcPr>
                  <w:tcW w:w="2178" w:type="dxa"/>
                  <w:shd w:val="clear" w:color="auto" w:fill="auto"/>
                  <w:vAlign w:val="center"/>
                </w:tcPr>
                <w:p w14:paraId="74CCBC0C">
                  <w:pPr>
                    <w:pStyle w:val="41"/>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危险废物暂存间</w:t>
                  </w:r>
                  <w:r>
                    <w:rPr>
                      <w:rFonts w:hint="default" w:ascii="Times New Roman" w:hAnsi="Times New Roman" w:eastAsia="宋体" w:cs="Times New Roman"/>
                      <w:color w:val="000000" w:themeColor="text1"/>
                      <w:lang w:eastAsia="zh-CN"/>
                      <w14:textFill>
                        <w14:solidFill>
                          <w14:schemeClr w14:val="tx1"/>
                        </w14:solidFill>
                      </w14:textFill>
                    </w:rPr>
                    <w:t>存储面积为10平方米，(废UV灯管、废活性炭)委托有资质单位处置。</w:t>
                  </w:r>
                </w:p>
              </w:tc>
              <w:tc>
                <w:tcPr>
                  <w:tcW w:w="1235" w:type="dxa"/>
                  <w:vAlign w:val="center"/>
                </w:tcPr>
                <w:p w14:paraId="50E6F62D">
                  <w:pPr>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危险废物暂存间</w:t>
                  </w:r>
                  <w:r>
                    <w:rPr>
                      <w:rFonts w:hint="default" w:ascii="Times New Roman" w:hAnsi="Times New Roman" w:eastAsia="宋体" w:cs="Times New Roman"/>
                      <w:color w:val="000000" w:themeColor="text1"/>
                      <w:lang w:eastAsia="zh-CN"/>
                      <w14:textFill>
                        <w14:solidFill>
                          <w14:schemeClr w14:val="tx1"/>
                        </w14:solidFill>
                      </w14:textFill>
                    </w:rPr>
                    <w:t>存储面积为10平方米，(废活性炭、</w:t>
                  </w:r>
                  <w:r>
                    <w:rPr>
                      <w:rFonts w:hint="default" w:ascii="Times New Roman" w:hAnsi="Times New Roman" w:eastAsia="宋体" w:cs="Times New Roman"/>
                      <w:color w:val="000000" w:themeColor="text1"/>
                      <w:lang w:val="en-US" w:eastAsia="zh-CN"/>
                      <w14:textFill>
                        <w14:solidFill>
                          <w14:schemeClr w14:val="tx1"/>
                        </w14:solidFill>
                      </w14:textFill>
                    </w:rPr>
                    <w:t>喷淋废水、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废胶桶</w:t>
                  </w:r>
                  <w:r>
                    <w:rPr>
                      <w:rFonts w:hint="default" w:ascii="Times New Roman" w:hAnsi="Times New Roman" w:eastAsia="宋体" w:cs="Times New Roman"/>
                      <w:color w:val="000000" w:themeColor="text1"/>
                      <w:lang w:eastAsia="zh-CN"/>
                      <w14:textFill>
                        <w14:solidFill>
                          <w14:schemeClr w14:val="tx1"/>
                        </w14:solidFill>
                      </w14:textFill>
                    </w:rPr>
                    <w:t>)委托有资质单位处置。</w:t>
                  </w:r>
                </w:p>
              </w:tc>
              <w:tc>
                <w:tcPr>
                  <w:tcW w:w="2103" w:type="dxa"/>
                  <w:vAlign w:val="center"/>
                </w:tcPr>
                <w:p w14:paraId="7E777E2F">
                  <w:pPr>
                    <w:pStyle w:val="42"/>
                    <w:tabs>
                      <w:tab w:val="left" w:pos="7488"/>
                    </w:tabs>
                    <w:kinsoku/>
                    <w:adjustRightInd/>
                    <w:snapToGrid/>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危险废物暂存间</w:t>
                  </w:r>
                  <w:r>
                    <w:rPr>
                      <w:rFonts w:hint="default" w:ascii="Times New Roman" w:hAnsi="Times New Roman" w:eastAsia="宋体" w:cs="Times New Roman"/>
                      <w:color w:val="000000" w:themeColor="text1"/>
                      <w:lang w:eastAsia="zh-CN"/>
                      <w14:textFill>
                        <w14:solidFill>
                          <w14:schemeClr w14:val="tx1"/>
                        </w14:solidFill>
                      </w14:textFill>
                    </w:rPr>
                    <w:t>存储面积为</w:t>
                  </w:r>
                  <w:r>
                    <w:rPr>
                      <w:rFonts w:hint="default" w:ascii="Times New Roman" w:hAnsi="Times New Roman" w:eastAsia="宋体" w:cs="Times New Roman"/>
                      <w:color w:val="000000" w:themeColor="text1"/>
                      <w:lang w:val="en-US" w:eastAsia="zh-CN"/>
                      <w14:textFill>
                        <w14:solidFill>
                          <w14:schemeClr w14:val="tx1"/>
                        </w14:solidFill>
                      </w14:textFill>
                    </w:rPr>
                    <w:t>10</w:t>
                  </w:r>
                  <w:r>
                    <w:rPr>
                      <w:rFonts w:hint="default" w:ascii="Times New Roman" w:hAnsi="Times New Roman" w:eastAsia="宋体" w:cs="Times New Roman"/>
                      <w:color w:val="000000" w:themeColor="text1"/>
                      <w:lang w:eastAsia="zh-CN"/>
                      <w14:textFill>
                        <w14:solidFill>
                          <w14:schemeClr w14:val="tx1"/>
                        </w14:solidFill>
                      </w14:textFill>
                    </w:rPr>
                    <w:t>平方米，委托有资质单位处置。</w:t>
                  </w:r>
                </w:p>
              </w:tc>
              <w:tc>
                <w:tcPr>
                  <w:tcW w:w="1004" w:type="dxa"/>
                  <w:shd w:val="clear" w:color="auto" w:fill="auto"/>
                  <w:vAlign w:val="center"/>
                </w:tcPr>
                <w:p w14:paraId="0E723DA8">
                  <w:pPr>
                    <w:pStyle w:val="41"/>
                    <w:kinsoku/>
                    <w:ind w:firstLine="0" w:firstLineChars="0"/>
                    <w:jc w:val="center"/>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依托原有</w:t>
                  </w:r>
                  <w:r>
                    <w:rPr>
                      <w:rFonts w:hint="default" w:ascii="Times New Roman" w:hAnsi="Times New Roman" w:eastAsia="宋体" w:cs="Times New Roman"/>
                      <w:color w:val="000000" w:themeColor="text1"/>
                      <w:lang w:val="en-US" w:eastAsia="zh-CN"/>
                      <w14:textFill>
                        <w14:solidFill>
                          <w14:schemeClr w14:val="tx1"/>
                        </w14:solidFill>
                      </w14:textFill>
                    </w:rPr>
                    <w:t>危险废物暂存间，新增</w:t>
                  </w:r>
                  <w:r>
                    <w:rPr>
                      <w:rFonts w:hint="default" w:ascii="Times New Roman" w:hAnsi="Times New Roman" w:eastAsia="宋体" w:cs="Times New Roman"/>
                      <w:color w:val="000000" w:themeColor="text1"/>
                      <w:lang w:eastAsia="zh-CN"/>
                      <w14:textFill>
                        <w14:solidFill>
                          <w14:schemeClr w14:val="tx1"/>
                        </w14:solidFill>
                      </w14:textFill>
                    </w:rPr>
                    <w:t>废活性炭、</w:t>
                  </w:r>
                  <w:r>
                    <w:rPr>
                      <w:rFonts w:hint="default" w:ascii="Times New Roman" w:hAnsi="Times New Roman" w:eastAsia="宋体" w:cs="Times New Roman"/>
                      <w:color w:val="000000" w:themeColor="text1"/>
                      <w:lang w:val="en-US" w:eastAsia="zh-CN"/>
                      <w14:textFill>
                        <w14:solidFill>
                          <w14:schemeClr w14:val="tx1"/>
                        </w14:solidFill>
                      </w14:textFill>
                    </w:rPr>
                    <w:t>喷淋废水、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废胶桶危险废物</w:t>
                  </w:r>
                </w:p>
              </w:tc>
            </w:tr>
            <w:tr w14:paraId="29CC2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jc w:val="center"/>
              </w:trPr>
              <w:tc>
                <w:tcPr>
                  <w:tcW w:w="493" w:type="dxa"/>
                  <w:vMerge w:val="continue"/>
                  <w:vAlign w:val="center"/>
                </w:tcPr>
                <w:p w14:paraId="189D0135">
                  <w:pPr>
                    <w:pStyle w:val="41"/>
                    <w:kinsoku/>
                    <w:jc w:val="center"/>
                    <w:rPr>
                      <w:rFonts w:hint="default" w:ascii="Times New Roman" w:hAnsi="Times New Roman" w:eastAsia="宋体" w:cs="Times New Roman"/>
                      <w:color w:val="0000FF"/>
                    </w:rPr>
                  </w:pPr>
                </w:p>
              </w:tc>
              <w:tc>
                <w:tcPr>
                  <w:tcW w:w="766" w:type="dxa"/>
                  <w:vAlign w:val="center"/>
                </w:tcPr>
                <w:p w14:paraId="5A4417C2">
                  <w:pPr>
                    <w:pStyle w:val="41"/>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噪声</w:t>
                  </w:r>
                </w:p>
              </w:tc>
              <w:tc>
                <w:tcPr>
                  <w:tcW w:w="2178" w:type="dxa"/>
                  <w:vAlign w:val="center"/>
                </w:tcPr>
                <w:p w14:paraId="01504E96">
                  <w:pPr>
                    <w:pStyle w:val="41"/>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选用低噪声设备、合理布局生产车间，采取减震和隔声等措施。</w:t>
                  </w:r>
                </w:p>
              </w:tc>
              <w:tc>
                <w:tcPr>
                  <w:tcW w:w="1235" w:type="dxa"/>
                  <w:vAlign w:val="center"/>
                </w:tcPr>
                <w:p w14:paraId="00E3938F">
                  <w:pPr>
                    <w:kinsoku/>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选用低噪声设备、合理布局生产车间，采取减震和隔声等措施</w:t>
                  </w:r>
                </w:p>
              </w:tc>
              <w:tc>
                <w:tcPr>
                  <w:tcW w:w="2103" w:type="dxa"/>
                  <w:vAlign w:val="center"/>
                </w:tcPr>
                <w:p w14:paraId="5523664A">
                  <w:pPr>
                    <w:kinsoku/>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选用低噪声设备、合理布局生产车间，采取减震和隔声等措施</w:t>
                  </w:r>
                </w:p>
              </w:tc>
              <w:tc>
                <w:tcPr>
                  <w:tcW w:w="1004" w:type="dxa"/>
                  <w:vAlign w:val="center"/>
                </w:tcPr>
                <w:p w14:paraId="5DF21357">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新增生产设备</w:t>
                  </w:r>
                </w:p>
              </w:tc>
            </w:tr>
            <w:tr w14:paraId="6FA18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jc w:val="center"/>
              </w:trPr>
              <w:tc>
                <w:tcPr>
                  <w:tcW w:w="493" w:type="dxa"/>
                  <w:vMerge w:val="continue"/>
                  <w:vAlign w:val="center"/>
                </w:tcPr>
                <w:p w14:paraId="68235759">
                  <w:pPr>
                    <w:pStyle w:val="41"/>
                    <w:kinsoku/>
                    <w:jc w:val="center"/>
                    <w:rPr>
                      <w:rFonts w:hint="default" w:ascii="Times New Roman" w:hAnsi="Times New Roman" w:eastAsia="宋体" w:cs="Times New Roman"/>
                      <w:color w:val="0000FF"/>
                    </w:rPr>
                  </w:pPr>
                </w:p>
              </w:tc>
              <w:tc>
                <w:tcPr>
                  <w:tcW w:w="766" w:type="dxa"/>
                  <w:vAlign w:val="center"/>
                </w:tcPr>
                <w:p w14:paraId="2EDADECE">
                  <w:pPr>
                    <w:pStyle w:val="41"/>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土壤与地下水</w:t>
                  </w:r>
                </w:p>
              </w:tc>
              <w:tc>
                <w:tcPr>
                  <w:tcW w:w="2178" w:type="dxa"/>
                  <w:shd w:val="clear" w:color="auto" w:fill="auto"/>
                  <w:vAlign w:val="center"/>
                </w:tcPr>
                <w:p w14:paraId="1DA246C6">
                  <w:pPr>
                    <w:pStyle w:val="41"/>
                    <w:kinsoku/>
                    <w:ind w:firstLine="0" w:firstLineChars="0"/>
                    <w:jc w:val="center"/>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项目危废暂存间、化粪池区域为重点防渗区域采用抗渗混凝土（0.2m）+环氧树脂漆（1.5mm）进行重点防渗，使重点污染区各单元防渗层Mb≥1.5m，K≤1.0×10</w:t>
                  </w:r>
                  <w:r>
                    <w:rPr>
                      <w:rFonts w:hint="default" w:ascii="Times New Roman" w:hAnsi="Times New Roman" w:eastAsia="宋体" w:cs="Times New Roman"/>
                      <w:color w:val="000000" w:themeColor="text1"/>
                      <w:vertAlign w:val="superscript"/>
                      <w:lang w:eastAsia="zh-CN"/>
                      <w14:textFill>
                        <w14:solidFill>
                          <w14:schemeClr w14:val="tx1"/>
                        </w14:solidFill>
                      </w14:textFill>
                    </w:rPr>
                    <w:t>-7</w:t>
                  </w:r>
                  <w:r>
                    <w:rPr>
                      <w:rFonts w:hint="default" w:ascii="Times New Roman" w:hAnsi="Times New Roman" w:eastAsia="宋体" w:cs="Times New Roman"/>
                      <w:color w:val="000000" w:themeColor="text1"/>
                      <w:lang w:eastAsia="zh-CN"/>
                      <w14:textFill>
                        <w14:solidFill>
                          <w14:schemeClr w14:val="tx1"/>
                        </w14:solidFill>
                      </w14:textFill>
                    </w:rPr>
                    <w:t>cm/s；生产车间、一般固废暂存间为一般防渗区域采用环氧地坪进行一般防渗，使一般污染区各单元防渗层Mb≥6.0m，K≤1.0×10</w:t>
                  </w:r>
                  <w:r>
                    <w:rPr>
                      <w:rFonts w:hint="default" w:ascii="Times New Roman" w:hAnsi="Times New Roman" w:eastAsia="宋体" w:cs="Times New Roman"/>
                      <w:color w:val="000000" w:themeColor="text1"/>
                      <w:vertAlign w:val="superscript"/>
                      <w:lang w:eastAsia="zh-CN"/>
                      <w14:textFill>
                        <w14:solidFill>
                          <w14:schemeClr w14:val="tx1"/>
                        </w14:solidFill>
                      </w14:textFill>
                    </w:rPr>
                    <w:t>-7</w:t>
                  </w:r>
                  <w:r>
                    <w:rPr>
                      <w:rFonts w:hint="default" w:ascii="Times New Roman" w:hAnsi="Times New Roman" w:eastAsia="宋体" w:cs="Times New Roman"/>
                      <w:color w:val="000000" w:themeColor="text1"/>
                      <w:lang w:eastAsia="zh-CN"/>
                      <w14:textFill>
                        <w14:solidFill>
                          <w14:schemeClr w14:val="tx1"/>
                        </w14:solidFill>
                      </w14:textFill>
                    </w:rPr>
                    <w:t>cm/s。本项目危废暂存间还需设置导流沟、导流槽。</w:t>
                  </w:r>
                </w:p>
              </w:tc>
              <w:tc>
                <w:tcPr>
                  <w:tcW w:w="1235" w:type="dxa"/>
                  <w:shd w:val="clear" w:color="auto" w:fill="auto"/>
                  <w:vAlign w:val="center"/>
                </w:tcPr>
                <w:p w14:paraId="7581EDC6">
                  <w:pPr>
                    <w:pStyle w:val="41"/>
                    <w:kinsoku/>
                    <w:ind w:firstLine="0" w:firstLineChars="0"/>
                    <w:jc w:val="center"/>
                    <w:rPr>
                      <w:rFonts w:hint="default" w:ascii="Times New Roman" w:hAnsi="Times New Roman" w:eastAsia="宋体" w:cs="Times New Roman"/>
                      <w:snapToGrid w:val="0"/>
                      <w:color w:val="000000" w:themeColor="text1"/>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2103" w:type="dxa"/>
                  <w:shd w:val="clear" w:color="auto" w:fill="auto"/>
                  <w:vAlign w:val="center"/>
                </w:tcPr>
                <w:p w14:paraId="67738CAB">
                  <w:pPr>
                    <w:pStyle w:val="41"/>
                    <w:kinsoku/>
                    <w:ind w:firstLine="0" w:firstLineChars="0"/>
                    <w:jc w:val="center"/>
                    <w:rPr>
                      <w:rFonts w:hint="default" w:ascii="Times New Roman" w:hAnsi="Times New Roman" w:eastAsia="宋体" w:cs="Times New Roman"/>
                      <w:snapToGrid w:val="0"/>
                      <w:color w:val="000000" w:themeColor="text1"/>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项目危废暂存间、</w:t>
                  </w:r>
                  <w:r>
                    <w:rPr>
                      <w:rFonts w:hint="default" w:ascii="Times New Roman" w:hAnsi="Times New Roman" w:eastAsia="宋体" w:cs="Times New Roman"/>
                      <w:color w:val="000000" w:themeColor="text1"/>
                      <w:lang w:val="en-US" w:eastAsia="zh-CN"/>
                      <w14:textFill>
                        <w14:solidFill>
                          <w14:schemeClr w14:val="tx1"/>
                        </w14:solidFill>
                      </w14:textFill>
                    </w:rPr>
                    <w:t>废气处理措施区</w:t>
                  </w:r>
                  <w:r>
                    <w:rPr>
                      <w:rFonts w:hint="default" w:ascii="Times New Roman" w:hAnsi="Times New Roman" w:eastAsia="宋体" w:cs="Times New Roman"/>
                      <w:color w:val="000000" w:themeColor="text1"/>
                      <w:lang w:eastAsia="zh-CN"/>
                      <w14:textFill>
                        <w14:solidFill>
                          <w14:schemeClr w14:val="tx1"/>
                        </w14:solidFill>
                      </w14:textFill>
                    </w:rPr>
                    <w:t>域为重点防渗区域采用抗渗混凝土（0.2m）+环氧树脂漆（1.5mm）进行重点防渗，使重点污染区各单元防渗层Mb≥1.5m，K≤1.0×10</w:t>
                  </w:r>
                  <w:r>
                    <w:rPr>
                      <w:rFonts w:hint="default" w:ascii="Times New Roman" w:hAnsi="Times New Roman" w:eastAsia="宋体" w:cs="Times New Roman"/>
                      <w:color w:val="000000" w:themeColor="text1"/>
                      <w:vertAlign w:val="superscript"/>
                      <w:lang w:eastAsia="zh-CN"/>
                      <w14:textFill>
                        <w14:solidFill>
                          <w14:schemeClr w14:val="tx1"/>
                        </w14:solidFill>
                      </w14:textFill>
                    </w:rPr>
                    <w:t>-7</w:t>
                  </w:r>
                  <w:r>
                    <w:rPr>
                      <w:rFonts w:hint="default" w:ascii="Times New Roman" w:hAnsi="Times New Roman" w:eastAsia="宋体" w:cs="Times New Roman"/>
                      <w:color w:val="000000" w:themeColor="text1"/>
                      <w:lang w:eastAsia="zh-CN"/>
                      <w14:textFill>
                        <w14:solidFill>
                          <w14:schemeClr w14:val="tx1"/>
                        </w14:solidFill>
                      </w14:textFill>
                    </w:rPr>
                    <w:t>cm/s；生产车间、一般固废暂存间为一般防渗区域采用环氧地坪进行一般防渗，使一般污染区各单元防渗层Mb≥6.0m，K≤1.0×10</w:t>
                  </w:r>
                  <w:r>
                    <w:rPr>
                      <w:rFonts w:hint="default" w:ascii="Times New Roman" w:hAnsi="Times New Roman" w:eastAsia="宋体" w:cs="Times New Roman"/>
                      <w:color w:val="000000" w:themeColor="text1"/>
                      <w:vertAlign w:val="superscript"/>
                      <w:lang w:eastAsia="zh-CN"/>
                      <w14:textFill>
                        <w14:solidFill>
                          <w14:schemeClr w14:val="tx1"/>
                        </w14:solidFill>
                      </w14:textFill>
                    </w:rPr>
                    <w:t>-7</w:t>
                  </w:r>
                  <w:r>
                    <w:rPr>
                      <w:rFonts w:hint="default" w:ascii="Times New Roman" w:hAnsi="Times New Roman" w:eastAsia="宋体" w:cs="Times New Roman"/>
                      <w:color w:val="000000" w:themeColor="text1"/>
                      <w:lang w:eastAsia="zh-CN"/>
                      <w14:textFill>
                        <w14:solidFill>
                          <w14:schemeClr w14:val="tx1"/>
                        </w14:solidFill>
                      </w14:textFill>
                    </w:rPr>
                    <w:t>cm/s。本项目危废暂存间还需设置导流沟、导流槽。</w:t>
                  </w:r>
                </w:p>
              </w:tc>
              <w:tc>
                <w:tcPr>
                  <w:tcW w:w="1004" w:type="dxa"/>
                  <w:shd w:val="clear" w:color="auto" w:fill="auto"/>
                  <w:vAlign w:val="center"/>
                </w:tcPr>
                <w:p w14:paraId="637C68FC">
                  <w:pPr>
                    <w:pStyle w:val="41"/>
                    <w:kinsoku/>
                    <w:ind w:firstLine="0" w:firstLineChars="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lang w:val="en-US" w:eastAsia="zh-CN"/>
                    </w:rPr>
                    <w:t>依托厂区现有的措施</w:t>
                  </w:r>
                </w:p>
              </w:tc>
            </w:tr>
            <w:tr w14:paraId="1A1C72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jc w:val="center"/>
              </w:trPr>
              <w:tc>
                <w:tcPr>
                  <w:tcW w:w="493" w:type="dxa"/>
                  <w:vMerge w:val="continue"/>
                  <w:vAlign w:val="center"/>
                </w:tcPr>
                <w:p w14:paraId="4CCF4C72">
                  <w:pPr>
                    <w:pStyle w:val="41"/>
                    <w:kinsoku/>
                    <w:jc w:val="center"/>
                    <w:rPr>
                      <w:rFonts w:hint="default" w:ascii="Times New Roman" w:hAnsi="Times New Roman" w:eastAsia="宋体" w:cs="Times New Roman"/>
                      <w:color w:val="0000FF"/>
                    </w:rPr>
                  </w:pPr>
                </w:p>
              </w:tc>
              <w:tc>
                <w:tcPr>
                  <w:tcW w:w="766" w:type="dxa"/>
                  <w:vAlign w:val="center"/>
                </w:tcPr>
                <w:p w14:paraId="47B495F8">
                  <w:pPr>
                    <w:pStyle w:val="41"/>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环境风险防控</w:t>
                  </w:r>
                </w:p>
              </w:tc>
              <w:tc>
                <w:tcPr>
                  <w:tcW w:w="2178" w:type="dxa"/>
                  <w:shd w:val="clear" w:color="auto" w:fill="auto"/>
                  <w:vAlign w:val="center"/>
                </w:tcPr>
                <w:p w14:paraId="75EA1BCA">
                  <w:pPr>
                    <w:pStyle w:val="41"/>
                    <w:kinsoku/>
                    <w:ind w:firstLine="0" w:firstLineChars="0"/>
                    <w:jc w:val="center"/>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原辅料按相关要求贮存，明确贮存注意事项并要求专人负责看管。定期对生产设施、包装设施以及相应环保设施等进行安全状况检查，危废暂存间等应进行防渗、防泄漏措施；车间内配置相应的消防设备、设施、防毒、灭火物资等消防、安全设施；制定严格的运行操作规章制度，发生火灾、爆炸事故后，灭火的同时疏散周边无关人员；制定应急预案等。</w:t>
                  </w:r>
                </w:p>
              </w:tc>
              <w:tc>
                <w:tcPr>
                  <w:tcW w:w="1235" w:type="dxa"/>
                  <w:shd w:val="clear" w:color="auto" w:fill="auto"/>
                  <w:vAlign w:val="center"/>
                </w:tcPr>
                <w:p w14:paraId="31390646">
                  <w:pPr>
                    <w:pStyle w:val="41"/>
                    <w:kinsoku/>
                    <w:ind w:firstLine="0" w:firstLineChars="0"/>
                    <w:jc w:val="center"/>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w:t>
                  </w:r>
                </w:p>
              </w:tc>
              <w:tc>
                <w:tcPr>
                  <w:tcW w:w="2103" w:type="dxa"/>
                  <w:shd w:val="clear" w:color="auto" w:fill="auto"/>
                  <w:vAlign w:val="center"/>
                </w:tcPr>
                <w:p w14:paraId="3AC8FBAF">
                  <w:pPr>
                    <w:pStyle w:val="41"/>
                    <w:kinsoku/>
                    <w:ind w:firstLine="0" w:firstLineChars="0"/>
                    <w:jc w:val="center"/>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原辅料按相关要求贮存，明确贮存注意事项并要求专人负责看管。定期对生产设施、包装设施以及相应环保设施等进行安全状况检查，危废暂存间等应进行防渗、防泄漏措施；车间内配置相应的消防设备、设施、防毒、灭火物资等消防、安全设施；制定严格的运行操作规章制度，发生火灾、爆炸事故后，灭火的同时疏散周边无关人员；制定应急预案等</w:t>
                  </w:r>
                </w:p>
              </w:tc>
              <w:tc>
                <w:tcPr>
                  <w:tcW w:w="1004" w:type="dxa"/>
                  <w:shd w:val="clear" w:color="auto" w:fill="auto"/>
                  <w:vAlign w:val="center"/>
                </w:tcPr>
                <w:p w14:paraId="51B24AC5">
                  <w:pPr>
                    <w:pStyle w:val="41"/>
                    <w:kinsoku/>
                    <w:ind w:firstLine="0" w:firstLineChars="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依托厂区现有的措施</w:t>
                  </w:r>
                </w:p>
              </w:tc>
            </w:tr>
          </w:tbl>
          <w:p w14:paraId="2339738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14:textFill>
                  <w14:solidFill>
                    <w14:schemeClr w14:val="tx1"/>
                  </w14:solidFill>
                </w14:textFill>
              </w:rPr>
              <w:t>项目主要产品及产能</w:t>
            </w:r>
          </w:p>
          <w:p w14:paraId="6E11FBF3">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color w:val="000000" w:themeColor="text1"/>
                <w:sz w:val="24"/>
                <w:szCs w:val="24"/>
                <w:lang w:eastAsia="zh-CN"/>
                <w14:textFill>
                  <w14:solidFill>
                    <w14:schemeClr w14:val="tx1"/>
                  </w14:solidFill>
                </w14:textFill>
              </w:rPr>
            </w:pPr>
            <w:r>
              <w:rPr>
                <w:rFonts w:hint="default" w:ascii="Times New Roman" w:hAnsi="Times New Roman" w:eastAsia="宋体" w:cs="Times New Roman"/>
                <w:b/>
                <w:color w:val="000000" w:themeColor="text1"/>
                <w:sz w:val="24"/>
                <w:szCs w:val="24"/>
                <w:lang w:eastAsia="zh-CN"/>
                <w14:textFill>
                  <w14:solidFill>
                    <w14:schemeClr w14:val="tx1"/>
                  </w14:solidFill>
                </w14:textFill>
              </w:rPr>
              <w:t>表2-2 生产规模及产品方案一览表</w:t>
            </w:r>
          </w:p>
          <w:tbl>
            <w:tblPr>
              <w:tblStyle w:val="27"/>
              <w:tblW w:w="7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
              <w:gridCol w:w="877"/>
              <w:gridCol w:w="1094"/>
              <w:gridCol w:w="1029"/>
              <w:gridCol w:w="1030"/>
              <w:gridCol w:w="838"/>
              <w:gridCol w:w="853"/>
              <w:gridCol w:w="1749"/>
            </w:tblGrid>
            <w:tr w14:paraId="08113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exact"/>
                <w:jc w:val="center"/>
              </w:trPr>
              <w:tc>
                <w:tcPr>
                  <w:tcW w:w="507" w:type="dxa"/>
                  <w:vMerge w:val="restart"/>
                  <w:vAlign w:val="center"/>
                </w:tcPr>
                <w:p w14:paraId="2F586453">
                  <w:pPr>
                    <w:widowControl/>
                    <w:kinsoku/>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序号</w:t>
                  </w:r>
                </w:p>
              </w:tc>
              <w:tc>
                <w:tcPr>
                  <w:tcW w:w="1971" w:type="dxa"/>
                  <w:gridSpan w:val="2"/>
                  <w:vMerge w:val="restart"/>
                  <w:vAlign w:val="center"/>
                </w:tcPr>
                <w:p w14:paraId="1F1F92C6">
                  <w:pPr>
                    <w:widowControl/>
                    <w:kinsoku/>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产品</w:t>
                  </w:r>
                </w:p>
              </w:tc>
              <w:tc>
                <w:tcPr>
                  <w:tcW w:w="2897" w:type="dxa"/>
                  <w:gridSpan w:val="3"/>
                  <w:vAlign w:val="center"/>
                </w:tcPr>
                <w:p w14:paraId="3D1CC6BD">
                  <w:pPr>
                    <w:widowControl/>
                    <w:kinsoku/>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数量</w:t>
                  </w:r>
                </w:p>
              </w:tc>
              <w:tc>
                <w:tcPr>
                  <w:tcW w:w="853" w:type="dxa"/>
                  <w:vMerge w:val="restart"/>
                  <w:vAlign w:val="top"/>
                </w:tcPr>
                <w:p w14:paraId="1CC6C36A">
                  <w:pPr>
                    <w:widowControl/>
                    <w:kinsoku/>
                    <w:jc w:val="center"/>
                    <w:rPr>
                      <w:rFonts w:hint="default" w:ascii="Times New Roman" w:hAnsi="Times New Roman" w:eastAsia="宋体" w:cs="Times New Roman"/>
                      <w:b/>
                      <w:bCs/>
                      <w:color w:val="000000" w:themeColor="text1"/>
                      <w:lang w:eastAsia="zh-CN"/>
                      <w14:textFill>
                        <w14:solidFill>
                          <w14:schemeClr w14:val="tx1"/>
                        </w14:solidFill>
                      </w14:textFill>
                    </w:rPr>
                  </w:pPr>
                </w:p>
                <w:p w14:paraId="7407EC55">
                  <w:pPr>
                    <w:widowControl/>
                    <w:kinsoku/>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单位</w:t>
                  </w:r>
                </w:p>
              </w:tc>
              <w:tc>
                <w:tcPr>
                  <w:tcW w:w="1749" w:type="dxa"/>
                  <w:vMerge w:val="restart"/>
                  <w:vAlign w:val="top"/>
                </w:tcPr>
                <w:p w14:paraId="2BCA3ED0">
                  <w:pPr>
                    <w:widowControl/>
                    <w:kinsoku/>
                    <w:jc w:val="center"/>
                    <w:rPr>
                      <w:rFonts w:hint="default" w:ascii="Times New Roman" w:hAnsi="Times New Roman" w:eastAsia="宋体" w:cs="Times New Roman"/>
                      <w:b/>
                      <w:bCs/>
                      <w:color w:val="000000" w:themeColor="text1"/>
                      <w:lang w:eastAsia="zh-CN"/>
                      <w14:textFill>
                        <w14:solidFill>
                          <w14:schemeClr w14:val="tx1"/>
                        </w14:solidFill>
                      </w14:textFill>
                    </w:rPr>
                  </w:pPr>
                </w:p>
                <w:p w14:paraId="5DE7F38B">
                  <w:pPr>
                    <w:widowControl/>
                    <w:kinsoku/>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规格</w:t>
                  </w:r>
                </w:p>
              </w:tc>
            </w:tr>
            <w:tr w14:paraId="4605C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exact"/>
                <w:jc w:val="center"/>
              </w:trPr>
              <w:tc>
                <w:tcPr>
                  <w:tcW w:w="507" w:type="dxa"/>
                  <w:vMerge w:val="continue"/>
                  <w:vAlign w:val="center"/>
                </w:tcPr>
                <w:p w14:paraId="1696122A">
                  <w:pPr>
                    <w:widowControl/>
                    <w:kinsoku/>
                    <w:jc w:val="center"/>
                    <w:rPr>
                      <w:rFonts w:hint="default" w:ascii="Times New Roman" w:hAnsi="Times New Roman" w:eastAsia="宋体" w:cs="Times New Roman"/>
                      <w:b/>
                      <w:bCs/>
                      <w:color w:val="000000" w:themeColor="text1"/>
                      <w:lang w:eastAsia="zh-CN"/>
                      <w14:textFill>
                        <w14:solidFill>
                          <w14:schemeClr w14:val="tx1"/>
                        </w14:solidFill>
                      </w14:textFill>
                    </w:rPr>
                  </w:pPr>
                </w:p>
              </w:tc>
              <w:tc>
                <w:tcPr>
                  <w:tcW w:w="1971" w:type="dxa"/>
                  <w:gridSpan w:val="2"/>
                  <w:vMerge w:val="continue"/>
                  <w:vAlign w:val="center"/>
                </w:tcPr>
                <w:p w14:paraId="164395D9">
                  <w:pPr>
                    <w:widowControl/>
                    <w:kinsoku/>
                    <w:jc w:val="center"/>
                    <w:rPr>
                      <w:rFonts w:hint="default" w:ascii="Times New Roman" w:hAnsi="Times New Roman" w:eastAsia="宋体" w:cs="Times New Roman"/>
                      <w:b/>
                      <w:bCs/>
                      <w:color w:val="000000" w:themeColor="text1"/>
                      <w:lang w:eastAsia="zh-CN"/>
                      <w14:textFill>
                        <w14:solidFill>
                          <w14:schemeClr w14:val="tx1"/>
                        </w14:solidFill>
                      </w14:textFill>
                    </w:rPr>
                  </w:pPr>
                </w:p>
              </w:tc>
              <w:tc>
                <w:tcPr>
                  <w:tcW w:w="1029" w:type="dxa"/>
                  <w:vAlign w:val="top"/>
                </w:tcPr>
                <w:p w14:paraId="39D86F56">
                  <w:pPr>
                    <w:widowControl/>
                    <w:kinsoku/>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扩建前</w:t>
                  </w:r>
                </w:p>
              </w:tc>
              <w:tc>
                <w:tcPr>
                  <w:tcW w:w="1030" w:type="dxa"/>
                  <w:vAlign w:val="top"/>
                </w:tcPr>
                <w:p w14:paraId="3F34175A">
                  <w:pPr>
                    <w:widowControl/>
                    <w:kinsoku/>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扩建后</w:t>
                  </w:r>
                </w:p>
              </w:tc>
              <w:tc>
                <w:tcPr>
                  <w:tcW w:w="838" w:type="dxa"/>
                  <w:vAlign w:val="top"/>
                </w:tcPr>
                <w:p w14:paraId="20A017ED">
                  <w:pPr>
                    <w:widowControl/>
                    <w:kinsoku/>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变化量</w:t>
                  </w:r>
                </w:p>
              </w:tc>
              <w:tc>
                <w:tcPr>
                  <w:tcW w:w="853" w:type="dxa"/>
                  <w:vMerge w:val="continue"/>
                  <w:vAlign w:val="center"/>
                </w:tcPr>
                <w:p w14:paraId="1EAAAD06">
                  <w:pPr>
                    <w:widowControl/>
                    <w:kinsoku/>
                    <w:jc w:val="center"/>
                    <w:rPr>
                      <w:rFonts w:hint="default" w:ascii="Times New Roman" w:hAnsi="Times New Roman" w:eastAsia="宋体" w:cs="Times New Roman"/>
                      <w:b/>
                      <w:bCs/>
                      <w:color w:val="000000" w:themeColor="text1"/>
                      <w:lang w:eastAsia="zh-CN"/>
                      <w14:textFill>
                        <w14:solidFill>
                          <w14:schemeClr w14:val="tx1"/>
                        </w14:solidFill>
                      </w14:textFill>
                    </w:rPr>
                  </w:pPr>
                </w:p>
              </w:tc>
              <w:tc>
                <w:tcPr>
                  <w:tcW w:w="1749" w:type="dxa"/>
                  <w:vMerge w:val="continue"/>
                  <w:vAlign w:val="center"/>
                </w:tcPr>
                <w:p w14:paraId="5909740D">
                  <w:pPr>
                    <w:widowControl/>
                    <w:kinsoku/>
                    <w:jc w:val="center"/>
                    <w:rPr>
                      <w:rFonts w:hint="default" w:ascii="Times New Roman" w:hAnsi="Times New Roman" w:eastAsia="宋体" w:cs="Times New Roman"/>
                      <w:b/>
                      <w:bCs/>
                      <w:color w:val="000000" w:themeColor="text1"/>
                      <w:lang w:eastAsia="zh-CN"/>
                      <w14:textFill>
                        <w14:solidFill>
                          <w14:schemeClr w14:val="tx1"/>
                        </w14:solidFill>
                      </w14:textFill>
                    </w:rPr>
                  </w:pPr>
                </w:p>
              </w:tc>
            </w:tr>
            <w:tr w14:paraId="7815E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exact"/>
                <w:jc w:val="center"/>
              </w:trPr>
              <w:tc>
                <w:tcPr>
                  <w:tcW w:w="507" w:type="dxa"/>
                  <w:vMerge w:val="restart"/>
                  <w:shd w:val="clear" w:color="auto" w:fill="auto"/>
                  <w:vAlign w:val="center"/>
                </w:tcPr>
                <w:p w14:paraId="63FF1CFF">
                  <w:pPr>
                    <w:pStyle w:val="41"/>
                    <w:widowControl w:val="0"/>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w:t>
                  </w:r>
                </w:p>
              </w:tc>
              <w:tc>
                <w:tcPr>
                  <w:tcW w:w="877" w:type="dxa"/>
                  <w:vMerge w:val="restart"/>
                  <w:shd w:val="clear" w:color="auto" w:fill="auto"/>
                  <w:vAlign w:val="center"/>
                </w:tcPr>
                <w:p w14:paraId="3BFB57AE">
                  <w:pPr>
                    <w:pStyle w:val="41"/>
                    <w:widowControl w:val="0"/>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铝箔复合膜</w:t>
                  </w:r>
                </w:p>
              </w:tc>
              <w:tc>
                <w:tcPr>
                  <w:tcW w:w="1094" w:type="dxa"/>
                  <w:shd w:val="clear" w:color="auto" w:fill="auto"/>
                  <w:vAlign w:val="center"/>
                </w:tcPr>
                <w:p w14:paraId="5EA616C4">
                  <w:pPr>
                    <w:pStyle w:val="41"/>
                    <w:widowControl w:val="0"/>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铝箔玻纤布贴面</w:t>
                  </w:r>
                </w:p>
              </w:tc>
              <w:tc>
                <w:tcPr>
                  <w:tcW w:w="1029" w:type="dxa"/>
                  <w:vMerge w:val="restart"/>
                  <w:shd w:val="clear" w:color="auto" w:fill="auto"/>
                  <w:vAlign w:val="center"/>
                </w:tcPr>
                <w:p w14:paraId="345F7DA3">
                  <w:pPr>
                    <w:pStyle w:val="41"/>
                    <w:widowControl w:val="0"/>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7500</w:t>
                  </w:r>
                </w:p>
              </w:tc>
              <w:tc>
                <w:tcPr>
                  <w:tcW w:w="1030" w:type="dxa"/>
                  <w:vMerge w:val="restart"/>
                  <w:vAlign w:val="center"/>
                </w:tcPr>
                <w:p w14:paraId="4E639E5F">
                  <w:pPr>
                    <w:pStyle w:val="41"/>
                    <w:widowControl w:val="0"/>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8000</w:t>
                  </w:r>
                </w:p>
              </w:tc>
              <w:tc>
                <w:tcPr>
                  <w:tcW w:w="838" w:type="dxa"/>
                  <w:shd w:val="clear" w:color="auto" w:fill="auto"/>
                  <w:vAlign w:val="center"/>
                </w:tcPr>
                <w:p w14:paraId="19CF2833">
                  <w:pPr>
                    <w:pStyle w:val="41"/>
                    <w:widowControl w:val="0"/>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+300</w:t>
                  </w:r>
                </w:p>
              </w:tc>
              <w:tc>
                <w:tcPr>
                  <w:tcW w:w="853" w:type="dxa"/>
                  <w:vMerge w:val="restart"/>
                  <w:vAlign w:val="center"/>
                </w:tcPr>
                <w:p w14:paraId="117847AD">
                  <w:pPr>
                    <w:widowControl w:val="0"/>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t>万m</w:t>
                  </w:r>
                  <w:r>
                    <w:rPr>
                      <w:rFonts w:hint="default" w:ascii="Times New Roman" w:hAnsi="Times New Roman" w:eastAsia="宋体" w:cs="Times New Roman"/>
                      <w:b w:val="0"/>
                      <w:bCs w:val="0"/>
                      <w:color w:val="000000" w:themeColor="text1"/>
                      <w:szCs w:val="21"/>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t>/a</w:t>
                  </w:r>
                </w:p>
              </w:tc>
              <w:tc>
                <w:tcPr>
                  <w:tcW w:w="1749" w:type="dxa"/>
                  <w:vMerge w:val="restart"/>
                  <w:vAlign w:val="center"/>
                </w:tcPr>
                <w:p w14:paraId="543F006E">
                  <w:pPr>
                    <w:pStyle w:val="41"/>
                    <w:widowControl w:val="0"/>
                    <w:kinsoku/>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50μm-90μm;</w:t>
                  </w:r>
                </w:p>
                <w:p w14:paraId="4462BAE1">
                  <w:pPr>
                    <w:pStyle w:val="41"/>
                    <w:widowControl w:val="0"/>
                    <w:kinsoku/>
                    <w:jc w:val="both"/>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100μm-150μm;150μm-250μm</w:t>
                  </w:r>
                </w:p>
              </w:tc>
            </w:tr>
            <w:tr w14:paraId="3BBF7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exact"/>
                <w:jc w:val="center"/>
              </w:trPr>
              <w:tc>
                <w:tcPr>
                  <w:tcW w:w="507" w:type="dxa"/>
                  <w:vMerge w:val="continue"/>
                  <w:shd w:val="clear" w:color="auto" w:fill="auto"/>
                  <w:vAlign w:val="center"/>
                </w:tcPr>
                <w:p w14:paraId="5E0B3370">
                  <w:pPr>
                    <w:pStyle w:val="41"/>
                    <w:widowControl w:val="0"/>
                    <w:kinsoku/>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877" w:type="dxa"/>
                  <w:vMerge w:val="continue"/>
                  <w:shd w:val="clear" w:color="auto" w:fill="auto"/>
                  <w:vAlign w:val="center"/>
                </w:tcPr>
                <w:p w14:paraId="5FCC794C">
                  <w:pPr>
                    <w:pStyle w:val="41"/>
                    <w:widowControl w:val="0"/>
                    <w:kinsoku/>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094" w:type="dxa"/>
                  <w:shd w:val="clear" w:color="auto" w:fill="auto"/>
                  <w:vAlign w:val="center"/>
                </w:tcPr>
                <w:p w14:paraId="12A4AA56">
                  <w:pPr>
                    <w:pStyle w:val="41"/>
                    <w:widowControl w:val="0"/>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铝箔复合膜贴面</w:t>
                  </w:r>
                </w:p>
              </w:tc>
              <w:tc>
                <w:tcPr>
                  <w:tcW w:w="1029" w:type="dxa"/>
                  <w:vMerge w:val="continue"/>
                  <w:shd w:val="clear" w:color="auto" w:fill="auto"/>
                  <w:vAlign w:val="center"/>
                </w:tcPr>
                <w:p w14:paraId="4251732B">
                  <w:pPr>
                    <w:pStyle w:val="41"/>
                    <w:widowControl w:val="0"/>
                    <w:kinsoku/>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030" w:type="dxa"/>
                  <w:vMerge w:val="continue"/>
                  <w:vAlign w:val="center"/>
                </w:tcPr>
                <w:p w14:paraId="4951677B">
                  <w:pPr>
                    <w:pStyle w:val="41"/>
                    <w:widowControl w:val="0"/>
                    <w:kinsoku/>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838" w:type="dxa"/>
                  <w:shd w:val="clear" w:color="auto" w:fill="auto"/>
                  <w:vAlign w:val="center"/>
                </w:tcPr>
                <w:p w14:paraId="5A0BFB03">
                  <w:pPr>
                    <w:pStyle w:val="41"/>
                    <w:widowControl w:val="0"/>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+200</w:t>
                  </w:r>
                </w:p>
              </w:tc>
              <w:tc>
                <w:tcPr>
                  <w:tcW w:w="853" w:type="dxa"/>
                  <w:vMerge w:val="continue"/>
                  <w:vAlign w:val="center"/>
                </w:tcPr>
                <w:p w14:paraId="34578520">
                  <w:pPr>
                    <w:widowControl w:val="0"/>
                    <w:kinsoku/>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1749" w:type="dxa"/>
                  <w:vMerge w:val="continue"/>
                  <w:vAlign w:val="center"/>
                </w:tcPr>
                <w:p w14:paraId="7352733C">
                  <w:pPr>
                    <w:pStyle w:val="41"/>
                    <w:widowControl w:val="0"/>
                    <w:kinsoku/>
                    <w:rPr>
                      <w:rFonts w:hint="default" w:ascii="Times New Roman" w:hAnsi="Times New Roman" w:eastAsia="宋体" w:cs="Times New Roman"/>
                      <w:color w:val="000000" w:themeColor="text1"/>
                      <w:spacing w:val="-2"/>
                      <w:sz w:val="20"/>
                      <w:szCs w:val="20"/>
                      <w14:textFill>
                        <w14:solidFill>
                          <w14:schemeClr w14:val="tx1"/>
                        </w14:solidFill>
                      </w14:textFill>
                    </w:rPr>
                  </w:pPr>
                </w:p>
              </w:tc>
            </w:tr>
            <w:tr w14:paraId="3A2F3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507" w:type="dxa"/>
                  <w:shd w:val="clear" w:color="auto" w:fill="auto"/>
                  <w:vAlign w:val="center"/>
                </w:tcPr>
                <w:p w14:paraId="620277FC">
                  <w:pPr>
                    <w:pStyle w:val="41"/>
                    <w:widowControl w:val="0"/>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2</w:t>
                  </w:r>
                </w:p>
              </w:tc>
              <w:tc>
                <w:tcPr>
                  <w:tcW w:w="1971" w:type="dxa"/>
                  <w:gridSpan w:val="2"/>
                  <w:shd w:val="clear" w:color="auto" w:fill="auto"/>
                  <w:vAlign w:val="center"/>
                </w:tcPr>
                <w:p w14:paraId="65BC4F0A">
                  <w:pPr>
                    <w:pStyle w:val="41"/>
                    <w:widowControl w:val="0"/>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牛皮纸加筋铝箔</w:t>
                  </w:r>
                </w:p>
              </w:tc>
              <w:tc>
                <w:tcPr>
                  <w:tcW w:w="1029" w:type="dxa"/>
                  <w:shd w:val="clear" w:color="auto" w:fill="auto"/>
                  <w:vAlign w:val="center"/>
                </w:tcPr>
                <w:p w14:paraId="6467635E">
                  <w:pPr>
                    <w:pStyle w:val="41"/>
                    <w:widowControl w:val="0"/>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7500</w:t>
                  </w:r>
                </w:p>
              </w:tc>
              <w:tc>
                <w:tcPr>
                  <w:tcW w:w="1030" w:type="dxa"/>
                  <w:vAlign w:val="center"/>
                </w:tcPr>
                <w:p w14:paraId="1E2E8C1F">
                  <w:pPr>
                    <w:pStyle w:val="41"/>
                    <w:widowControl w:val="0"/>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8000</w:t>
                  </w:r>
                </w:p>
              </w:tc>
              <w:tc>
                <w:tcPr>
                  <w:tcW w:w="838" w:type="dxa"/>
                  <w:vAlign w:val="center"/>
                </w:tcPr>
                <w:p w14:paraId="32A11E1C">
                  <w:pPr>
                    <w:pStyle w:val="41"/>
                    <w:widowControl w:val="0"/>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+500</w:t>
                  </w:r>
                </w:p>
              </w:tc>
              <w:tc>
                <w:tcPr>
                  <w:tcW w:w="853" w:type="dxa"/>
                  <w:vAlign w:val="center"/>
                </w:tcPr>
                <w:p w14:paraId="06170B7C">
                  <w:pPr>
                    <w:pStyle w:val="41"/>
                    <w:widowControl w:val="0"/>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t>万m</w:t>
                  </w:r>
                  <w:r>
                    <w:rPr>
                      <w:rFonts w:hint="default" w:ascii="Times New Roman" w:hAnsi="Times New Roman" w:eastAsia="宋体" w:cs="Times New Roman"/>
                      <w:b w:val="0"/>
                      <w:bCs w:val="0"/>
                      <w:color w:val="000000" w:themeColor="text1"/>
                      <w:szCs w:val="21"/>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t>/a</w:t>
                  </w:r>
                </w:p>
              </w:tc>
              <w:tc>
                <w:tcPr>
                  <w:tcW w:w="1749" w:type="dxa"/>
                  <w:vMerge w:val="continue"/>
                  <w:vAlign w:val="center"/>
                </w:tcPr>
                <w:p w14:paraId="3FD9845F">
                  <w:pPr>
                    <w:pStyle w:val="41"/>
                    <w:widowControl w:val="0"/>
                    <w:kinsoku/>
                    <w:rPr>
                      <w:rFonts w:hint="default" w:ascii="Times New Roman" w:hAnsi="Times New Roman" w:eastAsia="宋体" w:cs="Times New Roman"/>
                      <w:color w:val="000000" w:themeColor="text1"/>
                      <w:lang w:eastAsia="zh-CN"/>
                      <w14:textFill>
                        <w14:solidFill>
                          <w14:schemeClr w14:val="tx1"/>
                        </w14:solidFill>
                      </w14:textFill>
                    </w:rPr>
                  </w:pPr>
                </w:p>
              </w:tc>
            </w:tr>
          </w:tbl>
          <w:p w14:paraId="722B52BD">
            <w:pPr>
              <w:kinsoku/>
              <w:adjustRightInd/>
              <w:snapToGrid/>
              <w:spacing w:line="360" w:lineRule="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lang w:eastAsia="zh-CN"/>
              </w:rPr>
              <w:t>、原</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辅材料消耗</w:t>
            </w:r>
          </w:p>
          <w:p w14:paraId="03120ABC">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表2-</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 xml:space="preserve"> 原辅材料一览表</w:t>
            </w:r>
          </w:p>
          <w:tbl>
            <w:tblPr>
              <w:tblStyle w:val="27"/>
              <w:tblW w:w="79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
              <w:gridCol w:w="1318"/>
              <w:gridCol w:w="1044"/>
              <w:gridCol w:w="669"/>
              <w:gridCol w:w="755"/>
              <w:gridCol w:w="788"/>
              <w:gridCol w:w="971"/>
              <w:gridCol w:w="651"/>
              <w:gridCol w:w="651"/>
              <w:gridCol w:w="646"/>
            </w:tblGrid>
            <w:tr w14:paraId="33367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83" w:type="dxa"/>
                  <w:vMerge w:val="restart"/>
                  <w:vAlign w:val="center"/>
                </w:tcPr>
                <w:p w14:paraId="66327B54">
                  <w:pPr>
                    <w:widowControl w:val="0"/>
                    <w:kinsoku/>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类别</w:t>
                  </w:r>
                </w:p>
              </w:tc>
              <w:tc>
                <w:tcPr>
                  <w:tcW w:w="1318" w:type="dxa"/>
                  <w:vMerge w:val="restart"/>
                  <w:vAlign w:val="center"/>
                </w:tcPr>
                <w:p w14:paraId="39B225BA">
                  <w:pPr>
                    <w:widowControl w:val="0"/>
                    <w:kinsoku/>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原辅料名称</w:t>
                  </w:r>
                </w:p>
              </w:tc>
              <w:tc>
                <w:tcPr>
                  <w:tcW w:w="1044" w:type="dxa"/>
                  <w:vMerge w:val="restart"/>
                  <w:vAlign w:val="center"/>
                </w:tcPr>
                <w:p w14:paraId="025E23BF">
                  <w:pPr>
                    <w:widowControl w:val="0"/>
                    <w:kinsoku/>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单位</w:t>
                  </w:r>
                </w:p>
              </w:tc>
              <w:tc>
                <w:tcPr>
                  <w:tcW w:w="2212" w:type="dxa"/>
                  <w:gridSpan w:val="3"/>
                  <w:vAlign w:val="center"/>
                </w:tcPr>
                <w:p w14:paraId="4CB41FF5">
                  <w:pPr>
                    <w:widowControl w:val="0"/>
                    <w:kinsoku/>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用量</w:t>
                  </w:r>
                </w:p>
              </w:tc>
              <w:tc>
                <w:tcPr>
                  <w:tcW w:w="971" w:type="dxa"/>
                  <w:vMerge w:val="restart"/>
                  <w:vAlign w:val="center"/>
                </w:tcPr>
                <w:p w14:paraId="11EF8E0D">
                  <w:pPr>
                    <w:widowControl w:val="0"/>
                    <w:kinsoku/>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最大储存量（t）</w:t>
                  </w:r>
                </w:p>
              </w:tc>
              <w:tc>
                <w:tcPr>
                  <w:tcW w:w="651" w:type="dxa"/>
                  <w:vMerge w:val="restart"/>
                  <w:vAlign w:val="center"/>
                </w:tcPr>
                <w:p w14:paraId="3BDFAC20">
                  <w:pPr>
                    <w:widowControl w:val="0"/>
                    <w:kinsoku/>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储存场所</w:t>
                  </w:r>
                </w:p>
              </w:tc>
              <w:tc>
                <w:tcPr>
                  <w:tcW w:w="651" w:type="dxa"/>
                  <w:vMerge w:val="restart"/>
                  <w:vAlign w:val="center"/>
                </w:tcPr>
                <w:p w14:paraId="2E294CAF">
                  <w:pPr>
                    <w:widowControl w:val="0"/>
                    <w:kinsoku/>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储存周期</w:t>
                  </w:r>
                </w:p>
              </w:tc>
              <w:tc>
                <w:tcPr>
                  <w:tcW w:w="646" w:type="dxa"/>
                  <w:vMerge w:val="restart"/>
                  <w:vAlign w:val="center"/>
                </w:tcPr>
                <w:p w14:paraId="016FA5C0">
                  <w:pPr>
                    <w:widowControl w:val="0"/>
                    <w:kinsoku/>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来源</w:t>
                  </w:r>
                </w:p>
              </w:tc>
            </w:tr>
            <w:tr w14:paraId="33C71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483" w:type="dxa"/>
                  <w:vMerge w:val="continue"/>
                  <w:vAlign w:val="center"/>
                </w:tcPr>
                <w:p w14:paraId="0591BFD6">
                  <w:pPr>
                    <w:widowControl w:val="0"/>
                    <w:kinsoku/>
                    <w:jc w:val="center"/>
                    <w:rPr>
                      <w:rFonts w:hint="default" w:ascii="Times New Roman" w:hAnsi="Times New Roman" w:eastAsia="宋体" w:cs="Times New Roman"/>
                      <w:color w:val="000000" w:themeColor="text1"/>
                      <w14:textFill>
                        <w14:solidFill>
                          <w14:schemeClr w14:val="tx1"/>
                        </w14:solidFill>
                      </w14:textFill>
                    </w:rPr>
                  </w:pPr>
                </w:p>
              </w:tc>
              <w:tc>
                <w:tcPr>
                  <w:tcW w:w="1318" w:type="dxa"/>
                  <w:vMerge w:val="continue"/>
                  <w:vAlign w:val="center"/>
                </w:tcPr>
                <w:p w14:paraId="78C44477">
                  <w:pPr>
                    <w:widowControl w:val="0"/>
                    <w:kinsoku/>
                    <w:jc w:val="center"/>
                    <w:rPr>
                      <w:rFonts w:hint="default" w:ascii="Times New Roman" w:hAnsi="Times New Roman" w:eastAsia="宋体" w:cs="Times New Roman"/>
                      <w:color w:val="000000" w:themeColor="text1"/>
                      <w14:textFill>
                        <w14:solidFill>
                          <w14:schemeClr w14:val="tx1"/>
                        </w14:solidFill>
                      </w14:textFill>
                    </w:rPr>
                  </w:pPr>
                </w:p>
              </w:tc>
              <w:tc>
                <w:tcPr>
                  <w:tcW w:w="1044" w:type="dxa"/>
                  <w:vMerge w:val="continue"/>
                  <w:vAlign w:val="center"/>
                </w:tcPr>
                <w:p w14:paraId="36EF2988">
                  <w:pPr>
                    <w:widowControl w:val="0"/>
                    <w:kinsoku/>
                    <w:jc w:val="center"/>
                    <w:rPr>
                      <w:rFonts w:hint="default" w:ascii="Times New Roman" w:hAnsi="Times New Roman" w:eastAsia="宋体" w:cs="Times New Roman"/>
                      <w:color w:val="000000" w:themeColor="text1"/>
                      <w14:textFill>
                        <w14:solidFill>
                          <w14:schemeClr w14:val="tx1"/>
                        </w14:solidFill>
                      </w14:textFill>
                    </w:rPr>
                  </w:pPr>
                </w:p>
              </w:tc>
              <w:tc>
                <w:tcPr>
                  <w:tcW w:w="669" w:type="dxa"/>
                  <w:shd w:val="clear" w:color="auto" w:fill="auto"/>
                  <w:vAlign w:val="center"/>
                </w:tcPr>
                <w:p w14:paraId="5A712D5D">
                  <w:pPr>
                    <w:widowControl w:val="0"/>
                    <w:kinsoku/>
                    <w:jc w:val="center"/>
                    <w:rPr>
                      <w:rFonts w:hint="default" w:ascii="Times New Roman" w:hAnsi="Times New Roman" w:eastAsia="宋体" w:cs="Times New Roman"/>
                      <w:b/>
                      <w:bCs/>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扩建前</w:t>
                  </w:r>
                </w:p>
              </w:tc>
              <w:tc>
                <w:tcPr>
                  <w:tcW w:w="755" w:type="dxa"/>
                  <w:shd w:val="clear" w:color="auto" w:fill="auto"/>
                  <w:vAlign w:val="center"/>
                </w:tcPr>
                <w:p w14:paraId="43D60C0C">
                  <w:pPr>
                    <w:widowControl w:val="0"/>
                    <w:kinsoku/>
                    <w:jc w:val="center"/>
                    <w:rPr>
                      <w:rFonts w:hint="default" w:ascii="Times New Roman" w:hAnsi="Times New Roman" w:eastAsia="宋体" w:cs="Times New Roman"/>
                      <w:b/>
                      <w:bCs/>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扩建后</w:t>
                  </w:r>
                </w:p>
              </w:tc>
              <w:tc>
                <w:tcPr>
                  <w:tcW w:w="788" w:type="dxa"/>
                  <w:shd w:val="clear" w:color="auto" w:fill="auto"/>
                  <w:vAlign w:val="center"/>
                </w:tcPr>
                <w:p w14:paraId="59B877CC">
                  <w:pPr>
                    <w:widowControl w:val="0"/>
                    <w:kinsoku/>
                    <w:jc w:val="center"/>
                    <w:rPr>
                      <w:rFonts w:hint="default" w:ascii="Times New Roman" w:hAnsi="Times New Roman" w:eastAsia="宋体" w:cs="Times New Roman"/>
                      <w:b/>
                      <w:bCs/>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变化量</w:t>
                  </w:r>
                </w:p>
              </w:tc>
              <w:tc>
                <w:tcPr>
                  <w:tcW w:w="971" w:type="dxa"/>
                  <w:vMerge w:val="continue"/>
                  <w:vAlign w:val="center"/>
                </w:tcPr>
                <w:p w14:paraId="4757C904">
                  <w:pPr>
                    <w:widowControl w:val="0"/>
                    <w:kinsoku/>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p>
              </w:tc>
              <w:tc>
                <w:tcPr>
                  <w:tcW w:w="651" w:type="dxa"/>
                  <w:vMerge w:val="continue"/>
                  <w:vAlign w:val="center"/>
                </w:tcPr>
                <w:p w14:paraId="1EE48C23">
                  <w:pPr>
                    <w:widowControl w:val="0"/>
                    <w:kinsoku/>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p>
              </w:tc>
              <w:tc>
                <w:tcPr>
                  <w:tcW w:w="651" w:type="dxa"/>
                  <w:vMerge w:val="continue"/>
                  <w:vAlign w:val="center"/>
                </w:tcPr>
                <w:p w14:paraId="184C2DBB">
                  <w:pPr>
                    <w:widowControl w:val="0"/>
                    <w:kinsoku/>
                    <w:jc w:val="center"/>
                    <w:rPr>
                      <w:rFonts w:hint="default" w:ascii="Times New Roman" w:hAnsi="Times New Roman" w:eastAsia="宋体" w:cs="Times New Roman"/>
                      <w:b/>
                      <w:color w:val="000000" w:themeColor="text1"/>
                      <w:sz w:val="21"/>
                      <w:szCs w:val="21"/>
                      <w:lang w:bidi="ar"/>
                      <w14:textFill>
                        <w14:solidFill>
                          <w14:schemeClr w14:val="tx1"/>
                        </w14:solidFill>
                      </w14:textFill>
                    </w:rPr>
                  </w:pPr>
                </w:p>
              </w:tc>
              <w:tc>
                <w:tcPr>
                  <w:tcW w:w="646" w:type="dxa"/>
                  <w:vMerge w:val="continue"/>
                  <w:vAlign w:val="center"/>
                </w:tcPr>
                <w:p w14:paraId="225BEFFA">
                  <w:pPr>
                    <w:widowControl w:val="0"/>
                    <w:kinsoku/>
                    <w:jc w:val="center"/>
                    <w:rPr>
                      <w:rFonts w:hint="default" w:ascii="Times New Roman" w:hAnsi="Times New Roman" w:eastAsia="宋体" w:cs="Times New Roman"/>
                      <w:b/>
                      <w:color w:val="000000" w:themeColor="text1"/>
                      <w:sz w:val="21"/>
                      <w:szCs w:val="21"/>
                      <w:lang w:bidi="ar"/>
                      <w14:textFill>
                        <w14:solidFill>
                          <w14:schemeClr w14:val="tx1"/>
                        </w14:solidFill>
                      </w14:textFill>
                    </w:rPr>
                  </w:pPr>
                </w:p>
              </w:tc>
            </w:tr>
            <w:tr w14:paraId="31B93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83" w:type="dxa"/>
                  <w:vMerge w:val="restart"/>
                  <w:vAlign w:val="center"/>
                </w:tcPr>
                <w:p w14:paraId="4BA12D35">
                  <w:pPr>
                    <w:widowControl w:val="0"/>
                    <w:kinsoku/>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原辅料</w:t>
                  </w:r>
                </w:p>
              </w:tc>
              <w:tc>
                <w:tcPr>
                  <w:tcW w:w="1318" w:type="dxa"/>
                  <w:shd w:val="clear" w:color="auto" w:fill="auto"/>
                  <w:vAlign w:val="center"/>
                </w:tcPr>
                <w:p w14:paraId="01501A05">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铝箔</w:t>
                  </w:r>
                </w:p>
              </w:tc>
              <w:tc>
                <w:tcPr>
                  <w:tcW w:w="1044" w:type="dxa"/>
                  <w:vAlign w:val="center"/>
                </w:tcPr>
                <w:p w14:paraId="7902DFD2">
                  <w:pPr>
                    <w:widowControl w:val="0"/>
                    <w:kinsoku/>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t/a</w:t>
                  </w:r>
                </w:p>
              </w:tc>
              <w:tc>
                <w:tcPr>
                  <w:tcW w:w="669" w:type="dxa"/>
                  <w:shd w:val="clear" w:color="auto" w:fill="auto"/>
                  <w:vAlign w:val="center"/>
                </w:tcPr>
                <w:p w14:paraId="7E51695B">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60</w:t>
                  </w:r>
                </w:p>
              </w:tc>
              <w:tc>
                <w:tcPr>
                  <w:tcW w:w="755" w:type="dxa"/>
                  <w:vAlign w:val="center"/>
                </w:tcPr>
                <w:p w14:paraId="0A81887C">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260</w:t>
                  </w:r>
                </w:p>
              </w:tc>
              <w:tc>
                <w:tcPr>
                  <w:tcW w:w="788" w:type="dxa"/>
                  <w:vAlign w:val="center"/>
                </w:tcPr>
                <w:p w14:paraId="441EF70D">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+200</w:t>
                  </w:r>
                </w:p>
              </w:tc>
              <w:tc>
                <w:tcPr>
                  <w:tcW w:w="971" w:type="dxa"/>
                  <w:vAlign w:val="center"/>
                </w:tcPr>
                <w:p w14:paraId="1443CD5C">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20</w:t>
                  </w:r>
                </w:p>
              </w:tc>
              <w:tc>
                <w:tcPr>
                  <w:tcW w:w="651" w:type="dxa"/>
                  <w:vMerge w:val="restart"/>
                  <w:vAlign w:val="center"/>
                </w:tcPr>
                <w:p w14:paraId="08EA1797">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车间原料区</w:t>
                  </w:r>
                </w:p>
                <w:p w14:paraId="5FC51C73">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651" w:type="dxa"/>
                  <w:vAlign w:val="center"/>
                </w:tcPr>
                <w:p w14:paraId="0829FB4C">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30天</w:t>
                  </w:r>
                </w:p>
              </w:tc>
              <w:tc>
                <w:tcPr>
                  <w:tcW w:w="646" w:type="dxa"/>
                  <w:vAlign w:val="center"/>
                </w:tcPr>
                <w:p w14:paraId="4D9A40EA">
                  <w:pPr>
                    <w:widowControl w:val="0"/>
                    <w:kinsoku/>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外购</w:t>
                  </w:r>
                </w:p>
              </w:tc>
            </w:tr>
            <w:tr w14:paraId="7B438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83" w:type="dxa"/>
                  <w:vMerge w:val="continue"/>
                  <w:vAlign w:val="center"/>
                </w:tcPr>
                <w:p w14:paraId="292347B1">
                  <w:pPr>
                    <w:widowControl w:val="0"/>
                    <w:kinsoku/>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p>
              </w:tc>
              <w:tc>
                <w:tcPr>
                  <w:tcW w:w="1318" w:type="dxa"/>
                  <w:shd w:val="clear" w:color="auto" w:fill="auto"/>
                  <w:vAlign w:val="center"/>
                </w:tcPr>
                <w:p w14:paraId="49822C0A">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PET</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膜</w:t>
                  </w:r>
                </w:p>
              </w:tc>
              <w:tc>
                <w:tcPr>
                  <w:tcW w:w="1044" w:type="dxa"/>
                  <w:vAlign w:val="center"/>
                </w:tcPr>
                <w:p w14:paraId="21E05433">
                  <w:pPr>
                    <w:widowControl w:val="0"/>
                    <w:kinsoku/>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t/a</w:t>
                  </w:r>
                </w:p>
              </w:tc>
              <w:tc>
                <w:tcPr>
                  <w:tcW w:w="669" w:type="dxa"/>
                  <w:shd w:val="clear" w:color="auto" w:fill="auto"/>
                  <w:vAlign w:val="center"/>
                </w:tcPr>
                <w:p w14:paraId="360AF6D4">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50</w:t>
                  </w:r>
                </w:p>
              </w:tc>
              <w:tc>
                <w:tcPr>
                  <w:tcW w:w="755" w:type="dxa"/>
                  <w:vAlign w:val="center"/>
                </w:tcPr>
                <w:p w14:paraId="53FD5240">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250</w:t>
                  </w:r>
                </w:p>
              </w:tc>
              <w:tc>
                <w:tcPr>
                  <w:tcW w:w="788" w:type="dxa"/>
                  <w:vAlign w:val="center"/>
                </w:tcPr>
                <w:p w14:paraId="25DFB17E">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+200</w:t>
                  </w:r>
                </w:p>
              </w:tc>
              <w:tc>
                <w:tcPr>
                  <w:tcW w:w="971" w:type="dxa"/>
                  <w:vAlign w:val="center"/>
                </w:tcPr>
                <w:p w14:paraId="5DABF5BC">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20</w:t>
                  </w:r>
                </w:p>
              </w:tc>
              <w:tc>
                <w:tcPr>
                  <w:tcW w:w="651" w:type="dxa"/>
                  <w:vMerge w:val="continue"/>
                  <w:vAlign w:val="center"/>
                </w:tcPr>
                <w:p w14:paraId="7276B773">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651" w:type="dxa"/>
                  <w:vAlign w:val="center"/>
                </w:tcPr>
                <w:p w14:paraId="28FF1B85">
                  <w:pPr>
                    <w:widowControl w:val="0"/>
                    <w:kinsoku/>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30天</w:t>
                  </w:r>
                </w:p>
              </w:tc>
              <w:tc>
                <w:tcPr>
                  <w:tcW w:w="646" w:type="dxa"/>
                  <w:vAlign w:val="center"/>
                </w:tcPr>
                <w:p w14:paraId="5DCF7835">
                  <w:pPr>
                    <w:widowControl w:val="0"/>
                    <w:kinsoku/>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外购</w:t>
                  </w:r>
                </w:p>
              </w:tc>
            </w:tr>
            <w:tr w14:paraId="76C8C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83" w:type="dxa"/>
                  <w:vMerge w:val="continue"/>
                  <w:vAlign w:val="center"/>
                </w:tcPr>
                <w:p w14:paraId="4BB9D808">
                  <w:pPr>
                    <w:widowControl w:val="0"/>
                    <w:kinsoku/>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p>
              </w:tc>
              <w:tc>
                <w:tcPr>
                  <w:tcW w:w="1318" w:type="dxa"/>
                  <w:shd w:val="clear" w:color="auto" w:fill="auto"/>
                  <w:vAlign w:val="center"/>
                </w:tcPr>
                <w:p w14:paraId="403250BC">
                  <w:pPr>
                    <w:widowControl w:val="0"/>
                    <w:kinsoku/>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玻纤布</w:t>
                  </w:r>
                </w:p>
              </w:tc>
              <w:tc>
                <w:tcPr>
                  <w:tcW w:w="1044" w:type="dxa"/>
                  <w:vAlign w:val="center"/>
                </w:tcPr>
                <w:p w14:paraId="25DB2C50">
                  <w:pPr>
                    <w:widowControl w:val="0"/>
                    <w:kinsoku/>
                    <w:jc w:val="center"/>
                    <w:rPr>
                      <w:rFonts w:hint="default" w:ascii="Times New Roman" w:hAnsi="Times New Roman" w:eastAsia="宋体" w:cs="Times New Roman"/>
                      <w:bCs/>
                      <w:color w:val="000000" w:themeColor="text1"/>
                      <w:sz w:val="21"/>
                      <w:szCs w:val="21"/>
                      <w:lang w:val="en-US"/>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万平米/</w:t>
                  </w:r>
                  <w:r>
                    <w:rPr>
                      <w:rFonts w:hint="default" w:ascii="Times New Roman" w:hAnsi="Times New Roman" w:eastAsia="宋体" w:cs="Times New Roman"/>
                      <w:bCs/>
                      <w:color w:val="000000" w:themeColor="text1"/>
                      <w:sz w:val="21"/>
                      <w:szCs w:val="21"/>
                      <w14:textFill>
                        <w14:solidFill>
                          <w14:schemeClr w14:val="tx1"/>
                        </w14:solidFill>
                      </w14:textFill>
                    </w:rPr>
                    <w:t>a</w:t>
                  </w:r>
                </w:p>
              </w:tc>
              <w:tc>
                <w:tcPr>
                  <w:tcW w:w="669" w:type="dxa"/>
                  <w:shd w:val="clear" w:color="auto" w:fill="auto"/>
                  <w:vAlign w:val="center"/>
                </w:tcPr>
                <w:p w14:paraId="6E76D7A3">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0</w:t>
                  </w:r>
                </w:p>
              </w:tc>
              <w:tc>
                <w:tcPr>
                  <w:tcW w:w="755" w:type="dxa"/>
                  <w:vAlign w:val="center"/>
                </w:tcPr>
                <w:p w14:paraId="4BEF1F71">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100</w:t>
                  </w:r>
                </w:p>
              </w:tc>
              <w:tc>
                <w:tcPr>
                  <w:tcW w:w="788" w:type="dxa"/>
                  <w:vAlign w:val="center"/>
                </w:tcPr>
                <w:p w14:paraId="2E8B48FD">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+100</w:t>
                  </w:r>
                </w:p>
              </w:tc>
              <w:tc>
                <w:tcPr>
                  <w:tcW w:w="971" w:type="dxa"/>
                  <w:vAlign w:val="center"/>
                </w:tcPr>
                <w:p w14:paraId="09E1920B">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10</w:t>
                  </w:r>
                </w:p>
              </w:tc>
              <w:tc>
                <w:tcPr>
                  <w:tcW w:w="651" w:type="dxa"/>
                  <w:vMerge w:val="continue"/>
                  <w:vAlign w:val="center"/>
                </w:tcPr>
                <w:p w14:paraId="13411DDA">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651" w:type="dxa"/>
                  <w:vAlign w:val="center"/>
                </w:tcPr>
                <w:p w14:paraId="53E74089">
                  <w:pPr>
                    <w:widowControl w:val="0"/>
                    <w:kinsoku/>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30天</w:t>
                  </w:r>
                </w:p>
              </w:tc>
              <w:tc>
                <w:tcPr>
                  <w:tcW w:w="646" w:type="dxa"/>
                  <w:vAlign w:val="center"/>
                </w:tcPr>
                <w:p w14:paraId="76A2DBA5">
                  <w:pPr>
                    <w:widowControl w:val="0"/>
                    <w:kinsoku/>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外购</w:t>
                  </w:r>
                </w:p>
              </w:tc>
            </w:tr>
            <w:tr w14:paraId="49797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483" w:type="dxa"/>
                  <w:vMerge w:val="continue"/>
                  <w:vAlign w:val="center"/>
                </w:tcPr>
                <w:p w14:paraId="38CD45EB">
                  <w:pPr>
                    <w:widowControl w:val="0"/>
                    <w:kinsoku/>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p>
              </w:tc>
              <w:tc>
                <w:tcPr>
                  <w:tcW w:w="1318" w:type="dxa"/>
                  <w:shd w:val="clear" w:color="auto" w:fill="auto"/>
                  <w:vAlign w:val="center"/>
                </w:tcPr>
                <w:p w14:paraId="75C50976">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水性复合胶</w:t>
                  </w:r>
                </w:p>
              </w:tc>
              <w:tc>
                <w:tcPr>
                  <w:tcW w:w="1044" w:type="dxa"/>
                  <w:vAlign w:val="center"/>
                </w:tcPr>
                <w:p w14:paraId="10FD69FE">
                  <w:pPr>
                    <w:widowControl w:val="0"/>
                    <w:kinsoku/>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t/a</w:t>
                  </w:r>
                </w:p>
              </w:tc>
              <w:tc>
                <w:tcPr>
                  <w:tcW w:w="669" w:type="dxa"/>
                  <w:shd w:val="clear" w:color="auto" w:fill="auto"/>
                  <w:vAlign w:val="center"/>
                </w:tcPr>
                <w:p w14:paraId="16416958">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1</w:t>
                  </w:r>
                </w:p>
              </w:tc>
              <w:tc>
                <w:tcPr>
                  <w:tcW w:w="755" w:type="dxa"/>
                  <w:vAlign w:val="center"/>
                </w:tcPr>
                <w:p w14:paraId="66CAEBFE">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51</w:t>
                  </w:r>
                </w:p>
              </w:tc>
              <w:tc>
                <w:tcPr>
                  <w:tcW w:w="788" w:type="dxa"/>
                  <w:vAlign w:val="center"/>
                </w:tcPr>
                <w:p w14:paraId="0D337043">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+50</w:t>
                  </w:r>
                </w:p>
              </w:tc>
              <w:tc>
                <w:tcPr>
                  <w:tcW w:w="971" w:type="dxa"/>
                  <w:vAlign w:val="center"/>
                </w:tcPr>
                <w:p w14:paraId="102F0FCC">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5</w:t>
                  </w:r>
                </w:p>
              </w:tc>
              <w:tc>
                <w:tcPr>
                  <w:tcW w:w="651" w:type="dxa"/>
                  <w:vMerge w:val="continue"/>
                  <w:vAlign w:val="center"/>
                </w:tcPr>
                <w:p w14:paraId="00B892FB">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651" w:type="dxa"/>
                  <w:vAlign w:val="center"/>
                </w:tcPr>
                <w:p w14:paraId="6AE842BF">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30天</w:t>
                  </w:r>
                </w:p>
              </w:tc>
              <w:tc>
                <w:tcPr>
                  <w:tcW w:w="646" w:type="dxa"/>
                  <w:vAlign w:val="center"/>
                </w:tcPr>
                <w:p w14:paraId="08B324ED">
                  <w:pPr>
                    <w:widowControl w:val="0"/>
                    <w:kinsoku/>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外购</w:t>
                  </w:r>
                </w:p>
              </w:tc>
            </w:tr>
            <w:tr w14:paraId="6698A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83" w:type="dxa"/>
                  <w:vMerge w:val="continue"/>
                  <w:vAlign w:val="center"/>
                </w:tcPr>
                <w:p w14:paraId="4524FAF0">
                  <w:pPr>
                    <w:widowControl w:val="0"/>
                    <w:kinsoku/>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p>
              </w:tc>
              <w:tc>
                <w:tcPr>
                  <w:tcW w:w="1318" w:type="dxa"/>
                  <w:shd w:val="clear" w:color="auto" w:fill="auto"/>
                  <w:vAlign w:val="center"/>
                </w:tcPr>
                <w:p w14:paraId="36BBA26E">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牛皮纸</w:t>
                  </w:r>
                </w:p>
              </w:tc>
              <w:tc>
                <w:tcPr>
                  <w:tcW w:w="1044" w:type="dxa"/>
                  <w:vAlign w:val="center"/>
                </w:tcPr>
                <w:p w14:paraId="57531640">
                  <w:pPr>
                    <w:widowControl w:val="0"/>
                    <w:kinsoku/>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t/a</w:t>
                  </w:r>
                </w:p>
              </w:tc>
              <w:tc>
                <w:tcPr>
                  <w:tcW w:w="669" w:type="dxa"/>
                  <w:vAlign w:val="center"/>
                </w:tcPr>
                <w:p w14:paraId="2989693F">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250</w:t>
                  </w:r>
                </w:p>
              </w:tc>
              <w:tc>
                <w:tcPr>
                  <w:tcW w:w="755" w:type="dxa"/>
                  <w:vAlign w:val="center"/>
                </w:tcPr>
                <w:p w14:paraId="50DCDEB7">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250</w:t>
                  </w:r>
                </w:p>
              </w:tc>
              <w:tc>
                <w:tcPr>
                  <w:tcW w:w="788" w:type="dxa"/>
                  <w:vAlign w:val="center"/>
                </w:tcPr>
                <w:p w14:paraId="1457CC03">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+0</w:t>
                  </w:r>
                </w:p>
              </w:tc>
              <w:tc>
                <w:tcPr>
                  <w:tcW w:w="971" w:type="dxa"/>
                  <w:vAlign w:val="center"/>
                </w:tcPr>
                <w:p w14:paraId="1797611E">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20</w:t>
                  </w:r>
                </w:p>
              </w:tc>
              <w:tc>
                <w:tcPr>
                  <w:tcW w:w="651" w:type="dxa"/>
                  <w:vMerge w:val="continue"/>
                  <w:vAlign w:val="center"/>
                </w:tcPr>
                <w:p w14:paraId="14793635">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651" w:type="dxa"/>
                  <w:vAlign w:val="center"/>
                </w:tcPr>
                <w:p w14:paraId="25757D76">
                  <w:pPr>
                    <w:widowControl w:val="0"/>
                    <w:kinsoku/>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30天</w:t>
                  </w:r>
                </w:p>
              </w:tc>
              <w:tc>
                <w:tcPr>
                  <w:tcW w:w="646" w:type="dxa"/>
                  <w:vAlign w:val="center"/>
                </w:tcPr>
                <w:p w14:paraId="275AEF3C">
                  <w:pPr>
                    <w:widowControl w:val="0"/>
                    <w:kinsoku/>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外购</w:t>
                  </w:r>
                </w:p>
              </w:tc>
            </w:tr>
            <w:tr w14:paraId="2709F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483" w:type="dxa"/>
                  <w:vMerge w:val="continue"/>
                  <w:vAlign w:val="center"/>
                </w:tcPr>
                <w:p w14:paraId="08A64E99">
                  <w:pPr>
                    <w:widowControl w:val="0"/>
                    <w:kinsoku/>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p>
              </w:tc>
              <w:tc>
                <w:tcPr>
                  <w:tcW w:w="1318" w:type="dxa"/>
                  <w:shd w:val="clear" w:color="auto" w:fill="auto"/>
                  <w:vAlign w:val="center"/>
                </w:tcPr>
                <w:p w14:paraId="6F220571">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聚乙烯粒子</w:t>
                  </w:r>
                </w:p>
              </w:tc>
              <w:tc>
                <w:tcPr>
                  <w:tcW w:w="1044" w:type="dxa"/>
                  <w:vAlign w:val="center"/>
                </w:tcPr>
                <w:p w14:paraId="0737B34B">
                  <w:pPr>
                    <w:widowControl w:val="0"/>
                    <w:kinsoku/>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t/a</w:t>
                  </w:r>
                </w:p>
              </w:tc>
              <w:tc>
                <w:tcPr>
                  <w:tcW w:w="669" w:type="dxa"/>
                  <w:vAlign w:val="center"/>
                </w:tcPr>
                <w:p w14:paraId="7EE605CE">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30</w:t>
                  </w:r>
                </w:p>
              </w:tc>
              <w:tc>
                <w:tcPr>
                  <w:tcW w:w="755" w:type="dxa"/>
                  <w:vAlign w:val="center"/>
                </w:tcPr>
                <w:p w14:paraId="4EB47C3D">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30</w:t>
                  </w:r>
                </w:p>
              </w:tc>
              <w:tc>
                <w:tcPr>
                  <w:tcW w:w="788" w:type="dxa"/>
                  <w:vAlign w:val="center"/>
                </w:tcPr>
                <w:p w14:paraId="77A9E182">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+0</w:t>
                  </w:r>
                </w:p>
              </w:tc>
              <w:tc>
                <w:tcPr>
                  <w:tcW w:w="971" w:type="dxa"/>
                  <w:vAlign w:val="center"/>
                </w:tcPr>
                <w:p w14:paraId="5979AD90">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2.5</w:t>
                  </w:r>
                </w:p>
              </w:tc>
              <w:tc>
                <w:tcPr>
                  <w:tcW w:w="651" w:type="dxa"/>
                  <w:vMerge w:val="continue"/>
                  <w:vAlign w:val="center"/>
                </w:tcPr>
                <w:p w14:paraId="7EF3A9B6">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651" w:type="dxa"/>
                  <w:vAlign w:val="center"/>
                </w:tcPr>
                <w:p w14:paraId="2C0465B9">
                  <w:pPr>
                    <w:widowControl w:val="0"/>
                    <w:kinsoku/>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30天</w:t>
                  </w:r>
                </w:p>
              </w:tc>
              <w:tc>
                <w:tcPr>
                  <w:tcW w:w="646" w:type="dxa"/>
                  <w:vAlign w:val="center"/>
                </w:tcPr>
                <w:p w14:paraId="3FBF4013">
                  <w:pPr>
                    <w:widowControl w:val="0"/>
                    <w:kinsoku/>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外购</w:t>
                  </w:r>
                </w:p>
              </w:tc>
            </w:tr>
            <w:tr w14:paraId="212E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83" w:type="dxa"/>
                  <w:vMerge w:val="continue"/>
                  <w:vAlign w:val="center"/>
                </w:tcPr>
                <w:p w14:paraId="449DEA17">
                  <w:pPr>
                    <w:widowControl w:val="0"/>
                    <w:kinsoku/>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p>
              </w:tc>
              <w:tc>
                <w:tcPr>
                  <w:tcW w:w="1318" w:type="dxa"/>
                  <w:shd w:val="clear" w:color="auto" w:fill="auto"/>
                  <w:vAlign w:val="center"/>
                </w:tcPr>
                <w:p w14:paraId="792A5516">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纤维</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纱</w:t>
                  </w:r>
                </w:p>
              </w:tc>
              <w:tc>
                <w:tcPr>
                  <w:tcW w:w="1044" w:type="dxa"/>
                  <w:vAlign w:val="center"/>
                </w:tcPr>
                <w:p w14:paraId="680F19F0">
                  <w:pPr>
                    <w:widowControl w:val="0"/>
                    <w:kinsoku/>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t/a</w:t>
                  </w:r>
                </w:p>
              </w:tc>
              <w:tc>
                <w:tcPr>
                  <w:tcW w:w="669" w:type="dxa"/>
                  <w:vAlign w:val="center"/>
                </w:tcPr>
                <w:p w14:paraId="2662EA39">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15</w:t>
                  </w:r>
                </w:p>
              </w:tc>
              <w:tc>
                <w:tcPr>
                  <w:tcW w:w="755" w:type="dxa"/>
                  <w:vAlign w:val="center"/>
                </w:tcPr>
                <w:p w14:paraId="347D9F4E">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+50</w:t>
                  </w:r>
                </w:p>
              </w:tc>
              <w:tc>
                <w:tcPr>
                  <w:tcW w:w="788" w:type="dxa"/>
                  <w:vAlign w:val="center"/>
                </w:tcPr>
                <w:p w14:paraId="3010E850">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+35</w:t>
                  </w:r>
                </w:p>
              </w:tc>
              <w:tc>
                <w:tcPr>
                  <w:tcW w:w="971" w:type="dxa"/>
                  <w:vAlign w:val="center"/>
                </w:tcPr>
                <w:p w14:paraId="3BC064F9">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2</w:t>
                  </w:r>
                </w:p>
              </w:tc>
              <w:tc>
                <w:tcPr>
                  <w:tcW w:w="651" w:type="dxa"/>
                  <w:vMerge w:val="continue"/>
                  <w:vAlign w:val="center"/>
                </w:tcPr>
                <w:p w14:paraId="7B34CB8B">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651" w:type="dxa"/>
                  <w:vAlign w:val="center"/>
                </w:tcPr>
                <w:p w14:paraId="5EEE7D3F">
                  <w:pPr>
                    <w:widowControl w:val="0"/>
                    <w:kinsoku/>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30天</w:t>
                  </w:r>
                </w:p>
              </w:tc>
              <w:tc>
                <w:tcPr>
                  <w:tcW w:w="646" w:type="dxa"/>
                  <w:vAlign w:val="center"/>
                </w:tcPr>
                <w:p w14:paraId="7E47BD17">
                  <w:pPr>
                    <w:widowControl w:val="0"/>
                    <w:kinsoku/>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外购</w:t>
                  </w:r>
                </w:p>
              </w:tc>
            </w:tr>
            <w:tr w14:paraId="3CD1F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483" w:type="dxa"/>
                  <w:vMerge w:val="continue"/>
                  <w:vAlign w:val="center"/>
                </w:tcPr>
                <w:p w14:paraId="05162A13">
                  <w:pPr>
                    <w:widowControl w:val="0"/>
                    <w:kinsoku/>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p>
              </w:tc>
              <w:tc>
                <w:tcPr>
                  <w:tcW w:w="1318" w:type="dxa"/>
                  <w:shd w:val="clear" w:color="auto" w:fill="auto"/>
                  <w:vAlign w:val="center"/>
                </w:tcPr>
                <w:p w14:paraId="26B1DD8A">
                  <w:pPr>
                    <w:widowControl w:val="0"/>
                    <w:kinsoku/>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淋膜牛皮纸</w:t>
                  </w:r>
                </w:p>
              </w:tc>
              <w:tc>
                <w:tcPr>
                  <w:tcW w:w="1044" w:type="dxa"/>
                  <w:vAlign w:val="center"/>
                </w:tcPr>
                <w:p w14:paraId="0B8B73DE">
                  <w:pPr>
                    <w:widowControl w:val="0"/>
                    <w:kinsoku/>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t/a</w:t>
                  </w:r>
                </w:p>
              </w:tc>
              <w:tc>
                <w:tcPr>
                  <w:tcW w:w="669" w:type="dxa"/>
                  <w:vAlign w:val="center"/>
                </w:tcPr>
                <w:p w14:paraId="32AB9D50">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0</w:t>
                  </w:r>
                </w:p>
              </w:tc>
              <w:tc>
                <w:tcPr>
                  <w:tcW w:w="755" w:type="dxa"/>
                  <w:vAlign w:val="center"/>
                </w:tcPr>
                <w:p w14:paraId="44423781">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250</w:t>
                  </w:r>
                </w:p>
              </w:tc>
              <w:tc>
                <w:tcPr>
                  <w:tcW w:w="788" w:type="dxa"/>
                  <w:vAlign w:val="center"/>
                </w:tcPr>
                <w:p w14:paraId="03312633">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+250</w:t>
                  </w:r>
                </w:p>
              </w:tc>
              <w:tc>
                <w:tcPr>
                  <w:tcW w:w="971" w:type="dxa"/>
                  <w:vAlign w:val="center"/>
                </w:tcPr>
                <w:p w14:paraId="60970404">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20</w:t>
                  </w:r>
                </w:p>
              </w:tc>
              <w:tc>
                <w:tcPr>
                  <w:tcW w:w="651" w:type="dxa"/>
                  <w:vMerge w:val="continue"/>
                  <w:shd w:val="clear" w:color="auto" w:fill="auto"/>
                  <w:vAlign w:val="center"/>
                </w:tcPr>
                <w:p w14:paraId="0E22C70B">
                  <w:pPr>
                    <w:widowControl w:val="0"/>
                    <w:kinsoku/>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651" w:type="dxa"/>
                  <w:shd w:val="clear" w:color="auto" w:fill="auto"/>
                  <w:vAlign w:val="center"/>
                </w:tcPr>
                <w:p w14:paraId="5790F408">
                  <w:pPr>
                    <w:widowControl w:val="0"/>
                    <w:kinsoku/>
                    <w:jc w:val="center"/>
                    <w:rPr>
                      <w:rFonts w:hint="default" w:ascii="Times New Roman" w:hAnsi="Times New Roman" w:eastAsia="宋体" w:cs="Times New Roman"/>
                      <w:bCs/>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30天</w:t>
                  </w:r>
                </w:p>
              </w:tc>
              <w:tc>
                <w:tcPr>
                  <w:tcW w:w="646" w:type="dxa"/>
                  <w:shd w:val="clear" w:color="auto" w:fill="auto"/>
                  <w:vAlign w:val="center"/>
                </w:tcPr>
                <w:p w14:paraId="0500BC7E">
                  <w:pPr>
                    <w:widowControl w:val="0"/>
                    <w:kinsoku/>
                    <w:jc w:val="center"/>
                    <w:rPr>
                      <w:rFonts w:hint="default" w:ascii="Times New Roman" w:hAnsi="Times New Roman" w:eastAsia="宋体" w:cs="Times New Roman"/>
                      <w:bCs/>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外购</w:t>
                  </w:r>
                </w:p>
              </w:tc>
            </w:tr>
            <w:tr w14:paraId="3C071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483" w:type="dxa"/>
                  <w:vMerge w:val="restart"/>
                  <w:vAlign w:val="center"/>
                </w:tcPr>
                <w:p w14:paraId="722154BA">
                  <w:pPr>
                    <w:widowControl w:val="0"/>
                    <w:kinsoku/>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能源</w:t>
                  </w:r>
                </w:p>
              </w:tc>
              <w:tc>
                <w:tcPr>
                  <w:tcW w:w="1318" w:type="dxa"/>
                  <w:vAlign w:val="center"/>
                </w:tcPr>
                <w:p w14:paraId="03BC474E">
                  <w:pPr>
                    <w:widowControl w:val="0"/>
                    <w:kinsoku/>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电</w:t>
                  </w:r>
                </w:p>
              </w:tc>
              <w:tc>
                <w:tcPr>
                  <w:tcW w:w="1044" w:type="dxa"/>
                  <w:vAlign w:val="center"/>
                </w:tcPr>
                <w:p w14:paraId="690825D1">
                  <w:pPr>
                    <w:widowControl w:val="0"/>
                    <w:kinsoku/>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万kW·h/a</w:t>
                  </w:r>
                </w:p>
              </w:tc>
              <w:tc>
                <w:tcPr>
                  <w:tcW w:w="669" w:type="dxa"/>
                  <w:vAlign w:val="center"/>
                </w:tcPr>
                <w:p w14:paraId="789FC2C0">
                  <w:pPr>
                    <w:widowControl w:val="0"/>
                    <w:kinsoku/>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25</w:t>
                  </w:r>
                </w:p>
              </w:tc>
              <w:tc>
                <w:tcPr>
                  <w:tcW w:w="755" w:type="dxa"/>
                  <w:vAlign w:val="center"/>
                </w:tcPr>
                <w:p w14:paraId="1583CD4F">
                  <w:pPr>
                    <w:widowControl w:val="0"/>
                    <w:kinsoku/>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58</w:t>
                  </w:r>
                </w:p>
              </w:tc>
              <w:tc>
                <w:tcPr>
                  <w:tcW w:w="788" w:type="dxa"/>
                  <w:vAlign w:val="center"/>
                </w:tcPr>
                <w:p w14:paraId="7A7EA1B3">
                  <w:pPr>
                    <w:widowControl w:val="0"/>
                    <w:kinsoku/>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+33</w:t>
                  </w:r>
                </w:p>
              </w:tc>
              <w:tc>
                <w:tcPr>
                  <w:tcW w:w="971" w:type="dxa"/>
                  <w:vAlign w:val="center"/>
                </w:tcPr>
                <w:p w14:paraId="23FF3B4F">
                  <w:pPr>
                    <w:widowControl w:val="0"/>
                    <w:kinsoku/>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51" w:type="dxa"/>
                  <w:vAlign w:val="center"/>
                </w:tcPr>
                <w:p w14:paraId="3E09D364">
                  <w:pPr>
                    <w:widowControl w:val="0"/>
                    <w:kinsoku/>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51" w:type="dxa"/>
                  <w:vAlign w:val="center"/>
                </w:tcPr>
                <w:p w14:paraId="11930D69">
                  <w:pPr>
                    <w:widowControl w:val="0"/>
                    <w:kinsoku/>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46" w:type="dxa"/>
                  <w:vAlign w:val="center"/>
                </w:tcPr>
                <w:p w14:paraId="5176221A">
                  <w:pPr>
                    <w:widowControl w:val="0"/>
                    <w:kinsoku/>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园区电网</w:t>
                  </w:r>
                </w:p>
              </w:tc>
            </w:tr>
            <w:tr w14:paraId="40FDC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483" w:type="dxa"/>
                  <w:vMerge w:val="continue"/>
                  <w:vAlign w:val="center"/>
                </w:tcPr>
                <w:p w14:paraId="774AD839">
                  <w:pPr>
                    <w:widowControl w:val="0"/>
                    <w:kinsoku/>
                    <w:jc w:val="center"/>
                    <w:rPr>
                      <w:rFonts w:hint="default" w:ascii="Times New Roman" w:hAnsi="Times New Roman" w:eastAsia="宋体" w:cs="Times New Roman"/>
                      <w:color w:val="auto"/>
                      <w:sz w:val="21"/>
                      <w:szCs w:val="21"/>
                      <w:lang w:eastAsia="zh-CN"/>
                    </w:rPr>
                  </w:pPr>
                </w:p>
              </w:tc>
              <w:tc>
                <w:tcPr>
                  <w:tcW w:w="1318" w:type="dxa"/>
                  <w:vAlign w:val="center"/>
                </w:tcPr>
                <w:p w14:paraId="0D55FD11">
                  <w:pPr>
                    <w:widowControl w:val="0"/>
                    <w:kinsoku/>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水</w:t>
                  </w:r>
                </w:p>
              </w:tc>
              <w:tc>
                <w:tcPr>
                  <w:tcW w:w="1044" w:type="dxa"/>
                  <w:vAlign w:val="center"/>
                </w:tcPr>
                <w:p w14:paraId="36DA407B">
                  <w:pPr>
                    <w:widowControl w:val="0"/>
                    <w:kinsoku/>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t/a</w:t>
                  </w:r>
                </w:p>
              </w:tc>
              <w:tc>
                <w:tcPr>
                  <w:tcW w:w="669" w:type="dxa"/>
                  <w:vAlign w:val="center"/>
                </w:tcPr>
                <w:p w14:paraId="6DE87736">
                  <w:pPr>
                    <w:widowControl w:val="0"/>
                    <w:kinsoku/>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4500</w:t>
                  </w:r>
                </w:p>
              </w:tc>
              <w:tc>
                <w:tcPr>
                  <w:tcW w:w="755" w:type="dxa"/>
                  <w:vAlign w:val="center"/>
                </w:tcPr>
                <w:p w14:paraId="21771E4F">
                  <w:pPr>
                    <w:widowControl w:val="0"/>
                    <w:kinsoku/>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lang w:val="en-US" w:eastAsia="zh-CN"/>
                    </w:rPr>
                    <w:t>5071.82</w:t>
                  </w:r>
                </w:p>
              </w:tc>
              <w:tc>
                <w:tcPr>
                  <w:tcW w:w="788" w:type="dxa"/>
                  <w:vAlign w:val="center"/>
                </w:tcPr>
                <w:p w14:paraId="4AADD629">
                  <w:pPr>
                    <w:widowControl w:val="0"/>
                    <w:kinsoku/>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+571.82</w:t>
                  </w:r>
                </w:p>
              </w:tc>
              <w:tc>
                <w:tcPr>
                  <w:tcW w:w="971" w:type="dxa"/>
                  <w:vAlign w:val="center"/>
                </w:tcPr>
                <w:p w14:paraId="0A324C3B">
                  <w:pPr>
                    <w:widowControl w:val="0"/>
                    <w:kinsoku/>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651" w:type="dxa"/>
                  <w:vAlign w:val="center"/>
                </w:tcPr>
                <w:p w14:paraId="18DB7D21">
                  <w:pPr>
                    <w:widowControl w:val="0"/>
                    <w:kinsoku/>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51" w:type="dxa"/>
                  <w:vAlign w:val="center"/>
                </w:tcPr>
                <w:p w14:paraId="46A31F6B">
                  <w:pPr>
                    <w:widowControl w:val="0"/>
                    <w:kinsoku/>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646" w:type="dxa"/>
                  <w:vAlign w:val="center"/>
                </w:tcPr>
                <w:p w14:paraId="7AF9173F">
                  <w:pPr>
                    <w:widowControl w:val="0"/>
                    <w:kinsoku/>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园区供水管</w:t>
                  </w:r>
                </w:p>
              </w:tc>
            </w:tr>
          </w:tbl>
          <w:p w14:paraId="4D036BD7">
            <w:pPr>
              <w:kinsoku/>
              <w:adjustRightInd/>
              <w:snapToGrid/>
              <w:spacing w:line="360" w:lineRule="auto"/>
              <w:rPr>
                <w:rFonts w:hint="default" w:ascii="Times New Roman" w:hAnsi="Times New Roman" w:eastAsia="宋体" w:cs="Times New Roman"/>
                <w:b/>
                <w:bCs/>
                <w:color w:val="000000" w:themeColor="text1"/>
                <w:sz w:val="24"/>
                <w:szCs w:val="24"/>
                <w:lang w:eastAsia="zh-CN" w:bidi="ar"/>
                <w14:textFill>
                  <w14:solidFill>
                    <w14:schemeClr w14:val="tx1"/>
                  </w14:solidFill>
                </w14:textFill>
              </w:rPr>
            </w:pPr>
          </w:p>
          <w:p w14:paraId="480B9C1B">
            <w:pPr>
              <w:kinsoku/>
              <w:adjustRightInd/>
              <w:snapToGrid/>
              <w:spacing w:line="360" w:lineRule="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bidi="ar"/>
                <w14:textFill>
                  <w14:solidFill>
                    <w14:schemeClr w14:val="tx1"/>
                  </w14:solidFill>
                </w14:textFill>
              </w:rPr>
              <w:t>原辅材料的理化性质：</w:t>
            </w:r>
          </w:p>
          <w:p w14:paraId="0070928D">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000000" w:themeColor="text1"/>
                <w:sz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表2-</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主要原辅材料及其主要成分的理化性质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6646"/>
            </w:tblGrid>
            <w:tr w14:paraId="458F9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79B2DD6C">
                  <w:pPr>
                    <w:kinsoku/>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名称</w:t>
                  </w:r>
                </w:p>
              </w:tc>
              <w:tc>
                <w:tcPr>
                  <w:tcW w:w="6646" w:type="dxa"/>
                  <w:vAlign w:val="center"/>
                </w:tcPr>
                <w:p w14:paraId="5DE56CE6">
                  <w:pPr>
                    <w:kinsoku/>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理化性质、毒理毒性</w:t>
                  </w:r>
                </w:p>
              </w:tc>
            </w:tr>
            <w:tr w14:paraId="22BC4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71" w:type="dxa"/>
                  <w:vAlign w:val="center"/>
                </w:tcPr>
                <w:p w14:paraId="49408AFD">
                  <w:pPr>
                    <w:kinsoku/>
                    <w:jc w:val="left"/>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水性复合胶</w:t>
                  </w:r>
                </w:p>
              </w:tc>
              <w:tc>
                <w:tcPr>
                  <w:tcW w:w="6646" w:type="dxa"/>
                  <w:vAlign w:val="center"/>
                </w:tcPr>
                <w:p w14:paraId="4C20D5F0">
                  <w:pPr>
                    <w:kinsoku/>
                    <w:ind w:firstLine="210" w:firstLineChars="10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水性复合胶是一类以水为分散介质（而非有机溶剂），用于将两种或多种基材（如塑料薄膜、纸张、金属箔等）复合粘接的胶粘剂。其核心优势在于环保性（低VOCs排放）、安全性（不易燃、低毒性）和成本可控性，已广泛替代传统溶剂型复合胶，成为软包装、印刷等行业的主流粘接材料主要成分为：化学成分名称成份聚丙烯酸酯</w:t>
                  </w:r>
                  <w:r>
                    <w:rPr>
                      <w:rFonts w:hint="default" w:ascii="Times New Roman" w:hAnsi="Times New Roman" w:eastAsia="宋体" w:cs="Times New Roman"/>
                      <w:color w:val="000000" w:themeColor="text1"/>
                      <w:lang w:val="en-US" w:eastAsia="zh-CN" w:bidi="ar"/>
                      <w14:textFill>
                        <w14:solidFill>
                          <w14:schemeClr w14:val="tx1"/>
                        </w14:solidFill>
                      </w14:textFill>
                    </w:rPr>
                    <w:t>42</w:t>
                  </w:r>
                  <w:r>
                    <w:rPr>
                      <w:rFonts w:hint="default" w:ascii="Times New Roman" w:hAnsi="Times New Roman" w:eastAsia="宋体" w:cs="Times New Roman"/>
                      <w:color w:val="000000" w:themeColor="text1"/>
                      <w:lang w:eastAsia="zh-CN" w:bidi="ar"/>
                      <w14:textFill>
                        <w14:solidFill>
                          <w14:schemeClr w14:val="tx1"/>
                        </w14:solidFill>
                      </w14:textFill>
                    </w:rPr>
                    <w:t>%、表面活性剂</w:t>
                  </w:r>
                  <w:r>
                    <w:rPr>
                      <w:rFonts w:hint="default" w:ascii="Times New Roman" w:hAnsi="Times New Roman" w:eastAsia="宋体" w:cs="Times New Roman"/>
                      <w:color w:val="000000" w:themeColor="text1"/>
                      <w:lang w:val="en-US" w:eastAsia="zh-CN" w:bidi="ar"/>
                      <w14:textFill>
                        <w14:solidFill>
                          <w14:schemeClr w14:val="tx1"/>
                        </w14:solidFill>
                      </w14:textFill>
                    </w:rPr>
                    <w:t>3</w:t>
                  </w:r>
                  <w:r>
                    <w:rPr>
                      <w:rFonts w:hint="default" w:ascii="Times New Roman" w:hAnsi="Times New Roman" w:eastAsia="宋体" w:cs="Times New Roman"/>
                      <w:color w:val="000000" w:themeColor="text1"/>
                      <w:lang w:eastAsia="zh-CN" w:bidi="ar"/>
                      <w14:textFill>
                        <w14:solidFill>
                          <w14:schemeClr w14:val="tx1"/>
                        </w14:solidFill>
                      </w14:textFill>
                    </w:rPr>
                    <w:t>%、水55%，耐弱酸、耐碱和一般溶剂，但不耐强酸和强碱燃烧时产生蓝底黄火焰，有植物味。</w:t>
                  </w:r>
                </w:p>
              </w:tc>
            </w:tr>
            <w:tr w14:paraId="4CB91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71" w:type="dxa"/>
                  <w:vAlign w:val="center"/>
                </w:tcPr>
                <w:p w14:paraId="020D4C41">
                  <w:pPr>
                    <w:kinsoku/>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val="en-US" w:eastAsia="zh-CN" w:bidi="ar"/>
                      <w14:textFill>
                        <w14:solidFill>
                          <w14:schemeClr w14:val="tx1"/>
                        </w14:solidFill>
                      </w14:textFill>
                    </w:rPr>
                    <w:t>PET膜</w:t>
                  </w:r>
                </w:p>
              </w:tc>
              <w:tc>
                <w:tcPr>
                  <w:tcW w:w="6646" w:type="dxa"/>
                  <w:vAlign w:val="center"/>
                </w:tcPr>
                <w:p w14:paraId="64539C6B">
                  <w:pPr>
                    <w:kinsoku/>
                    <w:ind w:firstLine="210" w:firstLineChars="100"/>
                    <w:jc w:val="center"/>
                    <w:rPr>
                      <w:rFonts w:hint="default" w:ascii="Times New Roman" w:hAnsi="Times New Roman" w:eastAsia="宋体" w:cs="Times New Roman"/>
                      <w:color w:val="000000" w:themeColor="text1"/>
                      <w:lang w:eastAsia="zh-CN" w:bidi="ar"/>
                      <w14:textFill>
                        <w14:solidFill>
                          <w14:schemeClr w14:val="tx1"/>
                        </w14:solidFill>
                      </w14:textFill>
                    </w:rPr>
                  </w:pPr>
                  <w:r>
                    <w:rPr>
                      <w:rFonts w:hint="default" w:ascii="Times New Roman" w:hAnsi="Times New Roman" w:eastAsia="宋体" w:cs="Times New Roman"/>
                      <w:color w:val="000000" w:themeColor="text1"/>
                      <w:lang w:val="en-US" w:eastAsia="zh-CN" w:bidi="ar"/>
                      <w14:textFill>
                        <w14:solidFill>
                          <w14:schemeClr w14:val="tx1"/>
                        </w14:solidFill>
                      </w14:textFill>
                    </w:rPr>
                    <w:t>PET膜是聚对苯二甲酸乙二醇酯薄膜的简称，</w:t>
                  </w:r>
                  <w:r>
                    <w:rPr>
                      <w:rFonts w:hint="default" w:ascii="Times New Roman" w:hAnsi="Times New Roman" w:eastAsia="宋体" w:cs="Times New Roman"/>
                      <w:color w:val="000000" w:themeColor="text1"/>
                      <w:lang w:eastAsia="zh-CN" w:bidi="ar"/>
                      <w14:textFill>
                        <w14:solidFill>
                          <w14:schemeClr w14:val="tx1"/>
                        </w14:solidFill>
                      </w14:textFill>
                    </w:rPr>
                    <w:t>主要成分：聚对苯二甲酸乙二醇酯，由对苯二甲酸（PTA）和乙二醇（EG）通过缩聚反应合成。具有优良的物理机械性能，强韧性是所有热塑性塑料中最好的，抗张强度和抗冲击强度远高于一般薄膜；光学性能良好，透光率可达 90% 以上；耐热、耐寒性较好，长期使用温度范围为 - 40℃至 120℃；耐化学药品性和耐油性良好，但不耐强碱。广泛应用于包装领域，如食品饮料瓶、日化医药包装等；纺织与纤维领域，可制成涤纶纤维用于服装面料等；电子电器领域，用于制作连接器、线圈骨架等；还可用于光学领域，如偏光片基膜等。</w:t>
                  </w:r>
                </w:p>
              </w:tc>
            </w:tr>
            <w:tr w14:paraId="4B504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71" w:type="dxa"/>
                  <w:shd w:val="clear" w:color="auto" w:fill="auto"/>
                  <w:vAlign w:val="center"/>
                </w:tcPr>
                <w:p w14:paraId="4F2566EE">
                  <w:pPr>
                    <w:kinsoku/>
                    <w:jc w:val="center"/>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聚乙烯粒子</w:t>
                  </w:r>
                </w:p>
              </w:tc>
              <w:tc>
                <w:tcPr>
                  <w:tcW w:w="6646" w:type="dxa"/>
                  <w:shd w:val="clear" w:color="auto" w:fill="auto"/>
                  <w:vAlign w:val="center"/>
                </w:tcPr>
                <w:p w14:paraId="6D518761">
                  <w:pPr>
                    <w:kinsoku/>
                    <w:ind w:firstLine="210" w:firstLineChars="100"/>
                    <w:jc w:val="left"/>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聚乙烯（PE）粒子并非直接用于铝箔本身的生产，而是通过与铝箔进行复合加工。温下为无色或乳白色蜡状颗粒，表面光滑（部分添加填充剂或着色剂的粒子可能呈哑光或特定颜色），无异味、无臭；粒子尺寸通常为2-5mm（任意方向），堆积密度约0.4-0.6g/cm³（便于储存和输送）。聚乙烯粒子的理化性质呈现“共性稳定，差异显著”的特点：共性在于化学稳定、无毒、绝缘、低吸湿，适合广泛场景。‌</w:t>
                  </w:r>
                </w:p>
              </w:tc>
            </w:tr>
          </w:tbl>
          <w:p w14:paraId="1CBCD530">
            <w:pPr>
              <w:kinsoku/>
              <w:adjustRightInd/>
              <w:snapToGrid/>
              <w:spacing w:line="360" w:lineRule="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szCs w:val="24"/>
                <w14:textFill>
                  <w14:solidFill>
                    <w14:schemeClr w14:val="tx1"/>
                  </w14:solidFill>
                </w14:textFill>
              </w:rPr>
              <w:t>、产能匹配性分析</w:t>
            </w:r>
          </w:p>
          <w:p w14:paraId="7D804309">
            <w:pPr>
              <w:widowControl w:val="0"/>
              <w:kinsoku/>
              <w:autoSpaceDE/>
              <w:autoSpaceDN/>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（1）原辅料产能匹配相分析</w:t>
            </w:r>
          </w:p>
          <w:p w14:paraId="031E9727">
            <w:pPr>
              <w:widowControl w:val="0"/>
              <w:kinsoku/>
              <w:autoSpaceDE/>
              <w:autoSpaceDN/>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铝箔复合膜的厚度是由“铝箔层+基材层+胶黏剂层”共同构成的总厚度，常见范围集中在50μm-250μm之间，铝箔复合膜的厚度由多层结构叠加而成，不同层的厚度占比和功能差异显著，核心功能层：铝箔层厚度通常为6μm-25μm，不同领域对复合膜的阻隔性、强度、柔韧性要求不同，直接决定总厚度。</w:t>
            </w:r>
          </w:p>
          <w:p w14:paraId="1D119964">
            <w:pPr>
              <w:widowControl w:val="0"/>
              <w:kinsoku/>
              <w:autoSpaceDE/>
              <w:autoSpaceDN/>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食品/药品软包装（如零食袋、胶囊泡罩）总厚度：50μm-90μm典型结构：PET12μm+胶2μm+铝箔9μm+胶2μm+PET25μm（总厚度50μm），侧重轻薄和高阻隔性，避免内容物受潮、氧化。</w:t>
            </w:r>
          </w:p>
          <w:p w14:paraId="482213C2">
            <w:pPr>
              <w:widowControl w:val="0"/>
              <w:kinsoku/>
              <w:autoSpaceDE/>
              <w:autoSpaceDN/>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工业防护包装（如电子元件、精密零件）总厚度：100μm-150μm典型结构：PET15μm+胶2μm+铝箔12μm+胶2μm+PET40μm（总厚度71μm，可根据需求叠加PET层至120μm），强调耐穿刺和抗拉伸，防止运输中破损。</w:t>
            </w:r>
          </w:p>
          <w:p w14:paraId="5149C8DB">
            <w:pPr>
              <w:widowControl w:val="0"/>
              <w:kinsoku/>
              <w:autoSpaceDE/>
              <w:autoSpaceDN/>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新能源包装（如电池软包、储能材料）总厚度：150μm-250μm典型结构：PET25μm+胶3μm+铝箔20μm+胶3μm+PET25μm+胶3μm+PET80μm（总厚度 139μm，可增厚PET至150μm），需兼顾耐高温（120℃以上）和绝缘性，总厚度更高以保证结构稳定性。</w:t>
            </w:r>
          </w:p>
          <w:p w14:paraId="64F94887">
            <w:pPr>
              <w:widowControl w:val="0"/>
              <w:kinsoku/>
              <w:autoSpaceDE/>
              <w:autoSpaceDN/>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结合当前市场对铝箔产品“高精度厚度控制”的升级需求，本次扩建项目选用先进生产设备，可精准匹配民生、工业、新能源等多领域对不同厚度铝箔的细分应用场景，随着市场对高规格铝箔产品的需求增长，产品厚度精度要求提升，相应原辅料的消耗量也将同步增加。</w:t>
            </w:r>
          </w:p>
          <w:p w14:paraId="5344EF92">
            <w:pPr>
              <w:widowControl w:val="0"/>
              <w:kinsoku/>
              <w:autoSpaceDE/>
              <w:autoSpaceDN/>
              <w:adjustRightInd/>
              <w:snapToGrid/>
              <w:spacing w:line="360" w:lineRule="auto"/>
              <w:ind w:firstLine="482"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（2）生产设备产能匹配相分析</w:t>
            </w:r>
          </w:p>
          <w:p w14:paraId="6A589094">
            <w:pPr>
              <w:widowControl w:val="0"/>
              <w:kinsoku/>
              <w:autoSpaceDE/>
              <w:autoSpaceDN/>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据产品方案可知，扩建项目铝箔复合膜生产能力为500万m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/a，本项目设置铝箔玻纤布多功能复合机8台、铝箔复合膜贴面高速干复机2台。每台铝箔玻纤布多功能复合机产能生产能力0.12万m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/d</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，据此推算出年产铝箔玻纤复合膜288万m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/a;每台铝箔复合膜贴面高速干复机产能生产能力0.3万m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/d</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，据此推算出年产铝箔复合膜贴面180万m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/a;项目年工作时间300天，每天工作时间为8小时，据此推算出合计年产铝箔复合膜468万m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/a，与立项产能基本匹配。</w:t>
            </w:r>
          </w:p>
          <w:p w14:paraId="46F8780F">
            <w:pPr>
              <w:widowControl w:val="0"/>
              <w:kinsoku/>
              <w:autoSpaceDE/>
              <w:autoSpaceDN/>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本项目设置铝箔牛皮纸网格贴面多功能复合机4台，平板牛皮纸多功能复合机1台，每台复合机产能生产能力0.4万m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/d</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，项目年工作时间300天，每天工作时间为8小时，据此推算出年产牛皮纸加筋铝箔600万m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/a，与立项产能基本匹配。</w:t>
            </w:r>
          </w:p>
          <w:p w14:paraId="515DFBC0">
            <w:pPr>
              <w:kinsoku/>
              <w:adjustRightInd/>
              <w:snapToGrid/>
              <w:spacing w:line="360" w:lineRule="auto"/>
              <w:ind w:firstLine="482" w:firstLineChars="200"/>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、主要生产设备</w:t>
            </w:r>
          </w:p>
          <w:p w14:paraId="1D8FC740">
            <w:pPr>
              <w:pStyle w:val="47"/>
              <w:keepNext w:val="0"/>
              <w:keepLines w:val="0"/>
              <w:pageBreakBefore w:val="0"/>
              <w:widowControl w:val="0"/>
              <w:kinsoku/>
              <w:wordWrap/>
              <w:overflowPunct/>
              <w:topLinePunct w:val="0"/>
              <w:autoSpaceDE w:val="0"/>
              <w:autoSpaceDN w:val="0"/>
              <w:bidi w:val="0"/>
              <w:adjustRightInd/>
              <w:snapToGrid/>
              <w:textAlignment w:val="baseline"/>
              <w:rPr>
                <w:rFonts w:hint="default" w:ascii="Times New Roman" w:hAnsi="Times New Roman" w:eastAsia="宋体" w:cs="Times New Roman"/>
                <w:color w:val="000000" w:themeColor="text1"/>
                <w:kern w:val="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表2-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eastAsia="zh-CN"/>
                <w14:textFill>
                  <w14:solidFill>
                    <w14:schemeClr w14:val="tx1"/>
                  </w14:solidFill>
                </w14:textFill>
              </w:rPr>
              <w:t>生产设备一览表</w:t>
            </w:r>
          </w:p>
          <w:tbl>
            <w:tblPr>
              <w:tblStyle w:val="26"/>
              <w:tblW w:w="7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806"/>
              <w:gridCol w:w="1901"/>
              <w:gridCol w:w="1074"/>
              <w:gridCol w:w="614"/>
              <w:gridCol w:w="969"/>
              <w:gridCol w:w="892"/>
              <w:gridCol w:w="863"/>
            </w:tblGrid>
            <w:tr w14:paraId="0844B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38" w:type="dxa"/>
                  <w:vMerge w:val="restart"/>
                  <w:vAlign w:val="center"/>
                </w:tcPr>
                <w:p w14:paraId="2FDB9534">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序号</w:t>
                  </w:r>
                </w:p>
              </w:tc>
              <w:tc>
                <w:tcPr>
                  <w:tcW w:w="806" w:type="dxa"/>
                  <w:vMerge w:val="restart"/>
                  <w:vAlign w:val="center"/>
                </w:tcPr>
                <w:p w14:paraId="15F7B326">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主要工艺</w:t>
                  </w:r>
                </w:p>
              </w:tc>
              <w:tc>
                <w:tcPr>
                  <w:tcW w:w="1901" w:type="dxa"/>
                  <w:vMerge w:val="restart"/>
                  <w:vAlign w:val="center"/>
                </w:tcPr>
                <w:p w14:paraId="37E7C9E0">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设备名称</w:t>
                  </w:r>
                </w:p>
              </w:tc>
              <w:tc>
                <w:tcPr>
                  <w:tcW w:w="1074" w:type="dxa"/>
                  <w:vMerge w:val="restart"/>
                  <w:vAlign w:val="center"/>
                </w:tcPr>
                <w:p w14:paraId="1EF7651F">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型号</w:t>
                  </w:r>
                </w:p>
              </w:tc>
              <w:tc>
                <w:tcPr>
                  <w:tcW w:w="614" w:type="dxa"/>
                  <w:vMerge w:val="restart"/>
                  <w:vAlign w:val="center"/>
                </w:tcPr>
                <w:p w14:paraId="61B17DF7">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单位</w:t>
                  </w:r>
                </w:p>
              </w:tc>
              <w:tc>
                <w:tcPr>
                  <w:tcW w:w="2724" w:type="dxa"/>
                  <w:gridSpan w:val="3"/>
                  <w:vAlign w:val="center"/>
                </w:tcPr>
                <w:p w14:paraId="313353BD">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数量</w:t>
                  </w:r>
                </w:p>
              </w:tc>
            </w:tr>
            <w:tr w14:paraId="68EBD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38" w:type="dxa"/>
                  <w:vMerge w:val="continue"/>
                  <w:vAlign w:val="center"/>
                </w:tcPr>
                <w:p w14:paraId="6D86FFB2">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p>
              </w:tc>
              <w:tc>
                <w:tcPr>
                  <w:tcW w:w="806" w:type="dxa"/>
                  <w:vMerge w:val="continue"/>
                  <w:vAlign w:val="center"/>
                </w:tcPr>
                <w:p w14:paraId="5430B367">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p>
              </w:tc>
              <w:tc>
                <w:tcPr>
                  <w:tcW w:w="1901" w:type="dxa"/>
                  <w:vMerge w:val="continue"/>
                  <w:vAlign w:val="center"/>
                </w:tcPr>
                <w:p w14:paraId="6F4B579D">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p>
              </w:tc>
              <w:tc>
                <w:tcPr>
                  <w:tcW w:w="1074" w:type="dxa"/>
                  <w:vMerge w:val="continue"/>
                  <w:vAlign w:val="center"/>
                </w:tcPr>
                <w:p w14:paraId="031FF8D2">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p>
              </w:tc>
              <w:tc>
                <w:tcPr>
                  <w:tcW w:w="614" w:type="dxa"/>
                  <w:vMerge w:val="continue"/>
                  <w:vAlign w:val="center"/>
                </w:tcPr>
                <w:p w14:paraId="2336E0EC">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p>
              </w:tc>
              <w:tc>
                <w:tcPr>
                  <w:tcW w:w="969" w:type="dxa"/>
                  <w:shd w:val="clear" w:color="auto" w:fill="auto"/>
                  <w:vAlign w:val="center"/>
                </w:tcPr>
                <w:p w14:paraId="627755F6">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扩建前</w:t>
                  </w:r>
                </w:p>
              </w:tc>
              <w:tc>
                <w:tcPr>
                  <w:tcW w:w="892" w:type="dxa"/>
                  <w:shd w:val="clear" w:color="auto" w:fill="auto"/>
                  <w:vAlign w:val="center"/>
                </w:tcPr>
                <w:p w14:paraId="17097C9B">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扩建后</w:t>
                  </w:r>
                </w:p>
              </w:tc>
              <w:tc>
                <w:tcPr>
                  <w:tcW w:w="863" w:type="dxa"/>
                  <w:shd w:val="clear" w:color="auto" w:fill="auto"/>
                  <w:vAlign w:val="center"/>
                </w:tcPr>
                <w:p w14:paraId="5EEC8187">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变化量</w:t>
                  </w:r>
                </w:p>
              </w:tc>
            </w:tr>
            <w:tr w14:paraId="6E562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757" w:type="dxa"/>
                  <w:gridSpan w:val="8"/>
                  <w:vAlign w:val="center"/>
                </w:tcPr>
                <w:p w14:paraId="7BF5F08A">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现有项目生产设备</w:t>
                  </w:r>
                </w:p>
              </w:tc>
            </w:tr>
            <w:tr w14:paraId="52D28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638" w:type="dxa"/>
                  <w:vAlign w:val="center"/>
                </w:tcPr>
                <w:p w14:paraId="23BA215B">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1</w:t>
                  </w:r>
                </w:p>
              </w:tc>
              <w:tc>
                <w:tcPr>
                  <w:tcW w:w="806" w:type="dxa"/>
                  <w:vAlign w:val="center"/>
                </w:tcPr>
                <w:p w14:paraId="369E558F">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901" w:type="dxa"/>
                  <w:shd w:val="clear" w:color="auto" w:fill="auto"/>
                  <w:vAlign w:val="center"/>
                </w:tcPr>
                <w:p w14:paraId="73451CF2">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七层纳米气囊生产线</w:t>
                  </w:r>
                </w:p>
              </w:tc>
              <w:tc>
                <w:tcPr>
                  <w:tcW w:w="1074" w:type="dxa"/>
                  <w:shd w:val="clear" w:color="auto" w:fill="auto"/>
                  <w:vAlign w:val="center"/>
                </w:tcPr>
                <w:p w14:paraId="3D74737D">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2500日本产</w:t>
                  </w:r>
                </w:p>
              </w:tc>
              <w:tc>
                <w:tcPr>
                  <w:tcW w:w="614" w:type="dxa"/>
                  <w:vAlign w:val="center"/>
                </w:tcPr>
                <w:p w14:paraId="377F5AC0">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969" w:type="dxa"/>
                  <w:shd w:val="clear" w:color="auto" w:fill="auto"/>
                  <w:vAlign w:val="center"/>
                </w:tcPr>
                <w:p w14:paraId="145D56D4">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892" w:type="dxa"/>
                  <w:shd w:val="clear" w:color="auto" w:fill="auto"/>
                  <w:vAlign w:val="center"/>
                </w:tcPr>
                <w:p w14:paraId="5B48C387">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863" w:type="dxa"/>
                  <w:shd w:val="clear" w:color="auto" w:fill="auto"/>
                  <w:vAlign w:val="center"/>
                </w:tcPr>
                <w:p w14:paraId="36A12D4A">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14:paraId="11F46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638" w:type="dxa"/>
                  <w:vAlign w:val="center"/>
                </w:tcPr>
                <w:p w14:paraId="3285C4CC">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2</w:t>
                  </w:r>
                </w:p>
              </w:tc>
              <w:tc>
                <w:tcPr>
                  <w:tcW w:w="806" w:type="dxa"/>
                  <w:vAlign w:val="center"/>
                </w:tcPr>
                <w:p w14:paraId="50DB8B91">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901" w:type="dxa"/>
                  <w:shd w:val="clear" w:color="auto" w:fill="auto"/>
                  <w:vAlign w:val="center"/>
                </w:tcPr>
                <w:p w14:paraId="11862221">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五层纳米气囊生产线</w:t>
                  </w:r>
                </w:p>
              </w:tc>
              <w:tc>
                <w:tcPr>
                  <w:tcW w:w="1074" w:type="dxa"/>
                  <w:shd w:val="clear" w:color="auto" w:fill="auto"/>
                  <w:vAlign w:val="center"/>
                </w:tcPr>
                <w:p w14:paraId="61D80768">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1600台湾产</w:t>
                  </w:r>
                </w:p>
              </w:tc>
              <w:tc>
                <w:tcPr>
                  <w:tcW w:w="614" w:type="dxa"/>
                  <w:vAlign w:val="center"/>
                </w:tcPr>
                <w:p w14:paraId="37A0FC32">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969" w:type="dxa"/>
                  <w:shd w:val="clear" w:color="auto" w:fill="auto"/>
                  <w:vAlign w:val="center"/>
                </w:tcPr>
                <w:p w14:paraId="4799DCA1">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1</w:t>
                  </w:r>
                </w:p>
              </w:tc>
              <w:tc>
                <w:tcPr>
                  <w:tcW w:w="892" w:type="dxa"/>
                  <w:shd w:val="clear" w:color="auto" w:fill="auto"/>
                  <w:vAlign w:val="center"/>
                </w:tcPr>
                <w:p w14:paraId="0C16CB39">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1</w:t>
                  </w:r>
                </w:p>
              </w:tc>
              <w:tc>
                <w:tcPr>
                  <w:tcW w:w="863" w:type="dxa"/>
                  <w:shd w:val="clear" w:color="auto" w:fill="auto"/>
                  <w:vAlign w:val="center"/>
                </w:tcPr>
                <w:p w14:paraId="7196D86C">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14:paraId="30251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638" w:type="dxa"/>
                  <w:vAlign w:val="center"/>
                </w:tcPr>
                <w:p w14:paraId="7A6DECF6">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3</w:t>
                  </w:r>
                </w:p>
              </w:tc>
              <w:tc>
                <w:tcPr>
                  <w:tcW w:w="806" w:type="dxa"/>
                  <w:vAlign w:val="center"/>
                </w:tcPr>
                <w:p w14:paraId="66288E54">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涂布复合</w:t>
                  </w:r>
                </w:p>
              </w:tc>
              <w:tc>
                <w:tcPr>
                  <w:tcW w:w="1901" w:type="dxa"/>
                  <w:shd w:val="clear" w:color="auto" w:fill="auto"/>
                  <w:vAlign w:val="center"/>
                </w:tcPr>
                <w:p w14:paraId="3CE91B2F">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全自动流延复合机</w:t>
                  </w:r>
                </w:p>
              </w:tc>
              <w:tc>
                <w:tcPr>
                  <w:tcW w:w="1074" w:type="dxa"/>
                  <w:shd w:val="clear" w:color="auto" w:fill="auto"/>
                  <w:vAlign w:val="center"/>
                </w:tcPr>
                <w:p w14:paraId="55C4BEC7">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2100*3200</w:t>
                  </w:r>
                </w:p>
              </w:tc>
              <w:tc>
                <w:tcPr>
                  <w:tcW w:w="614" w:type="dxa"/>
                  <w:vAlign w:val="center"/>
                </w:tcPr>
                <w:p w14:paraId="77D7B6ED">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969" w:type="dxa"/>
                  <w:shd w:val="clear" w:color="auto" w:fill="auto"/>
                  <w:vAlign w:val="center"/>
                </w:tcPr>
                <w:p w14:paraId="71D69F6B">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2</w:t>
                  </w:r>
                </w:p>
              </w:tc>
              <w:tc>
                <w:tcPr>
                  <w:tcW w:w="892" w:type="dxa"/>
                  <w:shd w:val="clear" w:color="auto" w:fill="auto"/>
                  <w:vAlign w:val="center"/>
                </w:tcPr>
                <w:p w14:paraId="4D6DCEC9">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2</w:t>
                  </w:r>
                </w:p>
              </w:tc>
              <w:tc>
                <w:tcPr>
                  <w:tcW w:w="863" w:type="dxa"/>
                  <w:shd w:val="clear" w:color="auto" w:fill="auto"/>
                  <w:vAlign w:val="center"/>
                </w:tcPr>
                <w:p w14:paraId="11BF2537">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14:paraId="10F0D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638" w:type="dxa"/>
                  <w:vAlign w:val="center"/>
                </w:tcPr>
                <w:p w14:paraId="6DAE12FB">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4</w:t>
                  </w:r>
                </w:p>
              </w:tc>
              <w:tc>
                <w:tcPr>
                  <w:tcW w:w="806" w:type="dxa"/>
                  <w:vAlign w:val="center"/>
                </w:tcPr>
                <w:p w14:paraId="4A1B15DA">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涂布复合</w:t>
                  </w:r>
                </w:p>
              </w:tc>
              <w:tc>
                <w:tcPr>
                  <w:tcW w:w="1901" w:type="dxa"/>
                  <w:shd w:val="clear" w:color="auto" w:fill="auto"/>
                  <w:vAlign w:val="center"/>
                </w:tcPr>
                <w:p w14:paraId="0C2230FA">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全自动干复机组</w:t>
                  </w:r>
                </w:p>
              </w:tc>
              <w:tc>
                <w:tcPr>
                  <w:tcW w:w="1074" w:type="dxa"/>
                  <w:shd w:val="clear" w:color="auto" w:fill="auto"/>
                  <w:vAlign w:val="center"/>
                </w:tcPr>
                <w:p w14:paraId="16BDA610">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1600*4200-2S(二色机)</w:t>
                  </w:r>
                </w:p>
              </w:tc>
              <w:tc>
                <w:tcPr>
                  <w:tcW w:w="614" w:type="dxa"/>
                  <w:vAlign w:val="center"/>
                </w:tcPr>
                <w:p w14:paraId="049872FB">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969" w:type="dxa"/>
                  <w:shd w:val="clear" w:color="auto" w:fill="auto"/>
                  <w:vAlign w:val="center"/>
                </w:tcPr>
                <w:p w14:paraId="0B609AB4">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1</w:t>
                  </w:r>
                </w:p>
              </w:tc>
              <w:tc>
                <w:tcPr>
                  <w:tcW w:w="892" w:type="dxa"/>
                  <w:shd w:val="clear" w:color="auto" w:fill="auto"/>
                  <w:vAlign w:val="center"/>
                </w:tcPr>
                <w:p w14:paraId="22990F8F">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1</w:t>
                  </w:r>
                </w:p>
              </w:tc>
              <w:tc>
                <w:tcPr>
                  <w:tcW w:w="863" w:type="dxa"/>
                  <w:shd w:val="clear" w:color="auto" w:fill="auto"/>
                  <w:vAlign w:val="center"/>
                </w:tcPr>
                <w:p w14:paraId="45CF574D">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14:paraId="6C2EB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638" w:type="dxa"/>
                  <w:vAlign w:val="center"/>
                </w:tcPr>
                <w:p w14:paraId="1A57EFAE">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5</w:t>
                  </w:r>
                </w:p>
              </w:tc>
              <w:tc>
                <w:tcPr>
                  <w:tcW w:w="806" w:type="dxa"/>
                  <w:vAlign w:val="center"/>
                </w:tcPr>
                <w:p w14:paraId="3A92A5AD">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分切</w:t>
                  </w:r>
                </w:p>
              </w:tc>
              <w:tc>
                <w:tcPr>
                  <w:tcW w:w="1901" w:type="dxa"/>
                  <w:shd w:val="clear" w:color="auto" w:fill="auto"/>
                  <w:vAlign w:val="center"/>
                </w:tcPr>
                <w:p w14:paraId="26EAB1EB">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全自动分切机</w:t>
                  </w:r>
                </w:p>
              </w:tc>
              <w:tc>
                <w:tcPr>
                  <w:tcW w:w="1074" w:type="dxa"/>
                  <w:shd w:val="clear" w:color="auto" w:fill="auto"/>
                  <w:vAlign w:val="center"/>
                </w:tcPr>
                <w:p w14:paraId="14B85692">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1600型</w:t>
                  </w:r>
                </w:p>
              </w:tc>
              <w:tc>
                <w:tcPr>
                  <w:tcW w:w="614" w:type="dxa"/>
                  <w:vAlign w:val="center"/>
                </w:tcPr>
                <w:p w14:paraId="7EDDDC7A">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969" w:type="dxa"/>
                  <w:shd w:val="clear" w:color="auto" w:fill="auto"/>
                  <w:vAlign w:val="center"/>
                </w:tcPr>
                <w:p w14:paraId="2A70EC5D">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1</w:t>
                  </w:r>
                </w:p>
              </w:tc>
              <w:tc>
                <w:tcPr>
                  <w:tcW w:w="892" w:type="dxa"/>
                  <w:shd w:val="clear" w:color="auto" w:fill="auto"/>
                  <w:vAlign w:val="center"/>
                </w:tcPr>
                <w:p w14:paraId="4D27F7B5">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1</w:t>
                  </w:r>
                </w:p>
              </w:tc>
              <w:tc>
                <w:tcPr>
                  <w:tcW w:w="863" w:type="dxa"/>
                  <w:shd w:val="clear" w:color="auto" w:fill="auto"/>
                  <w:vAlign w:val="center"/>
                </w:tcPr>
                <w:p w14:paraId="4B9F1EAC">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14:paraId="759E4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638" w:type="dxa"/>
                  <w:vAlign w:val="center"/>
                </w:tcPr>
                <w:p w14:paraId="066E0305">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6</w:t>
                  </w:r>
                </w:p>
              </w:tc>
              <w:tc>
                <w:tcPr>
                  <w:tcW w:w="806" w:type="dxa"/>
                  <w:vAlign w:val="center"/>
                </w:tcPr>
                <w:p w14:paraId="4576966E">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分切</w:t>
                  </w:r>
                </w:p>
              </w:tc>
              <w:tc>
                <w:tcPr>
                  <w:tcW w:w="1901" w:type="dxa"/>
                  <w:shd w:val="clear" w:color="auto" w:fill="auto"/>
                  <w:vAlign w:val="center"/>
                </w:tcPr>
                <w:p w14:paraId="7175DBF7">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全自动高速薄膜分切机</w:t>
                  </w:r>
                </w:p>
              </w:tc>
              <w:tc>
                <w:tcPr>
                  <w:tcW w:w="1074" w:type="dxa"/>
                  <w:shd w:val="clear" w:color="auto" w:fill="auto"/>
                  <w:vAlign w:val="center"/>
                </w:tcPr>
                <w:p w14:paraId="5184830C">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1600、1350型号</w:t>
                  </w:r>
                </w:p>
              </w:tc>
              <w:tc>
                <w:tcPr>
                  <w:tcW w:w="614" w:type="dxa"/>
                  <w:vAlign w:val="center"/>
                </w:tcPr>
                <w:p w14:paraId="63A447FC">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969" w:type="dxa"/>
                  <w:shd w:val="clear" w:color="auto" w:fill="auto"/>
                  <w:vAlign w:val="center"/>
                </w:tcPr>
                <w:p w14:paraId="1D43CEAE">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2</w:t>
                  </w:r>
                </w:p>
              </w:tc>
              <w:tc>
                <w:tcPr>
                  <w:tcW w:w="892" w:type="dxa"/>
                  <w:shd w:val="clear" w:color="auto" w:fill="auto"/>
                  <w:vAlign w:val="center"/>
                </w:tcPr>
                <w:p w14:paraId="43A07013">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2</w:t>
                  </w:r>
                </w:p>
              </w:tc>
              <w:tc>
                <w:tcPr>
                  <w:tcW w:w="863" w:type="dxa"/>
                  <w:shd w:val="clear" w:color="auto" w:fill="auto"/>
                  <w:vAlign w:val="center"/>
                </w:tcPr>
                <w:p w14:paraId="44D5C9CF">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14:paraId="20966A6A">
              <w:tblPrEx>
                <w:tblCellMar>
                  <w:top w:w="0" w:type="dxa"/>
                  <w:left w:w="108" w:type="dxa"/>
                  <w:bottom w:w="0" w:type="dxa"/>
                  <w:right w:w="108" w:type="dxa"/>
                </w:tblCellMar>
              </w:tblPrEx>
              <w:trPr>
                <w:trHeight w:val="312" w:hRule="atLeast"/>
                <w:jc w:val="center"/>
              </w:trPr>
              <w:tc>
                <w:tcPr>
                  <w:tcW w:w="638" w:type="dxa"/>
                  <w:vAlign w:val="center"/>
                </w:tcPr>
                <w:p w14:paraId="482862CB">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7</w:t>
                  </w:r>
                </w:p>
              </w:tc>
              <w:tc>
                <w:tcPr>
                  <w:tcW w:w="806" w:type="dxa"/>
                  <w:vAlign w:val="center"/>
                </w:tcPr>
                <w:p w14:paraId="5062EF79">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加筋</w:t>
                  </w:r>
                </w:p>
              </w:tc>
              <w:tc>
                <w:tcPr>
                  <w:tcW w:w="1901" w:type="dxa"/>
                  <w:shd w:val="clear" w:color="auto" w:fill="auto"/>
                  <w:vAlign w:val="center"/>
                </w:tcPr>
                <w:p w14:paraId="7E89CABF">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半自动高速加筋</w:t>
                  </w:r>
                </w:p>
              </w:tc>
              <w:tc>
                <w:tcPr>
                  <w:tcW w:w="1074" w:type="dxa"/>
                  <w:shd w:val="clear" w:color="auto" w:fill="auto"/>
                  <w:vAlign w:val="center"/>
                </w:tcPr>
                <w:p w14:paraId="073400C5">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1500型</w:t>
                  </w:r>
                </w:p>
              </w:tc>
              <w:tc>
                <w:tcPr>
                  <w:tcW w:w="614" w:type="dxa"/>
                  <w:vAlign w:val="center"/>
                </w:tcPr>
                <w:p w14:paraId="710E30F2">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969" w:type="dxa"/>
                  <w:shd w:val="clear" w:color="auto" w:fill="auto"/>
                  <w:vAlign w:val="center"/>
                </w:tcPr>
                <w:p w14:paraId="6EBCEA91">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2</w:t>
                  </w:r>
                </w:p>
              </w:tc>
              <w:tc>
                <w:tcPr>
                  <w:tcW w:w="892" w:type="dxa"/>
                  <w:shd w:val="clear" w:color="auto" w:fill="auto"/>
                  <w:vAlign w:val="center"/>
                </w:tcPr>
                <w:p w14:paraId="1DE2C586">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2</w:t>
                  </w:r>
                </w:p>
              </w:tc>
              <w:tc>
                <w:tcPr>
                  <w:tcW w:w="863" w:type="dxa"/>
                  <w:shd w:val="clear" w:color="auto" w:fill="auto"/>
                  <w:vAlign w:val="center"/>
                </w:tcPr>
                <w:p w14:paraId="2CB6AABD">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14:paraId="4569F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638" w:type="dxa"/>
                  <w:shd w:val="clear" w:color="auto" w:fill="auto"/>
                  <w:vAlign w:val="center"/>
                </w:tcPr>
                <w:p w14:paraId="5B76B94F">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t>8</w:t>
                  </w:r>
                </w:p>
              </w:tc>
              <w:tc>
                <w:tcPr>
                  <w:tcW w:w="806" w:type="dxa"/>
                  <w:shd w:val="clear" w:color="auto" w:fill="auto"/>
                  <w:vAlign w:val="center"/>
                </w:tcPr>
                <w:p w14:paraId="65422E4B">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涂布复合</w:t>
                  </w:r>
                </w:p>
              </w:tc>
              <w:tc>
                <w:tcPr>
                  <w:tcW w:w="1901" w:type="dxa"/>
                  <w:shd w:val="clear" w:color="auto" w:fill="auto"/>
                  <w:vAlign w:val="center"/>
                </w:tcPr>
                <w:p w14:paraId="550E8CD7">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玻纤布铝箔复合机</w:t>
                  </w:r>
                </w:p>
              </w:tc>
              <w:tc>
                <w:tcPr>
                  <w:tcW w:w="1074" w:type="dxa"/>
                  <w:shd w:val="clear" w:color="auto" w:fill="auto"/>
                  <w:vAlign w:val="center"/>
                </w:tcPr>
                <w:p w14:paraId="1A4CC6CC">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1350型号</w:t>
                  </w:r>
                </w:p>
              </w:tc>
              <w:tc>
                <w:tcPr>
                  <w:tcW w:w="614" w:type="dxa"/>
                  <w:shd w:val="clear" w:color="auto" w:fill="auto"/>
                  <w:vAlign w:val="center"/>
                </w:tcPr>
                <w:p w14:paraId="27941085">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969" w:type="dxa"/>
                  <w:shd w:val="clear" w:color="auto" w:fill="auto"/>
                  <w:vAlign w:val="center"/>
                </w:tcPr>
                <w:p w14:paraId="58AD719B">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1</w:t>
                  </w:r>
                </w:p>
              </w:tc>
              <w:tc>
                <w:tcPr>
                  <w:tcW w:w="892" w:type="dxa"/>
                  <w:shd w:val="clear" w:color="auto" w:fill="auto"/>
                  <w:vAlign w:val="center"/>
                </w:tcPr>
                <w:p w14:paraId="4AC6D003">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1</w:t>
                  </w:r>
                </w:p>
              </w:tc>
              <w:tc>
                <w:tcPr>
                  <w:tcW w:w="863" w:type="dxa"/>
                  <w:shd w:val="clear" w:color="auto" w:fill="auto"/>
                  <w:vAlign w:val="center"/>
                </w:tcPr>
                <w:p w14:paraId="58BFFCCC">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14:paraId="2A2B5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57" w:type="dxa"/>
                  <w:gridSpan w:val="8"/>
                  <w:vAlign w:val="center"/>
                </w:tcPr>
                <w:p w14:paraId="1EFAA6F7">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扩建项目生产设备</w:t>
                  </w:r>
                </w:p>
              </w:tc>
            </w:tr>
            <w:tr w14:paraId="361D4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757" w:type="dxa"/>
                  <w:gridSpan w:val="8"/>
                  <w:shd w:val="clear" w:color="auto" w:fill="auto"/>
                  <w:vAlign w:val="center"/>
                </w:tcPr>
                <w:p w14:paraId="755FFFC1">
                  <w:pPr>
                    <w:keepNext w:val="0"/>
                    <w:keepLines w:val="0"/>
                    <w:pageBreakBefore w:val="0"/>
                    <w:widowControl w:val="0"/>
                    <w:kinsoku/>
                    <w:wordWrap/>
                    <w:overflowPunct/>
                    <w:topLinePunct w:val="0"/>
                    <w:autoSpaceDE/>
                    <w:autoSpaceDN w:val="0"/>
                    <w:bidi w:val="0"/>
                    <w:adjustRightInd/>
                    <w:snapToGrid/>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一、</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铝箔复合膜生产工艺流程</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图</w:t>
                  </w:r>
                </w:p>
              </w:tc>
            </w:tr>
            <w:tr w14:paraId="52DB3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38" w:type="dxa"/>
                  <w:shd w:val="clear" w:color="auto" w:fill="auto"/>
                  <w:vAlign w:val="center"/>
                </w:tcPr>
                <w:p w14:paraId="238A4EB2">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p>
              </w:tc>
              <w:tc>
                <w:tcPr>
                  <w:tcW w:w="806" w:type="dxa"/>
                  <w:shd w:val="clear" w:color="auto" w:fill="auto"/>
                  <w:vAlign w:val="center"/>
                </w:tcPr>
                <w:p w14:paraId="032B4ED0">
                  <w:pPr>
                    <w:widowControl/>
                    <w:jc w:val="center"/>
                    <w:rPr>
                      <w:rFonts w:hint="default" w:ascii="Times New Roman" w:hAnsi="Times New Roman" w:eastAsia="宋体" w:cs="Times New Roman"/>
                      <w:i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涂布复合</w:t>
                  </w:r>
                </w:p>
              </w:tc>
              <w:tc>
                <w:tcPr>
                  <w:tcW w:w="1901" w:type="dxa"/>
                  <w:shd w:val="clear" w:color="auto" w:fill="auto"/>
                  <w:vAlign w:val="center"/>
                </w:tcPr>
                <w:p w14:paraId="6D06E88B">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铝箔复合膜贴面高速干复机</w:t>
                  </w:r>
                </w:p>
              </w:tc>
              <w:tc>
                <w:tcPr>
                  <w:tcW w:w="1074" w:type="dxa"/>
                  <w:shd w:val="clear" w:color="auto" w:fill="auto"/>
                  <w:vAlign w:val="center"/>
                </w:tcPr>
                <w:p w14:paraId="51CE234D">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GF-1400</w:t>
                  </w:r>
                </w:p>
              </w:tc>
              <w:tc>
                <w:tcPr>
                  <w:tcW w:w="614" w:type="dxa"/>
                  <w:vAlign w:val="center"/>
                </w:tcPr>
                <w:p w14:paraId="6E52AFE8">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969" w:type="dxa"/>
                  <w:shd w:val="clear" w:color="auto" w:fill="auto"/>
                  <w:vAlign w:val="center"/>
                </w:tcPr>
                <w:p w14:paraId="3E55A31C">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c>
                <w:tcPr>
                  <w:tcW w:w="892" w:type="dxa"/>
                  <w:shd w:val="clear" w:color="auto" w:fill="auto"/>
                  <w:vAlign w:val="center"/>
                </w:tcPr>
                <w:p w14:paraId="3E0D6D77">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863" w:type="dxa"/>
                  <w:shd w:val="clear" w:color="auto" w:fill="auto"/>
                  <w:vAlign w:val="center"/>
                </w:tcPr>
                <w:p w14:paraId="1B80830A">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r>
            <w:tr w14:paraId="2493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757" w:type="dxa"/>
                  <w:gridSpan w:val="8"/>
                  <w:shd w:val="clear" w:color="auto" w:fill="auto"/>
                  <w:vAlign w:val="center"/>
                </w:tcPr>
                <w:p w14:paraId="2AF8500C">
                  <w:pPr>
                    <w:keepNext w:val="0"/>
                    <w:keepLines w:val="0"/>
                    <w:pageBreakBefore w:val="0"/>
                    <w:widowControl w:val="0"/>
                    <w:kinsoku/>
                    <w:wordWrap/>
                    <w:overflowPunct/>
                    <w:topLinePunct w:val="0"/>
                    <w:autoSpaceDE/>
                    <w:autoSpaceDN w:val="0"/>
                    <w:bidi w:val="0"/>
                    <w:adjustRightInd/>
                    <w:snapToGrid/>
                    <w:jc w:val="both"/>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二、铝箔玻纤布复合膜</w:t>
                  </w:r>
                </w:p>
              </w:tc>
            </w:tr>
            <w:tr w14:paraId="0E638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638" w:type="dxa"/>
                  <w:shd w:val="clear" w:color="auto" w:fill="auto"/>
                  <w:vAlign w:val="center"/>
                </w:tcPr>
                <w:p w14:paraId="1C7A915B">
                  <w:pPr>
                    <w:widowControl/>
                    <w:jc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w:t>
                  </w:r>
                </w:p>
              </w:tc>
              <w:tc>
                <w:tcPr>
                  <w:tcW w:w="806" w:type="dxa"/>
                  <w:shd w:val="clear" w:color="auto" w:fill="auto"/>
                  <w:vAlign w:val="center"/>
                </w:tcPr>
                <w:p w14:paraId="0E13F8AB">
                  <w:pPr>
                    <w:widowControl/>
                    <w:jc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加热复合</w:t>
                  </w:r>
                </w:p>
              </w:tc>
              <w:tc>
                <w:tcPr>
                  <w:tcW w:w="1901" w:type="dxa"/>
                  <w:shd w:val="clear" w:color="auto" w:fill="auto"/>
                  <w:vAlign w:val="center"/>
                </w:tcPr>
                <w:p w14:paraId="2263D66C">
                  <w:pPr>
                    <w:widowControl/>
                    <w:jc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铝箔玻纤布多功能复合机</w:t>
                  </w:r>
                </w:p>
              </w:tc>
              <w:tc>
                <w:tcPr>
                  <w:tcW w:w="1074" w:type="dxa"/>
                  <w:shd w:val="clear" w:color="auto" w:fill="auto"/>
                  <w:vAlign w:val="center"/>
                </w:tcPr>
                <w:p w14:paraId="65E45950">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BQ-1400</w:t>
                  </w:r>
                </w:p>
              </w:tc>
              <w:tc>
                <w:tcPr>
                  <w:tcW w:w="614" w:type="dxa"/>
                  <w:shd w:val="clear" w:color="auto" w:fill="auto"/>
                  <w:vAlign w:val="center"/>
                </w:tcPr>
                <w:p w14:paraId="21ED9485">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969" w:type="dxa"/>
                  <w:shd w:val="clear" w:color="auto" w:fill="auto"/>
                  <w:vAlign w:val="center"/>
                </w:tcPr>
                <w:p w14:paraId="51B6D002">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c>
                <w:tcPr>
                  <w:tcW w:w="892" w:type="dxa"/>
                  <w:shd w:val="clear" w:color="auto" w:fill="auto"/>
                  <w:vAlign w:val="center"/>
                </w:tcPr>
                <w:p w14:paraId="62BA2768">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p>
              </w:tc>
              <w:tc>
                <w:tcPr>
                  <w:tcW w:w="863" w:type="dxa"/>
                  <w:shd w:val="clear" w:color="auto" w:fill="auto"/>
                  <w:vAlign w:val="center"/>
                </w:tcPr>
                <w:p w14:paraId="7753B587">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p>
              </w:tc>
            </w:tr>
            <w:tr w14:paraId="08A9A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757" w:type="dxa"/>
                  <w:gridSpan w:val="8"/>
                  <w:shd w:val="clear" w:color="auto" w:fill="auto"/>
                  <w:vAlign w:val="center"/>
                </w:tcPr>
                <w:p w14:paraId="37DD67B5">
                  <w:pPr>
                    <w:keepNext w:val="0"/>
                    <w:keepLines w:val="0"/>
                    <w:pageBreakBefore w:val="0"/>
                    <w:widowControl w:val="0"/>
                    <w:kinsoku/>
                    <w:wordWrap/>
                    <w:overflowPunct/>
                    <w:topLinePunct w:val="0"/>
                    <w:autoSpaceDE/>
                    <w:autoSpaceDN w:val="0"/>
                    <w:bidi w:val="0"/>
                    <w:adjustRightInd/>
                    <w:snapToGrid/>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三、牛皮纸加筋铝箔生产</w:t>
                  </w:r>
                </w:p>
              </w:tc>
            </w:tr>
            <w:tr w14:paraId="13AD3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shd w:val="clear" w:color="auto" w:fill="auto"/>
                  <w:vAlign w:val="center"/>
                </w:tcPr>
                <w:p w14:paraId="518ACF51">
                  <w:pPr>
                    <w:widowControl/>
                    <w:jc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8</w:t>
                  </w:r>
                </w:p>
              </w:tc>
              <w:tc>
                <w:tcPr>
                  <w:tcW w:w="806" w:type="dxa"/>
                  <w:shd w:val="clear" w:color="auto" w:fill="auto"/>
                  <w:vAlign w:val="center"/>
                </w:tcPr>
                <w:p w14:paraId="0A6BEF49">
                  <w:pPr>
                    <w:widowControl/>
                    <w:jc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加筋</w:t>
                  </w:r>
                </w:p>
              </w:tc>
              <w:tc>
                <w:tcPr>
                  <w:tcW w:w="1901" w:type="dxa"/>
                  <w:shd w:val="clear" w:color="auto" w:fill="auto"/>
                  <w:vAlign w:val="center"/>
                </w:tcPr>
                <w:p w14:paraId="4EC98446">
                  <w:pPr>
                    <w:widowControl/>
                    <w:jc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半自动高速加筋</w:t>
                  </w:r>
                </w:p>
              </w:tc>
              <w:tc>
                <w:tcPr>
                  <w:tcW w:w="1074" w:type="dxa"/>
                  <w:shd w:val="clear" w:color="auto" w:fill="auto"/>
                  <w:vAlign w:val="center"/>
                </w:tcPr>
                <w:p w14:paraId="4CE87416">
                  <w:pPr>
                    <w:widowControl/>
                    <w:jc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1400型</w:t>
                  </w:r>
                </w:p>
              </w:tc>
              <w:tc>
                <w:tcPr>
                  <w:tcW w:w="614" w:type="dxa"/>
                  <w:shd w:val="clear" w:color="auto" w:fill="auto"/>
                  <w:vAlign w:val="center"/>
                </w:tcPr>
                <w:p w14:paraId="72A66DA7">
                  <w:pPr>
                    <w:widowControl/>
                    <w:jc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台</w:t>
                  </w:r>
                </w:p>
              </w:tc>
              <w:tc>
                <w:tcPr>
                  <w:tcW w:w="969" w:type="dxa"/>
                  <w:shd w:val="clear" w:color="auto" w:fill="auto"/>
                  <w:vAlign w:val="center"/>
                </w:tcPr>
                <w:p w14:paraId="5DED1F9F">
                  <w:pPr>
                    <w:widowControl/>
                    <w:jc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6</w:t>
                  </w:r>
                </w:p>
              </w:tc>
              <w:tc>
                <w:tcPr>
                  <w:tcW w:w="892" w:type="dxa"/>
                  <w:shd w:val="clear" w:color="auto" w:fill="auto"/>
                  <w:vAlign w:val="center"/>
                </w:tcPr>
                <w:p w14:paraId="40587E22">
                  <w:pPr>
                    <w:widowControl/>
                    <w:jc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9</w:t>
                  </w:r>
                </w:p>
              </w:tc>
              <w:tc>
                <w:tcPr>
                  <w:tcW w:w="863" w:type="dxa"/>
                  <w:shd w:val="clear" w:color="auto" w:fill="auto"/>
                  <w:vAlign w:val="center"/>
                </w:tcPr>
                <w:p w14:paraId="4F086E5B">
                  <w:pPr>
                    <w:widowControl/>
                    <w:jc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w:t>
                  </w:r>
                </w:p>
              </w:tc>
            </w:tr>
            <w:tr w14:paraId="7D1EB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38" w:type="dxa"/>
                  <w:shd w:val="clear" w:color="auto" w:fill="auto"/>
                  <w:vAlign w:val="center"/>
                </w:tcPr>
                <w:p w14:paraId="5FD96CD4">
                  <w:pPr>
                    <w:widowControl/>
                    <w:jc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w:t>
                  </w:r>
                </w:p>
              </w:tc>
              <w:tc>
                <w:tcPr>
                  <w:tcW w:w="806" w:type="dxa"/>
                  <w:shd w:val="clear" w:color="auto" w:fill="auto"/>
                  <w:vAlign w:val="center"/>
                </w:tcPr>
                <w:p w14:paraId="4907C3F8">
                  <w:pPr>
                    <w:widowControl/>
                    <w:jc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加热复合</w:t>
                  </w:r>
                </w:p>
              </w:tc>
              <w:tc>
                <w:tcPr>
                  <w:tcW w:w="1901" w:type="dxa"/>
                  <w:shd w:val="clear" w:color="auto" w:fill="auto"/>
                  <w:vAlign w:val="center"/>
                </w:tcPr>
                <w:p w14:paraId="2A80CD7B">
                  <w:pPr>
                    <w:widowControl/>
                    <w:jc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铝箔牛皮纸网格贴面多功能复合机</w:t>
                  </w:r>
                </w:p>
              </w:tc>
              <w:tc>
                <w:tcPr>
                  <w:tcW w:w="1074" w:type="dxa"/>
                  <w:shd w:val="clear" w:color="auto" w:fill="auto"/>
                  <w:vAlign w:val="center"/>
                </w:tcPr>
                <w:p w14:paraId="324C4795">
                  <w:pPr>
                    <w:widowControl/>
                    <w:jc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JF-1500</w:t>
                  </w:r>
                </w:p>
              </w:tc>
              <w:tc>
                <w:tcPr>
                  <w:tcW w:w="614" w:type="dxa"/>
                  <w:vAlign w:val="center"/>
                </w:tcPr>
                <w:p w14:paraId="2B5DBB9A">
                  <w:pPr>
                    <w:widowControl/>
                    <w:jc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台</w:t>
                  </w:r>
                </w:p>
              </w:tc>
              <w:tc>
                <w:tcPr>
                  <w:tcW w:w="969" w:type="dxa"/>
                  <w:shd w:val="clear" w:color="auto" w:fill="auto"/>
                  <w:vAlign w:val="center"/>
                </w:tcPr>
                <w:p w14:paraId="3E429DFF">
                  <w:pPr>
                    <w:widowControl/>
                    <w:jc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p>
              </w:tc>
              <w:tc>
                <w:tcPr>
                  <w:tcW w:w="892" w:type="dxa"/>
                  <w:shd w:val="clear" w:color="auto" w:fill="auto"/>
                  <w:vAlign w:val="center"/>
                </w:tcPr>
                <w:p w14:paraId="50EA70D5">
                  <w:pPr>
                    <w:widowControl/>
                    <w:jc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4</w:t>
                  </w:r>
                </w:p>
              </w:tc>
              <w:tc>
                <w:tcPr>
                  <w:tcW w:w="863" w:type="dxa"/>
                  <w:shd w:val="clear" w:color="auto" w:fill="auto"/>
                  <w:vAlign w:val="center"/>
                </w:tcPr>
                <w:p w14:paraId="3C24A528">
                  <w:pPr>
                    <w:widowControl/>
                    <w:jc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+4</w:t>
                  </w:r>
                </w:p>
              </w:tc>
            </w:tr>
            <w:tr w14:paraId="01774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38" w:type="dxa"/>
                  <w:shd w:val="clear" w:color="auto" w:fill="auto"/>
                  <w:vAlign w:val="center"/>
                </w:tcPr>
                <w:p w14:paraId="23357DBE">
                  <w:pPr>
                    <w:widowControl/>
                    <w:jc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12</w:t>
                  </w:r>
                </w:p>
              </w:tc>
              <w:tc>
                <w:tcPr>
                  <w:tcW w:w="806" w:type="dxa"/>
                  <w:shd w:val="clear" w:color="auto" w:fill="auto"/>
                  <w:vAlign w:val="center"/>
                </w:tcPr>
                <w:p w14:paraId="110C0B8D">
                  <w:pPr>
                    <w:widowControl/>
                    <w:jc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涂布复合</w:t>
                  </w:r>
                </w:p>
              </w:tc>
              <w:tc>
                <w:tcPr>
                  <w:tcW w:w="1901" w:type="dxa"/>
                  <w:shd w:val="clear" w:color="auto" w:fill="auto"/>
                  <w:vAlign w:val="center"/>
                </w:tcPr>
                <w:p w14:paraId="688A2139">
                  <w:pPr>
                    <w:widowControl/>
                    <w:jc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平板牛皮纸多功能复合机</w:t>
                  </w:r>
                </w:p>
              </w:tc>
              <w:tc>
                <w:tcPr>
                  <w:tcW w:w="1074" w:type="dxa"/>
                  <w:shd w:val="clear" w:color="auto" w:fill="auto"/>
                  <w:vAlign w:val="center"/>
                </w:tcPr>
                <w:p w14:paraId="7B1A3246">
                  <w:pPr>
                    <w:widowControl/>
                    <w:jc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TB-1400</w:t>
                  </w:r>
                </w:p>
              </w:tc>
              <w:tc>
                <w:tcPr>
                  <w:tcW w:w="614" w:type="dxa"/>
                  <w:vAlign w:val="center"/>
                </w:tcPr>
                <w:p w14:paraId="5DCC8086">
                  <w:pPr>
                    <w:widowControl/>
                    <w:jc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台</w:t>
                  </w:r>
                </w:p>
              </w:tc>
              <w:tc>
                <w:tcPr>
                  <w:tcW w:w="969" w:type="dxa"/>
                  <w:shd w:val="clear" w:color="auto" w:fill="auto"/>
                  <w:vAlign w:val="center"/>
                </w:tcPr>
                <w:p w14:paraId="64D6E288">
                  <w:pPr>
                    <w:widowControl/>
                    <w:jc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p>
              </w:tc>
              <w:tc>
                <w:tcPr>
                  <w:tcW w:w="892" w:type="dxa"/>
                  <w:shd w:val="clear" w:color="auto" w:fill="auto"/>
                  <w:vAlign w:val="center"/>
                </w:tcPr>
                <w:p w14:paraId="0A5201D9">
                  <w:pPr>
                    <w:widowControl/>
                    <w:jc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w:t>
                  </w:r>
                </w:p>
              </w:tc>
              <w:tc>
                <w:tcPr>
                  <w:tcW w:w="863" w:type="dxa"/>
                  <w:shd w:val="clear" w:color="auto" w:fill="auto"/>
                  <w:vAlign w:val="center"/>
                </w:tcPr>
                <w:p w14:paraId="71F27035">
                  <w:pPr>
                    <w:widowControl/>
                    <w:jc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w:t>
                  </w:r>
                </w:p>
              </w:tc>
            </w:tr>
            <w:tr w14:paraId="34FF5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7757" w:type="dxa"/>
                  <w:gridSpan w:val="8"/>
                  <w:shd w:val="clear" w:color="auto" w:fill="auto"/>
                  <w:vAlign w:val="center"/>
                </w:tcPr>
                <w:p w14:paraId="65CF46B6">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辅助设备</w:t>
                  </w:r>
                </w:p>
              </w:tc>
            </w:tr>
            <w:tr w14:paraId="25777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38" w:type="dxa"/>
                  <w:shd w:val="clear" w:color="auto" w:fill="auto"/>
                  <w:vAlign w:val="center"/>
                </w:tcPr>
                <w:p w14:paraId="14B0AAB7">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13</w:t>
                  </w:r>
                </w:p>
              </w:tc>
              <w:tc>
                <w:tcPr>
                  <w:tcW w:w="806" w:type="dxa"/>
                  <w:shd w:val="clear" w:color="auto" w:fill="auto"/>
                  <w:vAlign w:val="center"/>
                </w:tcPr>
                <w:p w14:paraId="4989073E">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固化</w:t>
                  </w:r>
                </w:p>
              </w:tc>
              <w:tc>
                <w:tcPr>
                  <w:tcW w:w="1901" w:type="dxa"/>
                  <w:shd w:val="clear" w:color="auto" w:fill="auto"/>
                  <w:vAlign w:val="center"/>
                </w:tcPr>
                <w:p w14:paraId="0F739A0D">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固化设备</w:t>
                  </w:r>
                </w:p>
              </w:tc>
              <w:tc>
                <w:tcPr>
                  <w:tcW w:w="1074" w:type="dxa"/>
                  <w:shd w:val="clear" w:color="auto" w:fill="auto"/>
                  <w:vAlign w:val="center"/>
                </w:tcPr>
                <w:p w14:paraId="78973149">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国产</w:t>
                  </w:r>
                </w:p>
              </w:tc>
              <w:tc>
                <w:tcPr>
                  <w:tcW w:w="614" w:type="dxa"/>
                  <w:shd w:val="clear" w:color="auto" w:fill="auto"/>
                  <w:vAlign w:val="center"/>
                </w:tcPr>
                <w:p w14:paraId="1E2813A4">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969" w:type="dxa"/>
                  <w:shd w:val="clear" w:color="auto" w:fill="auto"/>
                  <w:vAlign w:val="center"/>
                </w:tcPr>
                <w:p w14:paraId="0D0B784D">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892" w:type="dxa"/>
                  <w:shd w:val="clear" w:color="auto" w:fill="auto"/>
                  <w:vAlign w:val="center"/>
                </w:tcPr>
                <w:p w14:paraId="1635FDB4">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863" w:type="dxa"/>
                  <w:shd w:val="clear" w:color="auto" w:fill="auto"/>
                  <w:vAlign w:val="center"/>
                </w:tcPr>
                <w:p w14:paraId="10F25509">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r>
            <w:tr w14:paraId="1C263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638" w:type="dxa"/>
                  <w:shd w:val="clear" w:color="auto" w:fill="auto"/>
                  <w:vAlign w:val="center"/>
                </w:tcPr>
                <w:p w14:paraId="5266B7AA">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w:t>
                  </w:r>
                </w:p>
              </w:tc>
              <w:tc>
                <w:tcPr>
                  <w:tcW w:w="806" w:type="dxa"/>
                  <w:shd w:val="clear" w:color="auto" w:fill="auto"/>
                  <w:vAlign w:val="center"/>
                </w:tcPr>
                <w:p w14:paraId="7FDE1848">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分切</w:t>
                  </w:r>
                </w:p>
              </w:tc>
              <w:tc>
                <w:tcPr>
                  <w:tcW w:w="1901" w:type="dxa"/>
                  <w:shd w:val="clear" w:color="auto" w:fill="auto"/>
                  <w:vAlign w:val="center"/>
                </w:tcPr>
                <w:p w14:paraId="401B87C1">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多功能分切机</w:t>
                  </w:r>
                </w:p>
              </w:tc>
              <w:tc>
                <w:tcPr>
                  <w:tcW w:w="1074" w:type="dxa"/>
                  <w:shd w:val="clear" w:color="auto" w:fill="auto"/>
                  <w:vAlign w:val="center"/>
                </w:tcPr>
                <w:p w14:paraId="2D9DE618">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14" w:type="dxa"/>
                  <w:vAlign w:val="center"/>
                </w:tcPr>
                <w:p w14:paraId="60D05B7D">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969" w:type="dxa"/>
                  <w:shd w:val="clear" w:color="auto" w:fill="auto"/>
                  <w:vAlign w:val="center"/>
                </w:tcPr>
                <w:p w14:paraId="2F5A3555">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c>
                <w:tcPr>
                  <w:tcW w:w="892" w:type="dxa"/>
                  <w:shd w:val="clear" w:color="auto" w:fill="auto"/>
                  <w:vAlign w:val="center"/>
                </w:tcPr>
                <w:p w14:paraId="358F56CE">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863" w:type="dxa"/>
                  <w:shd w:val="clear" w:color="auto" w:fill="auto"/>
                  <w:vAlign w:val="center"/>
                </w:tcPr>
                <w:p w14:paraId="71748C80">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r>
            <w:tr w14:paraId="0A2FC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38" w:type="dxa"/>
                  <w:shd w:val="clear" w:color="auto" w:fill="auto"/>
                  <w:vAlign w:val="center"/>
                </w:tcPr>
                <w:p w14:paraId="58829A95">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806" w:type="dxa"/>
                  <w:shd w:val="clear" w:color="auto" w:fill="auto"/>
                  <w:vAlign w:val="center"/>
                </w:tcPr>
                <w:p w14:paraId="6A188F94">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压花</w:t>
                  </w:r>
                </w:p>
              </w:tc>
              <w:tc>
                <w:tcPr>
                  <w:tcW w:w="1901" w:type="dxa"/>
                  <w:shd w:val="clear" w:color="auto" w:fill="auto"/>
                  <w:vAlign w:val="center"/>
                </w:tcPr>
                <w:p w14:paraId="0EB66825">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全自动压花机</w:t>
                  </w:r>
                </w:p>
              </w:tc>
              <w:tc>
                <w:tcPr>
                  <w:tcW w:w="1074" w:type="dxa"/>
                  <w:shd w:val="clear" w:color="auto" w:fill="auto"/>
                  <w:vAlign w:val="center"/>
                </w:tcPr>
                <w:p w14:paraId="6059C61D">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14" w:type="dxa"/>
                  <w:vAlign w:val="center"/>
                </w:tcPr>
                <w:p w14:paraId="4BDCB727">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969" w:type="dxa"/>
                  <w:shd w:val="clear" w:color="auto" w:fill="auto"/>
                  <w:vAlign w:val="center"/>
                </w:tcPr>
                <w:p w14:paraId="72882995">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c>
                <w:tcPr>
                  <w:tcW w:w="892" w:type="dxa"/>
                  <w:shd w:val="clear" w:color="auto" w:fill="auto"/>
                  <w:vAlign w:val="center"/>
                </w:tcPr>
                <w:p w14:paraId="1A949BA9">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863" w:type="dxa"/>
                  <w:shd w:val="clear" w:color="auto" w:fill="auto"/>
                  <w:vAlign w:val="center"/>
                </w:tcPr>
                <w:p w14:paraId="0BB3D84C">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r>
            <w:tr w14:paraId="5717C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38" w:type="dxa"/>
                  <w:shd w:val="clear" w:color="auto" w:fill="auto"/>
                  <w:vAlign w:val="center"/>
                </w:tcPr>
                <w:p w14:paraId="3E262986">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w:t>
                  </w:r>
                </w:p>
              </w:tc>
              <w:tc>
                <w:tcPr>
                  <w:tcW w:w="806" w:type="dxa"/>
                  <w:shd w:val="clear" w:color="auto" w:fill="auto"/>
                  <w:vAlign w:val="center"/>
                </w:tcPr>
                <w:p w14:paraId="747FBBB6">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压花</w:t>
                  </w:r>
                </w:p>
              </w:tc>
              <w:tc>
                <w:tcPr>
                  <w:tcW w:w="1901" w:type="dxa"/>
                  <w:shd w:val="clear" w:color="auto" w:fill="auto"/>
                  <w:vAlign w:val="center"/>
                </w:tcPr>
                <w:p w14:paraId="0DCF0907">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全自动压花机</w:t>
                  </w:r>
                </w:p>
              </w:tc>
              <w:tc>
                <w:tcPr>
                  <w:tcW w:w="1074" w:type="dxa"/>
                  <w:shd w:val="clear" w:color="auto" w:fill="auto"/>
                  <w:vAlign w:val="center"/>
                </w:tcPr>
                <w:p w14:paraId="0B228002">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1600型</w:t>
                  </w:r>
                </w:p>
              </w:tc>
              <w:tc>
                <w:tcPr>
                  <w:tcW w:w="614" w:type="dxa"/>
                  <w:shd w:val="clear" w:color="auto" w:fill="auto"/>
                  <w:vAlign w:val="center"/>
                </w:tcPr>
                <w:p w14:paraId="607BE4EA">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969" w:type="dxa"/>
                  <w:shd w:val="clear" w:color="auto" w:fill="auto"/>
                  <w:vAlign w:val="center"/>
                </w:tcPr>
                <w:p w14:paraId="4582BB85">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892" w:type="dxa"/>
                  <w:shd w:val="clear" w:color="auto" w:fill="auto"/>
                  <w:vAlign w:val="center"/>
                </w:tcPr>
                <w:p w14:paraId="4423EE10">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863" w:type="dxa"/>
                  <w:shd w:val="clear" w:color="auto" w:fill="auto"/>
                  <w:vAlign w:val="center"/>
                </w:tcPr>
                <w:p w14:paraId="2819BB01">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14:paraId="7E24E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638" w:type="dxa"/>
                  <w:shd w:val="clear" w:color="auto" w:fill="auto"/>
                  <w:vAlign w:val="center"/>
                </w:tcPr>
                <w:p w14:paraId="589E415E">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806" w:type="dxa"/>
                  <w:shd w:val="clear" w:color="auto" w:fill="auto"/>
                  <w:vAlign w:val="center"/>
                </w:tcPr>
                <w:p w14:paraId="7B52EE5F">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空压机</w:t>
                  </w:r>
                </w:p>
              </w:tc>
              <w:tc>
                <w:tcPr>
                  <w:tcW w:w="1901" w:type="dxa"/>
                  <w:shd w:val="clear" w:color="auto" w:fill="auto"/>
                  <w:vAlign w:val="center"/>
                </w:tcPr>
                <w:p w14:paraId="6E3FC2C3">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空压机</w:t>
                  </w:r>
                </w:p>
              </w:tc>
              <w:tc>
                <w:tcPr>
                  <w:tcW w:w="1074" w:type="dxa"/>
                  <w:shd w:val="clear" w:color="auto" w:fill="auto"/>
                  <w:vAlign w:val="center"/>
                </w:tcPr>
                <w:p w14:paraId="518EF8B2">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14" w:type="dxa"/>
                  <w:vAlign w:val="center"/>
                </w:tcPr>
                <w:p w14:paraId="39678555">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969" w:type="dxa"/>
                  <w:shd w:val="clear" w:color="auto" w:fill="auto"/>
                  <w:vAlign w:val="center"/>
                </w:tcPr>
                <w:p w14:paraId="4E6A5F31">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892" w:type="dxa"/>
                  <w:shd w:val="clear" w:color="auto" w:fill="auto"/>
                  <w:vAlign w:val="center"/>
                </w:tcPr>
                <w:p w14:paraId="70F80E18">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863" w:type="dxa"/>
                  <w:shd w:val="clear" w:color="auto" w:fill="auto"/>
                  <w:vAlign w:val="center"/>
                </w:tcPr>
                <w:p w14:paraId="535A3A2B">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r>
          </w:tbl>
          <w:p w14:paraId="6E7BF9A4">
            <w:pPr>
              <w:kinsoku/>
              <w:adjustRightInd/>
              <w:snapToGrid/>
              <w:spacing w:line="360" w:lineRule="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、职工人数及工作制度</w:t>
            </w:r>
          </w:p>
          <w:p w14:paraId="738ABD9F">
            <w:pPr>
              <w:pStyle w:val="45"/>
              <w:spacing w:before="183" w:line="346" w:lineRule="auto"/>
              <w:ind w:left="139" w:firstLine="457"/>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现有项目劳动定员50人，项目新增员工20人。年工作300天，1班制，每班8小时，厂区设置食宿。</w:t>
            </w:r>
          </w:p>
          <w:p w14:paraId="4481235E">
            <w:pPr>
              <w:kinsoku/>
              <w:adjustRightInd/>
              <w:snapToGrid/>
              <w:spacing w:line="360" w:lineRule="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、公用工程</w:t>
            </w:r>
          </w:p>
          <w:p w14:paraId="048E4B63">
            <w:pPr>
              <w:kinsoku/>
              <w:adjustRightInd/>
              <w:snapToGrid/>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(1)供水、排水</w:t>
            </w:r>
          </w:p>
          <w:p w14:paraId="179C2D7A">
            <w:pPr>
              <w:kinsoku/>
              <w:adjustRightInd/>
              <w:snapToGrid/>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①供水：由市政给水管网直接供给。</w:t>
            </w:r>
          </w:p>
          <w:p w14:paraId="20D7585F">
            <w:pPr>
              <w:kinsoku/>
              <w:adjustRightInd/>
              <w:snapToGrid/>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②排水：项目采取雨、污分流的排水体制。雨水排入雨水管网，项目无生产废水。生活污水经隔油池、化粪池预处理后，经污水管网排入埇桥</w:t>
            </w:r>
            <w:r>
              <w:rPr>
                <w:rFonts w:hint="default" w:ascii="Times New Roman" w:hAnsi="Times New Roman" w:eastAsia="宋体" w:cs="Times New Roman"/>
                <w:color w:val="000000" w:themeColor="text1"/>
                <w:sz w:val="24"/>
                <w:lang w:val="en-US" w:eastAsia="zh-CN"/>
                <w14:textFill>
                  <w14:solidFill>
                    <w14:schemeClr w14:val="tx1"/>
                  </w14:solidFill>
                </w14:textFill>
              </w:rPr>
              <w:t>区</w:t>
            </w:r>
            <w:r>
              <w:rPr>
                <w:rFonts w:hint="default" w:ascii="Times New Roman" w:hAnsi="Times New Roman" w:eastAsia="宋体" w:cs="Times New Roman"/>
                <w:color w:val="000000" w:themeColor="text1"/>
                <w:sz w:val="24"/>
                <w:lang w:eastAsia="zh-CN"/>
                <w14:textFill>
                  <w14:solidFill>
                    <w14:schemeClr w14:val="tx1"/>
                  </w14:solidFill>
                </w14:textFill>
              </w:rPr>
              <w:t>经济开发区污水处理厂进一步处理。</w:t>
            </w:r>
          </w:p>
          <w:p w14:paraId="1FB3D761">
            <w:pPr>
              <w:kinsoku/>
              <w:adjustRightInd/>
              <w:snapToGrid/>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(2)供电</w:t>
            </w:r>
          </w:p>
          <w:p w14:paraId="2362EF6B">
            <w:pPr>
              <w:kinsoku/>
              <w:adjustRightInd/>
              <w:snapToGrid/>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项目所需电力由市政电网供应。</w:t>
            </w:r>
          </w:p>
          <w:p w14:paraId="3F770708">
            <w:pPr>
              <w:kinsoku/>
              <w:adjustRightInd/>
              <w:snapToGrid/>
              <w:spacing w:line="360" w:lineRule="auto"/>
              <w:ind w:firstLine="482" w:firstLineChars="200"/>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、水量平衡</w:t>
            </w:r>
          </w:p>
          <w:p w14:paraId="65C3DD14">
            <w:pPr>
              <w:pStyle w:val="48"/>
              <w:kinsoku/>
              <w:adjustRightInd/>
              <w:snapToGrid/>
              <w:spacing w:line="360" w:lineRule="auto"/>
              <w:ind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扩建项目用水主要是是职工生活用水、保洁用水及</w:t>
            </w:r>
            <w:r>
              <w:rPr>
                <w:rFonts w:hint="default" w:ascii="Times New Roman" w:hAnsi="Times New Roman" w:eastAsia="宋体" w:cs="Times New Roman"/>
                <w:color w:val="000000" w:themeColor="text1"/>
                <w:sz w:val="24"/>
                <w:lang w:val="en-US" w:eastAsia="zh-CN"/>
                <w14:textFill>
                  <w14:solidFill>
                    <w14:schemeClr w14:val="tx1"/>
                  </w14:solidFill>
                </w14:textFill>
              </w:rPr>
              <w:t>喷淋废水</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7D7143EB">
            <w:pPr>
              <w:pStyle w:val="45"/>
              <w:spacing w:before="183" w:line="346" w:lineRule="auto"/>
              <w:ind w:left="139" w:firstLine="457"/>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①生活用水：</w:t>
            </w:r>
          </w:p>
          <w:p w14:paraId="1C3D6143">
            <w:pPr>
              <w:pStyle w:val="48"/>
              <w:kinsoku/>
              <w:adjustRightInd/>
              <w:snapToGrid/>
              <w:spacing w:line="360" w:lineRule="auto"/>
              <w:ind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项目新增员工20人</w:t>
            </w:r>
            <w:r>
              <w:rPr>
                <w:rFonts w:hint="default" w:ascii="Times New Roman" w:hAnsi="Times New Roman" w:eastAsia="宋体" w:cs="Times New Roman"/>
                <w:color w:val="000000" w:themeColor="text1"/>
                <w:sz w:val="24"/>
                <w:szCs w:val="24"/>
                <w:lang w:eastAsia="zh-CN"/>
                <w14:textFill>
                  <w14:solidFill>
                    <w14:schemeClr w14:val="tx1"/>
                  </w14:solidFill>
                </w14:textFill>
              </w:rPr>
              <w:t>，用水标准参考《</w:t>
            </w:r>
            <w:bookmarkStart w:id="2" w:name="OLE_LINK1"/>
            <w:r>
              <w:rPr>
                <w:rFonts w:hint="default" w:ascii="Times New Roman" w:hAnsi="Times New Roman" w:eastAsia="宋体" w:cs="Times New Roman"/>
                <w:color w:val="000000" w:themeColor="text1"/>
                <w:sz w:val="24"/>
                <w:szCs w:val="24"/>
                <w:lang w:eastAsia="zh-CN"/>
                <w14:textFill>
                  <w14:solidFill>
                    <w14:schemeClr w14:val="tx1"/>
                  </w14:solidFill>
                </w14:textFill>
              </w:rPr>
              <w:t>宿州市城市行业用水定额</w:t>
            </w:r>
            <w:bookmarkEnd w:id="2"/>
            <w:r>
              <w:rPr>
                <w:rFonts w:hint="default" w:ascii="Times New Roman" w:hAnsi="Times New Roman" w:eastAsia="宋体" w:cs="Times New Roman"/>
                <w:color w:val="000000" w:themeColor="text1"/>
                <w:sz w:val="24"/>
                <w:szCs w:val="24"/>
                <w:lang w:eastAsia="zh-CN"/>
                <w14:textFill>
                  <w14:solidFill>
                    <w14:schemeClr w14:val="tx1"/>
                  </w14:solidFill>
                </w14:textFill>
              </w:rPr>
              <w:t>》（DB3413/T0001-2020），人均用水量按</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70</w:t>
            </w:r>
            <w:r>
              <w:rPr>
                <w:rFonts w:hint="default" w:ascii="Times New Roman" w:hAnsi="Times New Roman" w:eastAsia="宋体" w:cs="Times New Roman"/>
                <w:color w:val="000000" w:themeColor="text1"/>
                <w:sz w:val="24"/>
                <w:szCs w:val="24"/>
                <w:lang w:eastAsia="zh-CN"/>
                <w14:textFill>
                  <w14:solidFill>
                    <w14:schemeClr w14:val="tx1"/>
                  </w14:solidFill>
                </w14:textFill>
              </w:rPr>
              <w:t>L/d计，年工作300d，则用水量为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1.4m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d</w:t>
            </w:r>
            <w:r>
              <w:rPr>
                <w:rFonts w:hint="default" w:ascii="Times New Roman" w:hAnsi="Times New Roman" w:eastAsia="宋体" w:cs="Times New Roman"/>
                <w:color w:val="000000" w:themeColor="text1"/>
                <w:sz w:val="24"/>
                <w:szCs w:val="24"/>
                <w:lang w:eastAsia="zh-CN"/>
                <w14:textFill>
                  <w14:solidFill>
                    <w14:schemeClr w14:val="tx1"/>
                  </w14:solidFill>
                </w14:textFill>
              </w:rPr>
              <w:t>，年用水量为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420m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/a，废水产生系数取0.8，则废水产生量为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1.12m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d</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336m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/a。</w:t>
            </w:r>
          </w:p>
          <w:p w14:paraId="257F72E0">
            <w:pPr>
              <w:kinsoku/>
              <w:adjustRightInd/>
              <w:snapToGrid/>
              <w:spacing w:line="360" w:lineRule="auto"/>
              <w:ind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eastAsia="zh-CN"/>
                <w14:textFill>
                  <w14:solidFill>
                    <w14:schemeClr w14:val="tx1"/>
                  </w14:solidFill>
                </w14:textFill>
              </w:rPr>
              <w:instrText xml:space="preserve"> = 2 \* GB3 \* MERGEFORMAT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eastAsia="zh-CN"/>
                <w14:textFill>
                  <w14:solidFill>
                    <w14:schemeClr w14:val="tx1"/>
                  </w14:solidFill>
                </w14:textFill>
              </w:rPr>
              <w:t>②</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eastAsia="zh-CN"/>
                <w14:textFill>
                  <w14:solidFill>
                    <w14:schemeClr w14:val="tx1"/>
                  </w14:solidFill>
                </w14:textFill>
              </w:rPr>
              <w:t>厂区清洁用水：项目</w:t>
            </w:r>
            <w:r>
              <w:rPr>
                <w:rFonts w:hint="default" w:ascii="Times New Roman" w:hAnsi="Times New Roman" w:eastAsia="宋体" w:cs="Times New Roman"/>
                <w:color w:val="000000" w:themeColor="text1"/>
                <w:lang w:val="en-US" w:eastAsia="zh-CN"/>
                <w14:textFill>
                  <w14:solidFill>
                    <w14:schemeClr w14:val="tx1"/>
                  </w14:solidFill>
                </w14:textFill>
              </w:rPr>
              <w:t>本次新增</w:t>
            </w:r>
            <w:r>
              <w:rPr>
                <w:rFonts w:hint="default" w:ascii="Times New Roman" w:hAnsi="Times New Roman" w:eastAsia="宋体" w:cs="Times New Roman"/>
                <w:color w:val="000000" w:themeColor="text1"/>
                <w:sz w:val="24"/>
                <w:szCs w:val="24"/>
                <w:lang w:eastAsia="zh-CN"/>
                <w14:textFill>
                  <w14:solidFill>
                    <w14:schemeClr w14:val="tx1"/>
                  </w14:solidFill>
                </w14:textFill>
              </w:rPr>
              <w:t>清洁用水，其中厂区内使用扫地机清洁，则用水量为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0.5m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d</w:t>
            </w:r>
            <w:r>
              <w:rPr>
                <w:rFonts w:hint="default" w:ascii="Times New Roman" w:hAnsi="Times New Roman" w:eastAsia="宋体" w:cs="Times New Roman"/>
                <w:color w:val="000000" w:themeColor="text1"/>
                <w:sz w:val="24"/>
                <w:szCs w:val="24"/>
                <w:lang w:eastAsia="zh-CN"/>
                <w14:textFill>
                  <w14:solidFill>
                    <w14:schemeClr w14:val="tx1"/>
                  </w14:solidFill>
                </w14:textFill>
              </w:rPr>
              <w:t>，年用水量约</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150m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/a，均蒸发损耗。</w:t>
            </w:r>
          </w:p>
          <w:p w14:paraId="115C66E8">
            <w:pPr>
              <w:pStyle w:val="48"/>
              <w:kinsoku/>
              <w:adjustRightInd/>
              <w:snapToGrid/>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③喷淋废水：项目涂胶、烘干、复合废气采用一套水喷淋+集气系统+二级活性炭吸附装置进行收集处理后通过15m排气筒排放（DA003），水喷淋清水循环使用，定期补充。用水量为2.275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/a，废水蒸发损耗0.2，定期补充0.455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/a，喷淋废水一年更换一次，</w:t>
            </w:r>
            <w:r>
              <w:rPr>
                <w:rFonts w:hint="default" w:ascii="Times New Roman" w:hAnsi="Times New Roman" w:eastAsia="宋体" w:cs="Times New Roman"/>
                <w:color w:val="000000" w:themeColor="text1"/>
                <w:sz w:val="24"/>
                <w:szCs w:val="24"/>
                <w:lang w:eastAsia="zh-CN"/>
                <w14:textFill>
                  <w14:solidFill>
                    <w14:schemeClr w14:val="tx1"/>
                  </w14:solidFill>
                </w14:textFill>
              </w:rPr>
              <w:t>则废水产生量为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1.82m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/a，</w:t>
            </w:r>
            <w:r>
              <w:rPr>
                <w:rFonts w:hint="default" w:ascii="Times New Roman" w:hAnsi="Times New Roman" w:eastAsia="宋体" w:cs="Times New Roman"/>
                <w:color w:val="000000" w:themeColor="text1"/>
                <w:sz w:val="24"/>
                <w:lang w:val="en-US" w:eastAsia="zh-CN"/>
                <w14:textFill>
                  <w14:solidFill>
                    <w14:schemeClr w14:val="tx1"/>
                  </w14:solidFill>
                </w14:textFill>
              </w:rPr>
              <w:t>更换后</w:t>
            </w:r>
            <w:r>
              <w:rPr>
                <w:rFonts w:hint="default" w:ascii="Times New Roman" w:hAnsi="Times New Roman" w:eastAsia="宋体" w:cs="Times New Roman"/>
                <w:color w:val="000000" w:themeColor="text1"/>
                <w:spacing w:val="-1"/>
                <w:sz w:val="24"/>
                <w:szCs w:val="24"/>
                <w14:textFill>
                  <w14:solidFill>
                    <w14:schemeClr w14:val="tx1"/>
                  </w14:solidFill>
                </w14:textFill>
              </w:rPr>
              <w:t>作为危险废物交由有资质单位处理。</w:t>
            </w:r>
          </w:p>
          <w:p w14:paraId="00DF68E9">
            <w:pPr>
              <w:pStyle w:val="48"/>
              <w:kinsoku/>
              <w:adjustRightInd/>
              <w:snapToGrid/>
              <w:spacing w:line="360" w:lineRule="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drawing>
                <wp:inline distT="0" distB="0" distL="114300" distR="114300">
                  <wp:extent cx="4722495" cy="3822065"/>
                  <wp:effectExtent l="0" t="0" r="0" b="0"/>
                  <wp:docPr id="35" name="ECB019B1-382A-4266-B25C-5B523AA43C14-1" descr="C:/Users/lenlovolel/AppData/Local/Temp/wps.mOQMS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CB019B1-382A-4266-B25C-5B523AA43C14-1" descr="C:/Users/lenlovolel/AppData/Local/Temp/wps.mOQMSRwps"/>
                          <pic:cNvPicPr>
                            <a:picLocks noChangeAspect="1"/>
                          </pic:cNvPicPr>
                        </pic:nvPicPr>
                        <pic:blipFill>
                          <a:blip r:embed="rId13"/>
                          <a:stretch>
                            <a:fillRect/>
                          </a:stretch>
                        </pic:blipFill>
                        <pic:spPr>
                          <a:xfrm>
                            <a:off x="0" y="0"/>
                            <a:ext cx="4722495" cy="3822065"/>
                          </a:xfrm>
                          <a:prstGeom prst="rect">
                            <a:avLst/>
                          </a:prstGeom>
                        </pic:spPr>
                      </pic:pic>
                    </a:graphicData>
                  </a:graphic>
                </wp:inline>
              </w:drawing>
            </w:r>
          </w:p>
          <w:p w14:paraId="4C9B759D">
            <w:pPr>
              <w:kinsoku/>
              <w:adjustRightInd/>
              <w:snapToGrid/>
              <w:spacing w:line="360" w:lineRule="auto"/>
              <w:ind w:firstLine="482" w:firstLineChars="200"/>
              <w:jc w:val="cente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eastAsia="zh-CN"/>
                <w14:textFill>
                  <w14:solidFill>
                    <w14:schemeClr w14:val="tx1"/>
                  </w14:solidFill>
                </w14:textFill>
              </w:rPr>
              <w:t>图</w:t>
            </w:r>
            <w:r>
              <w:rPr>
                <w:rFonts w:hint="default" w:ascii="Times New Roman" w:hAnsi="Times New Roman" w:eastAsia="宋体" w:cs="Times New Roman"/>
                <w:b/>
                <w:bCs/>
                <w:color w:val="000000" w:themeColor="text1"/>
                <w:sz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lang w:eastAsia="zh-CN"/>
                <w14:textFill>
                  <w14:solidFill>
                    <w14:schemeClr w14:val="tx1"/>
                  </w14:solidFill>
                </w14:textFill>
              </w:rPr>
              <w:t>-1</w:t>
            </w:r>
            <w:r>
              <w:rPr>
                <w:rFonts w:hint="default" w:ascii="Times New Roman" w:hAnsi="Times New Roman" w:eastAsia="宋体" w:cs="Times New Roman"/>
                <w:b/>
                <w:bCs/>
                <w:color w:val="000000" w:themeColor="text1"/>
                <w:sz w:val="24"/>
                <w:lang w:val="en-US" w:eastAsia="zh-CN"/>
                <w14:textFill>
                  <w14:solidFill>
                    <w14:schemeClr w14:val="tx1"/>
                  </w14:solidFill>
                </w14:textFill>
              </w:rPr>
              <w:t>扩建项目水平衡图t/d</w:t>
            </w:r>
          </w:p>
          <w:p w14:paraId="14F79EA3">
            <w:pPr>
              <w:kinsoku/>
              <w:adjustRightInd/>
              <w:snapToGrid/>
              <w:spacing w:line="360" w:lineRule="auto"/>
              <w:ind w:firstLine="482" w:firstLineChars="200"/>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、项目平面布置</w:t>
            </w:r>
          </w:p>
          <w:p w14:paraId="7A8D832A">
            <w:pPr>
              <w:pStyle w:val="48"/>
              <w:kinsoku/>
              <w:adjustRightInd/>
              <w:snapToGrid/>
              <w:spacing w:line="360" w:lineRule="auto"/>
              <w:ind w:firstLine="480" w:firstLineChars="200"/>
              <w:rPr>
                <w:rFonts w:hint="default" w:ascii="Times New Roman" w:hAnsi="Times New Roman" w:eastAsia="宋体" w:cs="Times New Roman"/>
                <w:b/>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项目位于宿州市埇桥区经济开发区滨河路西侧，根据项目功能要求和场地地形，在生产车间设置生产区、原料仓库、产品仓库等。项目布置总体来说，结构明朗，流程顺畅，布局紧凑，符合防火、安全卫生、环保、交通、运输、生产工艺流程等需求。总体上做到按功能分区，系统分明，布置整齐。项目平面布置满足生产人流、物流分离、互不交叉干扰的原则（具体见附图）。</w:t>
            </w:r>
          </w:p>
          <w:p w14:paraId="7443B670">
            <w:pPr>
              <w:kinsoku/>
              <w:adjustRightInd/>
              <w:snapToGrid/>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综上所述，本项目厂区平面布局较合理。</w:t>
            </w:r>
          </w:p>
          <w:p w14:paraId="14DB9B25">
            <w:pPr>
              <w:pStyle w:val="48"/>
              <w:kinsoku/>
              <w:spacing w:line="360" w:lineRule="auto"/>
              <w:jc w:val="both"/>
              <w:rPr>
                <w:rFonts w:hint="default" w:ascii="Times New Roman" w:hAnsi="Times New Roman" w:eastAsia="宋体" w:cs="Times New Roman"/>
                <w:color w:val="0000FF"/>
                <w:lang w:eastAsia="zh-CN"/>
              </w:rPr>
            </w:pPr>
          </w:p>
          <w:p w14:paraId="0788AC60">
            <w:pPr>
              <w:pStyle w:val="48"/>
              <w:kinsoku/>
              <w:spacing w:line="360" w:lineRule="auto"/>
              <w:jc w:val="center"/>
              <w:rPr>
                <w:rFonts w:hint="default" w:ascii="Times New Roman" w:hAnsi="Times New Roman" w:eastAsia="宋体" w:cs="Times New Roman"/>
                <w:bCs/>
                <w:color w:val="0000FF"/>
                <w:sz w:val="24"/>
                <w:lang w:eastAsia="zh-CN"/>
              </w:rPr>
            </w:pPr>
          </w:p>
        </w:tc>
      </w:tr>
      <w:tr w14:paraId="4092A2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0" w:hRule="atLeast"/>
          <w:jc w:val="center"/>
        </w:trPr>
        <w:tc>
          <w:tcPr>
            <w:tcW w:w="561" w:type="dxa"/>
            <w:vAlign w:val="center"/>
          </w:tcPr>
          <w:p w14:paraId="1E9A3735">
            <w:pPr>
              <w:pStyle w:val="24"/>
              <w:kinsoku/>
              <w:spacing w:before="0" w:beforeAutospacing="0" w:after="0" w:afterAutospacing="0"/>
              <w:jc w:val="center"/>
              <w:rPr>
                <w:rFonts w:hint="default" w:ascii="Times New Roman" w:hAnsi="Times New Roman" w:eastAsia="宋体" w:cs="Times New Roman"/>
                <w:color w:val="0000FF"/>
                <w:szCs w:val="24"/>
                <w:lang w:eastAsia="zh-CN"/>
              </w:rPr>
            </w:pPr>
          </w:p>
          <w:p w14:paraId="1D44A08E">
            <w:pPr>
              <w:pStyle w:val="24"/>
              <w:kinsoku/>
              <w:spacing w:before="0" w:beforeAutospacing="0" w:after="0" w:afterAutospacing="0"/>
              <w:jc w:val="center"/>
              <w:rPr>
                <w:rFonts w:hint="default" w:ascii="Times New Roman" w:hAnsi="Times New Roman" w:eastAsia="宋体" w:cs="Times New Roman"/>
                <w:color w:val="0000FF"/>
                <w:szCs w:val="24"/>
                <w:lang w:eastAsia="zh-CN"/>
              </w:rPr>
            </w:pPr>
          </w:p>
          <w:p w14:paraId="6CD0392E">
            <w:pPr>
              <w:pStyle w:val="24"/>
              <w:kinsoku/>
              <w:spacing w:before="0" w:beforeAutospacing="0" w:after="0" w:afterAutospacing="0"/>
              <w:jc w:val="center"/>
              <w:rPr>
                <w:rFonts w:hint="default" w:ascii="Times New Roman" w:hAnsi="Times New Roman" w:eastAsia="宋体" w:cs="Times New Roman"/>
                <w:color w:val="0000FF"/>
                <w:szCs w:val="24"/>
                <w:lang w:eastAsia="zh-CN"/>
              </w:rPr>
            </w:pPr>
          </w:p>
          <w:p w14:paraId="0B2E9280">
            <w:pPr>
              <w:pStyle w:val="24"/>
              <w:kinsoku/>
              <w:spacing w:before="0" w:beforeAutospacing="0" w:after="0" w:afterAutospacing="0"/>
              <w:jc w:val="center"/>
              <w:rPr>
                <w:rFonts w:hint="default" w:ascii="Times New Roman" w:hAnsi="Times New Roman" w:eastAsia="宋体" w:cs="Times New Roman"/>
                <w:color w:val="0000FF"/>
                <w:sz w:val="21"/>
                <w:szCs w:val="21"/>
                <w:lang w:eastAsia="zh-CN"/>
              </w:rPr>
            </w:pPr>
            <w:r>
              <w:rPr>
                <w:rFonts w:hint="default" w:ascii="Times New Roman" w:hAnsi="Times New Roman" w:eastAsia="宋体" w:cs="Times New Roman"/>
                <w:color w:val="000000" w:themeColor="text1"/>
                <w:szCs w:val="24"/>
                <w:lang w:eastAsia="zh-CN"/>
                <w14:textFill>
                  <w14:solidFill>
                    <w14:schemeClr w14:val="tx1"/>
                  </w14:solidFill>
                </w14:textFill>
              </w:rPr>
              <w:t>工艺流程和产排污环节</w:t>
            </w:r>
          </w:p>
        </w:tc>
        <w:tc>
          <w:tcPr>
            <w:tcW w:w="8143" w:type="dxa"/>
          </w:tcPr>
          <w:p w14:paraId="360C8325">
            <w:pPr>
              <w:kinsoku/>
              <w:adjustRightInd/>
              <w:snapToGrid/>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1、项目施工期工艺流程及产排污环节</w:t>
            </w:r>
          </w:p>
          <w:p w14:paraId="5DEF002A">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在原有厂房基础上施工</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本项目施工期主要为生产设备的安装调试，施工期短，对环境的污染和影响较小。本项目利用现有厂房进行建设。因此，施工期内容仅是对已有厂房进行布置及局部改造（如用电线路、排气、排水管线改造等）和生产设备的安装及预埋固定钢件的处理，无大规模土建施工过程。在施工建设期间，各项施工活动、设备运输会产生废气、废水、噪声、固体废物等，会对周围的环境产生一定的影响。本项目施工内容简单，施工期较短。</w:t>
            </w:r>
          </w:p>
          <w:p w14:paraId="70EBDF42">
            <w:pPr>
              <w:kinsoku/>
              <w:adjustRightInd/>
              <w:snapToGrid/>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2、本次扩建项目工艺流程及产污节点图如下：</w:t>
            </w:r>
          </w:p>
          <w:p w14:paraId="2259B268">
            <w:pPr>
              <w:keepNext w:val="0"/>
              <w:keepLines w:val="0"/>
              <w:pageBreakBefore w:val="0"/>
              <w:widowControl/>
              <w:kinsoku/>
              <w:wordWrap/>
              <w:overflowPunct/>
              <w:topLinePunct w:val="0"/>
              <w:autoSpaceDE w:val="0"/>
              <w:autoSpaceDN w:val="0"/>
              <w:bidi w:val="0"/>
              <w:adjustRightInd/>
              <w:snapToGrid/>
              <w:spacing w:line="360" w:lineRule="auto"/>
              <w:ind w:firstLine="482" w:firstLineChars="200"/>
              <w:textAlignment w:val="baseline"/>
              <w:rPr>
                <w:rFonts w:hint="default" w:ascii="Times New Roman" w:hAnsi="Times New Roman" w:eastAsia="宋体" w:cs="Times New Roman"/>
                <w:b/>
                <w:bCs/>
                <w:color w:val="000000" w:themeColor="text1"/>
                <w:sz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4"/>
                <w:lang w:eastAsia="zh-CN" w:bidi="ar"/>
                <w14:textFill>
                  <w14:solidFill>
                    <w14:schemeClr w14:val="tx1"/>
                  </w14:solidFill>
                </w14:textFill>
              </w:rPr>
              <w:t>（</w:t>
            </w:r>
            <w:r>
              <w:rPr>
                <w:rFonts w:hint="default" w:ascii="Times New Roman" w:hAnsi="Times New Roman" w:eastAsia="宋体" w:cs="Times New Roman"/>
                <w:b/>
                <w:bCs/>
                <w:color w:val="000000" w:themeColor="text1"/>
                <w:sz w:val="24"/>
                <w:lang w:val="en-US" w:eastAsia="zh-CN" w:bidi="ar"/>
                <w14:textFill>
                  <w14:solidFill>
                    <w14:schemeClr w14:val="tx1"/>
                  </w14:solidFill>
                </w14:textFill>
              </w:rPr>
              <w:t>1</w:t>
            </w:r>
            <w:r>
              <w:rPr>
                <w:rFonts w:hint="default" w:ascii="Times New Roman" w:hAnsi="Times New Roman" w:eastAsia="宋体" w:cs="Times New Roman"/>
                <w:b/>
                <w:bCs/>
                <w:color w:val="000000" w:themeColor="text1"/>
                <w:sz w:val="24"/>
                <w:lang w:eastAsia="zh-CN" w:bidi="ar"/>
                <w14:textFill>
                  <w14:solidFill>
                    <w14:schemeClr w14:val="tx1"/>
                  </w14:solidFill>
                </w14:textFill>
              </w:rPr>
              <w:t>）铝箔复合膜生产工艺流程</w:t>
            </w:r>
            <w:r>
              <w:rPr>
                <w:rFonts w:hint="default" w:ascii="Times New Roman" w:hAnsi="Times New Roman" w:eastAsia="宋体" w:cs="Times New Roman"/>
                <w:b/>
                <w:bCs/>
                <w:color w:val="000000" w:themeColor="text1"/>
                <w:sz w:val="24"/>
                <w:lang w:val="en-US" w:eastAsia="zh-CN" w:bidi="ar"/>
                <w14:textFill>
                  <w14:solidFill>
                    <w14:schemeClr w14:val="tx1"/>
                  </w14:solidFill>
                </w14:textFill>
              </w:rPr>
              <w:t>图</w:t>
            </w:r>
          </w:p>
          <w:p w14:paraId="088A517B">
            <w:pPr>
              <w:jc w:val="center"/>
              <w:rPr>
                <w:rFonts w:hint="default" w:ascii="Times New Roman" w:hAnsi="Times New Roman" w:eastAsia="宋体" w:cs="Times New Roman"/>
                <w:color w:val="000000" w:themeColor="text1"/>
                <w:sz w:val="24"/>
                <w:szCs w:val="32"/>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drawing>
                <wp:inline distT="0" distB="0" distL="114300" distR="114300">
                  <wp:extent cx="4326890" cy="4152900"/>
                  <wp:effectExtent l="0" t="0" r="0" b="0"/>
                  <wp:docPr id="7" name="ECB019B1-382A-4266-B25C-5B523AA43C14-2" descr="C:/Users/lenlovolel/AppData/Local/Temp/wps.uyfgXF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B019B1-382A-4266-B25C-5B523AA43C14-2" descr="C:/Users/lenlovolel/AppData/Local/Temp/wps.uyfgXFwps"/>
                          <pic:cNvPicPr>
                            <a:picLocks noChangeAspect="1"/>
                          </pic:cNvPicPr>
                        </pic:nvPicPr>
                        <pic:blipFill>
                          <a:blip r:embed="rId14"/>
                          <a:stretch>
                            <a:fillRect/>
                          </a:stretch>
                        </pic:blipFill>
                        <pic:spPr>
                          <a:xfrm>
                            <a:off x="0" y="0"/>
                            <a:ext cx="4326890" cy="4152900"/>
                          </a:xfrm>
                          <a:prstGeom prst="rect">
                            <a:avLst/>
                          </a:prstGeom>
                        </pic:spPr>
                      </pic:pic>
                    </a:graphicData>
                  </a:graphic>
                </wp:inline>
              </w:drawing>
            </w:r>
          </w:p>
          <w:p w14:paraId="2D9433F6">
            <w:pPr>
              <w:pStyle w:val="58"/>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ind w:left="0" w:leftChars="0" w:firstLine="0" w:firstLineChars="0"/>
              <w:jc w:val="center"/>
              <w:textAlignment w:val="baseline"/>
              <w:rPr>
                <w:rFonts w:hint="default" w:ascii="Times New Roman" w:hAnsi="Times New Roman" w:eastAsia="宋体" w:cs="Times New Roman"/>
                <w:b/>
                <w:color w:val="000000" w:themeColor="text1"/>
                <w:szCs w:val="24"/>
                <w14:textFill>
                  <w14:solidFill>
                    <w14:schemeClr w14:val="tx1"/>
                  </w14:solidFill>
                </w14:textFill>
              </w:rPr>
            </w:pPr>
            <w:r>
              <w:rPr>
                <w:rFonts w:hint="default" w:ascii="Times New Roman" w:hAnsi="Times New Roman" w:eastAsia="宋体" w:cs="Times New Roman"/>
                <w:b/>
                <w:color w:val="000000" w:themeColor="text1"/>
                <w:szCs w:val="24"/>
                <w14:textFill>
                  <w14:solidFill>
                    <w14:schemeClr w14:val="tx1"/>
                  </w14:solidFill>
                </w14:textFill>
              </w:rPr>
              <w:t>图</w:t>
            </w:r>
            <w:r>
              <w:rPr>
                <w:rFonts w:hint="default" w:ascii="Times New Roman" w:hAnsi="Times New Roman" w:eastAsia="宋体" w:cs="Times New Roman"/>
                <w:b/>
                <w:color w:val="000000" w:themeColor="text1"/>
                <w:szCs w:val="24"/>
                <w:lang w:val="en-US" w:eastAsia="en-US"/>
                <w14:textFill>
                  <w14:solidFill>
                    <w14:schemeClr w14:val="tx1"/>
                  </w14:solidFill>
                </w14:textFill>
              </w:rPr>
              <w:t>2-</w:t>
            </w:r>
            <w:r>
              <w:rPr>
                <w:rFonts w:hint="default" w:ascii="Times New Roman" w:hAnsi="Times New Roman" w:eastAsia="宋体" w:cs="Times New Roman"/>
                <w:b/>
                <w:color w:val="000000" w:themeColor="text1"/>
                <w:szCs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lang w:eastAsia="zh-CN" w:bidi="ar"/>
                <w14:textFill>
                  <w14:solidFill>
                    <w14:schemeClr w14:val="tx1"/>
                  </w14:solidFill>
                </w14:textFill>
              </w:rPr>
              <w:t>铝箔复合膜</w:t>
            </w:r>
            <w:r>
              <w:rPr>
                <w:rFonts w:hint="default" w:ascii="Times New Roman" w:hAnsi="Times New Roman" w:eastAsia="宋体" w:cs="Times New Roman"/>
                <w:b/>
                <w:color w:val="000000" w:themeColor="text1"/>
                <w:szCs w:val="24"/>
                <w14:textFill>
                  <w14:solidFill>
                    <w14:schemeClr w14:val="tx1"/>
                  </w14:solidFill>
                </w14:textFill>
              </w:rPr>
              <w:t>生产工艺流程及产污环节图</w:t>
            </w:r>
          </w:p>
          <w:p w14:paraId="2EFBCEBC">
            <w:pPr>
              <w:keepNext w:val="0"/>
              <w:keepLines w:val="0"/>
              <w:pageBreakBefore w:val="0"/>
              <w:widowControl/>
              <w:kinsoku/>
              <w:wordWrap/>
              <w:overflowPunct/>
              <w:topLinePunct w:val="0"/>
              <w:autoSpaceDE w:val="0"/>
              <w:autoSpaceDN w:val="0"/>
              <w:bidi w:val="0"/>
              <w:adjustRightInd/>
              <w:snapToGrid/>
              <w:spacing w:line="360" w:lineRule="auto"/>
              <w:ind w:firstLine="482" w:firstLineChars="200"/>
              <w:textAlignment w:val="baseline"/>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工艺流程简述：</w:t>
            </w:r>
          </w:p>
          <w:p w14:paraId="67E670E5">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①涂布、烘干（电烘干）：项目使用的复合机为涂布、烘干、复合一体设备，涂布方式采用两辊转移涂布，通过调整上胶辊和涂布辊之间的间隙来控制涂布量，使用水性复合胶水在铝箔一面进行涂布，再进行烘干，烘干（温度50-80℃，根据溶剂沸点调整）蒸发胶液中的溶剂，使胶黏剂处于“半干”状态，避免复合后出现气泡。该过程产生少量有机废气和噪声。</w:t>
            </w:r>
          </w:p>
          <w:p w14:paraId="0CBBD900">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②复合：复合是指将两层或者两层以上的材料用水性复合胶复合成为一体。烘干后的涂胶基材与另一基材在复合压辊处贴合，压辊通过加热（温度40-60℃）使两层基材紧密结合，胶黏剂在压力作用下渗透至基材表面缝隙，形成初步粘接。复合后的材料经冷却辊降温固化，最终由收卷机构收卷，完成整个复合流程，该过程产生少量有机废气和噪声。</w:t>
            </w:r>
          </w:p>
          <w:p w14:paraId="1CEFA1E4">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kern w:val="0"/>
                <w:sz w:val="24"/>
                <w:lang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③固化：复合后的PET膜与铝箔在恒温箱内维持保温1-2个小时以</w:t>
            </w:r>
            <w:r>
              <w:rPr>
                <w:rFonts w:hint="default" w:ascii="Times New Roman" w:hAnsi="Times New Roman" w:eastAsia="宋体" w:cs="Times New Roman"/>
                <w:color w:val="000000" w:themeColor="text1"/>
                <w:kern w:val="0"/>
                <w:sz w:val="24"/>
                <w:lang w:eastAsia="zh-CN"/>
                <w14:textFill>
                  <w14:solidFill>
                    <w14:schemeClr w14:val="tx1"/>
                  </w14:solidFill>
                </w14:textFill>
              </w:rPr>
              <w:t>进行固化，</w:t>
            </w:r>
            <w:r>
              <w:rPr>
                <w:rFonts w:hint="default" w:ascii="Times New Roman" w:hAnsi="Times New Roman" w:eastAsia="宋体" w:cs="Times New Roman"/>
                <w:color w:val="000000" w:themeColor="text1"/>
                <w:sz w:val="24"/>
                <w:lang w:val="en-US" w:eastAsia="zh-CN"/>
                <w14:textFill>
                  <w14:solidFill>
                    <w14:schemeClr w14:val="tx1"/>
                  </w14:solidFill>
                </w14:textFill>
              </w:rPr>
              <w:t>项目固化的温度控制在45摄氏度左右，采用电加热烘干箱加热</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，有机物不挥发，此工序会产生噪声。</w:t>
            </w:r>
          </w:p>
          <w:p w14:paraId="096294C4">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kern w:val="0"/>
                <w:sz w:val="24"/>
                <w:lang w:eastAsia="zh-CN"/>
                <w14:textFill>
                  <w14:solidFill>
                    <w14:schemeClr w14:val="tx1"/>
                  </w14:solidFill>
                </w14:textFill>
              </w:rPr>
            </w:pPr>
            <w:r>
              <w:rPr>
                <w:rFonts w:hint="default" w:ascii="Times New Roman" w:hAnsi="Times New Roman" w:eastAsia="宋体" w:cs="Times New Roman"/>
                <w:color w:val="000000" w:themeColor="text1"/>
                <w:kern w:val="0"/>
                <w:sz w:val="24"/>
                <w:lang w:eastAsia="zh-CN"/>
                <w14:textFill>
                  <w14:solidFill>
                    <w14:schemeClr w14:val="tx1"/>
                  </w14:solidFill>
                </w14:textFill>
              </w:rPr>
              <w:t>④压花、分切、修边：按照要求对产品进行加工分切，</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此过程会产生废弃边角料及噪声。</w:t>
            </w:r>
          </w:p>
          <w:p w14:paraId="092D4F84">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kern w:val="0"/>
                <w:sz w:val="24"/>
                <w:lang w:eastAsia="zh-CN"/>
                <w14:textFill>
                  <w14:solidFill>
                    <w14:schemeClr w14:val="tx1"/>
                  </w14:solidFill>
                </w14:textFill>
              </w:rPr>
            </w:pPr>
            <w:r>
              <w:rPr>
                <w:rFonts w:hint="default" w:ascii="Times New Roman" w:hAnsi="Times New Roman" w:eastAsia="宋体" w:cs="Times New Roman"/>
                <w:color w:val="000000" w:themeColor="text1"/>
                <w:kern w:val="0"/>
                <w:sz w:val="24"/>
                <w:lang w:eastAsia="zh-CN"/>
                <w14:textFill>
                  <w14:solidFill>
                    <w14:schemeClr w14:val="tx1"/>
                  </w14:solidFill>
                </w14:textFill>
              </w:rPr>
              <w:t>⑤检验、包装：检验合格，进行包装之后即为成品。</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此过程会产生不合格产品。</w:t>
            </w:r>
          </w:p>
          <w:p w14:paraId="62585018">
            <w:pPr>
              <w:numPr>
                <w:ilvl w:val="0"/>
                <w:numId w:val="6"/>
              </w:numPr>
              <w:jc w:val="both"/>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t>铝箔玻纤布复合膜工艺流程及产污节点说明：</w:t>
            </w:r>
          </w:p>
          <w:p w14:paraId="144002D8">
            <w:pPr>
              <w:numPr>
                <w:ilvl w:val="0"/>
                <w:numId w:val="0"/>
              </w:numPr>
              <w:kinsoku w:val="0"/>
              <w:autoSpaceDE w:val="0"/>
              <w:autoSpaceDN w:val="0"/>
              <w:adjustRightInd w:val="0"/>
              <w:snapToGrid w:val="0"/>
              <w:jc w:val="center"/>
              <w:textAlignment w:val="baseline"/>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drawing>
                <wp:inline distT="0" distB="0" distL="114300" distR="114300">
                  <wp:extent cx="4326890" cy="3892550"/>
                  <wp:effectExtent l="0" t="0" r="0" b="0"/>
                  <wp:docPr id="2" name="ECB019B1-382A-4266-B25C-5B523AA43C14-3" descr="C:/Users/lenlovolel/AppData/Local/Temp/wps.DADSIW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3" descr="C:/Users/lenlovolel/AppData/Local/Temp/wps.DADSIWwps"/>
                          <pic:cNvPicPr>
                            <a:picLocks noChangeAspect="1"/>
                          </pic:cNvPicPr>
                        </pic:nvPicPr>
                        <pic:blipFill>
                          <a:blip r:embed="rId15"/>
                          <a:stretch>
                            <a:fillRect/>
                          </a:stretch>
                        </pic:blipFill>
                        <pic:spPr>
                          <a:xfrm>
                            <a:off x="0" y="0"/>
                            <a:ext cx="4326890" cy="3892550"/>
                          </a:xfrm>
                          <a:prstGeom prst="rect">
                            <a:avLst/>
                          </a:prstGeom>
                        </pic:spPr>
                      </pic:pic>
                    </a:graphicData>
                  </a:graphic>
                </wp:inline>
              </w:drawing>
            </w:r>
          </w:p>
          <w:p w14:paraId="3DAFE952">
            <w:pPr>
              <w:pStyle w:val="58"/>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ind w:left="0" w:leftChars="0" w:firstLine="0" w:firstLineChars="0"/>
              <w:jc w:val="center"/>
              <w:textAlignment w:val="baseline"/>
              <w:rPr>
                <w:rFonts w:hint="default" w:ascii="Times New Roman" w:hAnsi="Times New Roman" w:eastAsia="宋体" w:cs="Times New Roman"/>
                <w:b/>
                <w:color w:val="000000" w:themeColor="text1"/>
                <w:szCs w:val="24"/>
                <w:lang w:val="en-US" w:eastAsia="zh-CN"/>
                <w14:textFill>
                  <w14:solidFill>
                    <w14:schemeClr w14:val="tx1"/>
                  </w14:solidFill>
                </w14:textFill>
              </w:rPr>
            </w:pPr>
            <w:r>
              <w:rPr>
                <w:rFonts w:hint="default" w:ascii="Times New Roman" w:hAnsi="Times New Roman" w:eastAsia="宋体" w:cs="Times New Roman"/>
                <w:b/>
                <w:color w:val="000000" w:themeColor="text1"/>
                <w:szCs w:val="24"/>
                <w:lang w:eastAsia="zh-CN"/>
                <w14:textFill>
                  <w14:solidFill>
                    <w14:schemeClr w14:val="tx1"/>
                  </w14:solidFill>
                </w14:textFill>
              </w:rPr>
              <w:t>图</w:t>
            </w:r>
            <w:r>
              <w:rPr>
                <w:rFonts w:hint="default" w:ascii="Times New Roman" w:hAnsi="Times New Roman" w:eastAsia="宋体" w:cs="Times New Roman"/>
                <w:b/>
                <w:color w:val="000000" w:themeColor="text1"/>
                <w:szCs w:val="24"/>
                <w:lang w:val="en-US" w:eastAsia="zh-CN"/>
                <w14:textFill>
                  <w14:solidFill>
                    <w14:schemeClr w14:val="tx1"/>
                  </w14:solidFill>
                </w14:textFill>
              </w:rPr>
              <w:t>2-3铝箔玻纤布复合膜</w:t>
            </w:r>
            <w:r>
              <w:rPr>
                <w:rFonts w:hint="default" w:ascii="Times New Roman" w:hAnsi="Times New Roman" w:eastAsia="宋体" w:cs="Times New Roman"/>
                <w:b/>
                <w:color w:val="000000" w:themeColor="text1"/>
                <w:szCs w:val="24"/>
                <w:lang w:eastAsia="zh-CN"/>
                <w14:textFill>
                  <w14:solidFill>
                    <w14:schemeClr w14:val="tx1"/>
                  </w14:solidFill>
                </w14:textFill>
              </w:rPr>
              <w:t>生产工艺流程及产污环节图</w:t>
            </w:r>
          </w:p>
          <w:p w14:paraId="09FF72D0">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①涂胶复合：利用复合机将水性胶水将铝箔复合与玻璃纤维布粘合一起，通过加热滚筒加热，形成铝箔玻纤布。此工序会产生有机废气和噪声。</w:t>
            </w:r>
          </w:p>
          <w:p w14:paraId="5B6C2E88">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②分切、修边：利用分切机根据客户要求将铝箔玻纤布贴面分切修边成订单合适尺寸。此过程会产生废弃边角料及噪声。</w:t>
            </w:r>
          </w:p>
          <w:p w14:paraId="07CF6221">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lang w:val="en-US" w:eastAsia="zh-CN"/>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③检验、包装：检验合格，进行包装之后即为成品。此过程会产生不合格产品。</w:t>
            </w:r>
          </w:p>
          <w:p w14:paraId="603984D8">
            <w:pPr>
              <w:keepNext w:val="0"/>
              <w:keepLines w:val="0"/>
              <w:pageBreakBefore w:val="0"/>
              <w:widowControl/>
              <w:kinsoku/>
              <w:wordWrap/>
              <w:overflowPunct/>
              <w:topLinePunct w:val="0"/>
              <w:bidi w:val="0"/>
              <w:snapToGrid w:val="0"/>
              <w:spacing w:line="360" w:lineRule="auto"/>
              <w:jc w:val="left"/>
              <w:textAlignment w:val="auto"/>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t>3、牛皮纸加筋铝箔生产工艺流程及产污节点说明：</w:t>
            </w:r>
          </w:p>
          <w:p w14:paraId="35DCD145">
            <w:pPr>
              <w:keepNext w:val="0"/>
              <w:keepLines w:val="0"/>
              <w:pageBreakBefore w:val="0"/>
              <w:widowControl/>
              <w:kinsoku/>
              <w:wordWrap/>
              <w:overflowPunct/>
              <w:topLinePunct w:val="0"/>
              <w:bidi w:val="0"/>
              <w:snapToGrid w:val="0"/>
              <w:spacing w:line="360" w:lineRule="auto"/>
              <w:ind w:firstLine="420" w:firstLineChars="200"/>
              <w:jc w:val="center"/>
              <w:textAlignment w:val="auto"/>
              <w:rPr>
                <w:rFonts w:hint="default" w:ascii="Times New Roman" w:hAnsi="Times New Roman" w:eastAsia="宋体" w:cs="Times New Roman"/>
                <w:color w:val="0000FF"/>
                <w:kern w:val="0"/>
                <w:sz w:val="24"/>
                <w:lang w:val="en-US" w:eastAsia="zh-CN" w:bidi="ar"/>
              </w:rPr>
            </w:pPr>
            <w:r>
              <w:rPr>
                <w:rFonts w:hint="default" w:ascii="Times New Roman" w:hAnsi="Times New Roman" w:eastAsia="宋体" w:cs="Times New Roman"/>
                <w:color w:val="0000FF"/>
              </w:rPr>
              <w:drawing>
                <wp:inline distT="0" distB="0" distL="114300" distR="114300">
                  <wp:extent cx="3338195" cy="5422265"/>
                  <wp:effectExtent l="0" t="0" r="14605"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3338195" cy="5422265"/>
                          </a:xfrm>
                          <a:prstGeom prst="rect">
                            <a:avLst/>
                          </a:prstGeom>
                          <a:noFill/>
                          <a:ln>
                            <a:noFill/>
                          </a:ln>
                        </pic:spPr>
                      </pic:pic>
                    </a:graphicData>
                  </a:graphic>
                </wp:inline>
              </w:drawing>
            </w:r>
          </w:p>
          <w:p w14:paraId="2D77D0DD">
            <w:pPr>
              <w:pStyle w:val="58"/>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ind w:left="0" w:leftChars="0" w:firstLine="0" w:firstLineChars="0"/>
              <w:jc w:val="center"/>
              <w:textAlignment w:val="baseline"/>
              <w:rPr>
                <w:rFonts w:hint="default" w:ascii="Times New Roman" w:hAnsi="Times New Roman" w:eastAsia="宋体" w:cs="Times New Roman"/>
                <w:b/>
                <w:color w:val="000000" w:themeColor="text1"/>
                <w:szCs w:val="24"/>
                <w:lang w:val="en-US" w:eastAsia="zh-CN"/>
                <w14:textFill>
                  <w14:solidFill>
                    <w14:schemeClr w14:val="tx1"/>
                  </w14:solidFill>
                </w14:textFill>
              </w:rPr>
            </w:pPr>
            <w:r>
              <w:rPr>
                <w:rFonts w:hint="default" w:ascii="Times New Roman" w:hAnsi="Times New Roman" w:eastAsia="宋体" w:cs="Times New Roman"/>
                <w:b/>
                <w:color w:val="000000" w:themeColor="text1"/>
                <w:szCs w:val="24"/>
                <w:lang w:val="en-US" w:eastAsia="zh-CN"/>
                <w14:textFill>
                  <w14:solidFill>
                    <w14:schemeClr w14:val="tx1"/>
                  </w14:solidFill>
                </w14:textFill>
              </w:rPr>
              <w:t>图2-4牛皮纸加筋铝箔生产工艺流程及产污环节图</w:t>
            </w:r>
          </w:p>
          <w:p w14:paraId="39C31F72">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工艺流程简述：</w:t>
            </w:r>
          </w:p>
          <w:p w14:paraId="6CA8A5D4">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①加筋：淋膜牛皮纸经半自动高速加筋复合机复合附着一层纤维纱，此过程会产生废弃边角料及噪声。</w:t>
            </w:r>
          </w:p>
          <w:p w14:paraId="68A0099A">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②复合：将加筋后牛皮纸与涂覆一层胶粘剂铝箔一同送入热压设备中，采用连续辊压法或平压法进行热压复合。连续辊压法的热压温度一般为140℃-160℃，，此工序会产生有机废气和噪声。</w:t>
            </w:r>
          </w:p>
          <w:p w14:paraId="3972F97B">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③压花、分切、修边：先由全自动压花机进行压花，之后全自动分切机进行切割修边，此过程会产生废弃边角料及噪声。</w:t>
            </w:r>
          </w:p>
          <w:p w14:paraId="4A7DE756">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④检验、包装：检验产品是否符合质量标准，再进行包装。此过程会产生不合格产品。</w:t>
            </w:r>
          </w:p>
          <w:p w14:paraId="69456232">
            <w:pPr>
              <w:keepNext w:val="0"/>
              <w:keepLines w:val="0"/>
              <w:pageBreakBefore w:val="0"/>
              <w:widowControl/>
              <w:kinsoku/>
              <w:wordWrap/>
              <w:overflowPunct/>
              <w:topLinePunct w:val="0"/>
              <w:bidi w:val="0"/>
              <w:snapToGrid w:val="0"/>
              <w:spacing w:line="360" w:lineRule="auto"/>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项目主要污染工序：</w:t>
            </w:r>
          </w:p>
          <w:p w14:paraId="25D51512">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000000" w:themeColor="text1"/>
                <w:sz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表2-</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生产过程产污环节及治理措施一览表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668"/>
              <w:gridCol w:w="1298"/>
              <w:gridCol w:w="1748"/>
              <w:gridCol w:w="3437"/>
            </w:tblGrid>
            <w:tr w14:paraId="05720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9" w:hRule="atLeast"/>
                <w:jc w:val="center"/>
              </w:trPr>
              <w:tc>
                <w:tcPr>
                  <w:tcW w:w="766" w:type="dxa"/>
                  <w:vAlign w:val="center"/>
                </w:tcPr>
                <w:p w14:paraId="7A962582">
                  <w:pPr>
                    <w:pStyle w:val="41"/>
                    <w:kinsoku/>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产污单元</w:t>
                  </w:r>
                </w:p>
              </w:tc>
              <w:tc>
                <w:tcPr>
                  <w:tcW w:w="668" w:type="dxa"/>
                  <w:vAlign w:val="center"/>
                </w:tcPr>
                <w:p w14:paraId="6D29E17D">
                  <w:pPr>
                    <w:pStyle w:val="41"/>
                    <w:kinsoku/>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类型</w:t>
                  </w:r>
                </w:p>
              </w:tc>
              <w:tc>
                <w:tcPr>
                  <w:tcW w:w="1298" w:type="dxa"/>
                  <w:vAlign w:val="center"/>
                </w:tcPr>
                <w:p w14:paraId="2738E127">
                  <w:pPr>
                    <w:pStyle w:val="41"/>
                    <w:kinsoku/>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污染工序</w:t>
                  </w:r>
                </w:p>
              </w:tc>
              <w:tc>
                <w:tcPr>
                  <w:tcW w:w="1748" w:type="dxa"/>
                  <w:vAlign w:val="center"/>
                </w:tcPr>
                <w:p w14:paraId="4C2255FB">
                  <w:pPr>
                    <w:pStyle w:val="41"/>
                    <w:kinsoku/>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主要成分</w:t>
                  </w:r>
                </w:p>
              </w:tc>
              <w:tc>
                <w:tcPr>
                  <w:tcW w:w="3437" w:type="dxa"/>
                  <w:vAlign w:val="center"/>
                </w:tcPr>
                <w:p w14:paraId="5C495C98">
                  <w:pPr>
                    <w:pStyle w:val="41"/>
                    <w:kinsoku/>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治理措施及排放形式</w:t>
                  </w:r>
                </w:p>
              </w:tc>
            </w:tr>
            <w:tr w14:paraId="712D2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66" w:type="dxa"/>
                  <w:vMerge w:val="restart"/>
                  <w:vAlign w:val="center"/>
                </w:tcPr>
                <w:p w14:paraId="02A852EB">
                  <w:pPr>
                    <w:kinsoku/>
                    <w:jc w:val="center"/>
                    <w:rPr>
                      <w:rFonts w:hint="default" w:ascii="Times New Roman" w:hAnsi="Times New Roman" w:eastAsia="宋体" w:cs="Times New Roman"/>
                      <w:color w:val="000000" w:themeColor="text1"/>
                      <w:spacing w:val="3"/>
                      <w:lang w:val="en-US" w:eastAsia="zh-CN"/>
                      <w14:textFill>
                        <w14:solidFill>
                          <w14:schemeClr w14:val="tx1"/>
                        </w14:solidFill>
                      </w14:textFill>
                    </w:rPr>
                  </w:pPr>
                  <w:r>
                    <w:rPr>
                      <w:rFonts w:hint="default" w:ascii="Times New Roman" w:hAnsi="Times New Roman" w:eastAsia="宋体" w:cs="Times New Roman"/>
                      <w:color w:val="000000" w:themeColor="text1"/>
                      <w:spacing w:val="3"/>
                      <w:lang w:val="en-US" w:eastAsia="zh-CN"/>
                      <w14:textFill>
                        <w14:solidFill>
                          <w14:schemeClr w14:val="tx1"/>
                        </w14:solidFill>
                      </w14:textFill>
                    </w:rPr>
                    <w:t>营运期</w:t>
                  </w:r>
                </w:p>
              </w:tc>
              <w:tc>
                <w:tcPr>
                  <w:tcW w:w="668" w:type="dxa"/>
                  <w:vAlign w:val="center"/>
                </w:tcPr>
                <w:p w14:paraId="0E81C017">
                  <w:pPr>
                    <w:kinsoku/>
                    <w:jc w:val="center"/>
                    <w:rPr>
                      <w:rFonts w:hint="default" w:ascii="Times New Roman" w:hAnsi="Times New Roman" w:eastAsia="宋体" w:cs="Times New Roman"/>
                      <w:color w:val="000000" w:themeColor="text1"/>
                      <w:spacing w:val="3"/>
                      <w:lang w:val="en-US" w:eastAsia="zh-CN"/>
                      <w14:textFill>
                        <w14:solidFill>
                          <w14:schemeClr w14:val="tx1"/>
                        </w14:solidFill>
                      </w14:textFill>
                    </w:rPr>
                  </w:pPr>
                  <w:r>
                    <w:rPr>
                      <w:rFonts w:hint="default" w:ascii="Times New Roman" w:hAnsi="Times New Roman" w:eastAsia="宋体" w:cs="Times New Roman"/>
                      <w:color w:val="000000" w:themeColor="text1"/>
                      <w:spacing w:val="3"/>
                      <w:lang w:val="en-US" w:eastAsia="zh-CN"/>
                      <w14:textFill>
                        <w14:solidFill>
                          <w14:schemeClr w14:val="tx1"/>
                        </w14:solidFill>
                      </w14:textFill>
                    </w:rPr>
                    <w:t>废气</w:t>
                  </w:r>
                </w:p>
              </w:tc>
              <w:tc>
                <w:tcPr>
                  <w:tcW w:w="1298" w:type="dxa"/>
                  <w:shd w:val="clear" w:color="auto" w:fill="auto"/>
                  <w:vAlign w:val="center"/>
                </w:tcPr>
                <w:p w14:paraId="4458E2DB">
                  <w:pPr>
                    <w:kinsoku/>
                    <w:jc w:val="center"/>
                    <w:rPr>
                      <w:rFonts w:hint="default" w:ascii="Times New Roman" w:hAnsi="Times New Roman" w:eastAsia="宋体" w:cs="Times New Roman"/>
                      <w:color w:val="000000" w:themeColor="text1"/>
                      <w:spacing w:val="3"/>
                      <w:lang w:val="en-US" w:eastAsia="zh-CN"/>
                      <w14:textFill>
                        <w14:solidFill>
                          <w14:schemeClr w14:val="tx1"/>
                        </w14:solidFill>
                      </w14:textFill>
                    </w:rPr>
                  </w:pPr>
                  <w:r>
                    <w:rPr>
                      <w:rFonts w:hint="default" w:ascii="Times New Roman" w:hAnsi="Times New Roman" w:eastAsia="宋体" w:cs="Times New Roman"/>
                      <w:color w:val="000000" w:themeColor="text1"/>
                      <w:spacing w:val="3"/>
                      <w:lang w:val="en-US" w:eastAsia="zh-CN"/>
                      <w14:textFill>
                        <w14:solidFill>
                          <w14:schemeClr w14:val="tx1"/>
                        </w14:solidFill>
                      </w14:textFill>
                    </w:rPr>
                    <w:t>涂胶、烘干、复合废气</w:t>
                  </w:r>
                </w:p>
              </w:tc>
              <w:tc>
                <w:tcPr>
                  <w:tcW w:w="1748" w:type="dxa"/>
                  <w:vAlign w:val="center"/>
                </w:tcPr>
                <w:p w14:paraId="2103C28D">
                  <w:pPr>
                    <w:kinsoku/>
                    <w:jc w:val="center"/>
                    <w:rPr>
                      <w:rFonts w:hint="default" w:ascii="Times New Roman" w:hAnsi="Times New Roman" w:eastAsia="宋体" w:cs="Times New Roman"/>
                      <w:color w:val="000000" w:themeColor="text1"/>
                      <w:spacing w:val="3"/>
                      <w:lang w:val="en-US" w:eastAsia="zh-CN"/>
                      <w14:textFill>
                        <w14:solidFill>
                          <w14:schemeClr w14:val="tx1"/>
                        </w14:solidFill>
                      </w14:textFill>
                    </w:rPr>
                  </w:pPr>
                  <w:r>
                    <w:rPr>
                      <w:rFonts w:hint="default" w:ascii="Times New Roman" w:hAnsi="Times New Roman" w:eastAsia="宋体" w:cs="Times New Roman"/>
                      <w:color w:val="000000" w:themeColor="text1"/>
                      <w:spacing w:val="3"/>
                      <w:lang w:val="en-US" w:eastAsia="zh-CN"/>
                      <w14:textFill>
                        <w14:solidFill>
                          <w14:schemeClr w14:val="tx1"/>
                        </w14:solidFill>
                      </w14:textFill>
                    </w:rPr>
                    <w:t>非甲烷总烃</w:t>
                  </w:r>
                </w:p>
              </w:tc>
              <w:tc>
                <w:tcPr>
                  <w:tcW w:w="3437" w:type="dxa"/>
                  <w:vAlign w:val="center"/>
                </w:tcPr>
                <w:p w14:paraId="02938DC3">
                  <w:pPr>
                    <w:kinsoku/>
                    <w:jc w:val="center"/>
                    <w:rPr>
                      <w:rFonts w:hint="default" w:ascii="Times New Roman" w:hAnsi="Times New Roman" w:eastAsia="宋体" w:cs="Times New Roman"/>
                      <w:color w:val="000000" w:themeColor="text1"/>
                      <w:spacing w:val="3"/>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集气系统+水喷淋+二级活性炭吸附装置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15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高</w:t>
                  </w:r>
                  <w:r>
                    <w:rPr>
                      <w:rFonts w:hint="default" w:ascii="Times New Roman" w:hAnsi="Times New Roman" w:eastAsia="宋体" w:cs="Times New Roman"/>
                      <w:color w:val="000000" w:themeColor="text1"/>
                      <w:sz w:val="21"/>
                      <w:szCs w:val="21"/>
                      <w:lang w:eastAsia="zh-CN"/>
                      <w14:textFill>
                        <w14:solidFill>
                          <w14:schemeClr w14:val="tx1"/>
                        </w14:solidFill>
                      </w14:textFill>
                    </w:rPr>
                    <w:t>的排气筒排放（</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DA003</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r>
            <w:tr w14:paraId="73C8A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66" w:type="dxa"/>
                  <w:vMerge w:val="continue"/>
                  <w:vAlign w:val="center"/>
                </w:tcPr>
                <w:p w14:paraId="1B2D60EB">
                  <w:pPr>
                    <w:kinsoku/>
                    <w:jc w:val="center"/>
                    <w:rPr>
                      <w:rFonts w:hint="default" w:ascii="Times New Roman" w:hAnsi="Times New Roman" w:eastAsia="宋体" w:cs="Times New Roman"/>
                      <w:color w:val="000000" w:themeColor="text1"/>
                      <w:spacing w:val="3"/>
                      <w:lang w:val="en-US" w:eastAsia="zh-CN"/>
                      <w14:textFill>
                        <w14:solidFill>
                          <w14:schemeClr w14:val="tx1"/>
                        </w14:solidFill>
                      </w14:textFill>
                    </w:rPr>
                  </w:pPr>
                </w:p>
              </w:tc>
              <w:tc>
                <w:tcPr>
                  <w:tcW w:w="668" w:type="dxa"/>
                  <w:vAlign w:val="center"/>
                </w:tcPr>
                <w:p w14:paraId="75019727">
                  <w:pPr>
                    <w:kinsoku/>
                    <w:jc w:val="center"/>
                    <w:rPr>
                      <w:rFonts w:hint="default" w:ascii="Times New Roman" w:hAnsi="Times New Roman" w:eastAsia="宋体" w:cs="Times New Roman"/>
                      <w:color w:val="000000" w:themeColor="text1"/>
                      <w:spacing w:val="3"/>
                      <w:lang w:val="en-US" w:eastAsia="zh-CN"/>
                      <w14:textFill>
                        <w14:solidFill>
                          <w14:schemeClr w14:val="tx1"/>
                        </w14:solidFill>
                      </w14:textFill>
                    </w:rPr>
                  </w:pPr>
                  <w:r>
                    <w:rPr>
                      <w:rFonts w:hint="default" w:ascii="Times New Roman" w:hAnsi="Times New Roman" w:eastAsia="宋体" w:cs="Times New Roman"/>
                      <w:color w:val="000000" w:themeColor="text1"/>
                      <w:spacing w:val="3"/>
                      <w:lang w:val="en-US" w:eastAsia="zh-CN"/>
                      <w14:textFill>
                        <w14:solidFill>
                          <w14:schemeClr w14:val="tx1"/>
                        </w14:solidFill>
                      </w14:textFill>
                    </w:rPr>
                    <w:t>废水</w:t>
                  </w:r>
                </w:p>
              </w:tc>
              <w:tc>
                <w:tcPr>
                  <w:tcW w:w="1298" w:type="dxa"/>
                  <w:vAlign w:val="center"/>
                </w:tcPr>
                <w:p w14:paraId="6D3A6933">
                  <w:pPr>
                    <w:kinsoku/>
                    <w:jc w:val="center"/>
                    <w:rPr>
                      <w:rFonts w:hint="default" w:ascii="Times New Roman" w:hAnsi="Times New Roman" w:eastAsia="宋体" w:cs="Times New Roman"/>
                      <w:color w:val="000000" w:themeColor="text1"/>
                      <w:spacing w:val="3"/>
                      <w:lang w:val="en-US" w:eastAsia="zh-CN"/>
                      <w14:textFill>
                        <w14:solidFill>
                          <w14:schemeClr w14:val="tx1"/>
                        </w14:solidFill>
                      </w14:textFill>
                    </w:rPr>
                  </w:pPr>
                  <w:r>
                    <w:rPr>
                      <w:rFonts w:hint="default" w:ascii="Times New Roman" w:hAnsi="Times New Roman" w:eastAsia="宋体" w:cs="Times New Roman"/>
                      <w:color w:val="000000" w:themeColor="text1"/>
                      <w:spacing w:val="3"/>
                      <w:lang w:val="en-US" w:eastAsia="zh-CN"/>
                      <w14:textFill>
                        <w14:solidFill>
                          <w14:schemeClr w14:val="tx1"/>
                        </w14:solidFill>
                      </w14:textFill>
                    </w:rPr>
                    <w:t>生活污水</w:t>
                  </w:r>
                </w:p>
              </w:tc>
              <w:tc>
                <w:tcPr>
                  <w:tcW w:w="1748" w:type="dxa"/>
                  <w:vAlign w:val="center"/>
                </w:tcPr>
                <w:p w14:paraId="74E2B9C4">
                  <w:pPr>
                    <w:kinsoku/>
                    <w:jc w:val="center"/>
                    <w:rPr>
                      <w:rFonts w:hint="default" w:ascii="Times New Roman" w:hAnsi="Times New Roman" w:eastAsia="宋体" w:cs="Times New Roman"/>
                      <w:color w:val="000000" w:themeColor="text1"/>
                      <w:spacing w:val="3"/>
                      <w:lang w:val="en-US" w:eastAsia="zh-CN"/>
                      <w14:textFill>
                        <w14:solidFill>
                          <w14:schemeClr w14:val="tx1"/>
                        </w14:solidFill>
                      </w14:textFill>
                    </w:rPr>
                  </w:pPr>
                  <w:r>
                    <w:rPr>
                      <w:rFonts w:hint="default" w:ascii="Times New Roman" w:hAnsi="Times New Roman" w:eastAsia="宋体" w:cs="Times New Roman"/>
                      <w:color w:val="000000" w:themeColor="text1"/>
                      <w:spacing w:val="3"/>
                      <w:lang w:val="en-US" w:eastAsia="zh-CN"/>
                      <w14:textFill>
                        <w14:solidFill>
                          <w14:schemeClr w14:val="tx1"/>
                        </w14:solidFill>
                      </w14:textFill>
                    </w:rPr>
                    <w:t>pH、COD、BOD</w:t>
                  </w:r>
                  <w:r>
                    <w:rPr>
                      <w:rFonts w:hint="default" w:ascii="Times New Roman" w:hAnsi="Times New Roman" w:eastAsia="宋体" w:cs="Times New Roman"/>
                      <w:color w:val="000000" w:themeColor="text1"/>
                      <w:spacing w:val="3"/>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pacing w:val="3"/>
                      <w:lang w:val="en-US" w:eastAsia="zh-CN"/>
                      <w14:textFill>
                        <w14:solidFill>
                          <w14:schemeClr w14:val="tx1"/>
                        </w14:solidFill>
                      </w14:textFill>
                    </w:rPr>
                    <w:t>、氨氮、SS</w:t>
                  </w:r>
                </w:p>
              </w:tc>
              <w:tc>
                <w:tcPr>
                  <w:tcW w:w="3437" w:type="dxa"/>
                  <w:vAlign w:val="center"/>
                </w:tcPr>
                <w:p w14:paraId="38FD984D">
                  <w:pPr>
                    <w:kinsoku/>
                    <w:jc w:val="center"/>
                    <w:rPr>
                      <w:rFonts w:hint="default" w:ascii="Times New Roman" w:hAnsi="Times New Roman" w:eastAsia="宋体" w:cs="Times New Roman"/>
                      <w:color w:val="000000" w:themeColor="text1"/>
                      <w:spacing w:val="3"/>
                      <w:lang w:val="en-US" w:eastAsia="zh-CN"/>
                      <w14:textFill>
                        <w14:solidFill>
                          <w14:schemeClr w14:val="tx1"/>
                        </w14:solidFill>
                      </w14:textFill>
                    </w:rPr>
                  </w:pPr>
                  <w:r>
                    <w:rPr>
                      <w:rFonts w:hint="default" w:ascii="Times New Roman" w:hAnsi="Times New Roman" w:eastAsia="宋体" w:cs="Times New Roman"/>
                      <w:color w:val="000000" w:themeColor="text1"/>
                      <w:spacing w:val="3"/>
                      <w:lang w:val="en-US" w:eastAsia="zh-CN"/>
                      <w14:textFill>
                        <w14:solidFill>
                          <w14:schemeClr w14:val="tx1"/>
                        </w14:solidFill>
                      </w14:textFill>
                    </w:rPr>
                    <w:t>经化粪池处理后排入市政污水管网</w:t>
                  </w:r>
                </w:p>
              </w:tc>
            </w:tr>
            <w:tr w14:paraId="40409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jc w:val="center"/>
              </w:trPr>
              <w:tc>
                <w:tcPr>
                  <w:tcW w:w="766" w:type="dxa"/>
                  <w:vMerge w:val="continue"/>
                  <w:vAlign w:val="center"/>
                </w:tcPr>
                <w:p w14:paraId="73673CB6">
                  <w:pPr>
                    <w:kinsoku/>
                    <w:jc w:val="center"/>
                    <w:rPr>
                      <w:rFonts w:hint="default" w:ascii="Times New Roman" w:hAnsi="Times New Roman" w:eastAsia="宋体" w:cs="Times New Roman"/>
                      <w:color w:val="000000" w:themeColor="text1"/>
                      <w:spacing w:val="3"/>
                      <w:lang w:val="en-US" w:eastAsia="zh-CN"/>
                      <w14:textFill>
                        <w14:solidFill>
                          <w14:schemeClr w14:val="tx1"/>
                        </w14:solidFill>
                      </w14:textFill>
                    </w:rPr>
                  </w:pPr>
                </w:p>
              </w:tc>
              <w:tc>
                <w:tcPr>
                  <w:tcW w:w="668" w:type="dxa"/>
                  <w:vMerge w:val="restart"/>
                  <w:vAlign w:val="center"/>
                </w:tcPr>
                <w:p w14:paraId="5A911637">
                  <w:pPr>
                    <w:kinsoku/>
                    <w:jc w:val="center"/>
                    <w:rPr>
                      <w:rFonts w:hint="default" w:ascii="Times New Roman" w:hAnsi="Times New Roman" w:eastAsia="宋体" w:cs="Times New Roman"/>
                      <w:color w:val="000000" w:themeColor="text1"/>
                      <w:spacing w:val="3"/>
                      <w:lang w:val="en-US" w:eastAsia="zh-CN"/>
                      <w14:textFill>
                        <w14:solidFill>
                          <w14:schemeClr w14:val="tx1"/>
                        </w14:solidFill>
                      </w14:textFill>
                    </w:rPr>
                  </w:pPr>
                  <w:r>
                    <w:rPr>
                      <w:rFonts w:hint="default" w:ascii="Times New Roman" w:hAnsi="Times New Roman" w:eastAsia="宋体" w:cs="Times New Roman"/>
                      <w:color w:val="000000" w:themeColor="text1"/>
                      <w:spacing w:val="3"/>
                      <w:lang w:val="en-US" w:eastAsia="zh-CN"/>
                      <w14:textFill>
                        <w14:solidFill>
                          <w14:schemeClr w14:val="tx1"/>
                        </w14:solidFill>
                      </w14:textFill>
                    </w:rPr>
                    <w:t>固废</w:t>
                  </w:r>
                </w:p>
              </w:tc>
              <w:tc>
                <w:tcPr>
                  <w:tcW w:w="1298" w:type="dxa"/>
                  <w:vAlign w:val="center"/>
                </w:tcPr>
                <w:p w14:paraId="63AF5EB8">
                  <w:pPr>
                    <w:kinsoku/>
                    <w:jc w:val="center"/>
                    <w:rPr>
                      <w:rFonts w:hint="default" w:ascii="Times New Roman" w:hAnsi="Times New Roman" w:eastAsia="宋体" w:cs="Times New Roman"/>
                      <w:color w:val="000000" w:themeColor="text1"/>
                      <w:spacing w:val="3"/>
                      <w:lang w:val="en-US" w:eastAsia="zh-CN"/>
                      <w14:textFill>
                        <w14:solidFill>
                          <w14:schemeClr w14:val="tx1"/>
                        </w14:solidFill>
                      </w14:textFill>
                    </w:rPr>
                  </w:pPr>
                  <w:r>
                    <w:rPr>
                      <w:rFonts w:hint="default" w:ascii="Times New Roman" w:hAnsi="Times New Roman" w:eastAsia="宋体" w:cs="Times New Roman"/>
                      <w:color w:val="000000" w:themeColor="text1"/>
                      <w:spacing w:val="3"/>
                      <w:lang w:val="en-US" w:eastAsia="zh-CN"/>
                      <w14:textFill>
                        <w14:solidFill>
                          <w14:schemeClr w14:val="tx1"/>
                        </w14:solidFill>
                      </w14:textFill>
                    </w:rPr>
                    <w:t>生产</w:t>
                  </w:r>
                </w:p>
              </w:tc>
              <w:tc>
                <w:tcPr>
                  <w:tcW w:w="1748" w:type="dxa"/>
                  <w:vAlign w:val="center"/>
                </w:tcPr>
                <w:p w14:paraId="7CAF5BA2">
                  <w:pPr>
                    <w:kinsoku/>
                    <w:jc w:val="center"/>
                    <w:rPr>
                      <w:rFonts w:hint="default" w:ascii="Times New Roman" w:hAnsi="Times New Roman" w:eastAsia="宋体" w:cs="Times New Roman"/>
                      <w:color w:val="000000" w:themeColor="text1"/>
                      <w:spacing w:val="3"/>
                      <w:lang w:val="en-US" w:eastAsia="zh-CN"/>
                      <w14:textFill>
                        <w14:solidFill>
                          <w14:schemeClr w14:val="tx1"/>
                        </w14:solidFill>
                      </w14:textFill>
                    </w:rPr>
                  </w:pPr>
                  <w:r>
                    <w:rPr>
                      <w:rFonts w:hint="default" w:ascii="Times New Roman" w:hAnsi="Times New Roman" w:eastAsia="宋体" w:cs="Times New Roman"/>
                      <w:color w:val="000000" w:themeColor="text1"/>
                      <w:spacing w:val="3"/>
                      <w:lang w:val="en-US" w:eastAsia="zh-CN"/>
                      <w14:textFill>
                        <w14:solidFill>
                          <w14:schemeClr w14:val="tx1"/>
                        </w14:solidFill>
                      </w14:textFill>
                    </w:rPr>
                    <w:t>不合格品</w:t>
                  </w:r>
                </w:p>
              </w:tc>
              <w:tc>
                <w:tcPr>
                  <w:tcW w:w="3437" w:type="dxa"/>
                  <w:vAlign w:val="center"/>
                </w:tcPr>
                <w:p w14:paraId="6E5B5108">
                  <w:pPr>
                    <w:kinsoku/>
                    <w:jc w:val="center"/>
                    <w:rPr>
                      <w:rFonts w:hint="default" w:ascii="Times New Roman" w:hAnsi="Times New Roman" w:eastAsia="宋体" w:cs="Times New Roman"/>
                      <w:color w:val="000000" w:themeColor="text1"/>
                      <w:spacing w:val="3"/>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暂存一般固废间</w:t>
                  </w:r>
                  <w:r>
                    <w:rPr>
                      <w:rFonts w:hint="default" w:ascii="Times New Roman" w:hAnsi="Times New Roman" w:eastAsia="宋体" w:cs="Times New Roman"/>
                      <w:color w:val="000000" w:themeColor="text1"/>
                      <w:spacing w:val="3"/>
                      <w:lang w:val="en-US" w:eastAsia="zh-CN"/>
                      <w14:textFill>
                        <w14:solidFill>
                          <w14:schemeClr w14:val="tx1"/>
                        </w14:solidFill>
                      </w14:textFill>
                    </w:rPr>
                    <w:t>集中收集后外售</w:t>
                  </w:r>
                </w:p>
              </w:tc>
            </w:tr>
            <w:tr w14:paraId="6BE76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766" w:type="dxa"/>
                  <w:vMerge w:val="continue"/>
                  <w:vAlign w:val="center"/>
                </w:tcPr>
                <w:p w14:paraId="1523ADFA">
                  <w:pPr>
                    <w:kinsoku/>
                    <w:jc w:val="center"/>
                    <w:rPr>
                      <w:rFonts w:hint="default" w:ascii="Times New Roman" w:hAnsi="Times New Roman" w:eastAsia="宋体" w:cs="Times New Roman"/>
                      <w:color w:val="000000" w:themeColor="text1"/>
                      <w:spacing w:val="3"/>
                      <w:lang w:val="en-US" w:eastAsia="zh-CN"/>
                      <w14:textFill>
                        <w14:solidFill>
                          <w14:schemeClr w14:val="tx1"/>
                        </w14:solidFill>
                      </w14:textFill>
                    </w:rPr>
                  </w:pPr>
                </w:p>
              </w:tc>
              <w:tc>
                <w:tcPr>
                  <w:tcW w:w="668" w:type="dxa"/>
                  <w:vMerge w:val="continue"/>
                  <w:vAlign w:val="center"/>
                </w:tcPr>
                <w:p w14:paraId="04DF48A0">
                  <w:pPr>
                    <w:kinsoku/>
                    <w:jc w:val="center"/>
                    <w:rPr>
                      <w:rFonts w:hint="default" w:ascii="Times New Roman" w:hAnsi="Times New Roman" w:eastAsia="宋体" w:cs="Times New Roman"/>
                      <w:color w:val="000000" w:themeColor="text1"/>
                      <w:spacing w:val="3"/>
                      <w:lang w:val="en-US" w:eastAsia="zh-CN"/>
                      <w14:textFill>
                        <w14:solidFill>
                          <w14:schemeClr w14:val="tx1"/>
                        </w14:solidFill>
                      </w14:textFill>
                    </w:rPr>
                  </w:pPr>
                </w:p>
              </w:tc>
              <w:tc>
                <w:tcPr>
                  <w:tcW w:w="1298" w:type="dxa"/>
                  <w:vAlign w:val="center"/>
                </w:tcPr>
                <w:p w14:paraId="259426B3">
                  <w:pPr>
                    <w:kinsoku/>
                    <w:jc w:val="center"/>
                    <w:rPr>
                      <w:rFonts w:hint="default" w:ascii="Times New Roman" w:hAnsi="Times New Roman" w:eastAsia="宋体" w:cs="Times New Roman"/>
                      <w:color w:val="000000" w:themeColor="text1"/>
                      <w:spacing w:val="3"/>
                      <w:lang w:val="en-US" w:eastAsia="zh-CN"/>
                      <w14:textFill>
                        <w14:solidFill>
                          <w14:schemeClr w14:val="tx1"/>
                        </w14:solidFill>
                      </w14:textFill>
                    </w:rPr>
                  </w:pPr>
                  <w:r>
                    <w:rPr>
                      <w:rFonts w:hint="default" w:ascii="Times New Roman" w:hAnsi="Times New Roman" w:eastAsia="宋体" w:cs="Times New Roman"/>
                      <w:color w:val="000000" w:themeColor="text1"/>
                      <w:spacing w:val="3"/>
                      <w:lang w:val="en-US" w:eastAsia="zh-CN"/>
                      <w14:textFill>
                        <w14:solidFill>
                          <w14:schemeClr w14:val="tx1"/>
                        </w14:solidFill>
                      </w14:textFill>
                    </w:rPr>
                    <w:t>生产</w:t>
                  </w:r>
                </w:p>
              </w:tc>
              <w:tc>
                <w:tcPr>
                  <w:tcW w:w="1748" w:type="dxa"/>
                  <w:vAlign w:val="center"/>
                </w:tcPr>
                <w:p w14:paraId="754F3A80">
                  <w:pPr>
                    <w:kinsoku/>
                    <w:jc w:val="center"/>
                    <w:rPr>
                      <w:rFonts w:hint="default" w:ascii="Times New Roman" w:hAnsi="Times New Roman" w:eastAsia="宋体" w:cs="Times New Roman"/>
                      <w:color w:val="000000" w:themeColor="text1"/>
                      <w:spacing w:val="3"/>
                      <w:lang w:val="en-US" w:eastAsia="zh-CN"/>
                      <w14:textFill>
                        <w14:solidFill>
                          <w14:schemeClr w14:val="tx1"/>
                        </w14:solidFill>
                      </w14:textFill>
                    </w:rPr>
                  </w:pPr>
                  <w:r>
                    <w:rPr>
                      <w:rFonts w:hint="default" w:ascii="Times New Roman" w:hAnsi="Times New Roman" w:eastAsia="宋体" w:cs="Times New Roman"/>
                      <w:color w:val="000000" w:themeColor="text1"/>
                      <w:spacing w:val="3"/>
                      <w:lang w:val="en-US" w:eastAsia="zh-CN"/>
                      <w14:textFill>
                        <w14:solidFill>
                          <w14:schemeClr w14:val="tx1"/>
                        </w14:solidFill>
                      </w14:textFill>
                    </w:rPr>
                    <w:t>边角料</w:t>
                  </w:r>
                </w:p>
              </w:tc>
              <w:tc>
                <w:tcPr>
                  <w:tcW w:w="3437" w:type="dxa"/>
                  <w:vAlign w:val="center"/>
                </w:tcPr>
                <w:p w14:paraId="030680A5">
                  <w:pPr>
                    <w:kinsoku/>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暂存一般固废间</w:t>
                  </w:r>
                  <w:r>
                    <w:rPr>
                      <w:rFonts w:hint="default" w:ascii="Times New Roman" w:hAnsi="Times New Roman" w:eastAsia="宋体" w:cs="Times New Roman"/>
                      <w:color w:val="000000" w:themeColor="text1"/>
                      <w:spacing w:val="3"/>
                      <w:lang w:val="en-US" w:eastAsia="zh-CN"/>
                      <w14:textFill>
                        <w14:solidFill>
                          <w14:schemeClr w14:val="tx1"/>
                        </w14:solidFill>
                      </w14:textFill>
                    </w:rPr>
                    <w:t>集中收集后外售</w:t>
                  </w:r>
                </w:p>
              </w:tc>
            </w:tr>
            <w:tr w14:paraId="660B4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766" w:type="dxa"/>
                  <w:vMerge w:val="continue"/>
                  <w:vAlign w:val="center"/>
                </w:tcPr>
                <w:p w14:paraId="1A3393B2">
                  <w:pPr>
                    <w:kinsoku/>
                    <w:jc w:val="center"/>
                    <w:rPr>
                      <w:rFonts w:hint="default" w:ascii="Times New Roman" w:hAnsi="Times New Roman" w:eastAsia="宋体" w:cs="Times New Roman"/>
                      <w:color w:val="000000" w:themeColor="text1"/>
                      <w:spacing w:val="3"/>
                      <w:lang w:val="en-US" w:eastAsia="zh-CN"/>
                      <w14:textFill>
                        <w14:solidFill>
                          <w14:schemeClr w14:val="tx1"/>
                        </w14:solidFill>
                      </w14:textFill>
                    </w:rPr>
                  </w:pPr>
                </w:p>
              </w:tc>
              <w:tc>
                <w:tcPr>
                  <w:tcW w:w="668" w:type="dxa"/>
                  <w:vMerge w:val="continue"/>
                  <w:vAlign w:val="center"/>
                </w:tcPr>
                <w:p w14:paraId="5978E005">
                  <w:pPr>
                    <w:kinsoku/>
                    <w:jc w:val="center"/>
                    <w:rPr>
                      <w:rFonts w:hint="default" w:ascii="Times New Roman" w:hAnsi="Times New Roman" w:eastAsia="宋体" w:cs="Times New Roman"/>
                      <w:color w:val="000000" w:themeColor="text1"/>
                      <w:spacing w:val="3"/>
                      <w:lang w:val="en-US" w:eastAsia="zh-CN"/>
                      <w14:textFill>
                        <w14:solidFill>
                          <w14:schemeClr w14:val="tx1"/>
                        </w14:solidFill>
                      </w14:textFill>
                    </w:rPr>
                  </w:pPr>
                </w:p>
              </w:tc>
              <w:tc>
                <w:tcPr>
                  <w:tcW w:w="1298" w:type="dxa"/>
                  <w:shd w:val="clear" w:color="auto" w:fill="auto"/>
                  <w:vAlign w:val="center"/>
                </w:tcPr>
                <w:p w14:paraId="5CA87030">
                  <w:pPr>
                    <w:kinsoku/>
                    <w:jc w:val="center"/>
                    <w:rPr>
                      <w:rFonts w:hint="default" w:ascii="Times New Roman" w:hAnsi="Times New Roman" w:eastAsia="宋体" w:cs="Times New Roman"/>
                      <w:color w:val="000000" w:themeColor="text1"/>
                      <w:spacing w:val="3"/>
                      <w:lang w:val="en-US" w:eastAsia="zh-CN"/>
                      <w14:textFill>
                        <w14:solidFill>
                          <w14:schemeClr w14:val="tx1"/>
                        </w14:solidFill>
                      </w14:textFill>
                    </w:rPr>
                  </w:pPr>
                  <w:r>
                    <w:rPr>
                      <w:rFonts w:hint="default" w:ascii="Times New Roman" w:hAnsi="Times New Roman" w:eastAsia="宋体" w:cs="Times New Roman"/>
                      <w:color w:val="000000" w:themeColor="text1"/>
                      <w:spacing w:val="3"/>
                      <w:lang w:val="en-US" w:eastAsia="zh-CN"/>
                      <w14:textFill>
                        <w14:solidFill>
                          <w14:schemeClr w14:val="tx1"/>
                        </w14:solidFill>
                      </w14:textFill>
                    </w:rPr>
                    <w:t>物料使用</w:t>
                  </w:r>
                </w:p>
              </w:tc>
              <w:tc>
                <w:tcPr>
                  <w:tcW w:w="1748" w:type="dxa"/>
                  <w:shd w:val="clear" w:color="auto" w:fill="auto"/>
                  <w:vAlign w:val="center"/>
                </w:tcPr>
                <w:p w14:paraId="46AB3102">
                  <w:pPr>
                    <w:kinsoku/>
                    <w:jc w:val="center"/>
                    <w:rPr>
                      <w:rFonts w:hint="default" w:ascii="Times New Roman" w:hAnsi="Times New Roman" w:eastAsia="宋体" w:cs="Times New Roman"/>
                      <w:color w:val="000000" w:themeColor="text1"/>
                      <w:spacing w:val="3"/>
                      <w:lang w:val="en-US" w:eastAsia="zh-CN"/>
                      <w14:textFill>
                        <w14:solidFill>
                          <w14:schemeClr w14:val="tx1"/>
                        </w14:solidFill>
                      </w14:textFill>
                    </w:rPr>
                  </w:pPr>
                  <w:r>
                    <w:rPr>
                      <w:rFonts w:hint="default" w:ascii="Times New Roman" w:hAnsi="Times New Roman" w:eastAsia="宋体" w:cs="Times New Roman"/>
                      <w:color w:val="000000" w:themeColor="text1"/>
                      <w:spacing w:val="3"/>
                      <w:lang w:val="en-US" w:eastAsia="zh-CN"/>
                      <w14:textFill>
                        <w14:solidFill>
                          <w14:schemeClr w14:val="tx1"/>
                        </w14:solidFill>
                      </w14:textFill>
                    </w:rPr>
                    <w:t>废胶桶</w:t>
                  </w:r>
                </w:p>
              </w:tc>
              <w:tc>
                <w:tcPr>
                  <w:tcW w:w="3437" w:type="dxa"/>
                  <w:vMerge w:val="restart"/>
                  <w:shd w:val="clear" w:color="auto" w:fill="auto"/>
                  <w:vAlign w:val="center"/>
                </w:tcPr>
                <w:p w14:paraId="3265ADF9">
                  <w:pPr>
                    <w:kinsoku/>
                    <w:jc w:val="center"/>
                    <w:rPr>
                      <w:rFonts w:hint="default" w:ascii="Times New Roman" w:hAnsi="Times New Roman" w:eastAsia="宋体" w:cs="Times New Roman"/>
                      <w:snapToGrid w:val="0"/>
                      <w:color w:val="000000" w:themeColor="text1"/>
                      <w:spacing w:val="3"/>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3"/>
                      <w:lang w:val="en-US" w:eastAsia="zh-CN"/>
                      <w14:textFill>
                        <w14:solidFill>
                          <w14:schemeClr w14:val="tx1"/>
                        </w14:solidFill>
                      </w14:textFill>
                    </w:rPr>
                    <w:t>危废暂存间暂存后委托有资质单位处置委托有资质单位处置</w:t>
                  </w:r>
                </w:p>
              </w:tc>
            </w:tr>
            <w:tr w14:paraId="63C72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766" w:type="dxa"/>
                  <w:vMerge w:val="continue"/>
                  <w:vAlign w:val="center"/>
                </w:tcPr>
                <w:p w14:paraId="481E279B">
                  <w:pPr>
                    <w:kinsoku/>
                    <w:jc w:val="center"/>
                    <w:rPr>
                      <w:rFonts w:hint="default" w:ascii="Times New Roman" w:hAnsi="Times New Roman" w:eastAsia="宋体" w:cs="Times New Roman"/>
                      <w:color w:val="000000" w:themeColor="text1"/>
                      <w:spacing w:val="3"/>
                      <w:lang w:val="en-US" w:eastAsia="zh-CN"/>
                      <w14:textFill>
                        <w14:solidFill>
                          <w14:schemeClr w14:val="tx1"/>
                        </w14:solidFill>
                      </w14:textFill>
                    </w:rPr>
                  </w:pPr>
                </w:p>
              </w:tc>
              <w:tc>
                <w:tcPr>
                  <w:tcW w:w="668" w:type="dxa"/>
                  <w:vMerge w:val="continue"/>
                  <w:vAlign w:val="center"/>
                </w:tcPr>
                <w:p w14:paraId="29C33460">
                  <w:pPr>
                    <w:kinsoku/>
                    <w:jc w:val="center"/>
                    <w:rPr>
                      <w:rFonts w:hint="default" w:ascii="Times New Roman" w:hAnsi="Times New Roman" w:eastAsia="宋体" w:cs="Times New Roman"/>
                      <w:color w:val="000000" w:themeColor="text1"/>
                      <w:spacing w:val="3"/>
                      <w:lang w:val="en-US" w:eastAsia="zh-CN"/>
                      <w14:textFill>
                        <w14:solidFill>
                          <w14:schemeClr w14:val="tx1"/>
                        </w14:solidFill>
                      </w14:textFill>
                    </w:rPr>
                  </w:pPr>
                </w:p>
              </w:tc>
              <w:tc>
                <w:tcPr>
                  <w:tcW w:w="1298" w:type="dxa"/>
                  <w:vAlign w:val="center"/>
                </w:tcPr>
                <w:p w14:paraId="191F58E9">
                  <w:pPr>
                    <w:kinsoku/>
                    <w:jc w:val="center"/>
                    <w:rPr>
                      <w:rFonts w:hint="default" w:ascii="Times New Roman" w:hAnsi="Times New Roman" w:eastAsia="宋体" w:cs="Times New Roman"/>
                      <w:color w:val="000000" w:themeColor="text1"/>
                      <w:spacing w:val="3"/>
                      <w:lang w:val="en-US" w:eastAsia="zh-CN"/>
                      <w14:textFill>
                        <w14:solidFill>
                          <w14:schemeClr w14:val="tx1"/>
                        </w14:solidFill>
                      </w14:textFill>
                    </w:rPr>
                  </w:pPr>
                  <w:r>
                    <w:rPr>
                      <w:rFonts w:hint="default" w:ascii="Times New Roman" w:hAnsi="Times New Roman" w:eastAsia="宋体" w:cs="Times New Roman"/>
                      <w:color w:val="000000" w:themeColor="text1"/>
                      <w:spacing w:val="3"/>
                      <w:lang w:val="en-US" w:eastAsia="zh-CN"/>
                      <w14:textFill>
                        <w14:solidFill>
                          <w14:schemeClr w14:val="tx1"/>
                        </w14:solidFill>
                      </w14:textFill>
                    </w:rPr>
                    <w:t>废气处理</w:t>
                  </w:r>
                </w:p>
              </w:tc>
              <w:tc>
                <w:tcPr>
                  <w:tcW w:w="1748" w:type="dxa"/>
                  <w:vAlign w:val="center"/>
                </w:tcPr>
                <w:p w14:paraId="56B3C6D2">
                  <w:pPr>
                    <w:kinsoku/>
                    <w:jc w:val="center"/>
                    <w:rPr>
                      <w:rFonts w:hint="default" w:ascii="Times New Roman" w:hAnsi="Times New Roman" w:eastAsia="宋体" w:cs="Times New Roman"/>
                      <w:color w:val="000000" w:themeColor="text1"/>
                      <w:spacing w:val="3"/>
                      <w:lang w:val="en-US" w:eastAsia="zh-CN"/>
                      <w14:textFill>
                        <w14:solidFill>
                          <w14:schemeClr w14:val="tx1"/>
                        </w14:solidFill>
                      </w14:textFill>
                    </w:rPr>
                  </w:pPr>
                  <w:r>
                    <w:rPr>
                      <w:rFonts w:hint="default" w:ascii="Times New Roman" w:hAnsi="Times New Roman" w:eastAsia="宋体" w:cs="Times New Roman"/>
                      <w:color w:val="000000" w:themeColor="text1"/>
                      <w:spacing w:val="3"/>
                      <w:lang w:val="en-US" w:eastAsia="zh-CN"/>
                      <w14:textFill>
                        <w14:solidFill>
                          <w14:schemeClr w14:val="tx1"/>
                        </w14:solidFill>
                      </w14:textFill>
                    </w:rPr>
                    <w:t>废活性炭</w:t>
                  </w:r>
                </w:p>
              </w:tc>
              <w:tc>
                <w:tcPr>
                  <w:tcW w:w="3437" w:type="dxa"/>
                  <w:vMerge w:val="continue"/>
                  <w:vAlign w:val="center"/>
                </w:tcPr>
                <w:p w14:paraId="57A9B706">
                  <w:pPr>
                    <w:kinsoku/>
                    <w:jc w:val="center"/>
                    <w:rPr>
                      <w:rFonts w:hint="default" w:ascii="Times New Roman" w:hAnsi="Times New Roman" w:eastAsia="宋体" w:cs="Times New Roman"/>
                      <w:color w:val="000000" w:themeColor="text1"/>
                      <w:spacing w:val="3"/>
                      <w:lang w:val="en-US" w:eastAsia="zh-CN"/>
                      <w14:textFill>
                        <w14:solidFill>
                          <w14:schemeClr w14:val="tx1"/>
                        </w14:solidFill>
                      </w14:textFill>
                    </w:rPr>
                  </w:pPr>
                </w:p>
              </w:tc>
            </w:tr>
            <w:tr w14:paraId="2B14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766" w:type="dxa"/>
                  <w:vMerge w:val="continue"/>
                  <w:vAlign w:val="center"/>
                </w:tcPr>
                <w:p w14:paraId="3F425016">
                  <w:pPr>
                    <w:kinsoku/>
                    <w:jc w:val="center"/>
                    <w:rPr>
                      <w:rFonts w:hint="default" w:ascii="Times New Roman" w:hAnsi="Times New Roman" w:eastAsia="宋体" w:cs="Times New Roman"/>
                      <w:color w:val="000000" w:themeColor="text1"/>
                      <w:spacing w:val="3"/>
                      <w:lang w:val="en-US" w:eastAsia="zh-CN"/>
                      <w14:textFill>
                        <w14:solidFill>
                          <w14:schemeClr w14:val="tx1"/>
                        </w14:solidFill>
                      </w14:textFill>
                    </w:rPr>
                  </w:pPr>
                </w:p>
              </w:tc>
              <w:tc>
                <w:tcPr>
                  <w:tcW w:w="668" w:type="dxa"/>
                  <w:vMerge w:val="continue"/>
                  <w:vAlign w:val="center"/>
                </w:tcPr>
                <w:p w14:paraId="2DC97F50">
                  <w:pPr>
                    <w:kinsoku/>
                    <w:jc w:val="center"/>
                    <w:rPr>
                      <w:rFonts w:hint="default" w:ascii="Times New Roman" w:hAnsi="Times New Roman" w:eastAsia="宋体" w:cs="Times New Roman"/>
                      <w:color w:val="000000" w:themeColor="text1"/>
                      <w:spacing w:val="3"/>
                      <w:lang w:val="en-US" w:eastAsia="zh-CN"/>
                      <w14:textFill>
                        <w14:solidFill>
                          <w14:schemeClr w14:val="tx1"/>
                        </w14:solidFill>
                      </w14:textFill>
                    </w:rPr>
                  </w:pPr>
                </w:p>
              </w:tc>
              <w:tc>
                <w:tcPr>
                  <w:tcW w:w="1298" w:type="dxa"/>
                  <w:shd w:val="clear" w:color="auto" w:fill="auto"/>
                  <w:vAlign w:val="center"/>
                </w:tcPr>
                <w:p w14:paraId="158177AD">
                  <w:pPr>
                    <w:kinsoku/>
                    <w:jc w:val="center"/>
                    <w:rPr>
                      <w:rFonts w:hint="default" w:ascii="Times New Roman" w:hAnsi="Times New Roman" w:eastAsia="宋体" w:cs="Times New Roman"/>
                      <w:snapToGrid w:val="0"/>
                      <w:color w:val="000000" w:themeColor="text1"/>
                      <w:spacing w:val="3"/>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3"/>
                      <w:lang w:val="en-US" w:eastAsia="zh-CN"/>
                      <w14:textFill>
                        <w14:solidFill>
                          <w14:schemeClr w14:val="tx1"/>
                        </w14:solidFill>
                      </w14:textFill>
                    </w:rPr>
                    <w:t>废气处理</w:t>
                  </w:r>
                </w:p>
              </w:tc>
              <w:tc>
                <w:tcPr>
                  <w:tcW w:w="1748" w:type="dxa"/>
                  <w:shd w:val="clear" w:color="auto" w:fill="auto"/>
                  <w:vAlign w:val="center"/>
                </w:tcPr>
                <w:p w14:paraId="22D8EB6F">
                  <w:pPr>
                    <w:kinsoku/>
                    <w:jc w:val="center"/>
                    <w:rPr>
                      <w:rFonts w:hint="default" w:ascii="Times New Roman" w:hAnsi="Times New Roman" w:eastAsia="宋体" w:cs="Times New Roman"/>
                      <w:snapToGrid w:val="0"/>
                      <w:color w:val="000000" w:themeColor="text1"/>
                      <w:spacing w:val="3"/>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3"/>
                      <w:lang w:val="en-US" w:eastAsia="zh-CN"/>
                      <w14:textFill>
                        <w14:solidFill>
                          <w14:schemeClr w14:val="tx1"/>
                        </w14:solidFill>
                      </w14:textFill>
                    </w:rPr>
                    <w:t>喷淋废水</w:t>
                  </w:r>
                </w:p>
              </w:tc>
              <w:tc>
                <w:tcPr>
                  <w:tcW w:w="3437" w:type="dxa"/>
                  <w:vMerge w:val="continue"/>
                  <w:shd w:val="clear" w:color="auto" w:fill="auto"/>
                  <w:vAlign w:val="center"/>
                </w:tcPr>
                <w:p w14:paraId="76CCD504">
                  <w:pPr>
                    <w:kinsoku/>
                    <w:jc w:val="center"/>
                    <w:rPr>
                      <w:rFonts w:hint="default" w:ascii="Times New Roman" w:hAnsi="Times New Roman" w:eastAsia="宋体" w:cs="Times New Roman"/>
                      <w:snapToGrid w:val="0"/>
                      <w:color w:val="000000" w:themeColor="text1"/>
                      <w:spacing w:val="3"/>
                      <w:sz w:val="21"/>
                      <w:szCs w:val="21"/>
                      <w:lang w:val="en-US" w:eastAsia="zh-CN" w:bidi="ar-SA"/>
                      <w14:textFill>
                        <w14:solidFill>
                          <w14:schemeClr w14:val="tx1"/>
                        </w14:solidFill>
                      </w14:textFill>
                    </w:rPr>
                  </w:pPr>
                </w:p>
              </w:tc>
            </w:tr>
            <w:tr w14:paraId="1287F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766" w:type="dxa"/>
                  <w:vMerge w:val="continue"/>
                  <w:vAlign w:val="center"/>
                </w:tcPr>
                <w:p w14:paraId="498B4F5C">
                  <w:pPr>
                    <w:kinsoku/>
                    <w:jc w:val="center"/>
                    <w:rPr>
                      <w:rFonts w:hint="default" w:ascii="Times New Roman" w:hAnsi="Times New Roman" w:eastAsia="宋体" w:cs="Times New Roman"/>
                      <w:color w:val="000000" w:themeColor="text1"/>
                      <w:spacing w:val="3"/>
                      <w:lang w:val="en-US" w:eastAsia="zh-CN"/>
                      <w14:textFill>
                        <w14:solidFill>
                          <w14:schemeClr w14:val="tx1"/>
                        </w14:solidFill>
                      </w14:textFill>
                    </w:rPr>
                  </w:pPr>
                </w:p>
              </w:tc>
              <w:tc>
                <w:tcPr>
                  <w:tcW w:w="668" w:type="dxa"/>
                  <w:vMerge w:val="continue"/>
                  <w:vAlign w:val="center"/>
                </w:tcPr>
                <w:p w14:paraId="2FA9E0B9">
                  <w:pPr>
                    <w:kinsoku/>
                    <w:jc w:val="center"/>
                    <w:rPr>
                      <w:rFonts w:hint="default" w:ascii="Times New Roman" w:hAnsi="Times New Roman" w:eastAsia="宋体" w:cs="Times New Roman"/>
                      <w:color w:val="000000" w:themeColor="text1"/>
                      <w:spacing w:val="3"/>
                      <w:lang w:val="en-US" w:eastAsia="zh-CN"/>
                      <w14:textFill>
                        <w14:solidFill>
                          <w14:schemeClr w14:val="tx1"/>
                        </w14:solidFill>
                      </w14:textFill>
                    </w:rPr>
                  </w:pPr>
                </w:p>
              </w:tc>
              <w:tc>
                <w:tcPr>
                  <w:tcW w:w="1298" w:type="dxa"/>
                  <w:shd w:val="clear" w:color="auto" w:fill="auto"/>
                  <w:vAlign w:val="center"/>
                </w:tcPr>
                <w:p w14:paraId="7AC17646">
                  <w:pPr>
                    <w:kinsoku/>
                    <w:jc w:val="center"/>
                    <w:rPr>
                      <w:rFonts w:hint="default" w:ascii="Times New Roman" w:hAnsi="Times New Roman" w:eastAsia="宋体" w:cs="Times New Roman"/>
                      <w:snapToGrid w:val="0"/>
                      <w:color w:val="000000" w:themeColor="text1"/>
                      <w:spacing w:val="3"/>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3"/>
                      <w:lang w:val="en-US" w:eastAsia="zh-CN"/>
                      <w14:textFill>
                        <w14:solidFill>
                          <w14:schemeClr w14:val="tx1"/>
                        </w14:solidFill>
                      </w14:textFill>
                    </w:rPr>
                    <w:t>职工生活</w:t>
                  </w:r>
                </w:p>
              </w:tc>
              <w:tc>
                <w:tcPr>
                  <w:tcW w:w="1748" w:type="dxa"/>
                  <w:shd w:val="clear" w:color="auto" w:fill="auto"/>
                  <w:vAlign w:val="center"/>
                </w:tcPr>
                <w:p w14:paraId="72E56694">
                  <w:pPr>
                    <w:kinsoku/>
                    <w:jc w:val="center"/>
                    <w:rPr>
                      <w:rFonts w:hint="default" w:ascii="Times New Roman" w:hAnsi="Times New Roman" w:eastAsia="宋体" w:cs="Times New Roman"/>
                      <w:snapToGrid w:val="0"/>
                      <w:color w:val="000000" w:themeColor="text1"/>
                      <w:spacing w:val="3"/>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3"/>
                      <w:lang w:val="en-US" w:eastAsia="zh-CN"/>
                      <w14:textFill>
                        <w14:solidFill>
                          <w14:schemeClr w14:val="tx1"/>
                        </w14:solidFill>
                      </w14:textFill>
                    </w:rPr>
                    <w:t>生活垃圾</w:t>
                  </w:r>
                </w:p>
              </w:tc>
              <w:tc>
                <w:tcPr>
                  <w:tcW w:w="3437" w:type="dxa"/>
                  <w:shd w:val="clear" w:color="auto" w:fill="auto"/>
                  <w:vAlign w:val="center"/>
                </w:tcPr>
                <w:p w14:paraId="6C1E645F">
                  <w:pPr>
                    <w:kinsoku/>
                    <w:jc w:val="center"/>
                    <w:rPr>
                      <w:rFonts w:hint="default" w:ascii="Times New Roman" w:hAnsi="Times New Roman" w:eastAsia="宋体" w:cs="Times New Roman"/>
                      <w:snapToGrid w:val="0"/>
                      <w:color w:val="000000" w:themeColor="text1"/>
                      <w:spacing w:val="3"/>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3"/>
                      <w:lang w:val="en-US" w:eastAsia="zh-CN"/>
                      <w14:textFill>
                        <w14:solidFill>
                          <w14:schemeClr w14:val="tx1"/>
                        </w14:solidFill>
                      </w14:textFill>
                    </w:rPr>
                    <w:t>环卫部门统一清运</w:t>
                  </w:r>
                </w:p>
              </w:tc>
            </w:tr>
          </w:tbl>
          <w:p w14:paraId="0BF68728">
            <w:pPr>
              <w:kinsoku/>
              <w:spacing w:line="360" w:lineRule="auto"/>
              <w:ind w:firstLine="480" w:firstLineChars="200"/>
              <w:rPr>
                <w:rFonts w:hint="default" w:ascii="Times New Roman" w:hAnsi="Times New Roman" w:eastAsia="宋体" w:cs="Times New Roman"/>
                <w:bCs/>
                <w:color w:val="0000FF"/>
                <w:sz w:val="24"/>
              </w:rPr>
            </w:pPr>
          </w:p>
        </w:tc>
      </w:tr>
      <w:tr w14:paraId="201302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561" w:type="dxa"/>
            <w:vAlign w:val="center"/>
          </w:tcPr>
          <w:p w14:paraId="547C25BA">
            <w:pPr>
              <w:pStyle w:val="24"/>
              <w:kinsoku/>
              <w:spacing w:before="0" w:beforeAutospacing="0" w:after="0" w:afterAutospacing="0"/>
              <w:jc w:val="center"/>
              <w:rPr>
                <w:rFonts w:hint="default" w:ascii="Times New Roman" w:hAnsi="Times New Roman" w:eastAsia="宋体" w:cs="Times New Roman"/>
                <w:color w:val="0000FF"/>
                <w:szCs w:val="24"/>
                <w:lang w:eastAsia="zh-CN"/>
              </w:rPr>
            </w:pPr>
            <w:r>
              <w:rPr>
                <w:rFonts w:hint="default" w:ascii="Times New Roman" w:hAnsi="Times New Roman" w:eastAsia="宋体" w:cs="Times New Roman"/>
                <w:bCs/>
                <w:color w:val="000000" w:themeColor="text1"/>
                <w:kern w:val="2"/>
                <w:szCs w:val="24"/>
                <w:lang w:eastAsia="zh-CN"/>
                <w14:textFill>
                  <w14:solidFill>
                    <w14:schemeClr w14:val="tx1"/>
                  </w14:solidFill>
                </w14:textFill>
              </w:rPr>
              <w:t>与项目有关的原有环境污染问题</w:t>
            </w:r>
          </w:p>
        </w:tc>
        <w:tc>
          <w:tcPr>
            <w:tcW w:w="8143" w:type="dxa"/>
            <w:vAlign w:val="top"/>
          </w:tcPr>
          <w:p w14:paraId="1DC90CDD">
            <w:pPr>
              <w:keepNext w:val="0"/>
              <w:keepLines w:val="0"/>
              <w:pageBreakBefore w:val="0"/>
              <w:widowControl/>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eastAsia="zh-CN"/>
              </w:rPr>
              <w:t>一</w:t>
            </w:r>
            <w:r>
              <w:rPr>
                <w:rFonts w:hint="default" w:ascii="Times New Roman" w:hAnsi="Times New Roman" w:eastAsia="宋体" w:cs="Times New Roman"/>
                <w:b/>
                <w:color w:val="auto"/>
                <w:sz w:val="24"/>
                <w:szCs w:val="24"/>
              </w:rPr>
              <w:t>、现有环保手续履行情况</w:t>
            </w:r>
          </w:p>
          <w:p w14:paraId="68DC7E54">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kern w:val="0"/>
                <w:sz w:val="24"/>
                <w:szCs w:val="24"/>
                <w:lang w:val="en-US" w:eastAsia="zh-CN"/>
              </w:rPr>
              <w:t>安徽德美新材料科技股份有限公司位于宿州市埇桥区经济开发区滨河路西侧，</w:t>
            </w:r>
            <w:r>
              <w:rPr>
                <w:rFonts w:hint="default" w:ascii="Times New Roman" w:hAnsi="Times New Roman" w:eastAsia="宋体" w:cs="Times New Roman"/>
                <w:color w:val="auto"/>
                <w:sz w:val="24"/>
                <w:szCs w:val="24"/>
                <w:lang w:val="en-US" w:eastAsia="zh-CN"/>
              </w:rPr>
              <w:t>占地面积约为22102.56平方米</w:t>
            </w:r>
            <w:r>
              <w:rPr>
                <w:rFonts w:hint="default" w:ascii="Times New Roman" w:hAnsi="Times New Roman" w:eastAsia="宋体" w:cs="Times New Roman"/>
                <w:color w:val="auto"/>
                <w:kern w:val="0"/>
                <w:sz w:val="24"/>
                <w:szCs w:val="24"/>
                <w:lang w:val="en-US" w:eastAsia="zh-CN"/>
              </w:rPr>
              <w:t>。其中：1#厂房6088.6平方米，2#厂房7128平方米，办公楼892.5平方米。</w:t>
            </w:r>
            <w:r>
              <w:rPr>
                <w:rFonts w:hint="default" w:ascii="Times New Roman" w:hAnsi="Times New Roman" w:eastAsia="宋体" w:cs="Times New Roman"/>
                <w:color w:val="auto"/>
                <w:sz w:val="24"/>
                <w:lang w:val="en-US" w:eastAsia="zh-CN"/>
              </w:rPr>
              <w:t>现有工程环保手续履行情况见下：</w:t>
            </w:r>
          </w:p>
          <w:p w14:paraId="496BD92A">
            <w:pPr>
              <w:keepNext w:val="0"/>
              <w:keepLines w:val="0"/>
              <w:pageBreakBefore w:val="0"/>
              <w:widowControl/>
              <w:wordWrap/>
              <w:overflowPunct/>
              <w:topLinePunct w:val="0"/>
              <w:autoSpaceDE w:val="0"/>
              <w:autoSpaceDN w:val="0"/>
              <w:bidi w:val="0"/>
              <w:adjustRightInd/>
              <w:snapToGrid/>
              <w:spacing w:line="360" w:lineRule="auto"/>
              <w:ind w:firstLine="482" w:firstLineChars="200"/>
              <w:textAlignment w:val="baseline"/>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eastAsia="zh-CN"/>
              </w:rPr>
              <w:t>（</w:t>
            </w:r>
            <w:r>
              <w:rPr>
                <w:rFonts w:hint="default" w:ascii="Times New Roman" w:hAnsi="Times New Roman" w:eastAsia="宋体" w:cs="Times New Roman"/>
                <w:b/>
                <w:bCs/>
                <w:color w:val="auto"/>
                <w:sz w:val="24"/>
                <w:lang w:val="en-US" w:eastAsia="zh-CN"/>
              </w:rPr>
              <w:t>1</w:t>
            </w:r>
            <w:r>
              <w:rPr>
                <w:rFonts w:hint="default" w:ascii="Times New Roman" w:hAnsi="Times New Roman" w:eastAsia="宋体" w:cs="Times New Roman"/>
                <w:b/>
                <w:bCs/>
                <w:color w:val="auto"/>
                <w:sz w:val="24"/>
                <w:lang w:eastAsia="zh-CN"/>
              </w:rPr>
              <w:t>）</w:t>
            </w:r>
            <w:r>
              <w:rPr>
                <w:rFonts w:hint="default" w:ascii="Times New Roman" w:hAnsi="Times New Roman" w:eastAsia="宋体" w:cs="Times New Roman"/>
                <w:b/>
                <w:bCs/>
                <w:color w:val="auto"/>
                <w:sz w:val="24"/>
              </w:rPr>
              <w:t>现有项目环评及竣工环保验收手续履行情况</w:t>
            </w:r>
          </w:p>
          <w:p w14:paraId="69ACD660">
            <w:pPr>
              <w:widowControl w:val="0"/>
              <w:kinsoku/>
              <w:autoSpaceDE/>
              <w:autoSpaceDN/>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2020年5月委托安徽阳益环保工程科技有限公司编制《高性能铝箔材料生产项目建设项目环境影响评价报告表》，该项目环评报告于2020年7月通过宿州市埇桥区生态环境分局审批：埇环建字（2020）74号。</w:t>
            </w:r>
          </w:p>
          <w:p w14:paraId="2EACF47D">
            <w:pPr>
              <w:widowControl w:val="0"/>
              <w:kinsoku/>
              <w:autoSpaceDE/>
              <w:autoSpaceDN/>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项目于2023年9月委托安徽鑫程检测科技有限公司进行了竣工验收检测并出具检测报告。于2023年9月根据专家组现场验收，建设情况符合竣工验收条件，验收合格。</w:t>
            </w:r>
          </w:p>
          <w:p w14:paraId="4664E7A1">
            <w:pPr>
              <w:keepNext w:val="0"/>
              <w:keepLines w:val="0"/>
              <w:pageBreakBefore w:val="0"/>
              <w:widowControl/>
              <w:numPr>
                <w:ilvl w:val="0"/>
                <w:numId w:val="0"/>
              </w:numPr>
              <w:wordWrap/>
              <w:overflowPunct/>
              <w:topLinePunct w:val="0"/>
              <w:autoSpaceDE w:val="0"/>
              <w:autoSpaceDN w:val="0"/>
              <w:bidi w:val="0"/>
              <w:adjustRightInd/>
              <w:snapToGrid/>
              <w:spacing w:line="360" w:lineRule="auto"/>
              <w:ind w:firstLine="482" w:firstLineChars="200"/>
              <w:textAlignment w:val="baseline"/>
              <w:rPr>
                <w:rFonts w:hint="default" w:ascii="Times New Roman" w:hAnsi="Times New Roman" w:eastAsia="宋体" w:cs="Times New Roman"/>
                <w:b/>
                <w:bCs/>
                <w:color w:val="auto"/>
                <w:sz w:val="24"/>
              </w:rPr>
            </w:pPr>
            <w:r>
              <w:rPr>
                <w:rFonts w:hint="default" w:ascii="Times New Roman" w:hAnsi="Times New Roman" w:eastAsia="宋体" w:cs="Times New Roman"/>
                <w:b/>
                <w:bCs/>
                <w:snapToGrid w:val="0"/>
                <w:color w:val="auto"/>
                <w:sz w:val="24"/>
                <w:szCs w:val="21"/>
                <w:lang w:val="en-US" w:eastAsia="en-US" w:bidi="ar-SA"/>
              </w:rPr>
              <w:t>（2）</w:t>
            </w:r>
            <w:r>
              <w:rPr>
                <w:rFonts w:hint="default" w:ascii="Times New Roman" w:hAnsi="Times New Roman" w:eastAsia="宋体" w:cs="Times New Roman"/>
                <w:b/>
                <w:bCs/>
                <w:color w:val="auto"/>
                <w:sz w:val="24"/>
              </w:rPr>
              <w:t>排污许可手续履行情况</w:t>
            </w:r>
          </w:p>
          <w:p w14:paraId="00D8BB65">
            <w:pPr>
              <w:widowControl w:val="0"/>
              <w:kinsoku/>
              <w:autoSpaceDE/>
              <w:autoSpaceDN/>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kern w:val="0"/>
                <w:sz w:val="24"/>
                <w:szCs w:val="24"/>
                <w:lang w:val="en-US" w:eastAsia="zh-CN"/>
              </w:rPr>
              <w:t>2023年8月，安徽德美新材料科技股份有限公司进行了排污许可登记管理申请（登记编号：91341300MA2T2J0L10002X）。</w:t>
            </w:r>
          </w:p>
          <w:p w14:paraId="15B6B3A5">
            <w:pPr>
              <w:keepNext w:val="0"/>
              <w:keepLines w:val="0"/>
              <w:pageBreakBefore w:val="0"/>
              <w:widowControl/>
              <w:kinsoku/>
              <w:wordWrap/>
              <w:overflowPunct/>
              <w:topLinePunct w:val="0"/>
              <w:bidi w:val="0"/>
              <w:snapToGrid w:val="0"/>
              <w:spacing w:line="360" w:lineRule="auto"/>
              <w:jc w:val="left"/>
              <w:textAlignment w:val="auto"/>
              <w:rPr>
                <w:rFonts w:hint="default" w:ascii="Times New Roman" w:hAnsi="Times New Roman" w:cs="Times New Roman" w:eastAsiaTheme="minorEastAsia"/>
                <w:b/>
                <w:bCs/>
                <w:color w:val="000000" w:themeColor="text1"/>
                <w:kern w:val="0"/>
                <w:sz w:val="24"/>
                <w:lang w:val="en-US" w:eastAsia="zh-CN" w:bidi="ar"/>
                <w14:textFill>
                  <w14:solidFill>
                    <w14:schemeClr w14:val="tx1"/>
                  </w14:solidFill>
                </w14:textFill>
              </w:rPr>
            </w:pPr>
            <w:r>
              <w:rPr>
                <w:rFonts w:hint="default" w:ascii="Times New Roman" w:hAnsi="Times New Roman" w:cs="Times New Roman" w:eastAsiaTheme="minorEastAsia"/>
                <w:b/>
                <w:bCs/>
                <w:color w:val="000000" w:themeColor="text1"/>
                <w:kern w:val="0"/>
                <w:sz w:val="24"/>
                <w:lang w:val="en-US" w:eastAsia="zh-CN" w:bidi="ar"/>
                <w14:textFill>
                  <w14:solidFill>
                    <w14:schemeClr w14:val="tx1"/>
                  </w14:solidFill>
                </w14:textFill>
              </w:rPr>
              <w:t>1、铝箔复合膜生产工艺流程及产污环节</w:t>
            </w:r>
          </w:p>
          <w:p w14:paraId="20ADF9C5">
            <w:pPr>
              <w:keepNext w:val="0"/>
              <w:keepLines w:val="0"/>
              <w:pageBreakBefore w:val="0"/>
              <w:widowControl/>
              <w:kinsoku/>
              <w:wordWrap/>
              <w:overflowPunct/>
              <w:topLinePunct w:val="0"/>
              <w:bidi w:val="0"/>
              <w:snapToGrid w:val="0"/>
              <w:spacing w:line="360" w:lineRule="auto"/>
              <w:jc w:val="center"/>
              <w:textAlignment w:val="auto"/>
              <w:rPr>
                <w:rFonts w:hint="default" w:ascii="Times New Roman" w:hAnsi="Times New Roman" w:cs="Times New Roman" w:eastAsiaTheme="minorEastAsia"/>
                <w:b/>
                <w:bCs/>
                <w:spacing w:val="-3"/>
                <w:sz w:val="24"/>
                <w:szCs w:val="24"/>
              </w:rPr>
            </w:pPr>
            <w:r>
              <w:rPr>
                <w:rFonts w:hint="default" w:ascii="Times New Roman" w:hAnsi="Times New Roman" w:cs="Times New Roman" w:eastAsiaTheme="minorEastAsia"/>
                <w:b/>
                <w:bCs/>
                <w:color w:val="000000" w:themeColor="text1"/>
                <w:kern w:val="0"/>
                <w:sz w:val="24"/>
                <w:lang w:val="en-US" w:eastAsia="zh-CN" w:bidi="ar"/>
                <w14:textFill>
                  <w14:solidFill>
                    <w14:schemeClr w14:val="tx1"/>
                  </w14:solidFill>
                </w14:textFill>
              </w:rPr>
              <w:drawing>
                <wp:inline distT="0" distB="0" distL="114300" distR="114300">
                  <wp:extent cx="2616835" cy="4577715"/>
                  <wp:effectExtent l="0" t="0" r="0" b="0"/>
                  <wp:docPr id="3" name="ECB019B1-382A-4266-B25C-5B523AA43C14-4" descr="C:/Users/lenlovolel/AppData/Local/Temp/wps.ZpLJUb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4" descr="C:/Users/lenlovolel/AppData/Local/Temp/wps.ZpLJUbwps"/>
                          <pic:cNvPicPr>
                            <a:picLocks noChangeAspect="1"/>
                          </pic:cNvPicPr>
                        </pic:nvPicPr>
                        <pic:blipFill>
                          <a:blip r:embed="rId17"/>
                          <a:stretch>
                            <a:fillRect/>
                          </a:stretch>
                        </pic:blipFill>
                        <pic:spPr>
                          <a:xfrm>
                            <a:off x="0" y="0"/>
                            <a:ext cx="2616835" cy="4577715"/>
                          </a:xfrm>
                          <a:prstGeom prst="rect">
                            <a:avLst/>
                          </a:prstGeom>
                        </pic:spPr>
                      </pic:pic>
                    </a:graphicData>
                  </a:graphic>
                </wp:inline>
              </w:drawing>
            </w:r>
          </w:p>
          <w:p w14:paraId="106D4851">
            <w:pPr>
              <w:pStyle w:val="58"/>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ind w:left="0" w:leftChars="0" w:firstLine="0" w:firstLineChars="0"/>
              <w:jc w:val="center"/>
              <w:textAlignment w:val="baseline"/>
              <w:rPr>
                <w:rFonts w:hint="default" w:ascii="Times New Roman" w:hAnsi="Times New Roman" w:cs="Times New Roman" w:eastAsiaTheme="minorEastAsia"/>
                <w:b/>
                <w:color w:val="000000" w:themeColor="text1"/>
                <w:szCs w:val="24"/>
                <w:lang w:val="en-US" w:eastAsia="zh-CN"/>
                <w14:textFill>
                  <w14:solidFill>
                    <w14:schemeClr w14:val="tx1"/>
                  </w14:solidFill>
                </w14:textFill>
              </w:rPr>
            </w:pPr>
            <w:r>
              <w:rPr>
                <w:rFonts w:hint="default" w:ascii="Times New Roman" w:hAnsi="Times New Roman" w:cs="Times New Roman" w:eastAsiaTheme="minorEastAsia"/>
                <w:b/>
                <w:color w:val="000000" w:themeColor="text1"/>
                <w:szCs w:val="24"/>
                <w:lang w:val="en-US" w:eastAsia="zh-CN"/>
                <w14:textFill>
                  <w14:solidFill>
                    <w14:schemeClr w14:val="tx1"/>
                  </w14:solidFill>
                </w14:textFill>
              </w:rPr>
              <w:t>图2-</w:t>
            </w:r>
            <w:r>
              <w:rPr>
                <w:rFonts w:hint="eastAsia" w:ascii="Times New Roman" w:hAnsi="Times New Roman" w:cs="Times New Roman" w:eastAsiaTheme="minorEastAsia"/>
                <w:b/>
                <w:color w:val="000000" w:themeColor="text1"/>
                <w:szCs w:val="24"/>
                <w:lang w:val="en-US" w:eastAsia="zh-CN"/>
                <w14:textFill>
                  <w14:solidFill>
                    <w14:schemeClr w14:val="tx1"/>
                  </w14:solidFill>
                </w14:textFill>
              </w:rPr>
              <w:t>4</w:t>
            </w:r>
            <w:r>
              <w:rPr>
                <w:rFonts w:hint="default" w:ascii="Times New Roman" w:hAnsi="Times New Roman" w:cs="Times New Roman" w:eastAsiaTheme="minorEastAsia"/>
                <w:b/>
                <w:color w:val="000000" w:themeColor="text1"/>
                <w:szCs w:val="24"/>
                <w:lang w:val="en-US" w:eastAsia="zh-CN"/>
                <w14:textFill>
                  <w14:solidFill>
                    <w14:schemeClr w14:val="tx1"/>
                  </w14:solidFill>
                </w14:textFill>
              </w:rPr>
              <w:t>铝箔复合膜生产工艺流程及产污环节</w:t>
            </w:r>
          </w:p>
          <w:p w14:paraId="4AB39FBA">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cs="Times New Roman" w:eastAsiaTheme="minorEastAsia"/>
                <w:color w:val="000000" w:themeColor="text1"/>
                <w:sz w:val="24"/>
                <w:lang w:eastAsia="zh-CN"/>
                <w14:textFill>
                  <w14:solidFill>
                    <w14:schemeClr w14:val="tx1"/>
                  </w14:solidFill>
                </w14:textFill>
              </w:rPr>
            </w:pPr>
            <w:r>
              <w:rPr>
                <w:rFonts w:hint="default" w:ascii="Times New Roman" w:hAnsi="Times New Roman" w:cs="Times New Roman" w:eastAsiaTheme="minorEastAsia"/>
                <w:color w:val="000000" w:themeColor="text1"/>
                <w:sz w:val="24"/>
                <w:lang w:eastAsia="zh-CN"/>
                <w14:textFill>
                  <w14:solidFill>
                    <w14:schemeClr w14:val="tx1"/>
                  </w14:solidFill>
                </w14:textFill>
              </w:rPr>
              <w:t>工艺简介：</w:t>
            </w:r>
          </w:p>
          <w:p w14:paraId="1C4B1C32">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cs="Times New Roman" w:eastAsiaTheme="minorEastAsia"/>
                <w:color w:val="000000" w:themeColor="text1"/>
                <w:sz w:val="24"/>
                <w:lang w:eastAsia="zh-CN"/>
                <w14:textFill>
                  <w14:solidFill>
                    <w14:schemeClr w14:val="tx1"/>
                  </w14:solidFill>
                </w14:textFill>
              </w:rPr>
            </w:pPr>
            <w:r>
              <w:rPr>
                <w:rFonts w:hint="default" w:ascii="Times New Roman" w:hAnsi="Times New Roman" w:cs="Times New Roman" w:eastAsiaTheme="minorEastAsia"/>
                <w:color w:val="000000" w:themeColor="text1"/>
                <w:sz w:val="24"/>
                <w:lang w:eastAsia="zh-CN"/>
                <w14:textFill>
                  <w14:solidFill>
                    <w14:schemeClr w14:val="tx1"/>
                  </w14:solidFill>
                </w14:textFill>
              </w:rPr>
              <w:t>(1)涂胶、烘干：在密闭情况下对PET膜进行涂胶后烘干，此过程会产生有机废气、噪声。</w:t>
            </w:r>
          </w:p>
          <w:p w14:paraId="5AE07EF1">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cs="Times New Roman" w:eastAsiaTheme="minorEastAsia"/>
                <w:color w:val="000000" w:themeColor="text1"/>
                <w:sz w:val="24"/>
                <w:lang w:eastAsia="zh-CN"/>
                <w14:textFill>
                  <w14:solidFill>
                    <w14:schemeClr w14:val="tx1"/>
                  </w14:solidFill>
                </w14:textFill>
              </w:rPr>
            </w:pPr>
            <w:r>
              <w:rPr>
                <w:rFonts w:hint="default" w:ascii="Times New Roman" w:hAnsi="Times New Roman" w:cs="Times New Roman" w:eastAsiaTheme="minorEastAsia"/>
                <w:color w:val="000000" w:themeColor="text1"/>
                <w:sz w:val="24"/>
                <w:lang w:eastAsia="zh-CN"/>
                <w14:textFill>
                  <w14:solidFill>
                    <w14:schemeClr w14:val="tx1"/>
                  </w14:solidFill>
                </w14:textFill>
              </w:rPr>
              <w:t>(2)复合：PET膜与铝箔在干式复合机的密闭环境下进行复核，此过程会产生有机废气、噪声。</w:t>
            </w:r>
          </w:p>
          <w:p w14:paraId="3E5534D4">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cs="Times New Roman" w:eastAsiaTheme="minorEastAsia"/>
                <w:color w:val="000000" w:themeColor="text1"/>
                <w:sz w:val="24"/>
                <w:lang w:eastAsia="zh-CN"/>
                <w14:textFill>
                  <w14:solidFill>
                    <w14:schemeClr w14:val="tx1"/>
                  </w14:solidFill>
                </w14:textFill>
              </w:rPr>
            </w:pPr>
            <w:r>
              <w:rPr>
                <w:rFonts w:hint="default" w:ascii="Times New Roman" w:hAnsi="Times New Roman" w:cs="Times New Roman" w:eastAsiaTheme="minorEastAsia"/>
                <w:color w:val="000000" w:themeColor="text1"/>
                <w:sz w:val="24"/>
                <w:lang w:eastAsia="zh-CN"/>
                <w14:textFill>
                  <w14:solidFill>
                    <w14:schemeClr w14:val="tx1"/>
                  </w14:solidFill>
                </w14:textFill>
              </w:rPr>
              <w:t>(3)固化：复合后的PET膜与铝箔在恒温箱内维持保温1-2小时进行固化。</w:t>
            </w:r>
          </w:p>
          <w:p w14:paraId="3C1985E7">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cs="Times New Roman" w:eastAsiaTheme="minorEastAsia"/>
                <w:color w:val="000000" w:themeColor="text1"/>
                <w:sz w:val="24"/>
                <w:lang w:eastAsia="zh-CN"/>
                <w14:textFill>
                  <w14:solidFill>
                    <w14:schemeClr w14:val="tx1"/>
                  </w14:solidFill>
                </w14:textFill>
              </w:rPr>
            </w:pPr>
            <w:r>
              <w:rPr>
                <w:rFonts w:hint="default" w:ascii="Times New Roman" w:hAnsi="Times New Roman" w:cs="Times New Roman" w:eastAsiaTheme="minorEastAsia"/>
                <w:color w:val="000000" w:themeColor="text1"/>
                <w:sz w:val="24"/>
                <w:lang w:eastAsia="zh-CN"/>
                <w14:textFill>
                  <w14:solidFill>
                    <w14:schemeClr w14:val="tx1"/>
                  </w14:solidFill>
                </w14:textFill>
              </w:rPr>
              <w:t>(4)印刷：部分产品需在产品上印logo,此过程会产生有机废气。</w:t>
            </w:r>
          </w:p>
          <w:p w14:paraId="1966B51F">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cs="Times New Roman" w:eastAsiaTheme="minorEastAsia"/>
                <w:color w:val="000000" w:themeColor="text1"/>
                <w:sz w:val="24"/>
                <w:lang w:eastAsia="zh-CN"/>
                <w14:textFill>
                  <w14:solidFill>
                    <w14:schemeClr w14:val="tx1"/>
                  </w14:solidFill>
                </w14:textFill>
              </w:rPr>
            </w:pPr>
            <w:r>
              <w:rPr>
                <w:rFonts w:hint="default" w:ascii="Times New Roman" w:hAnsi="Times New Roman" w:cs="Times New Roman" w:eastAsiaTheme="minorEastAsia"/>
                <w:color w:val="000000" w:themeColor="text1"/>
                <w:sz w:val="24"/>
                <w:lang w:eastAsia="zh-CN"/>
                <w14:textFill>
                  <w14:solidFill>
                    <w14:schemeClr w14:val="tx1"/>
                  </w14:solidFill>
                </w14:textFill>
              </w:rPr>
              <w:t>(5)压花、分切、修边：按照要求对产品进行加工分切，此过程会产生边角料、噪声。</w:t>
            </w:r>
          </w:p>
          <w:p w14:paraId="11A9AA29">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cs="Times New Roman" w:eastAsiaTheme="minorEastAsia"/>
                <w:color w:val="000000" w:themeColor="text1"/>
                <w:sz w:val="24"/>
                <w:lang w:eastAsia="zh-CN"/>
                <w14:textFill>
                  <w14:solidFill>
                    <w14:schemeClr w14:val="tx1"/>
                  </w14:solidFill>
                </w14:textFill>
              </w:rPr>
            </w:pPr>
            <w:r>
              <w:rPr>
                <w:rFonts w:hint="default" w:ascii="Times New Roman" w:hAnsi="Times New Roman" w:cs="Times New Roman" w:eastAsiaTheme="minorEastAsia"/>
                <w:color w:val="000000" w:themeColor="text1"/>
                <w:sz w:val="24"/>
                <w:lang w:eastAsia="zh-CN"/>
                <w14:textFill>
                  <w14:solidFill>
                    <w14:schemeClr w14:val="tx1"/>
                  </w14:solidFill>
                </w14:textFill>
              </w:rPr>
              <w:t>(6)检验、包装：检验合格，进行包装之后即为成品。</w:t>
            </w:r>
          </w:p>
          <w:p w14:paraId="55F872F2">
            <w:pPr>
              <w:keepNext w:val="0"/>
              <w:keepLines w:val="0"/>
              <w:pageBreakBefore w:val="0"/>
              <w:widowControl/>
              <w:kinsoku/>
              <w:wordWrap/>
              <w:overflowPunct/>
              <w:topLinePunct w:val="0"/>
              <w:bidi w:val="0"/>
              <w:snapToGrid w:val="0"/>
              <w:spacing w:line="360" w:lineRule="auto"/>
              <w:jc w:val="left"/>
              <w:textAlignment w:val="auto"/>
              <w:rPr>
                <w:rFonts w:hint="default" w:ascii="Times New Roman" w:hAnsi="Times New Roman" w:cs="Times New Roman" w:eastAsiaTheme="minorEastAsia"/>
                <w:b/>
                <w:bCs/>
                <w:color w:val="000000" w:themeColor="text1"/>
                <w:kern w:val="0"/>
                <w:sz w:val="24"/>
                <w:lang w:val="en-US" w:eastAsia="zh-CN" w:bidi="ar"/>
                <w14:textFill>
                  <w14:solidFill>
                    <w14:schemeClr w14:val="tx1"/>
                  </w14:solidFill>
                </w14:textFill>
              </w:rPr>
            </w:pPr>
            <w:r>
              <w:rPr>
                <w:rFonts w:hint="default" w:ascii="Times New Roman" w:hAnsi="Times New Roman" w:cs="Times New Roman" w:eastAsiaTheme="minorEastAsia"/>
                <w:b/>
                <w:bCs/>
                <w:color w:val="000000" w:themeColor="text1"/>
                <w:kern w:val="0"/>
                <w:sz w:val="24"/>
                <w:lang w:val="en-US" w:eastAsia="zh-CN" w:bidi="ar"/>
                <w14:textFill>
                  <w14:solidFill>
                    <w14:schemeClr w14:val="tx1"/>
                  </w14:solidFill>
                </w14:textFill>
              </w:rPr>
              <w:t>2、牛皮纸加筋铝箔生产工艺流程及产污环节</w:t>
            </w:r>
          </w:p>
          <w:p w14:paraId="4F17C472">
            <w:pPr>
              <w:keepNext w:val="0"/>
              <w:keepLines w:val="0"/>
              <w:pageBreakBefore w:val="0"/>
              <w:widowControl/>
              <w:kinsoku/>
              <w:wordWrap/>
              <w:overflowPunct/>
              <w:topLinePunct w:val="0"/>
              <w:bidi w:val="0"/>
              <w:snapToGrid w:val="0"/>
              <w:spacing w:line="360" w:lineRule="auto"/>
              <w:jc w:val="center"/>
              <w:textAlignment w:val="auto"/>
              <w:rPr>
                <w:rFonts w:hint="default" w:ascii="Times New Roman" w:hAnsi="Times New Roman" w:cs="Times New Roman" w:eastAsiaTheme="minorEastAsia"/>
                <w:b/>
                <w:bCs/>
                <w:color w:val="000000" w:themeColor="text1"/>
                <w:kern w:val="0"/>
                <w:sz w:val="24"/>
                <w:lang w:val="en-US" w:eastAsia="zh-CN" w:bidi="ar"/>
                <w14:textFill>
                  <w14:solidFill>
                    <w14:schemeClr w14:val="tx1"/>
                  </w14:solidFill>
                </w14:textFill>
              </w:rPr>
            </w:pPr>
            <w:r>
              <w:rPr>
                <w:rFonts w:hint="default" w:ascii="Times New Roman" w:hAnsi="Times New Roman" w:cs="Times New Roman" w:eastAsiaTheme="minorEastAsia"/>
                <w:b/>
                <w:bCs/>
                <w:color w:val="000000" w:themeColor="text1"/>
                <w:kern w:val="0"/>
                <w:sz w:val="24"/>
                <w:lang w:val="en-US" w:eastAsia="zh-CN" w:bidi="ar"/>
                <w14:textFill>
                  <w14:solidFill>
                    <w14:schemeClr w14:val="tx1"/>
                  </w14:solidFill>
                </w14:textFill>
              </w:rPr>
              <w:drawing>
                <wp:inline distT="0" distB="0" distL="114300" distR="114300">
                  <wp:extent cx="3135630" cy="4136390"/>
                  <wp:effectExtent l="0" t="0" r="0" b="0"/>
                  <wp:docPr id="8" name="ECB019B1-382A-4266-B25C-5B523AA43C14-5" descr="C:/Users/lenlovolel/AppData/Local/Temp/wps.MurnzX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019B1-382A-4266-B25C-5B523AA43C14-5" descr="C:/Users/lenlovolel/AppData/Local/Temp/wps.MurnzXwps"/>
                          <pic:cNvPicPr>
                            <a:picLocks noChangeAspect="1"/>
                          </pic:cNvPicPr>
                        </pic:nvPicPr>
                        <pic:blipFill>
                          <a:blip r:embed="rId18"/>
                          <a:stretch>
                            <a:fillRect/>
                          </a:stretch>
                        </pic:blipFill>
                        <pic:spPr>
                          <a:xfrm>
                            <a:off x="0" y="0"/>
                            <a:ext cx="3135630" cy="4136390"/>
                          </a:xfrm>
                          <a:prstGeom prst="rect">
                            <a:avLst/>
                          </a:prstGeom>
                        </pic:spPr>
                      </pic:pic>
                    </a:graphicData>
                  </a:graphic>
                </wp:inline>
              </w:drawing>
            </w:r>
          </w:p>
          <w:p w14:paraId="2DF926E6">
            <w:pPr>
              <w:pStyle w:val="58"/>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ind w:left="0" w:leftChars="0" w:firstLine="0" w:firstLineChars="0"/>
              <w:jc w:val="center"/>
              <w:textAlignment w:val="baseline"/>
              <w:rPr>
                <w:rFonts w:hint="default" w:ascii="Times New Roman" w:hAnsi="Times New Roman" w:cs="Times New Roman" w:eastAsiaTheme="minorEastAsia"/>
                <w:b/>
                <w:color w:val="000000" w:themeColor="text1"/>
                <w:szCs w:val="24"/>
                <w:lang w:val="en-US" w:eastAsia="zh-CN"/>
                <w14:textFill>
                  <w14:solidFill>
                    <w14:schemeClr w14:val="tx1"/>
                  </w14:solidFill>
                </w14:textFill>
              </w:rPr>
            </w:pPr>
            <w:r>
              <w:rPr>
                <w:rFonts w:hint="default" w:ascii="Times New Roman" w:hAnsi="Times New Roman" w:cs="Times New Roman" w:eastAsiaTheme="minorEastAsia"/>
                <w:b/>
                <w:color w:val="000000" w:themeColor="text1"/>
                <w:szCs w:val="24"/>
                <w:lang w:val="en-US" w:eastAsia="zh-CN"/>
                <w14:textFill>
                  <w14:solidFill>
                    <w14:schemeClr w14:val="tx1"/>
                  </w14:solidFill>
                </w14:textFill>
              </w:rPr>
              <w:t>图2-</w:t>
            </w:r>
            <w:r>
              <w:rPr>
                <w:rFonts w:hint="eastAsia" w:ascii="Times New Roman" w:hAnsi="Times New Roman" w:cs="Times New Roman" w:eastAsiaTheme="minorEastAsia"/>
                <w:b/>
                <w:color w:val="000000" w:themeColor="text1"/>
                <w:szCs w:val="24"/>
                <w:lang w:val="en-US" w:eastAsia="zh-CN"/>
                <w14:textFill>
                  <w14:solidFill>
                    <w14:schemeClr w14:val="tx1"/>
                  </w14:solidFill>
                </w14:textFill>
              </w:rPr>
              <w:t>5</w:t>
            </w:r>
            <w:r>
              <w:rPr>
                <w:rFonts w:hint="default" w:ascii="Times New Roman" w:hAnsi="Times New Roman" w:cs="Times New Roman" w:eastAsiaTheme="minorEastAsia"/>
                <w:b/>
                <w:color w:val="000000" w:themeColor="text1"/>
                <w:szCs w:val="24"/>
                <w:lang w:val="en-US" w:eastAsia="zh-CN"/>
                <w14:textFill>
                  <w14:solidFill>
                    <w14:schemeClr w14:val="tx1"/>
                  </w14:solidFill>
                </w14:textFill>
              </w:rPr>
              <w:t>牛皮纸加筋铝箔生产工艺流程及产污环节</w:t>
            </w:r>
          </w:p>
          <w:p w14:paraId="23947A1F">
            <w:pPr>
              <w:pStyle w:val="45"/>
              <w:spacing w:before="285" w:line="219" w:lineRule="auto"/>
              <w:ind w:left="428"/>
              <w:rPr>
                <w:rFonts w:hint="default" w:ascii="Times New Roman" w:hAnsi="Times New Roman" w:cs="Times New Roman" w:eastAsiaTheme="minorEastAsia"/>
                <w:sz w:val="23"/>
                <w:szCs w:val="23"/>
              </w:rPr>
            </w:pPr>
            <w:r>
              <w:rPr>
                <w:rFonts w:hint="default" w:ascii="Times New Roman" w:hAnsi="Times New Roman" w:cs="Times New Roman" w:eastAsiaTheme="minorEastAsia"/>
                <w:b/>
                <w:bCs/>
                <w:spacing w:val="-5"/>
                <w:sz w:val="23"/>
                <w:szCs w:val="23"/>
              </w:rPr>
              <w:t>工艺简介：</w:t>
            </w:r>
          </w:p>
          <w:p w14:paraId="3F92E198">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cs="Times New Roman" w:eastAsiaTheme="minorEastAsia"/>
                <w:color w:val="000000" w:themeColor="text1"/>
                <w:sz w:val="24"/>
                <w:lang w:eastAsia="zh-CN"/>
                <w14:textFill>
                  <w14:solidFill>
                    <w14:schemeClr w14:val="tx1"/>
                  </w14:solidFill>
                </w14:textFill>
              </w:rPr>
            </w:pPr>
            <w:r>
              <w:rPr>
                <w:rFonts w:hint="default" w:ascii="Times New Roman" w:hAnsi="Times New Roman" w:cs="Times New Roman" w:eastAsiaTheme="minorEastAsia"/>
                <w:color w:val="000000" w:themeColor="text1"/>
                <w:sz w:val="24"/>
                <w:lang w:eastAsia="zh-CN"/>
                <w14:textFill>
                  <w14:solidFill>
                    <w14:schemeClr w14:val="tx1"/>
                  </w14:solidFill>
                </w14:textFill>
              </w:rPr>
              <w:t>(1)加热、流延：PE颗粒经加热流延形成薄膜，此过程会产生有机废气、噪声。</w:t>
            </w:r>
          </w:p>
          <w:p w14:paraId="3A6D045B">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cs="Times New Roman" w:eastAsiaTheme="minorEastAsia"/>
                <w:color w:val="000000" w:themeColor="text1"/>
                <w:sz w:val="24"/>
                <w:lang w:eastAsia="zh-CN"/>
                <w14:textFill>
                  <w14:solidFill>
                    <w14:schemeClr w14:val="tx1"/>
                  </w14:solidFill>
                </w14:textFill>
              </w:rPr>
            </w:pPr>
            <w:r>
              <w:rPr>
                <w:rFonts w:hint="default" w:ascii="Times New Roman" w:hAnsi="Times New Roman" w:cs="Times New Roman" w:eastAsiaTheme="minorEastAsia"/>
                <w:color w:val="000000" w:themeColor="text1"/>
                <w:sz w:val="24"/>
                <w:lang w:eastAsia="zh-CN"/>
                <w14:textFill>
                  <w14:solidFill>
                    <w14:schemeClr w14:val="tx1"/>
                  </w14:solidFill>
                </w14:textFill>
              </w:rPr>
              <w:t>(2)复膜：PE薄膜附着在牛皮纸上，此过程会产生有机废气。</w:t>
            </w:r>
          </w:p>
          <w:p w14:paraId="2BEE0864">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cs="Times New Roman" w:eastAsiaTheme="minorEastAsia"/>
                <w:color w:val="000000" w:themeColor="text1"/>
                <w:sz w:val="24"/>
                <w:lang w:eastAsia="zh-CN"/>
                <w14:textFill>
                  <w14:solidFill>
                    <w14:schemeClr w14:val="tx1"/>
                  </w14:solidFill>
                </w14:textFill>
              </w:rPr>
            </w:pPr>
            <w:r>
              <w:rPr>
                <w:rFonts w:hint="default" w:ascii="Times New Roman" w:hAnsi="Times New Roman" w:cs="Times New Roman" w:eastAsiaTheme="minorEastAsia"/>
                <w:color w:val="000000" w:themeColor="text1"/>
                <w:sz w:val="24"/>
                <w:lang w:eastAsia="zh-CN"/>
                <w14:textFill>
                  <w14:solidFill>
                    <w14:schemeClr w14:val="tx1"/>
                  </w14:solidFill>
                </w14:textFill>
              </w:rPr>
              <w:t>(3)加筋：在复膜后的牛皮纸表面附着一层纤维纱，此过程会产生有机废气、噪声。</w:t>
            </w:r>
          </w:p>
          <w:p w14:paraId="3C8604AE">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cs="Times New Roman" w:eastAsiaTheme="minorEastAsia"/>
                <w:color w:val="000000" w:themeColor="text1"/>
                <w:sz w:val="24"/>
                <w:lang w:eastAsia="zh-CN"/>
                <w14:textFill>
                  <w14:solidFill>
                    <w14:schemeClr w14:val="tx1"/>
                  </w14:solidFill>
                </w14:textFill>
              </w:rPr>
            </w:pPr>
            <w:r>
              <w:rPr>
                <w:rFonts w:hint="default" w:ascii="Times New Roman" w:hAnsi="Times New Roman" w:cs="Times New Roman" w:eastAsiaTheme="minorEastAsia"/>
                <w:color w:val="000000" w:themeColor="text1"/>
                <w:sz w:val="24"/>
                <w:lang w:eastAsia="zh-CN"/>
                <w14:textFill>
                  <w14:solidFill>
                    <w14:schemeClr w14:val="tx1"/>
                  </w14:solidFill>
                </w14:textFill>
              </w:rPr>
              <w:t>(4)复合：在加筋牛皮纸与铝箔复合在一起，此过程会产生有机废气、噪声。</w:t>
            </w:r>
          </w:p>
          <w:p w14:paraId="5A04F288">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cs="Times New Roman" w:eastAsiaTheme="minorEastAsia"/>
                <w:color w:val="000000" w:themeColor="text1"/>
                <w:sz w:val="24"/>
                <w:lang w:eastAsia="zh-CN"/>
                <w14:textFill>
                  <w14:solidFill>
                    <w14:schemeClr w14:val="tx1"/>
                  </w14:solidFill>
                </w14:textFill>
              </w:rPr>
            </w:pPr>
            <w:r>
              <w:rPr>
                <w:rFonts w:hint="default" w:ascii="Times New Roman" w:hAnsi="Times New Roman" w:cs="Times New Roman" w:eastAsiaTheme="minorEastAsia"/>
                <w:color w:val="000000" w:themeColor="text1"/>
                <w:sz w:val="24"/>
                <w:lang w:eastAsia="zh-CN"/>
                <w14:textFill>
                  <w14:solidFill>
                    <w14:schemeClr w14:val="tx1"/>
                  </w14:solidFill>
                </w14:textFill>
              </w:rPr>
              <w:t>(5)压花、分切、修边：按照要求对产品进行加工分切，此过程会产生边角料、噪声。</w:t>
            </w:r>
          </w:p>
          <w:p w14:paraId="4A5D7D60">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lang w:eastAsia="zh-CN"/>
                <w14:textFill>
                  <w14:solidFill>
                    <w14:schemeClr w14:val="tx1"/>
                  </w14:solidFill>
                </w14:textFill>
              </w:rPr>
              <w:t>(6)检验、包装：检验合格，进行包装之后即为成品。</w:t>
            </w:r>
          </w:p>
          <w:p w14:paraId="4BAF3628">
            <w:pPr>
              <w:pStyle w:val="36"/>
              <w:keepNext w:val="0"/>
              <w:keepLines w:val="0"/>
              <w:pageBreakBefore w:val="0"/>
              <w:widowControl/>
              <w:numPr>
                <w:ilvl w:val="1"/>
                <w:numId w:val="0"/>
              </w:numPr>
              <w:wordWrap/>
              <w:overflowPunct/>
              <w:topLinePunct w:val="0"/>
              <w:autoSpaceDE w:val="0"/>
              <w:autoSpaceDN w:val="0"/>
              <w:bidi w:val="0"/>
              <w:adjustRightInd/>
              <w:snapToGrid/>
              <w:spacing w:line="360" w:lineRule="auto"/>
              <w:textAlignment w:val="baseline"/>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t>三</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color w:val="000000" w:themeColor="text1"/>
                <w:sz w:val="24"/>
                <w:szCs w:val="24"/>
                <w:highlight w:val="none"/>
                <w14:textFill>
                  <w14:solidFill>
                    <w14:schemeClr w14:val="tx1"/>
                  </w14:solidFill>
                </w14:textFill>
              </w:rPr>
              <w:t>现有项目污染物达标性判定及排放量核算</w:t>
            </w:r>
          </w:p>
          <w:p w14:paraId="0AFCE889">
            <w:pPr>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ind w:firstLine="480" w:firstLineChars="200"/>
              <w:jc w:val="left"/>
              <w:textAlignment w:val="baseline"/>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snapToGrid w:val="0"/>
                <w:color w:val="000000" w:themeColor="text1"/>
                <w:sz w:val="24"/>
                <w:szCs w:val="21"/>
                <w:lang w:val="en-US" w:eastAsia="en-US" w:bidi="ar-SA"/>
                <w14:textFill>
                  <w14:solidFill>
                    <w14:schemeClr w14:val="tx1"/>
                  </w14:solidFill>
                </w14:textFill>
              </w:rPr>
              <w:t>（1）</w:t>
            </w:r>
            <w:r>
              <w:rPr>
                <w:rFonts w:hint="default" w:ascii="Times New Roman" w:hAnsi="Times New Roman" w:eastAsia="宋体" w:cs="Times New Roman"/>
                <w:color w:val="000000" w:themeColor="text1"/>
                <w:sz w:val="24"/>
                <w14:textFill>
                  <w14:solidFill>
                    <w14:schemeClr w14:val="tx1"/>
                  </w14:solidFill>
                </w14:textFill>
              </w:rPr>
              <w:t>废气</w:t>
            </w:r>
          </w:p>
          <w:p w14:paraId="56DBB1C6">
            <w:pPr>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ind w:firstLine="480" w:firstLineChars="200"/>
              <w:jc w:val="left"/>
              <w:textAlignment w:val="baseline"/>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w:t>
            </w:r>
            <w:r>
              <w:rPr>
                <w:rFonts w:hint="default" w:ascii="Times New Roman" w:hAnsi="Times New Roman" w:eastAsia="宋体" w:cs="Times New Roman"/>
                <w:color w:val="000000" w:themeColor="text1"/>
                <w:sz w:val="24"/>
                <w:lang w:val="en-US" w:eastAsia="zh-CN"/>
                <w14:textFill>
                  <w14:solidFill>
                    <w14:schemeClr w14:val="tx1"/>
                  </w14:solidFill>
                </w14:textFill>
              </w:rPr>
              <w:t>2023</w:t>
            </w:r>
            <w:r>
              <w:rPr>
                <w:rFonts w:hint="default" w:ascii="Times New Roman" w:hAnsi="Times New Roman" w:eastAsia="宋体" w:cs="Times New Roman"/>
                <w:color w:val="000000" w:themeColor="text1"/>
                <w:sz w:val="24"/>
                <w:lang w:eastAsia="zh-CN"/>
                <w14:textFill>
                  <w14:solidFill>
                    <w14:schemeClr w14:val="tx1"/>
                  </w14:solidFill>
                </w14:textFill>
              </w:rPr>
              <w:t>年</w:t>
            </w:r>
            <w:r>
              <w:rPr>
                <w:rFonts w:hint="default" w:ascii="Times New Roman" w:hAnsi="Times New Roman" w:eastAsia="宋体" w:cs="Times New Roman"/>
                <w:color w:val="000000" w:themeColor="text1"/>
                <w:sz w:val="24"/>
                <w:lang w:val="en-US" w:eastAsia="zh-CN"/>
                <w14:textFill>
                  <w14:solidFill>
                    <w14:schemeClr w14:val="tx1"/>
                  </w14:solidFill>
                </w14:textFill>
              </w:rPr>
              <w:t>验收</w:t>
            </w:r>
            <w:r>
              <w:rPr>
                <w:rFonts w:hint="default" w:ascii="Times New Roman" w:hAnsi="Times New Roman" w:eastAsia="宋体" w:cs="Times New Roman"/>
                <w:color w:val="000000" w:themeColor="text1"/>
                <w:sz w:val="24"/>
                <w:lang w:eastAsia="zh-CN"/>
                <w14:textFill>
                  <w14:solidFill>
                    <w14:schemeClr w14:val="tx1"/>
                  </w14:solidFill>
                </w14:textFill>
              </w:rPr>
              <w:t>监测报告（</w:t>
            </w:r>
            <w:r>
              <w:rPr>
                <w:rFonts w:hint="default" w:ascii="Times New Roman" w:hAnsi="Times New Roman" w:eastAsia="宋体" w:cs="Times New Roman"/>
                <w:color w:val="000000" w:themeColor="text1"/>
                <w:sz w:val="24"/>
                <w:lang w:val="en-US" w:eastAsia="zh-CN"/>
                <w14:textFill>
                  <w14:solidFill>
                    <w14:schemeClr w14:val="tx1"/>
                  </w14:solidFill>
                </w14:textFill>
              </w:rPr>
              <w:t>2023080600802Y</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，现有项目</w:t>
            </w:r>
            <w:r>
              <w:rPr>
                <w:rFonts w:hint="default" w:ascii="Times New Roman" w:hAnsi="Times New Roman" w:eastAsia="宋体" w:cs="Times New Roman"/>
                <w:color w:val="000000" w:themeColor="text1"/>
                <w:sz w:val="24"/>
                <w:lang w:eastAsia="zh-CN"/>
                <w14:textFill>
                  <w14:solidFill>
                    <w14:schemeClr w14:val="tx1"/>
                  </w14:solidFill>
                </w14:textFill>
              </w:rPr>
              <w:t>废气</w:t>
            </w:r>
            <w:r>
              <w:rPr>
                <w:rFonts w:hint="default" w:ascii="Times New Roman" w:hAnsi="Times New Roman" w:eastAsia="宋体" w:cs="Times New Roman"/>
                <w:color w:val="000000" w:themeColor="text1"/>
                <w:sz w:val="24"/>
                <w14:textFill>
                  <w14:solidFill>
                    <w14:schemeClr w14:val="tx1"/>
                  </w14:solidFill>
                </w14:textFill>
              </w:rPr>
              <w:t>监测结果如下</w:t>
            </w:r>
            <w:r>
              <w:rPr>
                <w:rFonts w:hint="default" w:ascii="Times New Roman" w:hAnsi="Times New Roman" w:eastAsia="宋体" w:cs="Times New Roman"/>
                <w:color w:val="000000" w:themeColor="text1"/>
                <w:sz w:val="24"/>
                <w:lang w:eastAsia="zh-CN"/>
                <w14:textFill>
                  <w14:solidFill>
                    <w14:schemeClr w14:val="tx1"/>
                  </w14:solidFill>
                </w14:textFill>
              </w:rPr>
              <w:t>表</w:t>
            </w:r>
            <w:r>
              <w:rPr>
                <w:rFonts w:hint="default" w:ascii="Times New Roman" w:hAnsi="Times New Roman" w:eastAsia="宋体" w:cs="Times New Roman"/>
                <w:color w:val="000000" w:themeColor="text1"/>
                <w:sz w:val="24"/>
                <w14:textFill>
                  <w14:solidFill>
                    <w14:schemeClr w14:val="tx1"/>
                  </w14:solidFill>
                </w14:textFill>
              </w:rPr>
              <w:t>：</w:t>
            </w:r>
          </w:p>
          <w:p w14:paraId="25A6E37D">
            <w:pPr>
              <w:keepNext w:val="0"/>
              <w:keepLines w:val="0"/>
              <w:pageBreakBefore w:val="0"/>
              <w:widowControl/>
              <w:kinsoku w:val="0"/>
              <w:wordWrap/>
              <w:overflowPunct/>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b/>
                <w:bCs/>
                <w:color w:val="000000" w:themeColor="text1"/>
                <w:sz w:val="24"/>
                <w:vertAlign w:val="superscript"/>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表2</w:t>
            </w:r>
            <w:r>
              <w:rPr>
                <w:rFonts w:hint="default" w:ascii="Times New Roman" w:hAnsi="Times New Roman" w:eastAsia="宋体" w:cs="Times New Roman"/>
                <w:b/>
                <w:bCs/>
                <w:color w:val="000000" w:themeColor="text1"/>
                <w:sz w:val="24"/>
                <w:lang w:val="en-US" w:eastAsia="zh-CN"/>
                <w14:textFill>
                  <w14:solidFill>
                    <w14:schemeClr w14:val="tx1"/>
                  </w14:solidFill>
                </w14:textFill>
              </w:rPr>
              <w:t>-7</w:t>
            </w:r>
            <w:r>
              <w:rPr>
                <w:rFonts w:hint="default" w:ascii="Times New Roman" w:hAnsi="Times New Roman" w:eastAsia="宋体" w:cs="Times New Roman"/>
                <w:b/>
                <w:bCs/>
                <w:color w:val="000000" w:themeColor="text1"/>
                <w:sz w:val="24"/>
                <w14:textFill>
                  <w14:solidFill>
                    <w14:schemeClr w14:val="tx1"/>
                  </w14:solidFill>
                </w14:textFill>
              </w:rPr>
              <w:t>现有项目无组织排放废气监测结果一览表 单位:mg/m</w:t>
            </w:r>
            <w:r>
              <w:rPr>
                <w:rFonts w:hint="default" w:ascii="Times New Roman" w:hAnsi="Times New Roman" w:eastAsia="宋体" w:cs="Times New Roman"/>
                <w:b/>
                <w:bCs/>
                <w:color w:val="000000" w:themeColor="text1"/>
                <w:sz w:val="24"/>
                <w:vertAlign w:val="superscript"/>
                <w14:textFill>
                  <w14:solidFill>
                    <w14:schemeClr w14:val="tx1"/>
                  </w14:solidFill>
                </w14:textFill>
              </w:rPr>
              <w:t>3</w:t>
            </w:r>
          </w:p>
          <w:tbl>
            <w:tblPr>
              <w:tblStyle w:val="44"/>
              <w:tblW w:w="793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0"/>
              <w:gridCol w:w="1045"/>
              <w:gridCol w:w="848"/>
              <w:gridCol w:w="1053"/>
              <w:gridCol w:w="1067"/>
              <w:gridCol w:w="1042"/>
              <w:gridCol w:w="1042"/>
              <w:gridCol w:w="1042"/>
            </w:tblGrid>
            <w:tr w14:paraId="661A14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800" w:type="dxa"/>
                  <w:vAlign w:val="center"/>
                </w:tcPr>
                <w:p w14:paraId="22DCB029">
                  <w:pPr>
                    <w:widowControl/>
                    <w:jc w:val="center"/>
                    <w:textAlignment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检测项目</w:t>
                  </w:r>
                </w:p>
              </w:tc>
              <w:tc>
                <w:tcPr>
                  <w:tcW w:w="1045" w:type="dxa"/>
                  <w:vAlign w:val="center"/>
                </w:tcPr>
                <w:p w14:paraId="1E54CC4E">
                  <w:pPr>
                    <w:widowControl/>
                    <w:jc w:val="center"/>
                    <w:textAlignment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颗粒物</w:t>
                  </w:r>
                </w:p>
              </w:tc>
              <w:tc>
                <w:tcPr>
                  <w:tcW w:w="848" w:type="dxa"/>
                  <w:vAlign w:val="center"/>
                </w:tcPr>
                <w:p w14:paraId="50FBE783">
                  <w:pPr>
                    <w:widowControl/>
                    <w:jc w:val="center"/>
                    <w:textAlignment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完成日期</w:t>
                  </w:r>
                </w:p>
              </w:tc>
              <w:tc>
                <w:tcPr>
                  <w:tcW w:w="1053" w:type="dxa"/>
                  <w:vAlign w:val="center"/>
                </w:tcPr>
                <w:p w14:paraId="0D7BC4EE">
                  <w:pPr>
                    <w:widowControl/>
                    <w:jc w:val="center"/>
                    <w:textAlignment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2023-08-12~</w:t>
                  </w:r>
                </w:p>
                <w:p w14:paraId="67BBCF33">
                  <w:pPr>
                    <w:widowControl/>
                    <w:jc w:val="center"/>
                    <w:textAlignment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2023-08-13</w:t>
                  </w:r>
                </w:p>
              </w:tc>
              <w:tc>
                <w:tcPr>
                  <w:tcW w:w="1067" w:type="dxa"/>
                  <w:vAlign w:val="center"/>
                </w:tcPr>
                <w:p w14:paraId="6B01A613">
                  <w:pPr>
                    <w:widowControl/>
                    <w:jc w:val="center"/>
                    <w:textAlignment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检出限(mg/m³)</w:t>
                  </w:r>
                </w:p>
              </w:tc>
              <w:tc>
                <w:tcPr>
                  <w:tcW w:w="1042" w:type="dxa"/>
                  <w:vAlign w:val="center"/>
                </w:tcPr>
                <w:p w14:paraId="2E36BB4D">
                  <w:pPr>
                    <w:widowControl/>
                    <w:jc w:val="center"/>
                    <w:textAlignment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0.168</w:t>
                  </w:r>
                </w:p>
              </w:tc>
              <w:tc>
                <w:tcPr>
                  <w:tcW w:w="1042" w:type="dxa"/>
                  <w:vMerge w:val="restart"/>
                  <w:shd w:val="clear" w:color="auto" w:fill="auto"/>
                  <w:vAlign w:val="center"/>
                </w:tcPr>
                <w:p w14:paraId="3DA3FAAE">
                  <w:pPr>
                    <w:spacing w:before="14" w:line="310" w:lineRule="atLeast"/>
                    <w:ind w:left="179" w:leftChars="0" w:right="148" w:rightChars="0"/>
                    <w:jc w:val="center"/>
                    <w:rPr>
                      <w:rFonts w:hint="default" w:ascii="Times New Roman" w:hAnsi="Times New Roman" w:eastAsia="宋体" w:cs="Times New Roman"/>
                      <w:b/>
                      <w:snapToGrid w:val="0"/>
                      <w:color w:val="000000" w:themeColor="text1"/>
                      <w:sz w:val="21"/>
                      <w:szCs w:val="21"/>
                      <w:lang w:val="en-US" w:eastAsia="zh-CN" w:bidi="zh-CN"/>
                      <w14:textFill>
                        <w14:solidFill>
                          <w14:schemeClr w14:val="tx1"/>
                        </w14:solidFill>
                      </w14:textFill>
                    </w:rPr>
                  </w:pPr>
                  <w:r>
                    <w:rPr>
                      <w:rFonts w:hint="default" w:ascii="Times New Roman" w:hAnsi="Times New Roman" w:eastAsia="宋体" w:cs="Times New Roman"/>
                      <w:b/>
                      <w:color w:val="000000" w:themeColor="text1"/>
                      <w:sz w:val="21"/>
                      <w:szCs w:val="21"/>
                      <w:lang w:val="zh-CN" w:bidi="zh-CN"/>
                      <w14:textFill>
                        <w14:solidFill>
                          <w14:schemeClr w14:val="tx1"/>
                        </w14:solidFill>
                      </w14:textFill>
                    </w:rPr>
                    <w:t>标准限值</w:t>
                  </w:r>
                </w:p>
              </w:tc>
              <w:tc>
                <w:tcPr>
                  <w:tcW w:w="1042" w:type="dxa"/>
                  <w:vMerge w:val="restart"/>
                  <w:shd w:val="clear" w:color="auto" w:fill="auto"/>
                  <w:vAlign w:val="center"/>
                </w:tcPr>
                <w:p w14:paraId="2C50E1FB">
                  <w:pPr>
                    <w:spacing w:before="14" w:line="310" w:lineRule="atLeast"/>
                    <w:ind w:left="285" w:leftChars="0" w:right="258" w:rightChars="0"/>
                    <w:jc w:val="center"/>
                    <w:rPr>
                      <w:rFonts w:hint="default" w:ascii="Times New Roman" w:hAnsi="Times New Roman" w:eastAsia="宋体" w:cs="Times New Roman"/>
                      <w:b/>
                      <w:snapToGrid w:val="0"/>
                      <w:color w:val="000000" w:themeColor="text1"/>
                      <w:sz w:val="21"/>
                      <w:szCs w:val="21"/>
                      <w:lang w:val="en-US" w:eastAsia="zh-CN" w:bidi="zh-CN"/>
                      <w14:textFill>
                        <w14:solidFill>
                          <w14:schemeClr w14:val="tx1"/>
                        </w14:solidFill>
                      </w14:textFill>
                    </w:rPr>
                  </w:pPr>
                  <w:r>
                    <w:rPr>
                      <w:rFonts w:hint="default" w:ascii="Times New Roman" w:hAnsi="Times New Roman" w:eastAsia="宋体" w:cs="Times New Roman"/>
                      <w:b/>
                      <w:color w:val="000000" w:themeColor="text1"/>
                      <w:sz w:val="21"/>
                      <w:szCs w:val="21"/>
                      <w:lang w:val="zh-CN" w:bidi="zh-CN"/>
                      <w14:textFill>
                        <w14:solidFill>
                          <w14:schemeClr w14:val="tx1"/>
                        </w14:solidFill>
                      </w14:textFill>
                    </w:rPr>
                    <w:t>达标评价</w:t>
                  </w:r>
                </w:p>
              </w:tc>
            </w:tr>
            <w:tr w14:paraId="484B56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 w:hRule="atLeast"/>
              </w:trPr>
              <w:tc>
                <w:tcPr>
                  <w:tcW w:w="800" w:type="dxa"/>
                  <w:vMerge w:val="restart"/>
                  <w:tcBorders>
                    <w:bottom w:val="nil"/>
                  </w:tcBorders>
                  <w:vAlign w:val="center"/>
                </w:tcPr>
                <w:p w14:paraId="28A3B201">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采样日期</w:t>
                  </w:r>
                </w:p>
              </w:tc>
              <w:tc>
                <w:tcPr>
                  <w:tcW w:w="1045" w:type="dxa"/>
                  <w:vMerge w:val="restart"/>
                  <w:tcBorders>
                    <w:bottom w:val="nil"/>
                  </w:tcBorders>
                  <w:vAlign w:val="center"/>
                </w:tcPr>
                <w:p w14:paraId="234440A7">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采样时间</w:t>
                  </w:r>
                </w:p>
              </w:tc>
              <w:tc>
                <w:tcPr>
                  <w:tcW w:w="4010" w:type="dxa"/>
                  <w:gridSpan w:val="4"/>
                  <w:vAlign w:val="center"/>
                </w:tcPr>
                <w:p w14:paraId="55A56BB1">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采样位置</w:t>
                  </w:r>
                </w:p>
              </w:tc>
              <w:tc>
                <w:tcPr>
                  <w:tcW w:w="1042" w:type="dxa"/>
                  <w:vMerge w:val="continue"/>
                  <w:vAlign w:val="center"/>
                </w:tcPr>
                <w:p w14:paraId="4869E68E">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42" w:type="dxa"/>
                  <w:vMerge w:val="continue"/>
                  <w:vAlign w:val="center"/>
                </w:tcPr>
                <w:p w14:paraId="2E2A6148">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71AD45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00" w:type="dxa"/>
                  <w:vMerge w:val="continue"/>
                  <w:tcBorders>
                    <w:top w:val="nil"/>
                  </w:tcBorders>
                  <w:vAlign w:val="center"/>
                </w:tcPr>
                <w:p w14:paraId="2F8E1A17">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45" w:type="dxa"/>
                  <w:vMerge w:val="continue"/>
                  <w:tcBorders>
                    <w:top w:val="nil"/>
                  </w:tcBorders>
                  <w:vAlign w:val="center"/>
                </w:tcPr>
                <w:p w14:paraId="2E7F16B0">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48" w:type="dxa"/>
                  <w:vAlign w:val="center"/>
                </w:tcPr>
                <w:p w14:paraId="5306A20F">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G1</w:t>
                  </w:r>
                </w:p>
              </w:tc>
              <w:tc>
                <w:tcPr>
                  <w:tcW w:w="1053" w:type="dxa"/>
                  <w:vAlign w:val="center"/>
                </w:tcPr>
                <w:p w14:paraId="27FC0463">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G2</w:t>
                  </w:r>
                </w:p>
              </w:tc>
              <w:tc>
                <w:tcPr>
                  <w:tcW w:w="1067" w:type="dxa"/>
                  <w:vAlign w:val="center"/>
                </w:tcPr>
                <w:p w14:paraId="0386B034">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G3</w:t>
                  </w:r>
                </w:p>
              </w:tc>
              <w:tc>
                <w:tcPr>
                  <w:tcW w:w="1042" w:type="dxa"/>
                  <w:vAlign w:val="center"/>
                </w:tcPr>
                <w:p w14:paraId="4CF6B042">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G4</w:t>
                  </w:r>
                </w:p>
              </w:tc>
              <w:tc>
                <w:tcPr>
                  <w:tcW w:w="1042" w:type="dxa"/>
                  <w:vMerge w:val="continue"/>
                  <w:vAlign w:val="center"/>
                </w:tcPr>
                <w:p w14:paraId="103EAB7B">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42" w:type="dxa"/>
                  <w:vMerge w:val="continue"/>
                  <w:vAlign w:val="center"/>
                </w:tcPr>
                <w:p w14:paraId="02604418">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6B574E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 w:hRule="atLeast"/>
              </w:trPr>
              <w:tc>
                <w:tcPr>
                  <w:tcW w:w="800" w:type="dxa"/>
                  <w:vMerge w:val="restart"/>
                  <w:tcBorders>
                    <w:bottom w:val="nil"/>
                  </w:tcBorders>
                  <w:vAlign w:val="center"/>
                </w:tcPr>
                <w:p w14:paraId="39186556">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p w14:paraId="46F55A94">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2023-08-10</w:t>
                  </w:r>
                </w:p>
              </w:tc>
              <w:tc>
                <w:tcPr>
                  <w:tcW w:w="1045" w:type="dxa"/>
                  <w:vAlign w:val="center"/>
                </w:tcPr>
                <w:p w14:paraId="40924771">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14:30-15:30</w:t>
                  </w:r>
                </w:p>
              </w:tc>
              <w:tc>
                <w:tcPr>
                  <w:tcW w:w="848" w:type="dxa"/>
                  <w:vAlign w:val="center"/>
                </w:tcPr>
                <w:p w14:paraId="2C06F3B5">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0.286</w:t>
                  </w:r>
                </w:p>
              </w:tc>
              <w:tc>
                <w:tcPr>
                  <w:tcW w:w="1053" w:type="dxa"/>
                  <w:vAlign w:val="center"/>
                </w:tcPr>
                <w:p w14:paraId="3CA00CA2">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0.323</w:t>
                  </w:r>
                </w:p>
              </w:tc>
              <w:tc>
                <w:tcPr>
                  <w:tcW w:w="1067" w:type="dxa"/>
                  <w:vAlign w:val="center"/>
                </w:tcPr>
                <w:p w14:paraId="178E19A3">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0.377</w:t>
                  </w:r>
                </w:p>
              </w:tc>
              <w:tc>
                <w:tcPr>
                  <w:tcW w:w="1042" w:type="dxa"/>
                  <w:vAlign w:val="center"/>
                </w:tcPr>
                <w:p w14:paraId="3051F02E">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0.307</w:t>
                  </w:r>
                </w:p>
              </w:tc>
              <w:tc>
                <w:tcPr>
                  <w:tcW w:w="1042" w:type="dxa"/>
                  <w:vMerge w:val="restart"/>
                  <w:vAlign w:val="center"/>
                </w:tcPr>
                <w:p w14:paraId="520B083E">
                  <w:pPr>
                    <w:widowControl/>
                    <w:jc w:val="center"/>
                    <w:textAlignment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1.0</w:t>
                  </w:r>
                </w:p>
              </w:tc>
              <w:tc>
                <w:tcPr>
                  <w:tcW w:w="1042" w:type="dxa"/>
                  <w:vMerge w:val="restart"/>
                  <w:vAlign w:val="center"/>
                </w:tcPr>
                <w:p w14:paraId="4918399F">
                  <w:pPr>
                    <w:widowControl/>
                    <w:jc w:val="center"/>
                    <w:textAlignment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zh-CN" w:bidi="zh-CN"/>
                      <w14:textFill>
                        <w14:solidFill>
                          <w14:schemeClr w14:val="tx1"/>
                        </w14:solidFill>
                      </w14:textFill>
                    </w:rPr>
                    <w:t>达标</w:t>
                  </w:r>
                </w:p>
              </w:tc>
            </w:tr>
            <w:tr w14:paraId="04C2E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 w:hRule="atLeast"/>
              </w:trPr>
              <w:tc>
                <w:tcPr>
                  <w:tcW w:w="800" w:type="dxa"/>
                  <w:vMerge w:val="continue"/>
                  <w:tcBorders>
                    <w:top w:val="nil"/>
                    <w:bottom w:val="nil"/>
                  </w:tcBorders>
                  <w:vAlign w:val="center"/>
                </w:tcPr>
                <w:p w14:paraId="5494FC50">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45" w:type="dxa"/>
                  <w:vAlign w:val="center"/>
                </w:tcPr>
                <w:p w14:paraId="41C707DE">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15:35-16:35</w:t>
                  </w:r>
                </w:p>
              </w:tc>
              <w:tc>
                <w:tcPr>
                  <w:tcW w:w="848" w:type="dxa"/>
                  <w:vAlign w:val="center"/>
                </w:tcPr>
                <w:p w14:paraId="314BEB17">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0.250</w:t>
                  </w:r>
                </w:p>
              </w:tc>
              <w:tc>
                <w:tcPr>
                  <w:tcW w:w="1053" w:type="dxa"/>
                  <w:vAlign w:val="center"/>
                </w:tcPr>
                <w:p w14:paraId="2F59CCEA">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0.310</w:t>
                  </w:r>
                </w:p>
              </w:tc>
              <w:tc>
                <w:tcPr>
                  <w:tcW w:w="1067" w:type="dxa"/>
                  <w:vAlign w:val="center"/>
                </w:tcPr>
                <w:p w14:paraId="7EF80BB6">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0.348</w:t>
                  </w:r>
                </w:p>
              </w:tc>
              <w:tc>
                <w:tcPr>
                  <w:tcW w:w="1042" w:type="dxa"/>
                  <w:vAlign w:val="center"/>
                </w:tcPr>
                <w:p w14:paraId="3E790214">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0.320</w:t>
                  </w:r>
                </w:p>
              </w:tc>
              <w:tc>
                <w:tcPr>
                  <w:tcW w:w="1042" w:type="dxa"/>
                  <w:vMerge w:val="continue"/>
                  <w:vAlign w:val="center"/>
                </w:tcPr>
                <w:p w14:paraId="4971583D">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42" w:type="dxa"/>
                  <w:vMerge w:val="continue"/>
                  <w:vAlign w:val="center"/>
                </w:tcPr>
                <w:p w14:paraId="09FD0C5A">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613BF6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00" w:type="dxa"/>
                  <w:vMerge w:val="continue"/>
                  <w:tcBorders>
                    <w:top w:val="nil"/>
                    <w:bottom w:val="nil"/>
                  </w:tcBorders>
                  <w:vAlign w:val="center"/>
                </w:tcPr>
                <w:p w14:paraId="21682090">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45" w:type="dxa"/>
                  <w:vAlign w:val="center"/>
                </w:tcPr>
                <w:p w14:paraId="07C782D3">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16:40-17:40</w:t>
                  </w:r>
                </w:p>
              </w:tc>
              <w:tc>
                <w:tcPr>
                  <w:tcW w:w="848" w:type="dxa"/>
                  <w:vAlign w:val="center"/>
                </w:tcPr>
                <w:p w14:paraId="7F7081CE">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0.259</w:t>
                  </w:r>
                </w:p>
              </w:tc>
              <w:tc>
                <w:tcPr>
                  <w:tcW w:w="1053" w:type="dxa"/>
                  <w:vAlign w:val="center"/>
                </w:tcPr>
                <w:p w14:paraId="4FFC1C47">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0.313</w:t>
                  </w:r>
                </w:p>
              </w:tc>
              <w:tc>
                <w:tcPr>
                  <w:tcW w:w="1067" w:type="dxa"/>
                  <w:vAlign w:val="center"/>
                </w:tcPr>
                <w:p w14:paraId="396A2612">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0.369</w:t>
                  </w:r>
                </w:p>
              </w:tc>
              <w:tc>
                <w:tcPr>
                  <w:tcW w:w="1042" w:type="dxa"/>
                  <w:vAlign w:val="center"/>
                </w:tcPr>
                <w:p w14:paraId="585151CA">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0.306</w:t>
                  </w:r>
                </w:p>
              </w:tc>
              <w:tc>
                <w:tcPr>
                  <w:tcW w:w="1042" w:type="dxa"/>
                  <w:vMerge w:val="continue"/>
                  <w:vAlign w:val="center"/>
                </w:tcPr>
                <w:p w14:paraId="7ADCF12F">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42" w:type="dxa"/>
                  <w:vMerge w:val="continue"/>
                  <w:vAlign w:val="center"/>
                </w:tcPr>
                <w:p w14:paraId="02C3960E">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4DEE3C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 w:hRule="atLeast"/>
              </w:trPr>
              <w:tc>
                <w:tcPr>
                  <w:tcW w:w="800" w:type="dxa"/>
                  <w:vMerge w:val="continue"/>
                  <w:tcBorders>
                    <w:top w:val="nil"/>
                  </w:tcBorders>
                  <w:vAlign w:val="center"/>
                </w:tcPr>
                <w:p w14:paraId="7E48B454">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45" w:type="dxa"/>
                  <w:vAlign w:val="center"/>
                </w:tcPr>
                <w:p w14:paraId="1433917D">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17:45-18:45</w:t>
                  </w:r>
                </w:p>
              </w:tc>
              <w:tc>
                <w:tcPr>
                  <w:tcW w:w="848" w:type="dxa"/>
                  <w:vAlign w:val="center"/>
                </w:tcPr>
                <w:p w14:paraId="67B94CDF">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0.278</w:t>
                  </w:r>
                </w:p>
              </w:tc>
              <w:tc>
                <w:tcPr>
                  <w:tcW w:w="1053" w:type="dxa"/>
                  <w:vAlign w:val="center"/>
                </w:tcPr>
                <w:p w14:paraId="033B4109">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0.323</w:t>
                  </w:r>
                </w:p>
              </w:tc>
              <w:tc>
                <w:tcPr>
                  <w:tcW w:w="1067" w:type="dxa"/>
                  <w:vAlign w:val="center"/>
                </w:tcPr>
                <w:p w14:paraId="4DF96795">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0.352</w:t>
                  </w:r>
                </w:p>
              </w:tc>
              <w:tc>
                <w:tcPr>
                  <w:tcW w:w="1042" w:type="dxa"/>
                  <w:vAlign w:val="center"/>
                </w:tcPr>
                <w:p w14:paraId="252A1739">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0.312</w:t>
                  </w:r>
                </w:p>
              </w:tc>
              <w:tc>
                <w:tcPr>
                  <w:tcW w:w="1042" w:type="dxa"/>
                  <w:vMerge w:val="continue"/>
                  <w:vAlign w:val="center"/>
                </w:tcPr>
                <w:p w14:paraId="296A99F0">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42" w:type="dxa"/>
                  <w:vMerge w:val="continue"/>
                  <w:vAlign w:val="center"/>
                </w:tcPr>
                <w:p w14:paraId="4AB0BCAA">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3C9C35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00" w:type="dxa"/>
                  <w:vMerge w:val="restart"/>
                  <w:tcBorders>
                    <w:bottom w:val="nil"/>
                  </w:tcBorders>
                  <w:vAlign w:val="center"/>
                </w:tcPr>
                <w:p w14:paraId="4ADC271F">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p w14:paraId="3F4E6870">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2023-08-11</w:t>
                  </w:r>
                </w:p>
              </w:tc>
              <w:tc>
                <w:tcPr>
                  <w:tcW w:w="1045" w:type="dxa"/>
                  <w:vAlign w:val="center"/>
                </w:tcPr>
                <w:p w14:paraId="40A3D10B">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08:20-09:20</w:t>
                  </w:r>
                </w:p>
              </w:tc>
              <w:tc>
                <w:tcPr>
                  <w:tcW w:w="848" w:type="dxa"/>
                  <w:vAlign w:val="center"/>
                </w:tcPr>
                <w:p w14:paraId="2D139CE9">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0.256</w:t>
                  </w:r>
                </w:p>
              </w:tc>
              <w:tc>
                <w:tcPr>
                  <w:tcW w:w="1053" w:type="dxa"/>
                  <w:vAlign w:val="center"/>
                </w:tcPr>
                <w:p w14:paraId="3E8A301F">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0.320</w:t>
                  </w:r>
                </w:p>
              </w:tc>
              <w:tc>
                <w:tcPr>
                  <w:tcW w:w="1067" w:type="dxa"/>
                  <w:vAlign w:val="center"/>
                </w:tcPr>
                <w:p w14:paraId="6404110D">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0.356</w:t>
                  </w:r>
                </w:p>
              </w:tc>
              <w:tc>
                <w:tcPr>
                  <w:tcW w:w="1042" w:type="dxa"/>
                  <w:vAlign w:val="center"/>
                </w:tcPr>
                <w:p w14:paraId="6AFA58BF">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0.310</w:t>
                  </w:r>
                </w:p>
              </w:tc>
              <w:tc>
                <w:tcPr>
                  <w:tcW w:w="1042" w:type="dxa"/>
                  <w:vMerge w:val="continue"/>
                  <w:vAlign w:val="center"/>
                </w:tcPr>
                <w:p w14:paraId="79BAE896">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42" w:type="dxa"/>
                  <w:vMerge w:val="continue"/>
                  <w:vAlign w:val="center"/>
                </w:tcPr>
                <w:p w14:paraId="1388DF83">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7E381A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 w:hRule="atLeast"/>
              </w:trPr>
              <w:tc>
                <w:tcPr>
                  <w:tcW w:w="800" w:type="dxa"/>
                  <w:vMerge w:val="continue"/>
                  <w:tcBorders>
                    <w:top w:val="nil"/>
                    <w:bottom w:val="nil"/>
                  </w:tcBorders>
                  <w:vAlign w:val="center"/>
                </w:tcPr>
                <w:p w14:paraId="654D2B2F">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45" w:type="dxa"/>
                  <w:vAlign w:val="center"/>
                </w:tcPr>
                <w:p w14:paraId="167A1A73">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09:25-10:25</w:t>
                  </w:r>
                </w:p>
              </w:tc>
              <w:tc>
                <w:tcPr>
                  <w:tcW w:w="848" w:type="dxa"/>
                  <w:vAlign w:val="center"/>
                </w:tcPr>
                <w:p w14:paraId="3F8B25C2">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0.260</w:t>
                  </w:r>
                </w:p>
              </w:tc>
              <w:tc>
                <w:tcPr>
                  <w:tcW w:w="1053" w:type="dxa"/>
                  <w:vAlign w:val="center"/>
                </w:tcPr>
                <w:p w14:paraId="76D7EF4A">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0.306</w:t>
                  </w:r>
                </w:p>
              </w:tc>
              <w:tc>
                <w:tcPr>
                  <w:tcW w:w="1067" w:type="dxa"/>
                  <w:vAlign w:val="center"/>
                </w:tcPr>
                <w:p w14:paraId="22D9BC84">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0.372</w:t>
                  </w:r>
                </w:p>
              </w:tc>
              <w:tc>
                <w:tcPr>
                  <w:tcW w:w="1042" w:type="dxa"/>
                  <w:vAlign w:val="center"/>
                </w:tcPr>
                <w:p w14:paraId="18315DFC">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0.316</w:t>
                  </w:r>
                </w:p>
              </w:tc>
              <w:tc>
                <w:tcPr>
                  <w:tcW w:w="1042" w:type="dxa"/>
                  <w:vMerge w:val="continue"/>
                  <w:vAlign w:val="center"/>
                </w:tcPr>
                <w:p w14:paraId="5C0CA0FA">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42" w:type="dxa"/>
                  <w:vMerge w:val="continue"/>
                  <w:vAlign w:val="center"/>
                </w:tcPr>
                <w:p w14:paraId="613ED2AE">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4CF38F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 w:hRule="atLeast"/>
              </w:trPr>
              <w:tc>
                <w:tcPr>
                  <w:tcW w:w="800" w:type="dxa"/>
                  <w:vMerge w:val="continue"/>
                  <w:tcBorders>
                    <w:top w:val="nil"/>
                    <w:bottom w:val="nil"/>
                  </w:tcBorders>
                  <w:vAlign w:val="center"/>
                </w:tcPr>
                <w:p w14:paraId="59EDD107">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45" w:type="dxa"/>
                  <w:vAlign w:val="center"/>
                </w:tcPr>
                <w:p w14:paraId="3CBCAC5A">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10:30-11:30</w:t>
                  </w:r>
                </w:p>
              </w:tc>
              <w:tc>
                <w:tcPr>
                  <w:tcW w:w="848" w:type="dxa"/>
                  <w:vAlign w:val="center"/>
                </w:tcPr>
                <w:p w14:paraId="3BEF15C9">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0.282</w:t>
                  </w:r>
                </w:p>
              </w:tc>
              <w:tc>
                <w:tcPr>
                  <w:tcW w:w="1053" w:type="dxa"/>
                  <w:vAlign w:val="center"/>
                </w:tcPr>
                <w:p w14:paraId="63ACBFBC">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0.308</w:t>
                  </w:r>
                </w:p>
              </w:tc>
              <w:tc>
                <w:tcPr>
                  <w:tcW w:w="1067" w:type="dxa"/>
                  <w:vAlign w:val="center"/>
                </w:tcPr>
                <w:p w14:paraId="7ED59AD0">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0.374</w:t>
                  </w:r>
                </w:p>
              </w:tc>
              <w:tc>
                <w:tcPr>
                  <w:tcW w:w="1042" w:type="dxa"/>
                  <w:vAlign w:val="center"/>
                </w:tcPr>
                <w:p w14:paraId="468CCE63">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0.315</w:t>
                  </w:r>
                </w:p>
              </w:tc>
              <w:tc>
                <w:tcPr>
                  <w:tcW w:w="1042" w:type="dxa"/>
                  <w:vMerge w:val="continue"/>
                  <w:vAlign w:val="center"/>
                </w:tcPr>
                <w:p w14:paraId="01D24A3F">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42" w:type="dxa"/>
                  <w:vMerge w:val="continue"/>
                  <w:vAlign w:val="center"/>
                </w:tcPr>
                <w:p w14:paraId="54B4A52A">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6071CF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00" w:type="dxa"/>
                  <w:vMerge w:val="continue"/>
                  <w:tcBorders>
                    <w:top w:val="nil"/>
                  </w:tcBorders>
                  <w:vAlign w:val="center"/>
                </w:tcPr>
                <w:p w14:paraId="7835D83E">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45" w:type="dxa"/>
                  <w:vAlign w:val="center"/>
                </w:tcPr>
                <w:p w14:paraId="3D03CA93">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11:35-12:35</w:t>
                  </w:r>
                </w:p>
              </w:tc>
              <w:tc>
                <w:tcPr>
                  <w:tcW w:w="848" w:type="dxa"/>
                  <w:vAlign w:val="center"/>
                </w:tcPr>
                <w:p w14:paraId="3278678E">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0.262</w:t>
                  </w:r>
                </w:p>
              </w:tc>
              <w:tc>
                <w:tcPr>
                  <w:tcW w:w="1053" w:type="dxa"/>
                  <w:vAlign w:val="center"/>
                </w:tcPr>
                <w:p w14:paraId="78A574D0">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0.323</w:t>
                  </w:r>
                </w:p>
              </w:tc>
              <w:tc>
                <w:tcPr>
                  <w:tcW w:w="1067" w:type="dxa"/>
                  <w:vAlign w:val="center"/>
                </w:tcPr>
                <w:p w14:paraId="75A90024">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0.367</w:t>
                  </w:r>
                </w:p>
              </w:tc>
              <w:tc>
                <w:tcPr>
                  <w:tcW w:w="1042" w:type="dxa"/>
                  <w:vAlign w:val="center"/>
                </w:tcPr>
                <w:p w14:paraId="2FA85D72">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0.305</w:t>
                  </w:r>
                </w:p>
              </w:tc>
              <w:tc>
                <w:tcPr>
                  <w:tcW w:w="1042" w:type="dxa"/>
                  <w:vMerge w:val="continue"/>
                  <w:vAlign w:val="center"/>
                </w:tcPr>
                <w:p w14:paraId="314357CA">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42" w:type="dxa"/>
                  <w:vMerge w:val="continue"/>
                  <w:vAlign w:val="center"/>
                </w:tcPr>
                <w:p w14:paraId="302D0CF3">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bl>
          <w:p w14:paraId="1E67FB0D">
            <w:pPr>
              <w:keepNext w:val="0"/>
              <w:keepLines w:val="0"/>
              <w:pageBreakBefore w:val="0"/>
              <w:widowControl/>
              <w:kinsoku w:val="0"/>
              <w:wordWrap/>
              <w:overflowPunct/>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表2</w:t>
            </w:r>
            <w:r>
              <w:rPr>
                <w:rFonts w:hint="default" w:ascii="Times New Roman" w:hAnsi="Times New Roman" w:eastAsia="宋体" w:cs="Times New Roman"/>
                <w:b/>
                <w:bCs/>
                <w:color w:val="000000" w:themeColor="text1"/>
                <w:sz w:val="24"/>
                <w:lang w:val="en-US" w:eastAsia="zh-CN"/>
                <w14:textFill>
                  <w14:solidFill>
                    <w14:schemeClr w14:val="tx1"/>
                  </w14:solidFill>
                </w14:textFill>
              </w:rPr>
              <w:t>-8</w:t>
            </w:r>
            <w:r>
              <w:rPr>
                <w:rFonts w:hint="default" w:ascii="Times New Roman" w:hAnsi="Times New Roman" w:eastAsia="宋体" w:cs="Times New Roman"/>
                <w:b/>
                <w:bCs/>
                <w:color w:val="000000" w:themeColor="text1"/>
                <w:sz w:val="24"/>
                <w14:textFill>
                  <w14:solidFill>
                    <w14:schemeClr w14:val="tx1"/>
                  </w14:solidFill>
                </w14:textFill>
              </w:rPr>
              <w:t>现有项目无组织排放废气监测结果一览表 单位:mg/m</w:t>
            </w:r>
            <w:r>
              <w:rPr>
                <w:rFonts w:hint="default" w:ascii="Times New Roman" w:hAnsi="Times New Roman" w:eastAsia="宋体" w:cs="Times New Roman"/>
                <w:b/>
                <w:bCs/>
                <w:color w:val="000000" w:themeColor="text1"/>
                <w:sz w:val="24"/>
                <w:vertAlign w:val="superscript"/>
                <w14:textFill>
                  <w14:solidFill>
                    <w14:schemeClr w14:val="tx1"/>
                  </w14:solidFill>
                </w14:textFill>
              </w:rPr>
              <w:t>3</w:t>
            </w:r>
          </w:p>
          <w:tbl>
            <w:tblPr>
              <w:tblStyle w:val="44"/>
              <w:tblW w:w="7896" w:type="dxa"/>
              <w:tblInd w:w="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6"/>
              <w:gridCol w:w="1149"/>
              <w:gridCol w:w="774"/>
              <w:gridCol w:w="1356"/>
              <w:gridCol w:w="1112"/>
              <w:gridCol w:w="706"/>
              <w:gridCol w:w="1021"/>
              <w:gridCol w:w="982"/>
            </w:tblGrid>
            <w:tr w14:paraId="53591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 w:hRule="atLeast"/>
              </w:trPr>
              <w:tc>
                <w:tcPr>
                  <w:tcW w:w="796" w:type="dxa"/>
                  <w:tcBorders>
                    <w:top w:val="single" w:color="auto" w:sz="4" w:space="0"/>
                    <w:bottom w:val="single" w:color="auto" w:sz="4" w:space="0"/>
                    <w:right w:val="single" w:color="auto" w:sz="4" w:space="0"/>
                  </w:tcBorders>
                  <w:vAlign w:val="top"/>
                </w:tcPr>
                <w:p w14:paraId="7740EFF2">
                  <w:pPr>
                    <w:spacing w:before="14" w:line="310" w:lineRule="atLeast"/>
                    <w:ind w:left="179" w:leftChars="0" w:right="148" w:rightChars="0"/>
                    <w:jc w:val="center"/>
                    <w:rPr>
                      <w:rFonts w:hint="default" w:ascii="Times New Roman" w:hAnsi="Times New Roman" w:eastAsia="宋体" w:cs="Times New Roman"/>
                      <w:b/>
                      <w:color w:val="000000" w:themeColor="text1"/>
                      <w:sz w:val="21"/>
                      <w:szCs w:val="21"/>
                      <w:lang w:val="en-US" w:eastAsia="zh-CN" w:bidi="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bidi="zh-CN"/>
                      <w14:textFill>
                        <w14:solidFill>
                          <w14:schemeClr w14:val="tx1"/>
                        </w14:solidFill>
                      </w14:textFill>
                    </w:rPr>
                    <w:t>检测项目</w:t>
                  </w:r>
                </w:p>
              </w:tc>
              <w:tc>
                <w:tcPr>
                  <w:tcW w:w="1149" w:type="dxa"/>
                  <w:tcBorders>
                    <w:top w:val="single" w:color="auto" w:sz="4" w:space="0"/>
                    <w:left w:val="single" w:color="auto" w:sz="4" w:space="0"/>
                    <w:bottom w:val="single" w:color="auto" w:sz="4" w:space="0"/>
                    <w:right w:val="single" w:color="auto" w:sz="4" w:space="0"/>
                  </w:tcBorders>
                  <w:vAlign w:val="top"/>
                </w:tcPr>
                <w:p w14:paraId="4B8A0C90">
                  <w:pPr>
                    <w:spacing w:before="14" w:line="310" w:lineRule="atLeast"/>
                    <w:ind w:left="179" w:leftChars="0" w:right="148" w:rightChars="0"/>
                    <w:jc w:val="center"/>
                    <w:rPr>
                      <w:rFonts w:hint="default" w:ascii="Times New Roman" w:hAnsi="Times New Roman" w:eastAsia="宋体" w:cs="Times New Roman"/>
                      <w:b/>
                      <w:color w:val="000000" w:themeColor="text1"/>
                      <w:sz w:val="21"/>
                      <w:szCs w:val="21"/>
                      <w:lang w:val="en-US" w:eastAsia="zh-CN" w:bidi="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bidi="zh-CN"/>
                      <w14:textFill>
                        <w14:solidFill>
                          <w14:schemeClr w14:val="tx1"/>
                        </w14:solidFill>
                      </w14:textFill>
                    </w:rPr>
                    <w:t>非甲烷总烃</w:t>
                  </w:r>
                </w:p>
              </w:tc>
              <w:tc>
                <w:tcPr>
                  <w:tcW w:w="774" w:type="dxa"/>
                  <w:tcBorders>
                    <w:top w:val="single" w:color="auto" w:sz="4" w:space="0"/>
                    <w:left w:val="single" w:color="auto" w:sz="4" w:space="0"/>
                    <w:bottom w:val="single" w:color="auto" w:sz="4" w:space="0"/>
                    <w:right w:val="single" w:color="auto" w:sz="4" w:space="0"/>
                  </w:tcBorders>
                  <w:vAlign w:val="top"/>
                </w:tcPr>
                <w:p w14:paraId="4D30E0E5">
                  <w:pPr>
                    <w:spacing w:before="14" w:line="310" w:lineRule="atLeast"/>
                    <w:ind w:left="179" w:leftChars="0" w:right="148" w:rightChars="0"/>
                    <w:jc w:val="center"/>
                    <w:rPr>
                      <w:rFonts w:hint="default" w:ascii="Times New Roman" w:hAnsi="Times New Roman" w:eastAsia="宋体" w:cs="Times New Roman"/>
                      <w:b/>
                      <w:color w:val="000000" w:themeColor="text1"/>
                      <w:sz w:val="21"/>
                      <w:szCs w:val="21"/>
                      <w:lang w:val="en-US" w:eastAsia="zh-CN" w:bidi="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bidi="zh-CN"/>
                      <w14:textFill>
                        <w14:solidFill>
                          <w14:schemeClr w14:val="tx1"/>
                        </w14:solidFill>
                      </w14:textFill>
                    </w:rPr>
                    <w:t>完成日期</w:t>
                  </w:r>
                </w:p>
              </w:tc>
              <w:tc>
                <w:tcPr>
                  <w:tcW w:w="1356" w:type="dxa"/>
                  <w:tcBorders>
                    <w:top w:val="single" w:color="auto" w:sz="4" w:space="0"/>
                    <w:left w:val="single" w:color="auto" w:sz="4" w:space="0"/>
                    <w:bottom w:val="single" w:color="auto" w:sz="4" w:space="0"/>
                    <w:right w:val="single" w:color="auto" w:sz="4" w:space="0"/>
                  </w:tcBorders>
                  <w:vAlign w:val="top"/>
                </w:tcPr>
                <w:p w14:paraId="2B0FD2E6">
                  <w:pPr>
                    <w:spacing w:before="14" w:line="310" w:lineRule="atLeast"/>
                    <w:ind w:left="179" w:leftChars="0" w:right="148" w:rightChars="0"/>
                    <w:jc w:val="center"/>
                    <w:rPr>
                      <w:rFonts w:hint="default" w:ascii="Times New Roman" w:hAnsi="Times New Roman" w:eastAsia="宋体" w:cs="Times New Roman"/>
                      <w:b/>
                      <w:color w:val="000000" w:themeColor="text1"/>
                      <w:sz w:val="21"/>
                      <w:szCs w:val="21"/>
                      <w:lang w:val="en-US" w:eastAsia="zh-CN" w:bidi="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bidi="zh-CN"/>
                      <w14:textFill>
                        <w14:solidFill>
                          <w14:schemeClr w14:val="tx1"/>
                        </w14:solidFill>
                      </w14:textFill>
                    </w:rPr>
                    <w:t>2023-8-11</w:t>
                  </w:r>
                </w:p>
              </w:tc>
              <w:tc>
                <w:tcPr>
                  <w:tcW w:w="1112" w:type="dxa"/>
                  <w:tcBorders>
                    <w:top w:val="single" w:color="auto" w:sz="4" w:space="0"/>
                    <w:left w:val="single" w:color="auto" w:sz="4" w:space="0"/>
                    <w:bottom w:val="single" w:color="auto" w:sz="4" w:space="0"/>
                    <w:right w:val="single" w:color="auto" w:sz="4" w:space="0"/>
                  </w:tcBorders>
                  <w:vAlign w:val="top"/>
                </w:tcPr>
                <w:p w14:paraId="3961C821">
                  <w:pPr>
                    <w:spacing w:before="14" w:line="310" w:lineRule="atLeast"/>
                    <w:ind w:left="179" w:leftChars="0" w:right="148" w:rightChars="0"/>
                    <w:jc w:val="center"/>
                    <w:rPr>
                      <w:rFonts w:hint="default" w:ascii="Times New Roman" w:hAnsi="Times New Roman" w:eastAsia="宋体" w:cs="Times New Roman"/>
                      <w:b/>
                      <w:color w:val="000000" w:themeColor="text1"/>
                      <w:sz w:val="21"/>
                      <w:szCs w:val="21"/>
                      <w:lang w:val="en-US" w:eastAsia="zh-CN" w:bidi="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bidi="zh-CN"/>
                      <w14:textFill>
                        <w14:solidFill>
                          <w14:schemeClr w14:val="tx1"/>
                        </w14:solidFill>
                      </w14:textFill>
                    </w:rPr>
                    <w:t>检出限(mg/m³)</w:t>
                  </w:r>
                </w:p>
              </w:tc>
              <w:tc>
                <w:tcPr>
                  <w:tcW w:w="706" w:type="dxa"/>
                  <w:tcBorders>
                    <w:top w:val="single" w:color="auto" w:sz="4" w:space="0"/>
                    <w:left w:val="single" w:color="auto" w:sz="4" w:space="0"/>
                    <w:bottom w:val="single" w:color="auto" w:sz="4" w:space="0"/>
                    <w:right w:val="single" w:color="auto" w:sz="4" w:space="0"/>
                  </w:tcBorders>
                  <w:vAlign w:val="top"/>
                </w:tcPr>
                <w:p w14:paraId="1CDBCA7A">
                  <w:pPr>
                    <w:spacing w:before="14" w:line="310" w:lineRule="atLeast"/>
                    <w:ind w:left="179" w:leftChars="0" w:right="148" w:rightChars="0"/>
                    <w:jc w:val="center"/>
                    <w:rPr>
                      <w:rFonts w:hint="default" w:ascii="Times New Roman" w:hAnsi="Times New Roman" w:eastAsia="宋体" w:cs="Times New Roman"/>
                      <w:b/>
                      <w:color w:val="000000" w:themeColor="text1"/>
                      <w:sz w:val="21"/>
                      <w:szCs w:val="21"/>
                      <w:lang w:val="en-US" w:eastAsia="zh-CN" w:bidi="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bidi="zh-CN"/>
                      <w14:textFill>
                        <w14:solidFill>
                          <w14:schemeClr w14:val="tx1"/>
                        </w14:solidFill>
                      </w14:textFill>
                    </w:rPr>
                    <w:t>0.07</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14:paraId="69DEB657">
                  <w:pPr>
                    <w:spacing w:before="14" w:line="310" w:lineRule="atLeast"/>
                    <w:ind w:left="179" w:leftChars="0" w:right="148" w:rightChars="0"/>
                    <w:jc w:val="center"/>
                    <w:rPr>
                      <w:rFonts w:hint="default" w:ascii="Times New Roman" w:hAnsi="Times New Roman" w:eastAsia="宋体" w:cs="Times New Roman"/>
                      <w:b/>
                      <w:color w:val="000000" w:themeColor="text1"/>
                      <w:sz w:val="21"/>
                      <w:szCs w:val="21"/>
                      <w:lang w:val="en-US" w:eastAsia="zh-CN" w:bidi="zh-CN"/>
                      <w14:textFill>
                        <w14:solidFill>
                          <w14:schemeClr w14:val="tx1"/>
                        </w14:solidFill>
                      </w14:textFill>
                    </w:rPr>
                  </w:pPr>
                  <w:r>
                    <w:rPr>
                      <w:rFonts w:hint="default" w:ascii="Times New Roman" w:hAnsi="Times New Roman" w:eastAsia="宋体" w:cs="Times New Roman"/>
                      <w:b/>
                      <w:color w:val="000000" w:themeColor="text1"/>
                      <w:sz w:val="21"/>
                      <w:szCs w:val="21"/>
                      <w:lang w:val="zh-CN" w:bidi="zh-CN"/>
                      <w14:textFill>
                        <w14:solidFill>
                          <w14:schemeClr w14:val="tx1"/>
                        </w14:solidFill>
                      </w14:textFill>
                    </w:rPr>
                    <w:t>标准限值</w:t>
                  </w:r>
                </w:p>
              </w:tc>
              <w:tc>
                <w:tcPr>
                  <w:tcW w:w="982" w:type="dxa"/>
                  <w:tcBorders>
                    <w:top w:val="single" w:color="auto" w:sz="4" w:space="0"/>
                    <w:left w:val="single" w:color="auto" w:sz="4" w:space="0"/>
                    <w:bottom w:val="single" w:color="auto" w:sz="4" w:space="0"/>
                    <w:right w:val="single" w:color="auto" w:sz="4" w:space="0"/>
                  </w:tcBorders>
                  <w:shd w:val="clear" w:color="auto" w:fill="auto"/>
                  <w:vAlign w:val="center"/>
                </w:tcPr>
                <w:p w14:paraId="5A16F8F5">
                  <w:pPr>
                    <w:spacing w:before="14" w:line="310" w:lineRule="atLeast"/>
                    <w:ind w:left="179" w:leftChars="0" w:right="148" w:rightChars="0"/>
                    <w:jc w:val="center"/>
                    <w:rPr>
                      <w:rFonts w:hint="default" w:ascii="Times New Roman" w:hAnsi="Times New Roman" w:eastAsia="宋体" w:cs="Times New Roman"/>
                      <w:b/>
                      <w:color w:val="000000" w:themeColor="text1"/>
                      <w:sz w:val="21"/>
                      <w:szCs w:val="21"/>
                      <w:lang w:val="en-US" w:eastAsia="zh-CN" w:bidi="zh-CN"/>
                      <w14:textFill>
                        <w14:solidFill>
                          <w14:schemeClr w14:val="tx1"/>
                        </w14:solidFill>
                      </w14:textFill>
                    </w:rPr>
                  </w:pPr>
                  <w:r>
                    <w:rPr>
                      <w:rFonts w:hint="default" w:ascii="Times New Roman" w:hAnsi="Times New Roman" w:eastAsia="宋体" w:cs="Times New Roman"/>
                      <w:b/>
                      <w:color w:val="000000" w:themeColor="text1"/>
                      <w:sz w:val="21"/>
                      <w:szCs w:val="21"/>
                      <w:lang w:val="zh-CN" w:bidi="zh-CN"/>
                      <w14:textFill>
                        <w14:solidFill>
                          <w14:schemeClr w14:val="tx1"/>
                        </w14:solidFill>
                      </w14:textFill>
                    </w:rPr>
                    <w:t>达标评价</w:t>
                  </w:r>
                </w:p>
              </w:tc>
            </w:tr>
            <w:tr w14:paraId="4F720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atLeast"/>
              </w:trPr>
              <w:tc>
                <w:tcPr>
                  <w:tcW w:w="796" w:type="dxa"/>
                  <w:vMerge w:val="restart"/>
                  <w:tcBorders>
                    <w:top w:val="single" w:color="auto" w:sz="4" w:space="0"/>
                    <w:left w:val="single" w:color="auto" w:sz="4" w:space="0"/>
                    <w:bottom w:val="single" w:color="auto" w:sz="4" w:space="0"/>
                    <w:right w:val="single" w:color="auto" w:sz="4" w:space="0"/>
                  </w:tcBorders>
                  <w:vAlign w:val="top"/>
                </w:tcPr>
                <w:p w14:paraId="57E0434A">
                  <w:pPr>
                    <w:widowControl/>
                    <w:jc w:val="both"/>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采样位置</w:t>
                  </w:r>
                </w:p>
              </w:tc>
              <w:tc>
                <w:tcPr>
                  <w:tcW w:w="1149" w:type="dxa"/>
                  <w:vMerge w:val="restart"/>
                  <w:tcBorders>
                    <w:top w:val="single" w:color="auto" w:sz="4" w:space="0"/>
                    <w:left w:val="single" w:color="auto" w:sz="4" w:space="0"/>
                    <w:bottom w:val="single" w:color="auto" w:sz="4" w:space="0"/>
                    <w:right w:val="single" w:color="auto" w:sz="4" w:space="0"/>
                  </w:tcBorders>
                  <w:vAlign w:val="top"/>
                </w:tcPr>
                <w:p w14:paraId="0642AEB5">
                  <w:pPr>
                    <w:widowControl/>
                    <w:jc w:val="both"/>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采样时间</w:t>
                  </w:r>
                </w:p>
              </w:tc>
              <w:tc>
                <w:tcPr>
                  <w:tcW w:w="3948" w:type="dxa"/>
                  <w:gridSpan w:val="4"/>
                  <w:tcBorders>
                    <w:top w:val="single" w:color="auto" w:sz="4" w:space="0"/>
                    <w:left w:val="single" w:color="auto" w:sz="4" w:space="0"/>
                    <w:bottom w:val="single" w:color="auto" w:sz="4" w:space="0"/>
                    <w:right w:val="single" w:color="auto" w:sz="4" w:space="0"/>
                  </w:tcBorders>
                  <w:vAlign w:val="top"/>
                </w:tcPr>
                <w:p w14:paraId="2D318ADF">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采样日期</w:t>
                  </w:r>
                </w:p>
              </w:tc>
              <w:tc>
                <w:tcPr>
                  <w:tcW w:w="1021" w:type="dxa"/>
                  <w:vMerge w:val="restart"/>
                  <w:tcBorders>
                    <w:top w:val="single" w:color="auto" w:sz="4" w:space="0"/>
                    <w:left w:val="single" w:color="auto" w:sz="4" w:space="0"/>
                    <w:right w:val="single" w:color="auto" w:sz="4" w:space="0"/>
                  </w:tcBorders>
                  <w:vAlign w:val="center"/>
                </w:tcPr>
                <w:p w14:paraId="7CA82CFF">
                  <w:pPr>
                    <w:widowControl/>
                    <w:jc w:val="center"/>
                    <w:textAlignment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2.0</w:t>
                  </w:r>
                </w:p>
              </w:tc>
              <w:tc>
                <w:tcPr>
                  <w:tcW w:w="982" w:type="dxa"/>
                  <w:vMerge w:val="restart"/>
                  <w:tcBorders>
                    <w:top w:val="single" w:color="auto" w:sz="4" w:space="0"/>
                    <w:left w:val="single" w:color="auto" w:sz="4" w:space="0"/>
                    <w:right w:val="single" w:color="auto" w:sz="4" w:space="0"/>
                  </w:tcBorders>
                  <w:vAlign w:val="center"/>
                </w:tcPr>
                <w:p w14:paraId="2B779651">
                  <w:pPr>
                    <w:widowControl/>
                    <w:jc w:val="center"/>
                    <w:textAlignment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zh-CN" w:bidi="zh-CN"/>
                      <w14:textFill>
                        <w14:solidFill>
                          <w14:schemeClr w14:val="tx1"/>
                        </w14:solidFill>
                      </w14:textFill>
                    </w:rPr>
                    <w:t>达标</w:t>
                  </w:r>
                </w:p>
              </w:tc>
            </w:tr>
            <w:tr w14:paraId="38D383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796" w:type="dxa"/>
                  <w:vMerge w:val="continue"/>
                  <w:tcBorders>
                    <w:top w:val="single" w:color="auto" w:sz="4" w:space="0"/>
                    <w:left w:val="single" w:color="auto" w:sz="4" w:space="0"/>
                    <w:bottom w:val="single" w:color="auto" w:sz="4" w:space="0"/>
                    <w:right w:val="single" w:color="auto" w:sz="4" w:space="0"/>
                  </w:tcBorders>
                  <w:vAlign w:val="top"/>
                </w:tcPr>
                <w:p w14:paraId="0AE694C1">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49" w:type="dxa"/>
                  <w:vMerge w:val="continue"/>
                  <w:tcBorders>
                    <w:top w:val="single" w:color="auto" w:sz="4" w:space="0"/>
                    <w:left w:val="single" w:color="auto" w:sz="4" w:space="0"/>
                    <w:bottom w:val="single" w:color="auto" w:sz="4" w:space="0"/>
                    <w:right w:val="single" w:color="auto" w:sz="4" w:space="0"/>
                  </w:tcBorders>
                  <w:vAlign w:val="top"/>
                </w:tcPr>
                <w:p w14:paraId="45818AAF">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948" w:type="dxa"/>
                  <w:gridSpan w:val="4"/>
                  <w:tcBorders>
                    <w:top w:val="single" w:color="auto" w:sz="4" w:space="0"/>
                    <w:left w:val="single" w:color="auto" w:sz="4" w:space="0"/>
                    <w:bottom w:val="single" w:color="auto" w:sz="4" w:space="0"/>
                    <w:right w:val="single" w:color="auto" w:sz="4" w:space="0"/>
                  </w:tcBorders>
                  <w:vAlign w:val="top"/>
                </w:tcPr>
                <w:p w14:paraId="03CA885E">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2023-08-10</w:t>
                  </w:r>
                </w:p>
              </w:tc>
              <w:tc>
                <w:tcPr>
                  <w:tcW w:w="1021" w:type="dxa"/>
                  <w:vMerge w:val="continue"/>
                  <w:tcBorders>
                    <w:left w:val="single" w:color="auto" w:sz="4" w:space="0"/>
                    <w:right w:val="single" w:color="auto" w:sz="4" w:space="0"/>
                  </w:tcBorders>
                  <w:vAlign w:val="top"/>
                </w:tcPr>
                <w:p w14:paraId="0324EF1C">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82" w:type="dxa"/>
                  <w:vMerge w:val="continue"/>
                  <w:tcBorders>
                    <w:left w:val="single" w:color="auto" w:sz="4" w:space="0"/>
                    <w:right w:val="single" w:color="auto" w:sz="4" w:space="0"/>
                  </w:tcBorders>
                  <w:vAlign w:val="top"/>
                </w:tcPr>
                <w:p w14:paraId="3179D9DB">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437D9C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796" w:type="dxa"/>
                  <w:vMerge w:val="restart"/>
                  <w:tcBorders>
                    <w:top w:val="single" w:color="auto" w:sz="4" w:space="0"/>
                    <w:left w:val="single" w:color="auto" w:sz="4" w:space="0"/>
                    <w:bottom w:val="single" w:color="auto" w:sz="4" w:space="0"/>
                    <w:right w:val="single" w:color="auto" w:sz="4" w:space="0"/>
                  </w:tcBorders>
                  <w:vAlign w:val="top"/>
                </w:tcPr>
                <w:p w14:paraId="0707A862">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p w14:paraId="208147D3">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G1</w:t>
                  </w:r>
                </w:p>
              </w:tc>
              <w:tc>
                <w:tcPr>
                  <w:tcW w:w="1149" w:type="dxa"/>
                  <w:tcBorders>
                    <w:top w:val="single" w:color="auto" w:sz="4" w:space="0"/>
                    <w:left w:val="single" w:color="auto" w:sz="4" w:space="0"/>
                    <w:bottom w:val="single" w:color="auto" w:sz="4" w:space="0"/>
                    <w:right w:val="single" w:color="auto" w:sz="4" w:space="0"/>
                  </w:tcBorders>
                  <w:vAlign w:val="top"/>
                </w:tcPr>
                <w:p w14:paraId="62825B12">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14:40</w:t>
                  </w:r>
                </w:p>
              </w:tc>
              <w:tc>
                <w:tcPr>
                  <w:tcW w:w="3948" w:type="dxa"/>
                  <w:gridSpan w:val="4"/>
                  <w:tcBorders>
                    <w:top w:val="single" w:color="auto" w:sz="4" w:space="0"/>
                    <w:left w:val="single" w:color="auto" w:sz="4" w:space="0"/>
                    <w:bottom w:val="single" w:color="auto" w:sz="4" w:space="0"/>
                    <w:right w:val="single" w:color="auto" w:sz="4" w:space="0"/>
                  </w:tcBorders>
                  <w:vAlign w:val="top"/>
                </w:tcPr>
                <w:p w14:paraId="03726FCA">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0.83</w:t>
                  </w:r>
                </w:p>
              </w:tc>
              <w:tc>
                <w:tcPr>
                  <w:tcW w:w="1021" w:type="dxa"/>
                  <w:vMerge w:val="continue"/>
                  <w:tcBorders>
                    <w:left w:val="single" w:color="auto" w:sz="4" w:space="0"/>
                    <w:right w:val="single" w:color="auto" w:sz="4" w:space="0"/>
                  </w:tcBorders>
                  <w:vAlign w:val="top"/>
                </w:tcPr>
                <w:p w14:paraId="187F5D52">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82" w:type="dxa"/>
                  <w:vMerge w:val="continue"/>
                  <w:tcBorders>
                    <w:left w:val="single" w:color="auto" w:sz="4" w:space="0"/>
                    <w:right w:val="single" w:color="auto" w:sz="4" w:space="0"/>
                  </w:tcBorders>
                  <w:vAlign w:val="top"/>
                </w:tcPr>
                <w:p w14:paraId="45BEB7E5">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479C6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796" w:type="dxa"/>
                  <w:vMerge w:val="continue"/>
                  <w:tcBorders>
                    <w:top w:val="single" w:color="auto" w:sz="4" w:space="0"/>
                    <w:left w:val="single" w:color="auto" w:sz="4" w:space="0"/>
                    <w:bottom w:val="single" w:color="auto" w:sz="4" w:space="0"/>
                    <w:right w:val="single" w:color="auto" w:sz="4" w:space="0"/>
                  </w:tcBorders>
                  <w:vAlign w:val="top"/>
                </w:tcPr>
                <w:p w14:paraId="64F2C8CC">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49" w:type="dxa"/>
                  <w:tcBorders>
                    <w:top w:val="single" w:color="auto" w:sz="4" w:space="0"/>
                    <w:left w:val="single" w:color="auto" w:sz="4" w:space="0"/>
                    <w:bottom w:val="single" w:color="auto" w:sz="4" w:space="0"/>
                    <w:right w:val="single" w:color="auto" w:sz="4" w:space="0"/>
                  </w:tcBorders>
                  <w:vAlign w:val="top"/>
                </w:tcPr>
                <w:p w14:paraId="133FB072">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15:40</w:t>
                  </w:r>
                </w:p>
              </w:tc>
              <w:tc>
                <w:tcPr>
                  <w:tcW w:w="3948" w:type="dxa"/>
                  <w:gridSpan w:val="4"/>
                  <w:tcBorders>
                    <w:top w:val="single" w:color="auto" w:sz="4" w:space="0"/>
                    <w:left w:val="single" w:color="auto" w:sz="4" w:space="0"/>
                    <w:bottom w:val="single" w:color="auto" w:sz="4" w:space="0"/>
                    <w:right w:val="single" w:color="auto" w:sz="4" w:space="0"/>
                  </w:tcBorders>
                  <w:vAlign w:val="top"/>
                </w:tcPr>
                <w:p w14:paraId="02663BEE">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0.78</w:t>
                  </w:r>
                </w:p>
              </w:tc>
              <w:tc>
                <w:tcPr>
                  <w:tcW w:w="1021" w:type="dxa"/>
                  <w:vMerge w:val="continue"/>
                  <w:tcBorders>
                    <w:left w:val="single" w:color="auto" w:sz="4" w:space="0"/>
                    <w:right w:val="single" w:color="auto" w:sz="4" w:space="0"/>
                  </w:tcBorders>
                  <w:vAlign w:val="top"/>
                </w:tcPr>
                <w:p w14:paraId="31332D3F">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82" w:type="dxa"/>
                  <w:vMerge w:val="continue"/>
                  <w:tcBorders>
                    <w:left w:val="single" w:color="auto" w:sz="4" w:space="0"/>
                    <w:right w:val="single" w:color="auto" w:sz="4" w:space="0"/>
                  </w:tcBorders>
                  <w:vAlign w:val="top"/>
                </w:tcPr>
                <w:p w14:paraId="37198DAD">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223BF3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796" w:type="dxa"/>
                  <w:vMerge w:val="continue"/>
                  <w:tcBorders>
                    <w:top w:val="single" w:color="auto" w:sz="4" w:space="0"/>
                    <w:left w:val="single" w:color="auto" w:sz="4" w:space="0"/>
                    <w:bottom w:val="single" w:color="auto" w:sz="4" w:space="0"/>
                    <w:right w:val="single" w:color="auto" w:sz="4" w:space="0"/>
                  </w:tcBorders>
                  <w:vAlign w:val="top"/>
                </w:tcPr>
                <w:p w14:paraId="1AE54917">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49" w:type="dxa"/>
                  <w:tcBorders>
                    <w:top w:val="single" w:color="auto" w:sz="4" w:space="0"/>
                    <w:left w:val="single" w:color="auto" w:sz="4" w:space="0"/>
                    <w:bottom w:val="single" w:color="auto" w:sz="4" w:space="0"/>
                    <w:right w:val="single" w:color="auto" w:sz="4" w:space="0"/>
                  </w:tcBorders>
                  <w:vAlign w:val="top"/>
                </w:tcPr>
                <w:p w14:paraId="25975FC0">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16:40</w:t>
                  </w:r>
                </w:p>
              </w:tc>
              <w:tc>
                <w:tcPr>
                  <w:tcW w:w="3948" w:type="dxa"/>
                  <w:gridSpan w:val="4"/>
                  <w:tcBorders>
                    <w:top w:val="single" w:color="auto" w:sz="4" w:space="0"/>
                    <w:left w:val="single" w:color="auto" w:sz="4" w:space="0"/>
                    <w:bottom w:val="single" w:color="auto" w:sz="4" w:space="0"/>
                    <w:right w:val="single" w:color="auto" w:sz="4" w:space="0"/>
                  </w:tcBorders>
                  <w:vAlign w:val="top"/>
                </w:tcPr>
                <w:p w14:paraId="795299D3">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0.80</w:t>
                  </w:r>
                </w:p>
              </w:tc>
              <w:tc>
                <w:tcPr>
                  <w:tcW w:w="1021" w:type="dxa"/>
                  <w:vMerge w:val="continue"/>
                  <w:tcBorders>
                    <w:left w:val="single" w:color="auto" w:sz="4" w:space="0"/>
                    <w:right w:val="single" w:color="auto" w:sz="4" w:space="0"/>
                  </w:tcBorders>
                  <w:vAlign w:val="top"/>
                </w:tcPr>
                <w:p w14:paraId="66EBB5B0">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82" w:type="dxa"/>
                  <w:vMerge w:val="continue"/>
                  <w:tcBorders>
                    <w:left w:val="single" w:color="auto" w:sz="4" w:space="0"/>
                    <w:right w:val="single" w:color="auto" w:sz="4" w:space="0"/>
                  </w:tcBorders>
                  <w:vAlign w:val="top"/>
                </w:tcPr>
                <w:p w14:paraId="747E8BF0">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78DF39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796" w:type="dxa"/>
                  <w:vMerge w:val="continue"/>
                  <w:tcBorders>
                    <w:top w:val="single" w:color="auto" w:sz="4" w:space="0"/>
                    <w:left w:val="single" w:color="auto" w:sz="4" w:space="0"/>
                    <w:bottom w:val="single" w:color="auto" w:sz="4" w:space="0"/>
                    <w:right w:val="single" w:color="auto" w:sz="4" w:space="0"/>
                  </w:tcBorders>
                  <w:vAlign w:val="top"/>
                </w:tcPr>
                <w:p w14:paraId="207D459F">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49" w:type="dxa"/>
                  <w:tcBorders>
                    <w:top w:val="single" w:color="auto" w:sz="4" w:space="0"/>
                    <w:left w:val="single" w:color="auto" w:sz="4" w:space="0"/>
                    <w:bottom w:val="single" w:color="auto" w:sz="4" w:space="0"/>
                    <w:right w:val="single" w:color="auto" w:sz="4" w:space="0"/>
                  </w:tcBorders>
                  <w:vAlign w:val="top"/>
                </w:tcPr>
                <w:p w14:paraId="3D0E52E4">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17:40</w:t>
                  </w:r>
                </w:p>
              </w:tc>
              <w:tc>
                <w:tcPr>
                  <w:tcW w:w="3948" w:type="dxa"/>
                  <w:gridSpan w:val="4"/>
                  <w:tcBorders>
                    <w:top w:val="single" w:color="auto" w:sz="4" w:space="0"/>
                    <w:left w:val="single" w:color="auto" w:sz="4" w:space="0"/>
                    <w:bottom w:val="single" w:color="auto" w:sz="4" w:space="0"/>
                    <w:right w:val="single" w:color="auto" w:sz="4" w:space="0"/>
                  </w:tcBorders>
                  <w:vAlign w:val="top"/>
                </w:tcPr>
                <w:p w14:paraId="30ED12A6">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0:81</w:t>
                  </w:r>
                </w:p>
              </w:tc>
              <w:tc>
                <w:tcPr>
                  <w:tcW w:w="1021" w:type="dxa"/>
                  <w:vMerge w:val="continue"/>
                  <w:tcBorders>
                    <w:left w:val="single" w:color="auto" w:sz="4" w:space="0"/>
                    <w:right w:val="single" w:color="auto" w:sz="4" w:space="0"/>
                  </w:tcBorders>
                  <w:vAlign w:val="top"/>
                </w:tcPr>
                <w:p w14:paraId="2AE7819A">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82" w:type="dxa"/>
                  <w:vMerge w:val="continue"/>
                  <w:tcBorders>
                    <w:left w:val="single" w:color="auto" w:sz="4" w:space="0"/>
                    <w:right w:val="single" w:color="auto" w:sz="4" w:space="0"/>
                  </w:tcBorders>
                  <w:vAlign w:val="top"/>
                </w:tcPr>
                <w:p w14:paraId="021F2DC2">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291086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796" w:type="dxa"/>
                  <w:vMerge w:val="restart"/>
                  <w:tcBorders>
                    <w:top w:val="single" w:color="auto" w:sz="4" w:space="0"/>
                    <w:left w:val="single" w:color="auto" w:sz="4" w:space="0"/>
                    <w:right w:val="single" w:color="auto" w:sz="4" w:space="0"/>
                  </w:tcBorders>
                  <w:vAlign w:val="top"/>
                </w:tcPr>
                <w:p w14:paraId="45EDB43E">
                  <w:pPr>
                    <w:widowControl/>
                    <w:jc w:val="both"/>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p w14:paraId="7557D8A6">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G2</w:t>
                  </w:r>
                </w:p>
              </w:tc>
              <w:tc>
                <w:tcPr>
                  <w:tcW w:w="1149" w:type="dxa"/>
                  <w:tcBorders>
                    <w:top w:val="single" w:color="auto" w:sz="4" w:space="0"/>
                    <w:left w:val="single" w:color="auto" w:sz="4" w:space="0"/>
                    <w:bottom w:val="single" w:color="auto" w:sz="4" w:space="0"/>
                    <w:right w:val="single" w:color="auto" w:sz="4" w:space="0"/>
                  </w:tcBorders>
                  <w:vAlign w:val="top"/>
                </w:tcPr>
                <w:p w14:paraId="57CE0C6D">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14:50</w:t>
                  </w:r>
                </w:p>
              </w:tc>
              <w:tc>
                <w:tcPr>
                  <w:tcW w:w="3948" w:type="dxa"/>
                  <w:gridSpan w:val="4"/>
                  <w:tcBorders>
                    <w:top w:val="single" w:color="auto" w:sz="4" w:space="0"/>
                    <w:left w:val="single" w:color="auto" w:sz="4" w:space="0"/>
                    <w:bottom w:val="single" w:color="auto" w:sz="4" w:space="0"/>
                    <w:right w:val="single" w:color="auto" w:sz="4" w:space="0"/>
                  </w:tcBorders>
                  <w:vAlign w:val="top"/>
                </w:tcPr>
                <w:p w14:paraId="0C43C277">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1.02</w:t>
                  </w:r>
                </w:p>
              </w:tc>
              <w:tc>
                <w:tcPr>
                  <w:tcW w:w="1021" w:type="dxa"/>
                  <w:vMerge w:val="continue"/>
                  <w:tcBorders>
                    <w:left w:val="single" w:color="auto" w:sz="4" w:space="0"/>
                    <w:right w:val="single" w:color="auto" w:sz="4" w:space="0"/>
                  </w:tcBorders>
                  <w:vAlign w:val="top"/>
                </w:tcPr>
                <w:p w14:paraId="1B09F59D">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82" w:type="dxa"/>
                  <w:vMerge w:val="continue"/>
                  <w:tcBorders>
                    <w:left w:val="single" w:color="auto" w:sz="4" w:space="0"/>
                    <w:right w:val="single" w:color="auto" w:sz="4" w:space="0"/>
                  </w:tcBorders>
                  <w:vAlign w:val="top"/>
                </w:tcPr>
                <w:p w14:paraId="54AFCB76">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3D4508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796" w:type="dxa"/>
                  <w:vMerge w:val="continue"/>
                  <w:tcBorders>
                    <w:left w:val="single" w:color="auto" w:sz="4" w:space="0"/>
                    <w:right w:val="single" w:color="auto" w:sz="4" w:space="0"/>
                  </w:tcBorders>
                  <w:vAlign w:val="top"/>
                </w:tcPr>
                <w:p w14:paraId="1B129BF4">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49" w:type="dxa"/>
                  <w:tcBorders>
                    <w:top w:val="single" w:color="auto" w:sz="4" w:space="0"/>
                    <w:left w:val="single" w:color="auto" w:sz="4" w:space="0"/>
                    <w:bottom w:val="single" w:color="auto" w:sz="4" w:space="0"/>
                    <w:right w:val="single" w:color="auto" w:sz="4" w:space="0"/>
                  </w:tcBorders>
                  <w:vAlign w:val="top"/>
                </w:tcPr>
                <w:p w14:paraId="32EF32C2">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15:50</w:t>
                  </w:r>
                </w:p>
              </w:tc>
              <w:tc>
                <w:tcPr>
                  <w:tcW w:w="3948" w:type="dxa"/>
                  <w:gridSpan w:val="4"/>
                  <w:tcBorders>
                    <w:top w:val="single" w:color="auto" w:sz="4" w:space="0"/>
                    <w:left w:val="single" w:color="auto" w:sz="4" w:space="0"/>
                    <w:bottom w:val="single" w:color="auto" w:sz="4" w:space="0"/>
                    <w:right w:val="single" w:color="auto" w:sz="4" w:space="0"/>
                  </w:tcBorders>
                  <w:vAlign w:val="top"/>
                </w:tcPr>
                <w:p w14:paraId="0564BEAC">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1.00</w:t>
                  </w:r>
                </w:p>
              </w:tc>
              <w:tc>
                <w:tcPr>
                  <w:tcW w:w="1021" w:type="dxa"/>
                  <w:vMerge w:val="continue"/>
                  <w:tcBorders>
                    <w:left w:val="single" w:color="auto" w:sz="4" w:space="0"/>
                    <w:right w:val="single" w:color="auto" w:sz="4" w:space="0"/>
                  </w:tcBorders>
                  <w:vAlign w:val="top"/>
                </w:tcPr>
                <w:p w14:paraId="5D9058EA">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82" w:type="dxa"/>
                  <w:vMerge w:val="continue"/>
                  <w:tcBorders>
                    <w:left w:val="single" w:color="auto" w:sz="4" w:space="0"/>
                    <w:right w:val="single" w:color="auto" w:sz="4" w:space="0"/>
                  </w:tcBorders>
                  <w:vAlign w:val="top"/>
                </w:tcPr>
                <w:p w14:paraId="3FF65125">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3C3F36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796" w:type="dxa"/>
                  <w:vMerge w:val="continue"/>
                  <w:tcBorders>
                    <w:left w:val="single" w:color="auto" w:sz="4" w:space="0"/>
                    <w:right w:val="single" w:color="auto" w:sz="4" w:space="0"/>
                  </w:tcBorders>
                  <w:vAlign w:val="top"/>
                </w:tcPr>
                <w:p w14:paraId="14182C9A">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49" w:type="dxa"/>
                  <w:tcBorders>
                    <w:top w:val="single" w:color="auto" w:sz="4" w:space="0"/>
                    <w:left w:val="single" w:color="auto" w:sz="4" w:space="0"/>
                    <w:bottom w:val="single" w:color="auto" w:sz="4" w:space="0"/>
                    <w:right w:val="single" w:color="auto" w:sz="4" w:space="0"/>
                  </w:tcBorders>
                  <w:vAlign w:val="top"/>
                </w:tcPr>
                <w:p w14:paraId="4C3F5DDD">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16:50</w:t>
                  </w:r>
                </w:p>
              </w:tc>
              <w:tc>
                <w:tcPr>
                  <w:tcW w:w="3948" w:type="dxa"/>
                  <w:gridSpan w:val="4"/>
                  <w:tcBorders>
                    <w:top w:val="single" w:color="auto" w:sz="4" w:space="0"/>
                    <w:left w:val="single" w:color="auto" w:sz="4" w:space="0"/>
                    <w:bottom w:val="single" w:color="auto" w:sz="4" w:space="0"/>
                    <w:right w:val="single" w:color="auto" w:sz="4" w:space="0"/>
                  </w:tcBorders>
                  <w:vAlign w:val="top"/>
                </w:tcPr>
                <w:p w14:paraId="57A52DF1">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1.05</w:t>
                  </w:r>
                </w:p>
              </w:tc>
              <w:tc>
                <w:tcPr>
                  <w:tcW w:w="1021" w:type="dxa"/>
                  <w:vMerge w:val="continue"/>
                  <w:tcBorders>
                    <w:left w:val="single" w:color="auto" w:sz="4" w:space="0"/>
                    <w:right w:val="single" w:color="auto" w:sz="4" w:space="0"/>
                  </w:tcBorders>
                  <w:vAlign w:val="top"/>
                </w:tcPr>
                <w:p w14:paraId="4D62A55D">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82" w:type="dxa"/>
                  <w:vMerge w:val="continue"/>
                  <w:tcBorders>
                    <w:left w:val="single" w:color="auto" w:sz="4" w:space="0"/>
                    <w:right w:val="single" w:color="auto" w:sz="4" w:space="0"/>
                  </w:tcBorders>
                  <w:vAlign w:val="top"/>
                </w:tcPr>
                <w:p w14:paraId="50798926">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2D0D13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796" w:type="dxa"/>
                  <w:vMerge w:val="continue"/>
                  <w:tcBorders>
                    <w:left w:val="single" w:color="auto" w:sz="4" w:space="0"/>
                    <w:bottom w:val="single" w:color="auto" w:sz="4" w:space="0"/>
                    <w:right w:val="single" w:color="auto" w:sz="4" w:space="0"/>
                  </w:tcBorders>
                  <w:vAlign w:val="top"/>
                </w:tcPr>
                <w:p w14:paraId="768E1AA9">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49" w:type="dxa"/>
                  <w:tcBorders>
                    <w:top w:val="single" w:color="auto" w:sz="4" w:space="0"/>
                    <w:left w:val="single" w:color="auto" w:sz="4" w:space="0"/>
                    <w:bottom w:val="single" w:color="auto" w:sz="4" w:space="0"/>
                    <w:right w:val="single" w:color="auto" w:sz="4" w:space="0"/>
                  </w:tcBorders>
                  <w:shd w:val="clear" w:color="auto" w:fill="auto"/>
                  <w:vAlign w:val="top"/>
                </w:tcPr>
                <w:p w14:paraId="2E4364D1">
                  <w:pPr>
                    <w:widowControl/>
                    <w:jc w:val="center"/>
                    <w:textAlignment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17:50</w:t>
                  </w:r>
                </w:p>
              </w:tc>
              <w:tc>
                <w:tcPr>
                  <w:tcW w:w="3948" w:type="dxa"/>
                  <w:gridSpan w:val="4"/>
                  <w:tcBorders>
                    <w:top w:val="single" w:color="auto" w:sz="4" w:space="0"/>
                    <w:left w:val="single" w:color="auto" w:sz="4" w:space="0"/>
                    <w:bottom w:val="single" w:color="auto" w:sz="4" w:space="0"/>
                    <w:right w:val="single" w:color="auto" w:sz="4" w:space="0"/>
                  </w:tcBorders>
                  <w:shd w:val="clear" w:color="auto" w:fill="auto"/>
                  <w:vAlign w:val="top"/>
                </w:tcPr>
                <w:p w14:paraId="2885158E">
                  <w:pPr>
                    <w:widowControl/>
                    <w:jc w:val="center"/>
                    <w:textAlignment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1.05</w:t>
                  </w:r>
                </w:p>
              </w:tc>
              <w:tc>
                <w:tcPr>
                  <w:tcW w:w="1021" w:type="dxa"/>
                  <w:vMerge w:val="continue"/>
                  <w:tcBorders>
                    <w:left w:val="single" w:color="auto" w:sz="4" w:space="0"/>
                    <w:right w:val="single" w:color="auto" w:sz="4" w:space="0"/>
                  </w:tcBorders>
                  <w:shd w:val="clear" w:color="auto" w:fill="auto"/>
                  <w:vAlign w:val="top"/>
                </w:tcPr>
                <w:p w14:paraId="694E8457">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82" w:type="dxa"/>
                  <w:vMerge w:val="continue"/>
                  <w:tcBorders>
                    <w:left w:val="single" w:color="auto" w:sz="4" w:space="0"/>
                    <w:right w:val="single" w:color="auto" w:sz="4" w:space="0"/>
                  </w:tcBorders>
                  <w:shd w:val="clear" w:color="auto" w:fill="auto"/>
                  <w:vAlign w:val="top"/>
                </w:tcPr>
                <w:p w14:paraId="1E658CD1">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017F41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796" w:type="dxa"/>
                  <w:vMerge w:val="restart"/>
                  <w:tcBorders>
                    <w:top w:val="single" w:color="auto" w:sz="4" w:space="0"/>
                    <w:left w:val="single" w:color="auto" w:sz="4" w:space="0"/>
                    <w:bottom w:val="single" w:color="auto" w:sz="4" w:space="0"/>
                    <w:right w:val="single" w:color="auto" w:sz="4" w:space="0"/>
                  </w:tcBorders>
                  <w:vAlign w:val="top"/>
                </w:tcPr>
                <w:p w14:paraId="69FC583D">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G3</w:t>
                  </w:r>
                </w:p>
              </w:tc>
              <w:tc>
                <w:tcPr>
                  <w:tcW w:w="1149" w:type="dxa"/>
                  <w:tcBorders>
                    <w:top w:val="single" w:color="auto" w:sz="4" w:space="0"/>
                    <w:left w:val="single" w:color="auto" w:sz="4" w:space="0"/>
                    <w:bottom w:val="single" w:color="auto" w:sz="4" w:space="0"/>
                    <w:right w:val="single" w:color="auto" w:sz="4" w:space="0"/>
                  </w:tcBorders>
                  <w:shd w:val="clear" w:color="auto" w:fill="auto"/>
                  <w:vAlign w:val="top"/>
                </w:tcPr>
                <w:p w14:paraId="596AA639">
                  <w:pPr>
                    <w:widowControl/>
                    <w:jc w:val="center"/>
                    <w:textAlignment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15:00</w:t>
                  </w:r>
                </w:p>
              </w:tc>
              <w:tc>
                <w:tcPr>
                  <w:tcW w:w="3948" w:type="dxa"/>
                  <w:gridSpan w:val="4"/>
                  <w:tcBorders>
                    <w:top w:val="single" w:color="auto" w:sz="4" w:space="0"/>
                    <w:left w:val="single" w:color="auto" w:sz="4" w:space="0"/>
                    <w:bottom w:val="single" w:color="auto" w:sz="4" w:space="0"/>
                    <w:right w:val="single" w:color="auto" w:sz="4" w:space="0"/>
                  </w:tcBorders>
                  <w:shd w:val="clear" w:color="auto" w:fill="auto"/>
                  <w:vAlign w:val="top"/>
                </w:tcPr>
                <w:p w14:paraId="2B84E8CD">
                  <w:pPr>
                    <w:widowControl/>
                    <w:jc w:val="center"/>
                    <w:textAlignment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1.20</w:t>
                  </w:r>
                </w:p>
              </w:tc>
              <w:tc>
                <w:tcPr>
                  <w:tcW w:w="1021" w:type="dxa"/>
                  <w:vMerge w:val="continue"/>
                  <w:tcBorders>
                    <w:left w:val="single" w:color="auto" w:sz="4" w:space="0"/>
                    <w:right w:val="single" w:color="auto" w:sz="4" w:space="0"/>
                  </w:tcBorders>
                  <w:shd w:val="clear" w:color="auto" w:fill="auto"/>
                  <w:vAlign w:val="top"/>
                </w:tcPr>
                <w:p w14:paraId="7103C154">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82" w:type="dxa"/>
                  <w:vMerge w:val="continue"/>
                  <w:tcBorders>
                    <w:left w:val="single" w:color="auto" w:sz="4" w:space="0"/>
                    <w:right w:val="single" w:color="auto" w:sz="4" w:space="0"/>
                  </w:tcBorders>
                  <w:shd w:val="clear" w:color="auto" w:fill="auto"/>
                  <w:vAlign w:val="top"/>
                </w:tcPr>
                <w:p w14:paraId="4E38A91B">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1DA6B1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796" w:type="dxa"/>
                  <w:vMerge w:val="continue"/>
                  <w:tcBorders>
                    <w:top w:val="single" w:color="auto" w:sz="4" w:space="0"/>
                    <w:left w:val="single" w:color="auto" w:sz="4" w:space="0"/>
                    <w:bottom w:val="single" w:color="auto" w:sz="4" w:space="0"/>
                    <w:right w:val="single" w:color="auto" w:sz="4" w:space="0"/>
                  </w:tcBorders>
                  <w:vAlign w:val="top"/>
                </w:tcPr>
                <w:p w14:paraId="16A298CD">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49" w:type="dxa"/>
                  <w:tcBorders>
                    <w:top w:val="single" w:color="auto" w:sz="4" w:space="0"/>
                    <w:left w:val="single" w:color="auto" w:sz="4" w:space="0"/>
                    <w:bottom w:val="single" w:color="auto" w:sz="4" w:space="0"/>
                    <w:right w:val="single" w:color="auto" w:sz="4" w:space="0"/>
                  </w:tcBorders>
                  <w:shd w:val="clear" w:color="auto" w:fill="auto"/>
                  <w:vAlign w:val="top"/>
                </w:tcPr>
                <w:p w14:paraId="10815EA7">
                  <w:pPr>
                    <w:widowControl/>
                    <w:jc w:val="center"/>
                    <w:textAlignment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16:00</w:t>
                  </w:r>
                </w:p>
              </w:tc>
              <w:tc>
                <w:tcPr>
                  <w:tcW w:w="3948" w:type="dxa"/>
                  <w:gridSpan w:val="4"/>
                  <w:tcBorders>
                    <w:top w:val="single" w:color="auto" w:sz="4" w:space="0"/>
                    <w:left w:val="single" w:color="auto" w:sz="4" w:space="0"/>
                    <w:bottom w:val="single" w:color="auto" w:sz="4" w:space="0"/>
                    <w:right w:val="single" w:color="auto" w:sz="4" w:space="0"/>
                  </w:tcBorders>
                  <w:shd w:val="clear" w:color="auto" w:fill="auto"/>
                  <w:vAlign w:val="top"/>
                </w:tcPr>
                <w:p w14:paraId="357E5A3E">
                  <w:pPr>
                    <w:widowControl/>
                    <w:jc w:val="center"/>
                    <w:textAlignment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1.20</w:t>
                  </w:r>
                </w:p>
              </w:tc>
              <w:tc>
                <w:tcPr>
                  <w:tcW w:w="1021" w:type="dxa"/>
                  <w:vMerge w:val="continue"/>
                  <w:tcBorders>
                    <w:left w:val="single" w:color="auto" w:sz="4" w:space="0"/>
                    <w:right w:val="single" w:color="auto" w:sz="4" w:space="0"/>
                  </w:tcBorders>
                  <w:shd w:val="clear" w:color="auto" w:fill="auto"/>
                  <w:vAlign w:val="top"/>
                </w:tcPr>
                <w:p w14:paraId="4B2312D4">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82" w:type="dxa"/>
                  <w:vMerge w:val="continue"/>
                  <w:tcBorders>
                    <w:left w:val="single" w:color="auto" w:sz="4" w:space="0"/>
                    <w:right w:val="single" w:color="auto" w:sz="4" w:space="0"/>
                  </w:tcBorders>
                  <w:shd w:val="clear" w:color="auto" w:fill="auto"/>
                  <w:vAlign w:val="top"/>
                </w:tcPr>
                <w:p w14:paraId="172E6100">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730185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796" w:type="dxa"/>
                  <w:vMerge w:val="continue"/>
                  <w:tcBorders>
                    <w:top w:val="single" w:color="auto" w:sz="4" w:space="0"/>
                    <w:left w:val="single" w:color="auto" w:sz="4" w:space="0"/>
                    <w:bottom w:val="single" w:color="auto" w:sz="4" w:space="0"/>
                    <w:right w:val="single" w:color="auto" w:sz="4" w:space="0"/>
                  </w:tcBorders>
                  <w:vAlign w:val="top"/>
                </w:tcPr>
                <w:p w14:paraId="2A025841">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49" w:type="dxa"/>
                  <w:tcBorders>
                    <w:top w:val="single" w:color="auto" w:sz="4" w:space="0"/>
                    <w:left w:val="single" w:color="auto" w:sz="4" w:space="0"/>
                    <w:bottom w:val="single" w:color="auto" w:sz="4" w:space="0"/>
                    <w:right w:val="single" w:color="auto" w:sz="4" w:space="0"/>
                  </w:tcBorders>
                  <w:shd w:val="clear" w:color="auto" w:fill="auto"/>
                  <w:vAlign w:val="top"/>
                </w:tcPr>
                <w:p w14:paraId="04924DFD">
                  <w:pPr>
                    <w:widowControl/>
                    <w:jc w:val="center"/>
                    <w:textAlignment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17:00</w:t>
                  </w:r>
                </w:p>
              </w:tc>
              <w:tc>
                <w:tcPr>
                  <w:tcW w:w="3948" w:type="dxa"/>
                  <w:gridSpan w:val="4"/>
                  <w:tcBorders>
                    <w:top w:val="single" w:color="auto" w:sz="4" w:space="0"/>
                    <w:left w:val="single" w:color="auto" w:sz="4" w:space="0"/>
                    <w:bottom w:val="single" w:color="auto" w:sz="4" w:space="0"/>
                    <w:right w:val="single" w:color="auto" w:sz="4" w:space="0"/>
                  </w:tcBorders>
                  <w:shd w:val="clear" w:color="auto" w:fill="auto"/>
                  <w:vAlign w:val="top"/>
                </w:tcPr>
                <w:p w14:paraId="45A67275">
                  <w:pPr>
                    <w:widowControl/>
                    <w:jc w:val="center"/>
                    <w:textAlignment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1.26</w:t>
                  </w:r>
                </w:p>
              </w:tc>
              <w:tc>
                <w:tcPr>
                  <w:tcW w:w="1021" w:type="dxa"/>
                  <w:vMerge w:val="continue"/>
                  <w:tcBorders>
                    <w:left w:val="single" w:color="auto" w:sz="4" w:space="0"/>
                    <w:right w:val="single" w:color="auto" w:sz="4" w:space="0"/>
                  </w:tcBorders>
                  <w:shd w:val="clear" w:color="auto" w:fill="auto"/>
                  <w:vAlign w:val="top"/>
                </w:tcPr>
                <w:p w14:paraId="51E638C7">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82" w:type="dxa"/>
                  <w:vMerge w:val="continue"/>
                  <w:tcBorders>
                    <w:left w:val="single" w:color="auto" w:sz="4" w:space="0"/>
                    <w:right w:val="single" w:color="auto" w:sz="4" w:space="0"/>
                  </w:tcBorders>
                  <w:shd w:val="clear" w:color="auto" w:fill="auto"/>
                  <w:vAlign w:val="top"/>
                </w:tcPr>
                <w:p w14:paraId="0DDDF3E4">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1C541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796" w:type="dxa"/>
                  <w:vMerge w:val="continue"/>
                  <w:tcBorders>
                    <w:top w:val="single" w:color="auto" w:sz="4" w:space="0"/>
                    <w:left w:val="single" w:color="auto" w:sz="4" w:space="0"/>
                    <w:bottom w:val="single" w:color="auto" w:sz="4" w:space="0"/>
                    <w:right w:val="single" w:color="auto" w:sz="4" w:space="0"/>
                  </w:tcBorders>
                  <w:vAlign w:val="top"/>
                </w:tcPr>
                <w:p w14:paraId="420F5577">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49" w:type="dxa"/>
                  <w:tcBorders>
                    <w:top w:val="single" w:color="auto" w:sz="4" w:space="0"/>
                    <w:left w:val="single" w:color="auto" w:sz="4" w:space="0"/>
                    <w:bottom w:val="single" w:color="auto" w:sz="4" w:space="0"/>
                    <w:right w:val="single" w:color="auto" w:sz="4" w:space="0"/>
                  </w:tcBorders>
                  <w:shd w:val="clear" w:color="auto" w:fill="auto"/>
                  <w:vAlign w:val="top"/>
                </w:tcPr>
                <w:p w14:paraId="61C81116">
                  <w:pPr>
                    <w:widowControl/>
                    <w:jc w:val="center"/>
                    <w:textAlignment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18:00</w:t>
                  </w:r>
                </w:p>
              </w:tc>
              <w:tc>
                <w:tcPr>
                  <w:tcW w:w="3948" w:type="dxa"/>
                  <w:gridSpan w:val="4"/>
                  <w:tcBorders>
                    <w:top w:val="single" w:color="auto" w:sz="4" w:space="0"/>
                    <w:left w:val="single" w:color="auto" w:sz="4" w:space="0"/>
                    <w:bottom w:val="single" w:color="auto" w:sz="4" w:space="0"/>
                    <w:right w:val="single" w:color="auto" w:sz="4" w:space="0"/>
                  </w:tcBorders>
                  <w:shd w:val="clear" w:color="auto" w:fill="auto"/>
                  <w:vAlign w:val="top"/>
                </w:tcPr>
                <w:p w14:paraId="104E353D">
                  <w:pPr>
                    <w:widowControl/>
                    <w:jc w:val="center"/>
                    <w:textAlignment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1.27</w:t>
                  </w:r>
                </w:p>
              </w:tc>
              <w:tc>
                <w:tcPr>
                  <w:tcW w:w="1021" w:type="dxa"/>
                  <w:vMerge w:val="continue"/>
                  <w:tcBorders>
                    <w:left w:val="single" w:color="auto" w:sz="4" w:space="0"/>
                    <w:right w:val="single" w:color="auto" w:sz="4" w:space="0"/>
                  </w:tcBorders>
                  <w:shd w:val="clear" w:color="auto" w:fill="auto"/>
                  <w:vAlign w:val="top"/>
                </w:tcPr>
                <w:p w14:paraId="60E96093">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82" w:type="dxa"/>
                  <w:vMerge w:val="continue"/>
                  <w:tcBorders>
                    <w:left w:val="single" w:color="auto" w:sz="4" w:space="0"/>
                    <w:right w:val="single" w:color="auto" w:sz="4" w:space="0"/>
                  </w:tcBorders>
                  <w:shd w:val="clear" w:color="auto" w:fill="auto"/>
                  <w:vAlign w:val="top"/>
                </w:tcPr>
                <w:p w14:paraId="4DF87379">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2860F9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796" w:type="dxa"/>
                  <w:vMerge w:val="restart"/>
                  <w:tcBorders>
                    <w:top w:val="single" w:color="auto" w:sz="4" w:space="0"/>
                    <w:left w:val="single" w:color="auto" w:sz="4" w:space="0"/>
                    <w:bottom w:val="single" w:color="auto" w:sz="4" w:space="0"/>
                    <w:right w:val="single" w:color="auto" w:sz="4" w:space="0"/>
                  </w:tcBorders>
                  <w:vAlign w:val="top"/>
                </w:tcPr>
                <w:p w14:paraId="59363E9E">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G4.</w:t>
                  </w:r>
                </w:p>
              </w:tc>
              <w:tc>
                <w:tcPr>
                  <w:tcW w:w="1149" w:type="dxa"/>
                  <w:tcBorders>
                    <w:top w:val="single" w:color="auto" w:sz="4" w:space="0"/>
                    <w:left w:val="single" w:color="auto" w:sz="4" w:space="0"/>
                    <w:bottom w:val="single" w:color="auto" w:sz="4" w:space="0"/>
                    <w:right w:val="single" w:color="auto" w:sz="4" w:space="0"/>
                  </w:tcBorders>
                  <w:shd w:val="clear" w:color="auto" w:fill="auto"/>
                  <w:vAlign w:val="top"/>
                </w:tcPr>
                <w:p w14:paraId="7A7ED5ED">
                  <w:pPr>
                    <w:widowControl/>
                    <w:jc w:val="center"/>
                    <w:textAlignment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15:05</w:t>
                  </w:r>
                </w:p>
              </w:tc>
              <w:tc>
                <w:tcPr>
                  <w:tcW w:w="3948" w:type="dxa"/>
                  <w:gridSpan w:val="4"/>
                  <w:tcBorders>
                    <w:top w:val="single" w:color="auto" w:sz="4" w:space="0"/>
                    <w:left w:val="single" w:color="auto" w:sz="4" w:space="0"/>
                    <w:bottom w:val="single" w:color="auto" w:sz="4" w:space="0"/>
                    <w:right w:val="single" w:color="auto" w:sz="4" w:space="0"/>
                  </w:tcBorders>
                  <w:shd w:val="clear" w:color="auto" w:fill="auto"/>
                  <w:vAlign w:val="top"/>
                </w:tcPr>
                <w:p w14:paraId="16CD3CA1">
                  <w:pPr>
                    <w:widowControl/>
                    <w:jc w:val="center"/>
                    <w:textAlignment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1.04</w:t>
                  </w:r>
                </w:p>
              </w:tc>
              <w:tc>
                <w:tcPr>
                  <w:tcW w:w="1021" w:type="dxa"/>
                  <w:vMerge w:val="continue"/>
                  <w:tcBorders>
                    <w:left w:val="single" w:color="auto" w:sz="4" w:space="0"/>
                    <w:right w:val="single" w:color="auto" w:sz="4" w:space="0"/>
                  </w:tcBorders>
                  <w:shd w:val="clear" w:color="auto" w:fill="auto"/>
                  <w:vAlign w:val="top"/>
                </w:tcPr>
                <w:p w14:paraId="24533A1A">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82" w:type="dxa"/>
                  <w:vMerge w:val="continue"/>
                  <w:tcBorders>
                    <w:left w:val="single" w:color="auto" w:sz="4" w:space="0"/>
                    <w:right w:val="single" w:color="auto" w:sz="4" w:space="0"/>
                  </w:tcBorders>
                  <w:shd w:val="clear" w:color="auto" w:fill="auto"/>
                  <w:vAlign w:val="top"/>
                </w:tcPr>
                <w:p w14:paraId="77A3720D">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1F206B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796" w:type="dxa"/>
                  <w:vMerge w:val="continue"/>
                  <w:tcBorders>
                    <w:top w:val="single" w:color="auto" w:sz="4" w:space="0"/>
                    <w:left w:val="single" w:color="auto" w:sz="4" w:space="0"/>
                    <w:bottom w:val="single" w:color="auto" w:sz="4" w:space="0"/>
                    <w:right w:val="single" w:color="auto" w:sz="4" w:space="0"/>
                  </w:tcBorders>
                  <w:vAlign w:val="top"/>
                </w:tcPr>
                <w:p w14:paraId="1C453C46">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49" w:type="dxa"/>
                  <w:tcBorders>
                    <w:top w:val="single" w:color="auto" w:sz="4" w:space="0"/>
                    <w:left w:val="single" w:color="auto" w:sz="4" w:space="0"/>
                    <w:bottom w:val="single" w:color="auto" w:sz="4" w:space="0"/>
                    <w:right w:val="single" w:color="auto" w:sz="4" w:space="0"/>
                  </w:tcBorders>
                  <w:shd w:val="clear" w:color="auto" w:fill="auto"/>
                  <w:vAlign w:val="top"/>
                </w:tcPr>
                <w:p w14:paraId="4EF57DD5">
                  <w:pPr>
                    <w:widowControl/>
                    <w:jc w:val="center"/>
                    <w:textAlignment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16:05</w:t>
                  </w:r>
                </w:p>
              </w:tc>
              <w:tc>
                <w:tcPr>
                  <w:tcW w:w="3948" w:type="dxa"/>
                  <w:gridSpan w:val="4"/>
                  <w:tcBorders>
                    <w:top w:val="single" w:color="auto" w:sz="4" w:space="0"/>
                    <w:left w:val="single" w:color="auto" w:sz="4" w:space="0"/>
                    <w:bottom w:val="single" w:color="auto" w:sz="4" w:space="0"/>
                    <w:right w:val="single" w:color="auto" w:sz="4" w:space="0"/>
                  </w:tcBorders>
                  <w:shd w:val="clear" w:color="auto" w:fill="auto"/>
                  <w:vAlign w:val="top"/>
                </w:tcPr>
                <w:p w14:paraId="40573376">
                  <w:pPr>
                    <w:widowControl/>
                    <w:jc w:val="center"/>
                    <w:textAlignment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1.06</w:t>
                  </w:r>
                </w:p>
              </w:tc>
              <w:tc>
                <w:tcPr>
                  <w:tcW w:w="1021" w:type="dxa"/>
                  <w:vMerge w:val="continue"/>
                  <w:tcBorders>
                    <w:left w:val="single" w:color="auto" w:sz="4" w:space="0"/>
                    <w:right w:val="single" w:color="auto" w:sz="4" w:space="0"/>
                  </w:tcBorders>
                  <w:shd w:val="clear" w:color="auto" w:fill="auto"/>
                  <w:vAlign w:val="top"/>
                </w:tcPr>
                <w:p w14:paraId="2875A4C6">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82" w:type="dxa"/>
                  <w:vMerge w:val="continue"/>
                  <w:tcBorders>
                    <w:left w:val="single" w:color="auto" w:sz="4" w:space="0"/>
                    <w:right w:val="single" w:color="auto" w:sz="4" w:space="0"/>
                  </w:tcBorders>
                  <w:shd w:val="clear" w:color="auto" w:fill="auto"/>
                  <w:vAlign w:val="top"/>
                </w:tcPr>
                <w:p w14:paraId="387D3AC6">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1120D9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796" w:type="dxa"/>
                  <w:vMerge w:val="continue"/>
                  <w:tcBorders>
                    <w:top w:val="single" w:color="auto" w:sz="4" w:space="0"/>
                    <w:left w:val="single" w:color="auto" w:sz="4" w:space="0"/>
                    <w:bottom w:val="single" w:color="auto" w:sz="4" w:space="0"/>
                    <w:right w:val="single" w:color="auto" w:sz="4" w:space="0"/>
                  </w:tcBorders>
                  <w:vAlign w:val="top"/>
                </w:tcPr>
                <w:p w14:paraId="15074493">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49" w:type="dxa"/>
                  <w:tcBorders>
                    <w:top w:val="single" w:color="auto" w:sz="4" w:space="0"/>
                    <w:left w:val="single" w:color="auto" w:sz="4" w:space="0"/>
                    <w:bottom w:val="single" w:color="auto" w:sz="4" w:space="0"/>
                    <w:right w:val="single" w:color="auto" w:sz="4" w:space="0"/>
                  </w:tcBorders>
                  <w:shd w:val="clear" w:color="auto" w:fill="auto"/>
                  <w:vAlign w:val="top"/>
                </w:tcPr>
                <w:p w14:paraId="532B9895">
                  <w:pPr>
                    <w:widowControl/>
                    <w:jc w:val="center"/>
                    <w:textAlignment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17:05</w:t>
                  </w:r>
                </w:p>
              </w:tc>
              <w:tc>
                <w:tcPr>
                  <w:tcW w:w="3948" w:type="dxa"/>
                  <w:gridSpan w:val="4"/>
                  <w:tcBorders>
                    <w:top w:val="single" w:color="auto" w:sz="4" w:space="0"/>
                    <w:left w:val="single" w:color="auto" w:sz="4" w:space="0"/>
                    <w:bottom w:val="single" w:color="auto" w:sz="4" w:space="0"/>
                    <w:right w:val="single" w:color="auto" w:sz="4" w:space="0"/>
                  </w:tcBorders>
                  <w:shd w:val="clear" w:color="auto" w:fill="auto"/>
                  <w:vAlign w:val="top"/>
                </w:tcPr>
                <w:p w14:paraId="71AC5BF3">
                  <w:pPr>
                    <w:widowControl/>
                    <w:jc w:val="center"/>
                    <w:textAlignment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1.08</w:t>
                  </w:r>
                </w:p>
              </w:tc>
              <w:tc>
                <w:tcPr>
                  <w:tcW w:w="1021" w:type="dxa"/>
                  <w:vMerge w:val="continue"/>
                  <w:tcBorders>
                    <w:left w:val="single" w:color="auto" w:sz="4" w:space="0"/>
                    <w:right w:val="single" w:color="auto" w:sz="4" w:space="0"/>
                  </w:tcBorders>
                  <w:shd w:val="clear" w:color="auto" w:fill="auto"/>
                  <w:vAlign w:val="top"/>
                </w:tcPr>
                <w:p w14:paraId="75E056AD">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82" w:type="dxa"/>
                  <w:vMerge w:val="continue"/>
                  <w:tcBorders>
                    <w:left w:val="single" w:color="auto" w:sz="4" w:space="0"/>
                    <w:right w:val="single" w:color="auto" w:sz="4" w:space="0"/>
                  </w:tcBorders>
                  <w:shd w:val="clear" w:color="auto" w:fill="auto"/>
                  <w:vAlign w:val="top"/>
                </w:tcPr>
                <w:p w14:paraId="0A0F74CB">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75E52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796" w:type="dxa"/>
                  <w:vMerge w:val="continue"/>
                  <w:tcBorders>
                    <w:top w:val="single" w:color="auto" w:sz="4" w:space="0"/>
                    <w:left w:val="single" w:color="auto" w:sz="4" w:space="0"/>
                    <w:bottom w:val="single" w:color="auto" w:sz="4" w:space="0"/>
                    <w:right w:val="single" w:color="auto" w:sz="4" w:space="0"/>
                  </w:tcBorders>
                  <w:vAlign w:val="top"/>
                </w:tcPr>
                <w:p w14:paraId="62DB29BB">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49" w:type="dxa"/>
                  <w:tcBorders>
                    <w:top w:val="single" w:color="auto" w:sz="4" w:space="0"/>
                    <w:left w:val="single" w:color="auto" w:sz="4" w:space="0"/>
                    <w:bottom w:val="single" w:color="auto" w:sz="4" w:space="0"/>
                    <w:right w:val="single" w:color="auto" w:sz="4" w:space="0"/>
                  </w:tcBorders>
                  <w:shd w:val="clear" w:color="auto" w:fill="auto"/>
                  <w:vAlign w:val="top"/>
                </w:tcPr>
                <w:p w14:paraId="0159A248">
                  <w:pPr>
                    <w:widowControl/>
                    <w:jc w:val="center"/>
                    <w:textAlignment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18:05</w:t>
                  </w:r>
                </w:p>
              </w:tc>
              <w:tc>
                <w:tcPr>
                  <w:tcW w:w="3948" w:type="dxa"/>
                  <w:gridSpan w:val="4"/>
                  <w:tcBorders>
                    <w:top w:val="single" w:color="auto" w:sz="4" w:space="0"/>
                    <w:left w:val="single" w:color="auto" w:sz="4" w:space="0"/>
                    <w:bottom w:val="single" w:color="auto" w:sz="4" w:space="0"/>
                    <w:right w:val="single" w:color="auto" w:sz="4" w:space="0"/>
                  </w:tcBorders>
                  <w:shd w:val="clear" w:color="auto" w:fill="auto"/>
                  <w:vAlign w:val="top"/>
                </w:tcPr>
                <w:p w14:paraId="2BC6A705">
                  <w:pPr>
                    <w:widowControl/>
                    <w:jc w:val="center"/>
                    <w:textAlignment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1.06</w:t>
                  </w:r>
                </w:p>
              </w:tc>
              <w:tc>
                <w:tcPr>
                  <w:tcW w:w="1021" w:type="dxa"/>
                  <w:vMerge w:val="continue"/>
                  <w:tcBorders>
                    <w:left w:val="single" w:color="auto" w:sz="4" w:space="0"/>
                    <w:right w:val="single" w:color="auto" w:sz="4" w:space="0"/>
                  </w:tcBorders>
                  <w:shd w:val="clear" w:color="auto" w:fill="auto"/>
                  <w:vAlign w:val="top"/>
                </w:tcPr>
                <w:p w14:paraId="6920FDD8">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82" w:type="dxa"/>
                  <w:vMerge w:val="continue"/>
                  <w:tcBorders>
                    <w:left w:val="single" w:color="auto" w:sz="4" w:space="0"/>
                    <w:right w:val="single" w:color="auto" w:sz="4" w:space="0"/>
                  </w:tcBorders>
                  <w:shd w:val="clear" w:color="auto" w:fill="auto"/>
                  <w:vAlign w:val="top"/>
                </w:tcPr>
                <w:p w14:paraId="4A4059F8">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6E9B3B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796" w:type="dxa"/>
                  <w:vMerge w:val="restart"/>
                  <w:tcBorders>
                    <w:top w:val="single" w:color="auto" w:sz="4" w:space="0"/>
                    <w:left w:val="single" w:color="auto" w:sz="4" w:space="0"/>
                    <w:bottom w:val="single" w:color="auto" w:sz="4" w:space="0"/>
                    <w:right w:val="single" w:color="auto" w:sz="4" w:space="0"/>
                  </w:tcBorders>
                  <w:vAlign w:val="top"/>
                </w:tcPr>
                <w:p w14:paraId="530D0949">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G5</w:t>
                  </w:r>
                </w:p>
              </w:tc>
              <w:tc>
                <w:tcPr>
                  <w:tcW w:w="1149" w:type="dxa"/>
                  <w:tcBorders>
                    <w:top w:val="single" w:color="auto" w:sz="4" w:space="0"/>
                    <w:left w:val="single" w:color="auto" w:sz="4" w:space="0"/>
                    <w:bottom w:val="single" w:color="auto" w:sz="4" w:space="0"/>
                    <w:right w:val="single" w:color="auto" w:sz="4" w:space="0"/>
                  </w:tcBorders>
                  <w:shd w:val="clear" w:color="auto" w:fill="auto"/>
                  <w:vAlign w:val="top"/>
                </w:tcPr>
                <w:p w14:paraId="04023705">
                  <w:pPr>
                    <w:widowControl/>
                    <w:jc w:val="center"/>
                    <w:textAlignment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15:13</w:t>
                  </w:r>
                </w:p>
              </w:tc>
              <w:tc>
                <w:tcPr>
                  <w:tcW w:w="3948" w:type="dxa"/>
                  <w:gridSpan w:val="4"/>
                  <w:tcBorders>
                    <w:top w:val="single" w:color="auto" w:sz="4" w:space="0"/>
                    <w:left w:val="single" w:color="auto" w:sz="4" w:space="0"/>
                    <w:bottom w:val="single" w:color="auto" w:sz="4" w:space="0"/>
                    <w:right w:val="single" w:color="auto" w:sz="4" w:space="0"/>
                  </w:tcBorders>
                  <w:shd w:val="clear" w:color="auto" w:fill="auto"/>
                  <w:vAlign w:val="top"/>
                </w:tcPr>
                <w:p w14:paraId="03B35E65">
                  <w:pPr>
                    <w:widowControl/>
                    <w:jc w:val="center"/>
                    <w:textAlignment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1.55</w:t>
                  </w:r>
                </w:p>
              </w:tc>
              <w:tc>
                <w:tcPr>
                  <w:tcW w:w="1021" w:type="dxa"/>
                  <w:vMerge w:val="continue"/>
                  <w:tcBorders>
                    <w:left w:val="single" w:color="auto" w:sz="4" w:space="0"/>
                    <w:right w:val="single" w:color="auto" w:sz="4" w:space="0"/>
                  </w:tcBorders>
                  <w:shd w:val="clear" w:color="auto" w:fill="auto"/>
                  <w:vAlign w:val="top"/>
                </w:tcPr>
                <w:p w14:paraId="2FFFD14A">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82" w:type="dxa"/>
                  <w:vMerge w:val="continue"/>
                  <w:tcBorders>
                    <w:left w:val="single" w:color="auto" w:sz="4" w:space="0"/>
                    <w:right w:val="single" w:color="auto" w:sz="4" w:space="0"/>
                  </w:tcBorders>
                  <w:shd w:val="clear" w:color="auto" w:fill="auto"/>
                  <w:vAlign w:val="top"/>
                </w:tcPr>
                <w:p w14:paraId="08492474">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47F4DD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796" w:type="dxa"/>
                  <w:vMerge w:val="continue"/>
                  <w:tcBorders>
                    <w:top w:val="single" w:color="auto" w:sz="4" w:space="0"/>
                    <w:left w:val="single" w:color="auto" w:sz="4" w:space="0"/>
                    <w:bottom w:val="single" w:color="auto" w:sz="4" w:space="0"/>
                    <w:right w:val="single" w:color="auto" w:sz="4" w:space="0"/>
                  </w:tcBorders>
                  <w:vAlign w:val="top"/>
                </w:tcPr>
                <w:p w14:paraId="06C40F09">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49" w:type="dxa"/>
                  <w:tcBorders>
                    <w:top w:val="single" w:color="auto" w:sz="4" w:space="0"/>
                    <w:left w:val="single" w:color="auto" w:sz="4" w:space="0"/>
                    <w:bottom w:val="single" w:color="auto" w:sz="4" w:space="0"/>
                    <w:right w:val="single" w:color="auto" w:sz="4" w:space="0"/>
                  </w:tcBorders>
                  <w:shd w:val="clear" w:color="auto" w:fill="auto"/>
                  <w:vAlign w:val="top"/>
                </w:tcPr>
                <w:p w14:paraId="21AB43C1">
                  <w:pPr>
                    <w:widowControl/>
                    <w:jc w:val="center"/>
                    <w:textAlignment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16:13</w:t>
                  </w:r>
                </w:p>
              </w:tc>
              <w:tc>
                <w:tcPr>
                  <w:tcW w:w="3948" w:type="dxa"/>
                  <w:gridSpan w:val="4"/>
                  <w:tcBorders>
                    <w:top w:val="single" w:color="auto" w:sz="4" w:space="0"/>
                    <w:left w:val="single" w:color="auto" w:sz="4" w:space="0"/>
                    <w:bottom w:val="single" w:color="auto" w:sz="4" w:space="0"/>
                    <w:right w:val="single" w:color="auto" w:sz="4" w:space="0"/>
                  </w:tcBorders>
                  <w:vAlign w:val="top"/>
                </w:tcPr>
                <w:p w14:paraId="1733D8BE">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1.53</w:t>
                  </w:r>
                </w:p>
              </w:tc>
              <w:tc>
                <w:tcPr>
                  <w:tcW w:w="1021" w:type="dxa"/>
                  <w:vMerge w:val="continue"/>
                  <w:tcBorders>
                    <w:left w:val="single" w:color="auto" w:sz="4" w:space="0"/>
                    <w:right w:val="single" w:color="auto" w:sz="4" w:space="0"/>
                  </w:tcBorders>
                  <w:vAlign w:val="top"/>
                </w:tcPr>
                <w:p w14:paraId="5E84326C">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82" w:type="dxa"/>
                  <w:vMerge w:val="continue"/>
                  <w:tcBorders>
                    <w:left w:val="single" w:color="auto" w:sz="4" w:space="0"/>
                    <w:right w:val="single" w:color="auto" w:sz="4" w:space="0"/>
                  </w:tcBorders>
                  <w:vAlign w:val="top"/>
                </w:tcPr>
                <w:p w14:paraId="32258DAE">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3CA057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796" w:type="dxa"/>
                  <w:vMerge w:val="continue"/>
                  <w:tcBorders>
                    <w:top w:val="single" w:color="auto" w:sz="4" w:space="0"/>
                    <w:left w:val="single" w:color="auto" w:sz="4" w:space="0"/>
                    <w:bottom w:val="single" w:color="auto" w:sz="4" w:space="0"/>
                    <w:right w:val="single" w:color="auto" w:sz="4" w:space="0"/>
                  </w:tcBorders>
                  <w:vAlign w:val="top"/>
                </w:tcPr>
                <w:p w14:paraId="52D82ADB">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49" w:type="dxa"/>
                  <w:tcBorders>
                    <w:top w:val="single" w:color="auto" w:sz="4" w:space="0"/>
                    <w:left w:val="single" w:color="auto" w:sz="4" w:space="0"/>
                    <w:bottom w:val="single" w:color="auto" w:sz="4" w:space="0"/>
                    <w:right w:val="single" w:color="auto" w:sz="4" w:space="0"/>
                  </w:tcBorders>
                  <w:shd w:val="clear" w:color="auto" w:fill="auto"/>
                  <w:vAlign w:val="top"/>
                </w:tcPr>
                <w:p w14:paraId="1A3A6D1D">
                  <w:pPr>
                    <w:widowControl/>
                    <w:jc w:val="center"/>
                    <w:textAlignment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17:13</w:t>
                  </w:r>
                </w:p>
              </w:tc>
              <w:tc>
                <w:tcPr>
                  <w:tcW w:w="3948" w:type="dxa"/>
                  <w:gridSpan w:val="4"/>
                  <w:tcBorders>
                    <w:top w:val="single" w:color="auto" w:sz="4" w:space="0"/>
                    <w:left w:val="single" w:color="auto" w:sz="4" w:space="0"/>
                    <w:bottom w:val="single" w:color="auto" w:sz="4" w:space="0"/>
                    <w:right w:val="single" w:color="auto" w:sz="4" w:space="0"/>
                  </w:tcBorders>
                  <w:shd w:val="clear" w:color="auto" w:fill="auto"/>
                  <w:vAlign w:val="top"/>
                </w:tcPr>
                <w:p w14:paraId="24DCA241">
                  <w:pPr>
                    <w:widowControl/>
                    <w:jc w:val="center"/>
                    <w:textAlignment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1.53</w:t>
                  </w:r>
                </w:p>
              </w:tc>
              <w:tc>
                <w:tcPr>
                  <w:tcW w:w="1021" w:type="dxa"/>
                  <w:vMerge w:val="continue"/>
                  <w:tcBorders>
                    <w:left w:val="single" w:color="auto" w:sz="4" w:space="0"/>
                    <w:right w:val="single" w:color="auto" w:sz="4" w:space="0"/>
                  </w:tcBorders>
                  <w:shd w:val="clear" w:color="auto" w:fill="auto"/>
                  <w:vAlign w:val="top"/>
                </w:tcPr>
                <w:p w14:paraId="44FAC98E">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82" w:type="dxa"/>
                  <w:vMerge w:val="continue"/>
                  <w:tcBorders>
                    <w:left w:val="single" w:color="auto" w:sz="4" w:space="0"/>
                    <w:right w:val="single" w:color="auto" w:sz="4" w:space="0"/>
                  </w:tcBorders>
                  <w:shd w:val="clear" w:color="auto" w:fill="auto"/>
                  <w:vAlign w:val="top"/>
                </w:tcPr>
                <w:p w14:paraId="54A4D5B4">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2D0251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96" w:type="dxa"/>
                  <w:vMerge w:val="continue"/>
                  <w:tcBorders>
                    <w:top w:val="single" w:color="auto" w:sz="4" w:space="0"/>
                    <w:left w:val="single" w:color="auto" w:sz="4" w:space="0"/>
                    <w:bottom w:val="single" w:color="auto" w:sz="4" w:space="0"/>
                    <w:right w:val="single" w:color="auto" w:sz="4" w:space="0"/>
                  </w:tcBorders>
                  <w:vAlign w:val="top"/>
                </w:tcPr>
                <w:p w14:paraId="4C2E8412">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49" w:type="dxa"/>
                  <w:tcBorders>
                    <w:top w:val="single" w:color="auto" w:sz="4" w:space="0"/>
                    <w:left w:val="single" w:color="auto" w:sz="4" w:space="0"/>
                    <w:bottom w:val="single" w:color="auto" w:sz="4" w:space="0"/>
                    <w:right w:val="single" w:color="auto" w:sz="4" w:space="0"/>
                  </w:tcBorders>
                  <w:shd w:val="clear" w:color="auto" w:fill="auto"/>
                  <w:vAlign w:val="top"/>
                </w:tcPr>
                <w:p w14:paraId="193AC92F">
                  <w:pPr>
                    <w:widowControl/>
                    <w:jc w:val="center"/>
                    <w:textAlignment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18:13</w:t>
                  </w:r>
                </w:p>
              </w:tc>
              <w:tc>
                <w:tcPr>
                  <w:tcW w:w="3948" w:type="dxa"/>
                  <w:gridSpan w:val="4"/>
                  <w:tcBorders>
                    <w:top w:val="single" w:color="auto" w:sz="4" w:space="0"/>
                    <w:left w:val="single" w:color="auto" w:sz="4" w:space="0"/>
                    <w:bottom w:val="single" w:color="auto" w:sz="4" w:space="0"/>
                    <w:right w:val="single" w:color="auto" w:sz="4" w:space="0"/>
                  </w:tcBorders>
                  <w:shd w:val="clear" w:color="auto" w:fill="auto"/>
                  <w:vAlign w:val="top"/>
                </w:tcPr>
                <w:p w14:paraId="12B9EC3B">
                  <w:pPr>
                    <w:widowControl/>
                    <w:jc w:val="center"/>
                    <w:textAlignment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1.51</w:t>
                  </w:r>
                </w:p>
              </w:tc>
              <w:tc>
                <w:tcPr>
                  <w:tcW w:w="1021" w:type="dxa"/>
                  <w:vMerge w:val="continue"/>
                  <w:tcBorders>
                    <w:left w:val="single" w:color="auto" w:sz="4" w:space="0"/>
                    <w:bottom w:val="single" w:color="auto" w:sz="4" w:space="0"/>
                    <w:right w:val="single" w:color="auto" w:sz="4" w:space="0"/>
                  </w:tcBorders>
                  <w:shd w:val="clear" w:color="auto" w:fill="auto"/>
                  <w:vAlign w:val="top"/>
                </w:tcPr>
                <w:p w14:paraId="61DCA249">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82" w:type="dxa"/>
                  <w:vMerge w:val="continue"/>
                  <w:tcBorders>
                    <w:left w:val="single" w:color="auto" w:sz="4" w:space="0"/>
                    <w:bottom w:val="single" w:color="auto" w:sz="4" w:space="0"/>
                    <w:right w:val="single" w:color="auto" w:sz="4" w:space="0"/>
                  </w:tcBorders>
                  <w:shd w:val="clear" w:color="auto" w:fill="auto"/>
                  <w:vAlign w:val="top"/>
                </w:tcPr>
                <w:p w14:paraId="7ED7E375">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bl>
          <w:p w14:paraId="7D19A8C3">
            <w:pPr>
              <w:keepNext w:val="0"/>
              <w:keepLines w:val="0"/>
              <w:pageBreakBefore w:val="0"/>
              <w:widowControl/>
              <w:kinsoku w:val="0"/>
              <w:wordWrap/>
              <w:overflowPunct/>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b/>
                <w:bCs/>
                <w:color w:val="000000" w:themeColor="text1"/>
                <w:sz w:val="24"/>
                <w14:textFill>
                  <w14:solidFill>
                    <w14:schemeClr w14:val="tx1"/>
                  </w14:solidFill>
                </w14:textFill>
              </w:rPr>
            </w:pPr>
          </w:p>
          <w:p w14:paraId="1D157A44">
            <w:pPr>
              <w:keepNext w:val="0"/>
              <w:keepLines w:val="0"/>
              <w:pageBreakBefore w:val="0"/>
              <w:widowControl/>
              <w:kinsoku w:val="0"/>
              <w:wordWrap/>
              <w:overflowPunct/>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b/>
                <w:bCs/>
                <w:color w:val="000000" w:themeColor="text1"/>
                <w:sz w:val="24"/>
                <w14:textFill>
                  <w14:solidFill>
                    <w14:schemeClr w14:val="tx1"/>
                  </w14:solidFill>
                </w14:textFill>
              </w:rPr>
            </w:pPr>
          </w:p>
          <w:p w14:paraId="53411F83">
            <w:pPr>
              <w:keepNext w:val="0"/>
              <w:keepLines w:val="0"/>
              <w:pageBreakBefore w:val="0"/>
              <w:widowControl/>
              <w:kinsoku w:val="0"/>
              <w:wordWrap/>
              <w:overflowPunct/>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表2</w:t>
            </w:r>
            <w:r>
              <w:rPr>
                <w:rFonts w:hint="default" w:ascii="Times New Roman" w:hAnsi="Times New Roman" w:eastAsia="宋体" w:cs="Times New Roman"/>
                <w:b/>
                <w:bCs/>
                <w:color w:val="000000" w:themeColor="text1"/>
                <w:sz w:val="24"/>
                <w:lang w:val="en-US" w:eastAsia="zh-CN"/>
                <w14:textFill>
                  <w14:solidFill>
                    <w14:schemeClr w14:val="tx1"/>
                  </w14:solidFill>
                </w14:textFill>
              </w:rPr>
              <w:t>-9</w:t>
            </w:r>
            <w:r>
              <w:rPr>
                <w:rFonts w:hint="default" w:ascii="Times New Roman" w:hAnsi="Times New Roman" w:eastAsia="宋体" w:cs="Times New Roman"/>
                <w:b/>
                <w:bCs/>
                <w:color w:val="000000" w:themeColor="text1"/>
                <w:sz w:val="24"/>
                <w14:textFill>
                  <w14:solidFill>
                    <w14:schemeClr w14:val="tx1"/>
                  </w14:solidFill>
                </w14:textFill>
              </w:rPr>
              <w:t>现有项目无组织排放废气监测结果一览表 单位:mg/m</w:t>
            </w:r>
            <w:r>
              <w:rPr>
                <w:rFonts w:hint="default" w:ascii="Times New Roman" w:hAnsi="Times New Roman" w:eastAsia="宋体" w:cs="Times New Roman"/>
                <w:b/>
                <w:bCs/>
                <w:color w:val="000000" w:themeColor="text1"/>
                <w:sz w:val="24"/>
                <w:vertAlign w:val="superscript"/>
                <w14:textFill>
                  <w14:solidFill>
                    <w14:schemeClr w14:val="tx1"/>
                  </w14:solidFill>
                </w14:textFill>
              </w:rPr>
              <w:t>3</w:t>
            </w:r>
          </w:p>
          <w:tbl>
            <w:tblPr>
              <w:tblStyle w:val="44"/>
              <w:tblW w:w="785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2"/>
              <w:gridCol w:w="810"/>
              <w:gridCol w:w="979"/>
              <w:gridCol w:w="1186"/>
              <w:gridCol w:w="1086"/>
              <w:gridCol w:w="661"/>
              <w:gridCol w:w="1193"/>
              <w:gridCol w:w="1068"/>
            </w:tblGrid>
            <w:tr w14:paraId="20F200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8" w:hRule="atLeast"/>
              </w:trPr>
              <w:tc>
                <w:tcPr>
                  <w:tcW w:w="872" w:type="dxa"/>
                  <w:vAlign w:val="center"/>
                </w:tcPr>
                <w:p w14:paraId="1B8152C7">
                  <w:pPr>
                    <w:widowControl/>
                    <w:jc w:val="center"/>
                    <w:textAlignment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检测项目</w:t>
                  </w:r>
                </w:p>
              </w:tc>
              <w:tc>
                <w:tcPr>
                  <w:tcW w:w="810" w:type="dxa"/>
                  <w:vAlign w:val="center"/>
                </w:tcPr>
                <w:p w14:paraId="27235BFE">
                  <w:pPr>
                    <w:widowControl/>
                    <w:jc w:val="center"/>
                    <w:textAlignment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非甲烷总烃</w:t>
                  </w:r>
                </w:p>
              </w:tc>
              <w:tc>
                <w:tcPr>
                  <w:tcW w:w="979" w:type="dxa"/>
                  <w:vAlign w:val="center"/>
                </w:tcPr>
                <w:p w14:paraId="5799FCF4">
                  <w:pPr>
                    <w:widowControl/>
                    <w:jc w:val="center"/>
                    <w:textAlignment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完成日期</w:t>
                  </w:r>
                </w:p>
              </w:tc>
              <w:tc>
                <w:tcPr>
                  <w:tcW w:w="1186" w:type="dxa"/>
                  <w:vAlign w:val="center"/>
                </w:tcPr>
                <w:p w14:paraId="337E65A7">
                  <w:pPr>
                    <w:widowControl/>
                    <w:jc w:val="center"/>
                    <w:textAlignment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2023-08-12</w:t>
                  </w:r>
                </w:p>
              </w:tc>
              <w:tc>
                <w:tcPr>
                  <w:tcW w:w="1086" w:type="dxa"/>
                  <w:vAlign w:val="center"/>
                </w:tcPr>
                <w:p w14:paraId="0D041D7D">
                  <w:pPr>
                    <w:widowControl/>
                    <w:jc w:val="center"/>
                    <w:textAlignment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检出限</w:t>
                  </w:r>
                </w:p>
                <w:p w14:paraId="71A69567">
                  <w:pPr>
                    <w:widowControl/>
                    <w:jc w:val="center"/>
                    <w:textAlignment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(mg/m³)</w:t>
                  </w:r>
                </w:p>
              </w:tc>
              <w:tc>
                <w:tcPr>
                  <w:tcW w:w="661" w:type="dxa"/>
                  <w:vAlign w:val="center"/>
                </w:tcPr>
                <w:p w14:paraId="4EF9C044">
                  <w:pPr>
                    <w:widowControl/>
                    <w:jc w:val="center"/>
                    <w:textAlignment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0.07</w:t>
                  </w:r>
                </w:p>
              </w:tc>
              <w:tc>
                <w:tcPr>
                  <w:tcW w:w="1193" w:type="dxa"/>
                  <w:shd w:val="clear" w:color="auto" w:fill="auto"/>
                  <w:vAlign w:val="center"/>
                </w:tcPr>
                <w:p w14:paraId="4B58D161">
                  <w:pPr>
                    <w:spacing w:before="14" w:line="310" w:lineRule="atLeast"/>
                    <w:ind w:left="179" w:leftChars="0" w:right="148" w:rightChars="0"/>
                    <w:jc w:val="center"/>
                    <w:rPr>
                      <w:rFonts w:hint="default" w:ascii="Times New Roman" w:hAnsi="Times New Roman" w:eastAsia="宋体" w:cs="Times New Roman"/>
                      <w:b/>
                      <w:bCs/>
                      <w:snapToGrid w:val="0"/>
                      <w:color w:val="000000" w:themeColor="text1"/>
                      <w:sz w:val="21"/>
                      <w:szCs w:val="21"/>
                      <w:lang w:val="en-US" w:eastAsia="zh-CN" w:bidi="zh-CN"/>
                      <w14:textFill>
                        <w14:solidFill>
                          <w14:schemeClr w14:val="tx1"/>
                        </w14:solidFill>
                      </w14:textFill>
                    </w:rPr>
                  </w:pPr>
                  <w:r>
                    <w:rPr>
                      <w:rFonts w:hint="default" w:ascii="Times New Roman" w:hAnsi="Times New Roman" w:eastAsia="宋体" w:cs="Times New Roman"/>
                      <w:b/>
                      <w:bCs/>
                      <w:color w:val="000000" w:themeColor="text1"/>
                      <w:sz w:val="21"/>
                      <w:szCs w:val="21"/>
                      <w:lang w:val="zh-CN" w:bidi="zh-CN"/>
                      <w14:textFill>
                        <w14:solidFill>
                          <w14:schemeClr w14:val="tx1"/>
                        </w14:solidFill>
                      </w14:textFill>
                    </w:rPr>
                    <w:t>标准限值</w:t>
                  </w:r>
                </w:p>
              </w:tc>
              <w:tc>
                <w:tcPr>
                  <w:tcW w:w="1068" w:type="dxa"/>
                  <w:shd w:val="clear" w:color="auto" w:fill="auto"/>
                  <w:vAlign w:val="center"/>
                </w:tcPr>
                <w:p w14:paraId="2DE6B41A">
                  <w:pPr>
                    <w:spacing w:before="14" w:line="310" w:lineRule="atLeast"/>
                    <w:ind w:left="285" w:leftChars="0" w:right="258" w:rightChars="0"/>
                    <w:jc w:val="center"/>
                    <w:rPr>
                      <w:rFonts w:hint="default" w:ascii="Times New Roman" w:hAnsi="Times New Roman" w:eastAsia="宋体" w:cs="Times New Roman"/>
                      <w:b/>
                      <w:bCs/>
                      <w:snapToGrid w:val="0"/>
                      <w:color w:val="000000" w:themeColor="text1"/>
                      <w:sz w:val="21"/>
                      <w:szCs w:val="21"/>
                      <w:lang w:val="en-US" w:eastAsia="zh-CN" w:bidi="zh-CN"/>
                      <w14:textFill>
                        <w14:solidFill>
                          <w14:schemeClr w14:val="tx1"/>
                        </w14:solidFill>
                      </w14:textFill>
                    </w:rPr>
                  </w:pPr>
                  <w:r>
                    <w:rPr>
                      <w:rFonts w:hint="default" w:ascii="Times New Roman" w:hAnsi="Times New Roman" w:eastAsia="宋体" w:cs="Times New Roman"/>
                      <w:b/>
                      <w:bCs/>
                      <w:color w:val="000000" w:themeColor="text1"/>
                      <w:sz w:val="21"/>
                      <w:szCs w:val="21"/>
                      <w:lang w:val="zh-CN" w:bidi="zh-CN"/>
                      <w14:textFill>
                        <w14:solidFill>
                          <w14:schemeClr w14:val="tx1"/>
                        </w14:solidFill>
                      </w14:textFill>
                    </w:rPr>
                    <w:t>达标评价</w:t>
                  </w:r>
                </w:p>
              </w:tc>
            </w:tr>
            <w:tr w14:paraId="68CF3A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872" w:type="dxa"/>
                  <w:vMerge w:val="restart"/>
                  <w:tcBorders>
                    <w:bottom w:val="nil"/>
                  </w:tcBorders>
                  <w:vAlign w:val="center"/>
                </w:tcPr>
                <w:p w14:paraId="0165AD54">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采样位置</w:t>
                  </w:r>
                </w:p>
              </w:tc>
              <w:tc>
                <w:tcPr>
                  <w:tcW w:w="810" w:type="dxa"/>
                  <w:vMerge w:val="restart"/>
                  <w:tcBorders>
                    <w:bottom w:val="nil"/>
                  </w:tcBorders>
                  <w:vAlign w:val="center"/>
                </w:tcPr>
                <w:p w14:paraId="66247D07">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采样时间</w:t>
                  </w:r>
                </w:p>
              </w:tc>
              <w:tc>
                <w:tcPr>
                  <w:tcW w:w="3912" w:type="dxa"/>
                  <w:gridSpan w:val="4"/>
                  <w:vAlign w:val="center"/>
                </w:tcPr>
                <w:p w14:paraId="0C42642E">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采样日期</w:t>
                  </w:r>
                </w:p>
              </w:tc>
              <w:tc>
                <w:tcPr>
                  <w:tcW w:w="1193" w:type="dxa"/>
                  <w:vMerge w:val="restart"/>
                  <w:vAlign w:val="center"/>
                </w:tcPr>
                <w:p w14:paraId="6F0CC4E9">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2.0</w:t>
                  </w:r>
                  <w:r>
                    <w:rPr>
                      <w:rFonts w:hint="default" w:ascii="Times New Roman" w:hAnsi="Times New Roman" w:eastAsia="宋体" w:cs="Times New Roman"/>
                      <w:b/>
                      <w:bCs/>
                      <w:color w:val="000000" w:themeColor="text1"/>
                      <w:szCs w:val="21"/>
                      <w14:textFill>
                        <w14:solidFill>
                          <w14:schemeClr w14:val="tx1"/>
                        </w14:solidFill>
                      </w14:textFill>
                    </w:rPr>
                    <w:t>mg/m³</w:t>
                  </w:r>
                </w:p>
              </w:tc>
              <w:tc>
                <w:tcPr>
                  <w:tcW w:w="1068" w:type="dxa"/>
                  <w:vMerge w:val="restart"/>
                  <w:vAlign w:val="center"/>
                </w:tcPr>
                <w:p w14:paraId="38E014E6">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zh-CN" w:bidi="zh-CN"/>
                      <w14:textFill>
                        <w14:solidFill>
                          <w14:schemeClr w14:val="tx1"/>
                        </w14:solidFill>
                      </w14:textFill>
                    </w:rPr>
                    <w:t>达标</w:t>
                  </w:r>
                </w:p>
              </w:tc>
            </w:tr>
            <w:tr w14:paraId="5CF82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872" w:type="dxa"/>
                  <w:vMerge w:val="continue"/>
                  <w:tcBorders>
                    <w:top w:val="nil"/>
                  </w:tcBorders>
                  <w:vAlign w:val="center"/>
                </w:tcPr>
                <w:p w14:paraId="1E3D1ECD">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10" w:type="dxa"/>
                  <w:vMerge w:val="continue"/>
                  <w:tcBorders>
                    <w:top w:val="nil"/>
                  </w:tcBorders>
                  <w:vAlign w:val="center"/>
                </w:tcPr>
                <w:p w14:paraId="1DA2834A">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912" w:type="dxa"/>
                  <w:gridSpan w:val="4"/>
                  <w:vAlign w:val="center"/>
                </w:tcPr>
                <w:p w14:paraId="17727067">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2023-08-11</w:t>
                  </w:r>
                </w:p>
              </w:tc>
              <w:tc>
                <w:tcPr>
                  <w:tcW w:w="1193" w:type="dxa"/>
                  <w:vMerge w:val="continue"/>
                  <w:vAlign w:val="center"/>
                </w:tcPr>
                <w:p w14:paraId="552BDFF6">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68" w:type="dxa"/>
                  <w:vMerge w:val="continue"/>
                  <w:vAlign w:val="center"/>
                </w:tcPr>
                <w:p w14:paraId="27B84A9E">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7607DC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trPr>
              <w:tc>
                <w:tcPr>
                  <w:tcW w:w="872" w:type="dxa"/>
                  <w:vMerge w:val="restart"/>
                  <w:tcBorders>
                    <w:bottom w:val="nil"/>
                  </w:tcBorders>
                  <w:vAlign w:val="center"/>
                </w:tcPr>
                <w:p w14:paraId="6B0A3446">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p w14:paraId="6B61F5FA">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G1</w:t>
                  </w:r>
                </w:p>
              </w:tc>
              <w:tc>
                <w:tcPr>
                  <w:tcW w:w="810" w:type="dxa"/>
                  <w:vAlign w:val="center"/>
                </w:tcPr>
                <w:p w14:paraId="2E55378D">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08:30</w:t>
                  </w:r>
                </w:p>
              </w:tc>
              <w:tc>
                <w:tcPr>
                  <w:tcW w:w="3912" w:type="dxa"/>
                  <w:gridSpan w:val="4"/>
                  <w:vAlign w:val="center"/>
                </w:tcPr>
                <w:p w14:paraId="25802689">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0.85</w:t>
                  </w:r>
                </w:p>
              </w:tc>
              <w:tc>
                <w:tcPr>
                  <w:tcW w:w="1193" w:type="dxa"/>
                  <w:vMerge w:val="continue"/>
                  <w:vAlign w:val="center"/>
                </w:tcPr>
                <w:p w14:paraId="6A162CE9">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68" w:type="dxa"/>
                  <w:vMerge w:val="continue"/>
                  <w:vAlign w:val="center"/>
                </w:tcPr>
                <w:p w14:paraId="1C7C1A4A">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438FF8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trPr>
              <w:tc>
                <w:tcPr>
                  <w:tcW w:w="872" w:type="dxa"/>
                  <w:vMerge w:val="continue"/>
                  <w:tcBorders>
                    <w:top w:val="nil"/>
                    <w:bottom w:val="nil"/>
                  </w:tcBorders>
                  <w:vAlign w:val="center"/>
                </w:tcPr>
                <w:p w14:paraId="2E3D151B">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10" w:type="dxa"/>
                  <w:vAlign w:val="center"/>
                </w:tcPr>
                <w:p w14:paraId="7ADBCBE9">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08:30</w:t>
                  </w:r>
                </w:p>
              </w:tc>
              <w:tc>
                <w:tcPr>
                  <w:tcW w:w="3912" w:type="dxa"/>
                  <w:gridSpan w:val="4"/>
                  <w:vAlign w:val="center"/>
                </w:tcPr>
                <w:p w14:paraId="361FFC5E">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0.81</w:t>
                  </w:r>
                </w:p>
              </w:tc>
              <w:tc>
                <w:tcPr>
                  <w:tcW w:w="1193" w:type="dxa"/>
                  <w:vMerge w:val="continue"/>
                  <w:vAlign w:val="center"/>
                </w:tcPr>
                <w:p w14:paraId="79170D96">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68" w:type="dxa"/>
                  <w:vMerge w:val="continue"/>
                  <w:vAlign w:val="center"/>
                </w:tcPr>
                <w:p w14:paraId="74B69EDD">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4788D7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trPr>
              <w:tc>
                <w:tcPr>
                  <w:tcW w:w="872" w:type="dxa"/>
                  <w:vMerge w:val="continue"/>
                  <w:tcBorders>
                    <w:top w:val="nil"/>
                    <w:bottom w:val="nil"/>
                  </w:tcBorders>
                  <w:vAlign w:val="center"/>
                </w:tcPr>
                <w:p w14:paraId="466537B7">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10" w:type="dxa"/>
                  <w:vAlign w:val="center"/>
                </w:tcPr>
                <w:p w14:paraId="634008DE">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10:30</w:t>
                  </w:r>
                </w:p>
              </w:tc>
              <w:tc>
                <w:tcPr>
                  <w:tcW w:w="3912" w:type="dxa"/>
                  <w:gridSpan w:val="4"/>
                  <w:vAlign w:val="center"/>
                </w:tcPr>
                <w:p w14:paraId="276181C5">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0.82</w:t>
                  </w:r>
                </w:p>
              </w:tc>
              <w:tc>
                <w:tcPr>
                  <w:tcW w:w="1193" w:type="dxa"/>
                  <w:vMerge w:val="continue"/>
                  <w:vAlign w:val="center"/>
                </w:tcPr>
                <w:p w14:paraId="62AF4310">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68" w:type="dxa"/>
                  <w:vMerge w:val="continue"/>
                  <w:vAlign w:val="center"/>
                </w:tcPr>
                <w:p w14:paraId="753D1BFD">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6DC99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2" w:hRule="atLeast"/>
              </w:trPr>
              <w:tc>
                <w:tcPr>
                  <w:tcW w:w="872" w:type="dxa"/>
                  <w:vMerge w:val="continue"/>
                  <w:tcBorders>
                    <w:top w:val="nil"/>
                  </w:tcBorders>
                  <w:vAlign w:val="center"/>
                </w:tcPr>
                <w:p w14:paraId="636F56B8">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10" w:type="dxa"/>
                  <w:vAlign w:val="center"/>
                </w:tcPr>
                <w:p w14:paraId="69ABA561">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11:30</w:t>
                  </w:r>
                </w:p>
              </w:tc>
              <w:tc>
                <w:tcPr>
                  <w:tcW w:w="3912" w:type="dxa"/>
                  <w:gridSpan w:val="4"/>
                  <w:vAlign w:val="center"/>
                </w:tcPr>
                <w:p w14:paraId="04ACA7CE">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0.80</w:t>
                  </w:r>
                </w:p>
              </w:tc>
              <w:tc>
                <w:tcPr>
                  <w:tcW w:w="1193" w:type="dxa"/>
                  <w:vMerge w:val="continue"/>
                  <w:vAlign w:val="center"/>
                </w:tcPr>
                <w:p w14:paraId="750551F3">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68" w:type="dxa"/>
                  <w:vMerge w:val="continue"/>
                  <w:vAlign w:val="center"/>
                </w:tcPr>
                <w:p w14:paraId="2C585679">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7FF6C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trPr>
              <w:tc>
                <w:tcPr>
                  <w:tcW w:w="872" w:type="dxa"/>
                  <w:vMerge w:val="restart"/>
                  <w:vAlign w:val="center"/>
                </w:tcPr>
                <w:p w14:paraId="19242F3B">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G2</w:t>
                  </w:r>
                </w:p>
                <w:p w14:paraId="3FB731B5">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10" w:type="dxa"/>
                  <w:vAlign w:val="center"/>
                </w:tcPr>
                <w:p w14:paraId="733B8EC4">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08:40</w:t>
                  </w:r>
                </w:p>
              </w:tc>
              <w:tc>
                <w:tcPr>
                  <w:tcW w:w="3912" w:type="dxa"/>
                  <w:gridSpan w:val="4"/>
                  <w:vAlign w:val="center"/>
                </w:tcPr>
                <w:p w14:paraId="446494F4">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1.02</w:t>
                  </w:r>
                </w:p>
              </w:tc>
              <w:tc>
                <w:tcPr>
                  <w:tcW w:w="1193" w:type="dxa"/>
                  <w:vMerge w:val="continue"/>
                  <w:vAlign w:val="center"/>
                </w:tcPr>
                <w:p w14:paraId="582D3DC7">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68" w:type="dxa"/>
                  <w:vMerge w:val="continue"/>
                  <w:vAlign w:val="center"/>
                </w:tcPr>
                <w:p w14:paraId="1137743E">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61EC9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trPr>
              <w:tc>
                <w:tcPr>
                  <w:tcW w:w="872" w:type="dxa"/>
                  <w:vMerge w:val="continue"/>
                  <w:vAlign w:val="center"/>
                </w:tcPr>
                <w:p w14:paraId="3BF042CF">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10" w:type="dxa"/>
                  <w:vAlign w:val="center"/>
                </w:tcPr>
                <w:p w14:paraId="2016FD7C">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09:40</w:t>
                  </w:r>
                </w:p>
              </w:tc>
              <w:tc>
                <w:tcPr>
                  <w:tcW w:w="3912" w:type="dxa"/>
                  <w:gridSpan w:val="4"/>
                  <w:vAlign w:val="center"/>
                </w:tcPr>
                <w:p w14:paraId="2A133AFA">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1.03</w:t>
                  </w:r>
                </w:p>
              </w:tc>
              <w:tc>
                <w:tcPr>
                  <w:tcW w:w="1193" w:type="dxa"/>
                  <w:vMerge w:val="continue"/>
                  <w:vAlign w:val="center"/>
                </w:tcPr>
                <w:p w14:paraId="4DD9D9AB">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68" w:type="dxa"/>
                  <w:vMerge w:val="continue"/>
                  <w:vAlign w:val="center"/>
                </w:tcPr>
                <w:p w14:paraId="6165EDDF">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5FA99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trPr>
              <w:tc>
                <w:tcPr>
                  <w:tcW w:w="872" w:type="dxa"/>
                  <w:vMerge w:val="continue"/>
                  <w:vAlign w:val="center"/>
                </w:tcPr>
                <w:p w14:paraId="4CEED17E">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10" w:type="dxa"/>
                  <w:vAlign w:val="center"/>
                </w:tcPr>
                <w:p w14:paraId="1D02C016">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10:40</w:t>
                  </w:r>
                </w:p>
              </w:tc>
              <w:tc>
                <w:tcPr>
                  <w:tcW w:w="3912" w:type="dxa"/>
                  <w:gridSpan w:val="4"/>
                  <w:vAlign w:val="center"/>
                </w:tcPr>
                <w:p w14:paraId="6BFEDE0B">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1.03</w:t>
                  </w:r>
                </w:p>
              </w:tc>
              <w:tc>
                <w:tcPr>
                  <w:tcW w:w="1193" w:type="dxa"/>
                  <w:vMerge w:val="continue"/>
                  <w:vAlign w:val="center"/>
                </w:tcPr>
                <w:p w14:paraId="056CD2E3">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68" w:type="dxa"/>
                  <w:vMerge w:val="continue"/>
                  <w:vAlign w:val="center"/>
                </w:tcPr>
                <w:p w14:paraId="7D33EAD4">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75AAB4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trPr>
              <w:tc>
                <w:tcPr>
                  <w:tcW w:w="872" w:type="dxa"/>
                  <w:vMerge w:val="continue"/>
                  <w:vAlign w:val="center"/>
                </w:tcPr>
                <w:p w14:paraId="0A17A724">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10" w:type="dxa"/>
                  <w:vAlign w:val="center"/>
                </w:tcPr>
                <w:p w14:paraId="3C68476E">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11:40</w:t>
                  </w:r>
                </w:p>
              </w:tc>
              <w:tc>
                <w:tcPr>
                  <w:tcW w:w="3912" w:type="dxa"/>
                  <w:gridSpan w:val="4"/>
                  <w:vAlign w:val="center"/>
                </w:tcPr>
                <w:p w14:paraId="788C40A5">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1.07</w:t>
                  </w:r>
                </w:p>
              </w:tc>
              <w:tc>
                <w:tcPr>
                  <w:tcW w:w="1193" w:type="dxa"/>
                  <w:vMerge w:val="continue"/>
                  <w:vAlign w:val="center"/>
                </w:tcPr>
                <w:p w14:paraId="71F0DDC2">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68" w:type="dxa"/>
                  <w:vMerge w:val="continue"/>
                  <w:vAlign w:val="center"/>
                </w:tcPr>
                <w:p w14:paraId="734447E4">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3E368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trPr>
              <w:tc>
                <w:tcPr>
                  <w:tcW w:w="872" w:type="dxa"/>
                  <w:vMerge w:val="restart"/>
                  <w:tcBorders>
                    <w:bottom w:val="nil"/>
                  </w:tcBorders>
                  <w:vAlign w:val="center"/>
                </w:tcPr>
                <w:p w14:paraId="4B299928">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G3</w:t>
                  </w:r>
                </w:p>
              </w:tc>
              <w:tc>
                <w:tcPr>
                  <w:tcW w:w="810" w:type="dxa"/>
                  <w:vAlign w:val="center"/>
                </w:tcPr>
                <w:p w14:paraId="20B0374D">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08:45</w:t>
                  </w:r>
                </w:p>
              </w:tc>
              <w:tc>
                <w:tcPr>
                  <w:tcW w:w="3912" w:type="dxa"/>
                  <w:gridSpan w:val="4"/>
                  <w:vAlign w:val="center"/>
                </w:tcPr>
                <w:p w14:paraId="484F8FB8">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1.29</w:t>
                  </w:r>
                </w:p>
              </w:tc>
              <w:tc>
                <w:tcPr>
                  <w:tcW w:w="1193" w:type="dxa"/>
                  <w:vMerge w:val="continue"/>
                  <w:vAlign w:val="center"/>
                </w:tcPr>
                <w:p w14:paraId="75338401">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68" w:type="dxa"/>
                  <w:vMerge w:val="continue"/>
                  <w:vAlign w:val="center"/>
                </w:tcPr>
                <w:p w14:paraId="3F38DD35">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7388D9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trPr>
              <w:tc>
                <w:tcPr>
                  <w:tcW w:w="872" w:type="dxa"/>
                  <w:vMerge w:val="continue"/>
                  <w:tcBorders>
                    <w:top w:val="nil"/>
                    <w:bottom w:val="nil"/>
                  </w:tcBorders>
                  <w:vAlign w:val="center"/>
                </w:tcPr>
                <w:p w14:paraId="77A8A685">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10" w:type="dxa"/>
                  <w:vAlign w:val="center"/>
                </w:tcPr>
                <w:p w14:paraId="5062C1F9">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09:45</w:t>
                  </w:r>
                </w:p>
              </w:tc>
              <w:tc>
                <w:tcPr>
                  <w:tcW w:w="3912" w:type="dxa"/>
                  <w:gridSpan w:val="4"/>
                  <w:vAlign w:val="center"/>
                </w:tcPr>
                <w:p w14:paraId="4C1D6C0D">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1.20</w:t>
                  </w:r>
                </w:p>
              </w:tc>
              <w:tc>
                <w:tcPr>
                  <w:tcW w:w="1193" w:type="dxa"/>
                  <w:vMerge w:val="continue"/>
                  <w:vAlign w:val="center"/>
                </w:tcPr>
                <w:p w14:paraId="63D59274">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68" w:type="dxa"/>
                  <w:vMerge w:val="continue"/>
                  <w:vAlign w:val="center"/>
                </w:tcPr>
                <w:p w14:paraId="1F9D10B3">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080BB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trPr>
              <w:tc>
                <w:tcPr>
                  <w:tcW w:w="872" w:type="dxa"/>
                  <w:vMerge w:val="continue"/>
                  <w:tcBorders>
                    <w:top w:val="nil"/>
                    <w:bottom w:val="nil"/>
                  </w:tcBorders>
                  <w:vAlign w:val="center"/>
                </w:tcPr>
                <w:p w14:paraId="28C12567">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10" w:type="dxa"/>
                  <w:vAlign w:val="center"/>
                </w:tcPr>
                <w:p w14:paraId="78FCCA7B">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10:45</w:t>
                  </w:r>
                </w:p>
              </w:tc>
              <w:tc>
                <w:tcPr>
                  <w:tcW w:w="3912" w:type="dxa"/>
                  <w:gridSpan w:val="4"/>
                  <w:vAlign w:val="center"/>
                </w:tcPr>
                <w:p w14:paraId="082F2AD3">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1.21</w:t>
                  </w:r>
                </w:p>
              </w:tc>
              <w:tc>
                <w:tcPr>
                  <w:tcW w:w="1193" w:type="dxa"/>
                  <w:vMerge w:val="continue"/>
                  <w:vAlign w:val="center"/>
                </w:tcPr>
                <w:p w14:paraId="4262DBBA">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68" w:type="dxa"/>
                  <w:vMerge w:val="continue"/>
                  <w:vAlign w:val="center"/>
                </w:tcPr>
                <w:p w14:paraId="4A89A8AC">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0A67B2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2" w:hRule="atLeast"/>
              </w:trPr>
              <w:tc>
                <w:tcPr>
                  <w:tcW w:w="872" w:type="dxa"/>
                  <w:vMerge w:val="continue"/>
                  <w:tcBorders>
                    <w:top w:val="nil"/>
                  </w:tcBorders>
                  <w:vAlign w:val="center"/>
                </w:tcPr>
                <w:p w14:paraId="176DC7E0">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10" w:type="dxa"/>
                  <w:vAlign w:val="center"/>
                </w:tcPr>
                <w:p w14:paraId="254021AC">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11:45</w:t>
                  </w:r>
                </w:p>
              </w:tc>
              <w:tc>
                <w:tcPr>
                  <w:tcW w:w="3912" w:type="dxa"/>
                  <w:gridSpan w:val="4"/>
                  <w:vAlign w:val="center"/>
                </w:tcPr>
                <w:p w14:paraId="663DC5AB">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1.23</w:t>
                  </w:r>
                </w:p>
              </w:tc>
              <w:tc>
                <w:tcPr>
                  <w:tcW w:w="1193" w:type="dxa"/>
                  <w:vMerge w:val="continue"/>
                  <w:vAlign w:val="center"/>
                </w:tcPr>
                <w:p w14:paraId="4F94D9D7">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68" w:type="dxa"/>
                  <w:vMerge w:val="continue"/>
                  <w:vAlign w:val="center"/>
                </w:tcPr>
                <w:p w14:paraId="0BB03907">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63B7CE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trPr>
              <w:tc>
                <w:tcPr>
                  <w:tcW w:w="872" w:type="dxa"/>
                  <w:vMerge w:val="restart"/>
                  <w:tcBorders>
                    <w:bottom w:val="nil"/>
                  </w:tcBorders>
                  <w:vAlign w:val="center"/>
                </w:tcPr>
                <w:p w14:paraId="4C0381B8">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p w14:paraId="4B0C383C">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G4</w:t>
                  </w:r>
                </w:p>
              </w:tc>
              <w:tc>
                <w:tcPr>
                  <w:tcW w:w="810" w:type="dxa"/>
                  <w:vAlign w:val="center"/>
                </w:tcPr>
                <w:p w14:paraId="0FB61A2F">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08:55</w:t>
                  </w:r>
                </w:p>
              </w:tc>
              <w:tc>
                <w:tcPr>
                  <w:tcW w:w="3912" w:type="dxa"/>
                  <w:gridSpan w:val="4"/>
                  <w:vAlign w:val="center"/>
                </w:tcPr>
                <w:p w14:paraId="5DA6F70E">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1.03</w:t>
                  </w:r>
                </w:p>
              </w:tc>
              <w:tc>
                <w:tcPr>
                  <w:tcW w:w="1193" w:type="dxa"/>
                  <w:vMerge w:val="continue"/>
                  <w:vAlign w:val="center"/>
                </w:tcPr>
                <w:p w14:paraId="1BAB6A65">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68" w:type="dxa"/>
                  <w:vMerge w:val="continue"/>
                  <w:vAlign w:val="center"/>
                </w:tcPr>
                <w:p w14:paraId="7184D95C">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2BEFB5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trPr>
              <w:tc>
                <w:tcPr>
                  <w:tcW w:w="872" w:type="dxa"/>
                  <w:vMerge w:val="continue"/>
                  <w:tcBorders>
                    <w:top w:val="nil"/>
                    <w:bottom w:val="nil"/>
                  </w:tcBorders>
                  <w:vAlign w:val="center"/>
                </w:tcPr>
                <w:p w14:paraId="2930A0B1">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10" w:type="dxa"/>
                  <w:vAlign w:val="center"/>
                </w:tcPr>
                <w:p w14:paraId="315B8FFC">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09:55</w:t>
                  </w:r>
                </w:p>
              </w:tc>
              <w:tc>
                <w:tcPr>
                  <w:tcW w:w="3912" w:type="dxa"/>
                  <w:gridSpan w:val="4"/>
                  <w:vAlign w:val="center"/>
                </w:tcPr>
                <w:p w14:paraId="546DEEC5">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1.06</w:t>
                  </w:r>
                </w:p>
              </w:tc>
              <w:tc>
                <w:tcPr>
                  <w:tcW w:w="1193" w:type="dxa"/>
                  <w:vMerge w:val="continue"/>
                  <w:vAlign w:val="center"/>
                </w:tcPr>
                <w:p w14:paraId="22A135AE">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68" w:type="dxa"/>
                  <w:vMerge w:val="continue"/>
                  <w:vAlign w:val="center"/>
                </w:tcPr>
                <w:p w14:paraId="27F66784">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3B555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trPr>
              <w:tc>
                <w:tcPr>
                  <w:tcW w:w="872" w:type="dxa"/>
                  <w:vMerge w:val="continue"/>
                  <w:tcBorders>
                    <w:top w:val="nil"/>
                    <w:bottom w:val="nil"/>
                  </w:tcBorders>
                  <w:vAlign w:val="center"/>
                </w:tcPr>
                <w:p w14:paraId="727CC7F5">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10" w:type="dxa"/>
                  <w:vAlign w:val="center"/>
                </w:tcPr>
                <w:p w14:paraId="68F6C86C">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10:55</w:t>
                  </w:r>
                </w:p>
              </w:tc>
              <w:tc>
                <w:tcPr>
                  <w:tcW w:w="3912" w:type="dxa"/>
                  <w:gridSpan w:val="4"/>
                  <w:vAlign w:val="center"/>
                </w:tcPr>
                <w:p w14:paraId="7CB8D10E">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1.04</w:t>
                  </w:r>
                </w:p>
              </w:tc>
              <w:tc>
                <w:tcPr>
                  <w:tcW w:w="1193" w:type="dxa"/>
                  <w:vMerge w:val="continue"/>
                  <w:vAlign w:val="center"/>
                </w:tcPr>
                <w:p w14:paraId="0A094135">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68" w:type="dxa"/>
                  <w:vMerge w:val="continue"/>
                  <w:vAlign w:val="center"/>
                </w:tcPr>
                <w:p w14:paraId="46B1D239">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4BA00D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trPr>
              <w:tc>
                <w:tcPr>
                  <w:tcW w:w="872" w:type="dxa"/>
                  <w:vMerge w:val="continue"/>
                  <w:tcBorders>
                    <w:top w:val="nil"/>
                  </w:tcBorders>
                  <w:vAlign w:val="center"/>
                </w:tcPr>
                <w:p w14:paraId="7CE5B514">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10" w:type="dxa"/>
                  <w:vAlign w:val="center"/>
                </w:tcPr>
                <w:p w14:paraId="65112749">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11:55</w:t>
                  </w:r>
                </w:p>
              </w:tc>
              <w:tc>
                <w:tcPr>
                  <w:tcW w:w="3912" w:type="dxa"/>
                  <w:gridSpan w:val="4"/>
                  <w:vAlign w:val="center"/>
                </w:tcPr>
                <w:p w14:paraId="35C9275C">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1.07</w:t>
                  </w:r>
                </w:p>
              </w:tc>
              <w:tc>
                <w:tcPr>
                  <w:tcW w:w="1193" w:type="dxa"/>
                  <w:vMerge w:val="continue"/>
                  <w:vAlign w:val="center"/>
                </w:tcPr>
                <w:p w14:paraId="7F01A7A2">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68" w:type="dxa"/>
                  <w:vMerge w:val="continue"/>
                  <w:vAlign w:val="center"/>
                </w:tcPr>
                <w:p w14:paraId="33A2C74C">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74F40D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trPr>
              <w:tc>
                <w:tcPr>
                  <w:tcW w:w="872" w:type="dxa"/>
                  <w:vMerge w:val="restart"/>
                  <w:tcBorders>
                    <w:bottom w:val="nil"/>
                  </w:tcBorders>
                  <w:vAlign w:val="center"/>
                </w:tcPr>
                <w:p w14:paraId="0149A3BA">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p w14:paraId="2886549A">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G5</w:t>
                  </w:r>
                </w:p>
              </w:tc>
              <w:tc>
                <w:tcPr>
                  <w:tcW w:w="810" w:type="dxa"/>
                  <w:vAlign w:val="center"/>
                </w:tcPr>
                <w:p w14:paraId="20AB9204">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08:38</w:t>
                  </w:r>
                </w:p>
              </w:tc>
              <w:tc>
                <w:tcPr>
                  <w:tcW w:w="3912" w:type="dxa"/>
                  <w:gridSpan w:val="4"/>
                  <w:vAlign w:val="center"/>
                </w:tcPr>
                <w:p w14:paraId="2445ED9F">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1.58</w:t>
                  </w:r>
                </w:p>
              </w:tc>
              <w:tc>
                <w:tcPr>
                  <w:tcW w:w="1193" w:type="dxa"/>
                  <w:vMerge w:val="continue"/>
                  <w:vAlign w:val="center"/>
                </w:tcPr>
                <w:p w14:paraId="3C57D962">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68" w:type="dxa"/>
                  <w:vMerge w:val="continue"/>
                  <w:vAlign w:val="center"/>
                </w:tcPr>
                <w:p w14:paraId="1F648490">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40FE74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trPr>
              <w:tc>
                <w:tcPr>
                  <w:tcW w:w="872" w:type="dxa"/>
                  <w:vMerge w:val="continue"/>
                  <w:tcBorders>
                    <w:top w:val="nil"/>
                    <w:bottom w:val="nil"/>
                  </w:tcBorders>
                  <w:vAlign w:val="center"/>
                </w:tcPr>
                <w:p w14:paraId="0FE2FE97">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10" w:type="dxa"/>
                  <w:vAlign w:val="center"/>
                </w:tcPr>
                <w:p w14:paraId="6025AE65">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09:38</w:t>
                  </w:r>
                </w:p>
              </w:tc>
              <w:tc>
                <w:tcPr>
                  <w:tcW w:w="3912" w:type="dxa"/>
                  <w:gridSpan w:val="4"/>
                  <w:vAlign w:val="center"/>
                </w:tcPr>
                <w:p w14:paraId="0FBD7809">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1.50</w:t>
                  </w:r>
                </w:p>
              </w:tc>
              <w:tc>
                <w:tcPr>
                  <w:tcW w:w="1193" w:type="dxa"/>
                  <w:vMerge w:val="continue"/>
                  <w:vAlign w:val="center"/>
                </w:tcPr>
                <w:p w14:paraId="04AAE25A">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68" w:type="dxa"/>
                  <w:vMerge w:val="continue"/>
                  <w:vAlign w:val="center"/>
                </w:tcPr>
                <w:p w14:paraId="6479646A">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19D0E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trPr>
              <w:tc>
                <w:tcPr>
                  <w:tcW w:w="872" w:type="dxa"/>
                  <w:vMerge w:val="continue"/>
                  <w:tcBorders>
                    <w:top w:val="nil"/>
                    <w:bottom w:val="nil"/>
                  </w:tcBorders>
                  <w:vAlign w:val="center"/>
                </w:tcPr>
                <w:p w14:paraId="604E1CBC">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10" w:type="dxa"/>
                  <w:vAlign w:val="center"/>
                </w:tcPr>
                <w:p w14:paraId="169DE538">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10:38</w:t>
                  </w:r>
                </w:p>
              </w:tc>
              <w:tc>
                <w:tcPr>
                  <w:tcW w:w="3912" w:type="dxa"/>
                  <w:gridSpan w:val="4"/>
                  <w:vAlign w:val="center"/>
                </w:tcPr>
                <w:p w14:paraId="2955DEB1">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1.57</w:t>
                  </w:r>
                </w:p>
              </w:tc>
              <w:tc>
                <w:tcPr>
                  <w:tcW w:w="1193" w:type="dxa"/>
                  <w:vMerge w:val="continue"/>
                  <w:vAlign w:val="center"/>
                </w:tcPr>
                <w:p w14:paraId="1793B371">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68" w:type="dxa"/>
                  <w:vMerge w:val="continue"/>
                  <w:vAlign w:val="center"/>
                </w:tcPr>
                <w:p w14:paraId="1BCA6864">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18FDCC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872" w:type="dxa"/>
                  <w:vMerge w:val="continue"/>
                  <w:tcBorders>
                    <w:top w:val="nil"/>
                  </w:tcBorders>
                  <w:vAlign w:val="center"/>
                </w:tcPr>
                <w:p w14:paraId="03E888C8">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10" w:type="dxa"/>
                  <w:vAlign w:val="center"/>
                </w:tcPr>
                <w:p w14:paraId="50EE3C64">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11:38</w:t>
                  </w:r>
                </w:p>
              </w:tc>
              <w:tc>
                <w:tcPr>
                  <w:tcW w:w="3912" w:type="dxa"/>
                  <w:gridSpan w:val="4"/>
                  <w:vAlign w:val="center"/>
                </w:tcPr>
                <w:p w14:paraId="50E2278D">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1.55</w:t>
                  </w:r>
                </w:p>
              </w:tc>
              <w:tc>
                <w:tcPr>
                  <w:tcW w:w="1193" w:type="dxa"/>
                  <w:vMerge w:val="continue"/>
                  <w:vAlign w:val="center"/>
                </w:tcPr>
                <w:p w14:paraId="31E2B6F8">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68" w:type="dxa"/>
                  <w:vMerge w:val="continue"/>
                  <w:vAlign w:val="center"/>
                </w:tcPr>
                <w:p w14:paraId="517DB27A">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bl>
          <w:p w14:paraId="0C106F66">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由</w:t>
            </w:r>
            <w:r>
              <w:rPr>
                <w:rFonts w:hint="default" w:ascii="Times New Roman" w:hAnsi="Times New Roman" w:eastAsia="宋体" w:cs="Times New Roman"/>
                <w:color w:val="000000" w:themeColor="text1"/>
                <w:sz w:val="24"/>
                <w:lang w:eastAsia="zh-CN"/>
                <w14:textFill>
                  <w14:solidFill>
                    <w14:schemeClr w14:val="tx1"/>
                  </w14:solidFill>
                </w14:textFill>
              </w:rPr>
              <w:t>上表</w:t>
            </w:r>
            <w:r>
              <w:rPr>
                <w:rFonts w:hint="default" w:ascii="Times New Roman" w:hAnsi="Times New Roman" w:eastAsia="宋体" w:cs="Times New Roman"/>
                <w:color w:val="000000" w:themeColor="text1"/>
                <w:sz w:val="24"/>
                <w14:textFill>
                  <w14:solidFill>
                    <w14:schemeClr w14:val="tx1"/>
                  </w14:solidFill>
                </w14:textFill>
              </w:rPr>
              <w:t>可知，监测期间本项目厂界无组织排放非甲烧总烃废气参照</w:t>
            </w:r>
            <w:r>
              <w:rPr>
                <w:rFonts w:hint="default" w:ascii="Times New Roman" w:hAnsi="Times New Roman" w:eastAsia="宋体" w:cs="Times New Roman"/>
                <w:color w:val="000000" w:themeColor="text1"/>
                <w:sz w:val="24"/>
                <w:lang w:val="en-US" w:eastAsia="zh-CN"/>
                <w14:textFill>
                  <w14:solidFill>
                    <w14:schemeClr w14:val="tx1"/>
                  </w14:solidFill>
                </w14:textFill>
              </w:rPr>
              <w:t>满足</w:t>
            </w:r>
            <w:r>
              <w:rPr>
                <w:rFonts w:hint="default" w:ascii="Times New Roman" w:hAnsi="Times New Roman" w:eastAsia="宋体" w:cs="Times New Roman"/>
                <w:color w:val="000000" w:themeColor="text1"/>
                <w:sz w:val="24"/>
                <w14:textFill>
                  <w14:solidFill>
                    <w14:schemeClr w14:val="tx1"/>
                  </w14:solidFill>
                </w14:textFill>
              </w:rPr>
              <w:t>天津市DB12/524-</w:t>
            </w:r>
            <w:r>
              <w:rPr>
                <w:rFonts w:hint="default" w:ascii="Times New Roman" w:hAnsi="Times New Roman" w:eastAsia="宋体" w:cs="Times New Roman"/>
                <w:color w:val="000000" w:themeColor="text1"/>
                <w:sz w:val="24"/>
                <w:lang w:val="en-US" w:eastAsia="zh-CN"/>
                <w14:textFill>
                  <w14:solidFill>
                    <w14:schemeClr w14:val="tx1"/>
                  </w14:solidFill>
                </w14:textFill>
              </w:rPr>
              <w:t>2020</w:t>
            </w:r>
            <w:r>
              <w:rPr>
                <w:rFonts w:hint="default" w:ascii="Times New Roman" w:hAnsi="Times New Roman" w:eastAsia="宋体" w:cs="Times New Roman"/>
                <w:color w:val="000000" w:themeColor="text1"/>
                <w:sz w:val="24"/>
                <w14:textFill>
                  <w14:solidFill>
                    <w14:schemeClr w14:val="tx1"/>
                  </w14:solidFill>
                </w14:textFill>
              </w:rPr>
              <w:t>《工业企业挥发性有机物排放控制标准》中</w:t>
            </w:r>
            <w:r>
              <w:rPr>
                <w:rFonts w:hint="default" w:ascii="Times New Roman" w:hAnsi="Times New Roman" w:eastAsia="宋体" w:cs="Times New Roman"/>
                <w:color w:val="000000" w:themeColor="text1"/>
                <w:sz w:val="24"/>
                <w:lang w:val="en-US" w:eastAsia="zh-CN"/>
                <w14:textFill>
                  <w14:solidFill>
                    <w14:schemeClr w14:val="tx1"/>
                  </w14:solidFill>
                </w14:textFill>
              </w:rPr>
              <w:t>无组织</w:t>
            </w:r>
            <w:r>
              <w:rPr>
                <w:rFonts w:hint="default" w:ascii="Times New Roman" w:hAnsi="Times New Roman" w:eastAsia="宋体" w:cs="Times New Roman"/>
                <w:color w:val="000000" w:themeColor="text1"/>
                <w:sz w:val="24"/>
                <w14:textFill>
                  <w14:solidFill>
                    <w14:schemeClr w14:val="tx1"/>
                  </w14:solidFill>
                </w14:textFill>
              </w:rPr>
              <w:t>标准要求浓度限值。</w:t>
            </w:r>
          </w:p>
          <w:p w14:paraId="3FAB1921">
            <w:pPr>
              <w:keepNext w:val="0"/>
              <w:keepLines w:val="0"/>
              <w:pageBreakBefore w:val="0"/>
              <w:widowControl/>
              <w:kinsoku w:val="0"/>
              <w:wordWrap/>
              <w:overflowPunct/>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表2</w:t>
            </w:r>
            <w:r>
              <w:rPr>
                <w:rFonts w:hint="default" w:ascii="Times New Roman" w:hAnsi="Times New Roman" w:eastAsia="宋体" w:cs="Times New Roman"/>
                <w:b/>
                <w:bCs/>
                <w:color w:val="000000" w:themeColor="text1"/>
                <w:sz w:val="24"/>
                <w:lang w:val="en-US" w:eastAsia="zh-CN"/>
                <w14:textFill>
                  <w14:solidFill>
                    <w14:schemeClr w14:val="tx1"/>
                  </w14:solidFill>
                </w14:textFill>
              </w:rPr>
              <w:t>-10</w:t>
            </w:r>
            <w:r>
              <w:rPr>
                <w:rFonts w:hint="default" w:ascii="Times New Roman" w:hAnsi="Times New Roman" w:eastAsia="宋体" w:cs="Times New Roman"/>
                <w:b/>
                <w:bCs/>
                <w:color w:val="000000" w:themeColor="text1"/>
                <w:sz w:val="24"/>
                <w14:textFill>
                  <w14:solidFill>
                    <w14:schemeClr w14:val="tx1"/>
                  </w14:solidFill>
                </w14:textFill>
              </w:rPr>
              <w:t>现有项目废气监测结果一览表（单位：mg/m</w:t>
            </w:r>
            <w:r>
              <w:rPr>
                <w:rFonts w:hint="default" w:ascii="Times New Roman" w:hAnsi="Times New Roman" w:eastAsia="宋体" w:cs="Times New Roman"/>
                <w:b/>
                <w:bCs/>
                <w:color w:val="000000" w:themeColor="text1"/>
                <w:sz w:val="24"/>
                <w:vertAlign w:val="superscript"/>
                <w14:textFill>
                  <w14:solidFill>
                    <w14:schemeClr w14:val="tx1"/>
                  </w14:solidFill>
                </w14:textFill>
              </w:rPr>
              <w:t>3</w:t>
            </w:r>
            <w:r>
              <w:rPr>
                <w:rFonts w:hint="default" w:ascii="Times New Roman" w:hAnsi="Times New Roman" w:eastAsia="宋体" w:cs="Times New Roman"/>
                <w:b/>
                <w:bCs/>
                <w:color w:val="000000" w:themeColor="text1"/>
                <w:sz w:val="24"/>
                <w14:textFill>
                  <w14:solidFill>
                    <w14:schemeClr w14:val="tx1"/>
                  </w14:solidFill>
                </w14:textFill>
              </w:rPr>
              <w:t>）</w:t>
            </w:r>
          </w:p>
          <w:tbl>
            <w:tblPr>
              <w:tblStyle w:val="44"/>
              <w:tblW w:w="7657" w:type="dxa"/>
              <w:tblInd w:w="1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9"/>
              <w:gridCol w:w="953"/>
              <w:gridCol w:w="880"/>
              <w:gridCol w:w="960"/>
              <w:gridCol w:w="1075"/>
              <w:gridCol w:w="908"/>
              <w:gridCol w:w="841"/>
              <w:gridCol w:w="1471"/>
            </w:tblGrid>
            <w:tr w14:paraId="1EEF5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69" w:type="dxa"/>
                  <w:vMerge w:val="restart"/>
                  <w:tcBorders>
                    <w:top w:val="single" w:color="auto" w:sz="4" w:space="0"/>
                    <w:bottom w:val="single" w:color="auto" w:sz="4" w:space="0"/>
                    <w:right w:val="single" w:color="auto" w:sz="4" w:space="0"/>
                  </w:tcBorders>
                  <w:vAlign w:val="center"/>
                </w:tcPr>
                <w:p w14:paraId="27F88728">
                  <w:pPr>
                    <w:widowControl w:val="0"/>
                    <w:spacing w:line="240" w:lineRule="atLeast"/>
                    <w:jc w:val="both"/>
                    <w:rPr>
                      <w:rFonts w:hint="default" w:ascii="Times New Roman" w:hAnsi="Times New Roman" w:eastAsia="宋体" w:cs="Times New Roman"/>
                      <w:color w:val="000000" w:themeColor="text1"/>
                      <w:szCs w:val="21"/>
                      <w14:textFill>
                        <w14:solidFill>
                          <w14:schemeClr w14:val="tx1"/>
                        </w14:solidFill>
                      </w14:textFill>
                    </w:rPr>
                  </w:pPr>
                </w:p>
                <w:p w14:paraId="6D78A5F5">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p>
                <w:p w14:paraId="342F8226">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采样日期</w:t>
                  </w:r>
                </w:p>
              </w:tc>
              <w:tc>
                <w:tcPr>
                  <w:tcW w:w="953" w:type="dxa"/>
                  <w:tcBorders>
                    <w:top w:val="single" w:color="auto" w:sz="4" w:space="0"/>
                    <w:left w:val="single" w:color="auto" w:sz="4" w:space="0"/>
                    <w:bottom w:val="single" w:color="auto" w:sz="4" w:space="0"/>
                    <w:right w:val="single" w:color="auto" w:sz="4" w:space="0"/>
                  </w:tcBorders>
                  <w:vAlign w:val="center"/>
                </w:tcPr>
                <w:p w14:paraId="0B69C663">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检测项目</w:t>
                  </w:r>
                </w:p>
              </w:tc>
              <w:tc>
                <w:tcPr>
                  <w:tcW w:w="3823" w:type="dxa"/>
                  <w:gridSpan w:val="4"/>
                  <w:tcBorders>
                    <w:top w:val="single" w:color="auto" w:sz="4" w:space="0"/>
                    <w:left w:val="single" w:color="auto" w:sz="4" w:space="0"/>
                    <w:bottom w:val="single" w:color="auto" w:sz="4" w:space="0"/>
                    <w:right w:val="single" w:color="auto" w:sz="4" w:space="0"/>
                  </w:tcBorders>
                  <w:vAlign w:val="center"/>
                </w:tcPr>
                <w:p w14:paraId="055E3C7E">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非甲烷总烃</w:t>
                  </w:r>
                </w:p>
              </w:tc>
              <w:tc>
                <w:tcPr>
                  <w:tcW w:w="84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9445917">
                  <w:pPr>
                    <w:widowControl w:val="0"/>
                    <w:spacing w:line="240" w:lineRule="atLeast"/>
                    <w:jc w:val="center"/>
                    <w:rPr>
                      <w:rFonts w:hint="default" w:ascii="Times New Roman" w:hAnsi="Times New Roman" w:eastAsia="宋体" w:cs="Times New Roman"/>
                      <w:b/>
                      <w:bCs/>
                      <w:snapToGrid w:val="0"/>
                      <w:color w:val="000000" w:themeColor="text1"/>
                      <w:sz w:val="21"/>
                      <w:szCs w:val="21"/>
                      <w:lang w:val="en-US" w:eastAsia="en-US" w:bidi="ar-SA"/>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执行标准</w:t>
                  </w:r>
                </w:p>
              </w:tc>
              <w:tc>
                <w:tcPr>
                  <w:tcW w:w="14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8E54386">
                  <w:pPr>
                    <w:widowControl w:val="0"/>
                    <w:spacing w:line="240" w:lineRule="atLeast"/>
                    <w:jc w:val="center"/>
                    <w:rPr>
                      <w:rFonts w:hint="default" w:ascii="Times New Roman" w:hAnsi="Times New Roman" w:eastAsia="宋体" w:cs="Times New Roman"/>
                      <w:b/>
                      <w:bCs/>
                      <w:snapToGrid w:val="0"/>
                      <w:color w:val="000000" w:themeColor="text1"/>
                      <w:sz w:val="21"/>
                      <w:szCs w:val="21"/>
                      <w:lang w:val="en-US" w:eastAsia="en-US" w:bidi="ar-SA"/>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达标情况</w:t>
                  </w:r>
                </w:p>
              </w:tc>
            </w:tr>
            <w:tr w14:paraId="2B1EC6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569" w:type="dxa"/>
                  <w:vMerge w:val="continue"/>
                  <w:tcBorders>
                    <w:top w:val="single" w:color="auto" w:sz="4" w:space="0"/>
                    <w:left w:val="single" w:color="auto" w:sz="4" w:space="0"/>
                    <w:bottom w:val="single" w:color="auto" w:sz="4" w:space="0"/>
                    <w:right w:val="single" w:color="auto" w:sz="4" w:space="0"/>
                  </w:tcBorders>
                  <w:vAlign w:val="center"/>
                </w:tcPr>
                <w:p w14:paraId="126F44E5">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p>
              </w:tc>
              <w:tc>
                <w:tcPr>
                  <w:tcW w:w="953" w:type="dxa"/>
                  <w:tcBorders>
                    <w:top w:val="single" w:color="auto" w:sz="4" w:space="0"/>
                    <w:left w:val="single" w:color="auto" w:sz="4" w:space="0"/>
                    <w:bottom w:val="single" w:color="auto" w:sz="4" w:space="0"/>
                    <w:right w:val="single" w:color="auto" w:sz="4" w:space="0"/>
                  </w:tcBorders>
                  <w:vAlign w:val="center"/>
                </w:tcPr>
                <w:p w14:paraId="4BAD98C7">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检出限(mg/m)</w:t>
                  </w:r>
                </w:p>
              </w:tc>
              <w:tc>
                <w:tcPr>
                  <w:tcW w:w="3823" w:type="dxa"/>
                  <w:gridSpan w:val="4"/>
                  <w:tcBorders>
                    <w:top w:val="single" w:color="auto" w:sz="4" w:space="0"/>
                    <w:left w:val="single" w:color="auto" w:sz="4" w:space="0"/>
                    <w:bottom w:val="single" w:color="auto" w:sz="4" w:space="0"/>
                    <w:right w:val="single" w:color="auto" w:sz="4" w:space="0"/>
                  </w:tcBorders>
                  <w:vAlign w:val="center"/>
                </w:tcPr>
                <w:p w14:paraId="04918FA5">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0.07</w:t>
                  </w: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525DC69B">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p>
              </w:tc>
              <w:tc>
                <w:tcPr>
                  <w:tcW w:w="1471" w:type="dxa"/>
                  <w:vMerge w:val="continue"/>
                  <w:tcBorders>
                    <w:top w:val="single" w:color="auto" w:sz="4" w:space="0"/>
                    <w:left w:val="single" w:color="auto" w:sz="4" w:space="0"/>
                    <w:bottom w:val="single" w:color="auto" w:sz="4" w:space="0"/>
                    <w:right w:val="single" w:color="auto" w:sz="4" w:space="0"/>
                  </w:tcBorders>
                  <w:vAlign w:val="center"/>
                </w:tcPr>
                <w:p w14:paraId="4C8B2AD4">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p>
              </w:tc>
            </w:tr>
            <w:tr w14:paraId="1B034D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69" w:type="dxa"/>
                  <w:vMerge w:val="continue"/>
                  <w:tcBorders>
                    <w:top w:val="single" w:color="auto" w:sz="4" w:space="0"/>
                    <w:left w:val="single" w:color="auto" w:sz="4" w:space="0"/>
                    <w:bottom w:val="single" w:color="auto" w:sz="4" w:space="0"/>
                    <w:right w:val="single" w:color="auto" w:sz="4" w:space="0"/>
                  </w:tcBorders>
                  <w:vAlign w:val="center"/>
                </w:tcPr>
                <w:p w14:paraId="05962EC5">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p>
              </w:tc>
              <w:tc>
                <w:tcPr>
                  <w:tcW w:w="953" w:type="dxa"/>
                  <w:tcBorders>
                    <w:top w:val="single" w:color="auto" w:sz="4" w:space="0"/>
                    <w:left w:val="single" w:color="auto" w:sz="4" w:space="0"/>
                    <w:bottom w:val="single" w:color="auto" w:sz="4" w:space="0"/>
                    <w:right w:val="single" w:color="auto" w:sz="4" w:space="0"/>
                  </w:tcBorders>
                  <w:vAlign w:val="center"/>
                </w:tcPr>
                <w:p w14:paraId="0764442D">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完成日期</w:t>
                  </w:r>
                </w:p>
              </w:tc>
              <w:tc>
                <w:tcPr>
                  <w:tcW w:w="3823" w:type="dxa"/>
                  <w:gridSpan w:val="4"/>
                  <w:tcBorders>
                    <w:top w:val="single" w:color="auto" w:sz="4" w:space="0"/>
                    <w:left w:val="single" w:color="auto" w:sz="4" w:space="0"/>
                    <w:bottom w:val="single" w:color="auto" w:sz="4" w:space="0"/>
                    <w:right w:val="single" w:color="auto" w:sz="4" w:space="0"/>
                  </w:tcBorders>
                  <w:vAlign w:val="center"/>
                </w:tcPr>
                <w:p w14:paraId="63B56F92">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2023-08-11~2023-08-12</w:t>
                  </w: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5205B485">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p>
              </w:tc>
              <w:tc>
                <w:tcPr>
                  <w:tcW w:w="1471" w:type="dxa"/>
                  <w:vMerge w:val="continue"/>
                  <w:tcBorders>
                    <w:top w:val="single" w:color="auto" w:sz="4" w:space="0"/>
                    <w:left w:val="single" w:color="auto" w:sz="4" w:space="0"/>
                    <w:bottom w:val="single" w:color="auto" w:sz="4" w:space="0"/>
                    <w:right w:val="single" w:color="auto" w:sz="4" w:space="0"/>
                  </w:tcBorders>
                  <w:vAlign w:val="center"/>
                </w:tcPr>
                <w:p w14:paraId="67EF130E">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p>
              </w:tc>
            </w:tr>
            <w:tr w14:paraId="1EB3F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69" w:type="dxa"/>
                  <w:vMerge w:val="continue"/>
                  <w:tcBorders>
                    <w:top w:val="single" w:color="auto" w:sz="4" w:space="0"/>
                    <w:left w:val="single" w:color="auto" w:sz="4" w:space="0"/>
                    <w:bottom w:val="single" w:color="auto" w:sz="4" w:space="0"/>
                    <w:right w:val="single" w:color="auto" w:sz="4" w:space="0"/>
                  </w:tcBorders>
                  <w:vAlign w:val="center"/>
                </w:tcPr>
                <w:p w14:paraId="2E85B983">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p>
              </w:tc>
              <w:tc>
                <w:tcPr>
                  <w:tcW w:w="953" w:type="dxa"/>
                  <w:tcBorders>
                    <w:top w:val="single" w:color="auto" w:sz="4" w:space="0"/>
                    <w:left w:val="single" w:color="auto" w:sz="4" w:space="0"/>
                    <w:bottom w:val="single" w:color="auto" w:sz="4" w:space="0"/>
                    <w:right w:val="single" w:color="auto" w:sz="4" w:space="0"/>
                  </w:tcBorders>
                  <w:vAlign w:val="center"/>
                </w:tcPr>
                <w:p w14:paraId="43BC9C83">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采样位置</w:t>
                  </w:r>
                </w:p>
              </w:tc>
              <w:tc>
                <w:tcPr>
                  <w:tcW w:w="1840" w:type="dxa"/>
                  <w:gridSpan w:val="2"/>
                  <w:tcBorders>
                    <w:top w:val="single" w:color="auto" w:sz="4" w:space="0"/>
                    <w:left w:val="single" w:color="auto" w:sz="4" w:space="0"/>
                    <w:bottom w:val="single" w:color="auto" w:sz="4" w:space="0"/>
                    <w:right w:val="single" w:color="auto" w:sz="4" w:space="0"/>
                  </w:tcBorders>
                  <w:vAlign w:val="center"/>
                </w:tcPr>
                <w:p w14:paraId="0D0F552C">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DA001进口</w:t>
                  </w:r>
                </w:p>
              </w:tc>
              <w:tc>
                <w:tcPr>
                  <w:tcW w:w="1983" w:type="dxa"/>
                  <w:gridSpan w:val="2"/>
                  <w:tcBorders>
                    <w:top w:val="single" w:color="auto" w:sz="4" w:space="0"/>
                    <w:left w:val="single" w:color="auto" w:sz="4" w:space="0"/>
                    <w:bottom w:val="single" w:color="auto" w:sz="4" w:space="0"/>
                    <w:right w:val="single" w:color="auto" w:sz="4" w:space="0"/>
                  </w:tcBorders>
                  <w:vAlign w:val="center"/>
                </w:tcPr>
                <w:p w14:paraId="06F20119">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DA001出口</w:t>
                  </w: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08887AF">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p>
              </w:tc>
              <w:tc>
                <w:tcPr>
                  <w:tcW w:w="1471" w:type="dxa"/>
                  <w:vMerge w:val="continue"/>
                  <w:tcBorders>
                    <w:top w:val="single" w:color="auto" w:sz="4" w:space="0"/>
                    <w:left w:val="single" w:color="auto" w:sz="4" w:space="0"/>
                    <w:bottom w:val="single" w:color="auto" w:sz="4" w:space="0"/>
                    <w:right w:val="single" w:color="auto" w:sz="4" w:space="0"/>
                  </w:tcBorders>
                  <w:vAlign w:val="center"/>
                </w:tcPr>
                <w:p w14:paraId="3AAE4BCF">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p>
              </w:tc>
            </w:tr>
            <w:tr w14:paraId="69498F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69" w:type="dxa"/>
                  <w:vMerge w:val="continue"/>
                  <w:tcBorders>
                    <w:top w:val="single" w:color="auto" w:sz="4" w:space="0"/>
                    <w:left w:val="single" w:color="auto" w:sz="4" w:space="0"/>
                    <w:bottom w:val="single" w:color="auto" w:sz="4" w:space="0"/>
                    <w:right w:val="single" w:color="auto" w:sz="4" w:space="0"/>
                  </w:tcBorders>
                  <w:vAlign w:val="center"/>
                </w:tcPr>
                <w:p w14:paraId="6D60B89E">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p>
              </w:tc>
              <w:tc>
                <w:tcPr>
                  <w:tcW w:w="953" w:type="dxa"/>
                  <w:tcBorders>
                    <w:top w:val="single" w:color="auto" w:sz="4" w:space="0"/>
                    <w:left w:val="single" w:color="auto" w:sz="4" w:space="0"/>
                    <w:bottom w:val="single" w:color="auto" w:sz="4" w:space="0"/>
                    <w:right w:val="single" w:color="auto" w:sz="4" w:space="0"/>
                  </w:tcBorders>
                  <w:vAlign w:val="center"/>
                </w:tcPr>
                <w:p w14:paraId="5509EB24">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检测指标</w:t>
                  </w:r>
                </w:p>
                <w:p w14:paraId="6686BA2B">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采样频次</w:t>
                  </w:r>
                </w:p>
              </w:tc>
              <w:tc>
                <w:tcPr>
                  <w:tcW w:w="880" w:type="dxa"/>
                  <w:tcBorders>
                    <w:top w:val="single" w:color="auto" w:sz="4" w:space="0"/>
                    <w:left w:val="single" w:color="auto" w:sz="4" w:space="0"/>
                    <w:bottom w:val="single" w:color="auto" w:sz="4" w:space="0"/>
                    <w:right w:val="single" w:color="auto" w:sz="4" w:space="0"/>
                  </w:tcBorders>
                  <w:vAlign w:val="center"/>
                </w:tcPr>
                <w:p w14:paraId="6F6C828D">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排放浓度(mg/m³)</w:t>
                  </w:r>
                </w:p>
              </w:tc>
              <w:tc>
                <w:tcPr>
                  <w:tcW w:w="960" w:type="dxa"/>
                  <w:tcBorders>
                    <w:top w:val="single" w:color="auto" w:sz="4" w:space="0"/>
                    <w:left w:val="single" w:color="auto" w:sz="4" w:space="0"/>
                    <w:bottom w:val="single" w:color="auto" w:sz="4" w:space="0"/>
                    <w:right w:val="single" w:color="auto" w:sz="4" w:space="0"/>
                  </w:tcBorders>
                  <w:vAlign w:val="center"/>
                </w:tcPr>
                <w:p w14:paraId="6F855732">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排放速率(kg/h)</w:t>
                  </w:r>
                </w:p>
              </w:tc>
              <w:tc>
                <w:tcPr>
                  <w:tcW w:w="1075" w:type="dxa"/>
                  <w:tcBorders>
                    <w:top w:val="single" w:color="auto" w:sz="4" w:space="0"/>
                    <w:left w:val="single" w:color="auto" w:sz="4" w:space="0"/>
                    <w:bottom w:val="single" w:color="auto" w:sz="4" w:space="0"/>
                    <w:right w:val="single" w:color="auto" w:sz="4" w:space="0"/>
                  </w:tcBorders>
                  <w:vAlign w:val="center"/>
                </w:tcPr>
                <w:p w14:paraId="0AED8F7D">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排放浓度(mg/n³)</w:t>
                  </w:r>
                </w:p>
              </w:tc>
              <w:tc>
                <w:tcPr>
                  <w:tcW w:w="908" w:type="dxa"/>
                  <w:tcBorders>
                    <w:top w:val="single" w:color="auto" w:sz="4" w:space="0"/>
                    <w:left w:val="single" w:color="auto" w:sz="4" w:space="0"/>
                    <w:bottom w:val="single" w:color="auto" w:sz="4" w:space="0"/>
                    <w:right w:val="single" w:color="auto" w:sz="4" w:space="0"/>
                  </w:tcBorders>
                  <w:vAlign w:val="center"/>
                </w:tcPr>
                <w:p w14:paraId="0DB1AA77">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排放速率(kg/h)</w:t>
                  </w:r>
                </w:p>
              </w:tc>
              <w:tc>
                <w:tcPr>
                  <w:tcW w:w="841" w:type="dxa"/>
                  <w:tcBorders>
                    <w:top w:val="single" w:color="auto" w:sz="4" w:space="0"/>
                    <w:left w:val="single" w:color="auto" w:sz="4" w:space="0"/>
                    <w:bottom w:val="single" w:color="auto" w:sz="4" w:space="0"/>
                    <w:right w:val="single" w:color="auto" w:sz="4" w:space="0"/>
                  </w:tcBorders>
                  <w:vAlign w:val="center"/>
                </w:tcPr>
                <w:p w14:paraId="6957009E">
                  <w:pPr>
                    <w:widowControl w:val="0"/>
                    <w:spacing w:line="240" w:lineRule="atLeast"/>
                    <w:jc w:val="center"/>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Cs w:val="21"/>
                      <w:lang w:val="en-US" w:eastAsia="zh-CN"/>
                      <w14:textFill>
                        <w14:solidFill>
                          <w14:schemeClr w14:val="tx1"/>
                        </w14:solidFill>
                      </w14:textFill>
                    </w:rPr>
                    <w:t>/</w:t>
                  </w:r>
                </w:p>
              </w:tc>
              <w:tc>
                <w:tcPr>
                  <w:tcW w:w="1471" w:type="dxa"/>
                  <w:vMerge w:val="restart"/>
                  <w:tcBorders>
                    <w:top w:val="single" w:color="auto" w:sz="4" w:space="0"/>
                    <w:left w:val="single" w:color="auto" w:sz="4" w:space="0"/>
                    <w:right w:val="single" w:color="auto" w:sz="4" w:space="0"/>
                  </w:tcBorders>
                  <w:vAlign w:val="center"/>
                </w:tcPr>
                <w:p w14:paraId="6CA8810C">
                  <w:pPr>
                    <w:widowControl w:val="0"/>
                    <w:spacing w:line="240" w:lineRule="atLeast"/>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val="zh-CN" w:bidi="zh-CN"/>
                      <w14:textFill>
                        <w14:solidFill>
                          <w14:schemeClr w14:val="tx1"/>
                        </w14:solidFill>
                      </w14:textFill>
                    </w:rPr>
                    <w:t>达标</w:t>
                  </w:r>
                </w:p>
              </w:tc>
            </w:tr>
            <w:tr w14:paraId="4E1EC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69" w:type="dxa"/>
                  <w:vMerge w:val="restart"/>
                  <w:tcBorders>
                    <w:top w:val="single" w:color="auto" w:sz="4" w:space="0"/>
                    <w:left w:val="single" w:color="auto" w:sz="4" w:space="0"/>
                    <w:bottom w:val="single" w:color="auto" w:sz="4" w:space="0"/>
                    <w:right w:val="single" w:color="auto" w:sz="4" w:space="0"/>
                  </w:tcBorders>
                  <w:vAlign w:val="center"/>
                </w:tcPr>
                <w:p w14:paraId="401D970D">
                  <w:pPr>
                    <w:widowControl w:val="0"/>
                    <w:spacing w:line="240" w:lineRule="atLeast"/>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2023-08-10</w:t>
                  </w:r>
                </w:p>
              </w:tc>
              <w:tc>
                <w:tcPr>
                  <w:tcW w:w="953" w:type="dxa"/>
                  <w:tcBorders>
                    <w:top w:val="single" w:color="auto" w:sz="4" w:space="0"/>
                    <w:left w:val="single" w:color="auto" w:sz="4" w:space="0"/>
                    <w:bottom w:val="single" w:color="auto" w:sz="4" w:space="0"/>
                    <w:right w:val="single" w:color="auto" w:sz="4" w:space="0"/>
                  </w:tcBorders>
                  <w:vAlign w:val="center"/>
                </w:tcPr>
                <w:p w14:paraId="052E7A74">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第一次</w:t>
                  </w:r>
                </w:p>
              </w:tc>
              <w:tc>
                <w:tcPr>
                  <w:tcW w:w="880" w:type="dxa"/>
                  <w:tcBorders>
                    <w:top w:val="single" w:color="auto" w:sz="4" w:space="0"/>
                    <w:left w:val="single" w:color="auto" w:sz="4" w:space="0"/>
                    <w:bottom w:val="single" w:color="auto" w:sz="4" w:space="0"/>
                    <w:right w:val="single" w:color="auto" w:sz="4" w:space="0"/>
                  </w:tcBorders>
                  <w:vAlign w:val="center"/>
                </w:tcPr>
                <w:p w14:paraId="378F329F">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74.0</w:t>
                  </w:r>
                </w:p>
              </w:tc>
              <w:tc>
                <w:tcPr>
                  <w:tcW w:w="960" w:type="dxa"/>
                  <w:tcBorders>
                    <w:top w:val="single" w:color="auto" w:sz="4" w:space="0"/>
                    <w:left w:val="single" w:color="auto" w:sz="4" w:space="0"/>
                    <w:bottom w:val="single" w:color="auto" w:sz="4" w:space="0"/>
                    <w:right w:val="single" w:color="auto" w:sz="4" w:space="0"/>
                  </w:tcBorders>
                  <w:vAlign w:val="center"/>
                </w:tcPr>
                <w:p w14:paraId="6917ACA4">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0.228</w:t>
                  </w:r>
                </w:p>
              </w:tc>
              <w:tc>
                <w:tcPr>
                  <w:tcW w:w="1075" w:type="dxa"/>
                  <w:tcBorders>
                    <w:top w:val="single" w:color="auto" w:sz="4" w:space="0"/>
                    <w:left w:val="single" w:color="auto" w:sz="4" w:space="0"/>
                    <w:bottom w:val="single" w:color="auto" w:sz="4" w:space="0"/>
                    <w:right w:val="single" w:color="auto" w:sz="4" w:space="0"/>
                  </w:tcBorders>
                  <w:vAlign w:val="center"/>
                </w:tcPr>
                <w:p w14:paraId="19D3B031">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3.10</w:t>
                  </w:r>
                </w:p>
              </w:tc>
              <w:tc>
                <w:tcPr>
                  <w:tcW w:w="908" w:type="dxa"/>
                  <w:tcBorders>
                    <w:top w:val="single" w:color="auto" w:sz="4" w:space="0"/>
                    <w:left w:val="single" w:color="auto" w:sz="4" w:space="0"/>
                    <w:bottom w:val="single" w:color="auto" w:sz="4" w:space="0"/>
                    <w:right w:val="single" w:color="auto" w:sz="4" w:space="0"/>
                  </w:tcBorders>
                  <w:vAlign w:val="center"/>
                </w:tcPr>
                <w:p w14:paraId="41FB71FD">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1.09×10</w:t>
                  </w:r>
                  <w:r>
                    <w:rPr>
                      <w:rFonts w:hint="default" w:ascii="Times New Roman" w:hAnsi="Times New Roman" w:eastAsia="宋体" w:cs="Times New Roman"/>
                      <w:color w:val="000000" w:themeColor="text1"/>
                      <w:szCs w:val="21"/>
                      <w:vertAlign w:val="superscript"/>
                      <w14:textFill>
                        <w14:solidFill>
                          <w14:schemeClr w14:val="tx1"/>
                        </w14:solidFill>
                      </w14:textFill>
                    </w:rPr>
                    <w:t>-2</w:t>
                  </w:r>
                </w:p>
              </w:tc>
              <w:tc>
                <w:tcPr>
                  <w:tcW w:w="841" w:type="dxa"/>
                  <w:vMerge w:val="restart"/>
                  <w:tcBorders>
                    <w:top w:val="single" w:color="auto" w:sz="4" w:space="0"/>
                    <w:left w:val="single" w:color="auto" w:sz="4" w:space="0"/>
                    <w:right w:val="single" w:color="auto" w:sz="4" w:space="0"/>
                  </w:tcBorders>
                  <w:vAlign w:val="center"/>
                </w:tcPr>
                <w:p w14:paraId="038015C1">
                  <w:pPr>
                    <w:widowControl w:val="0"/>
                    <w:spacing w:line="240" w:lineRule="atLeast"/>
                    <w:jc w:val="center"/>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Cs w:val="21"/>
                      <w:lang w:val="en-US" w:eastAsia="zh-CN"/>
                      <w14:textFill>
                        <w14:solidFill>
                          <w14:schemeClr w14:val="tx1"/>
                        </w14:solidFill>
                      </w14:textFill>
                    </w:rPr>
                    <w:t>80</w:t>
                  </w:r>
                  <w:r>
                    <w:rPr>
                      <w:rFonts w:hint="default" w:ascii="Times New Roman" w:hAnsi="Times New Roman" w:eastAsia="宋体" w:cs="Times New Roman"/>
                      <w:b/>
                      <w:bCs/>
                      <w:color w:val="000000" w:themeColor="text1"/>
                      <w:szCs w:val="21"/>
                      <w14:textFill>
                        <w14:solidFill>
                          <w14:schemeClr w14:val="tx1"/>
                        </w14:solidFill>
                      </w14:textFill>
                    </w:rPr>
                    <w:t>mg/m³</w:t>
                  </w:r>
                </w:p>
              </w:tc>
              <w:tc>
                <w:tcPr>
                  <w:tcW w:w="1471" w:type="dxa"/>
                  <w:vMerge w:val="continue"/>
                  <w:tcBorders>
                    <w:left w:val="single" w:color="auto" w:sz="4" w:space="0"/>
                    <w:right w:val="single" w:color="auto" w:sz="4" w:space="0"/>
                  </w:tcBorders>
                  <w:vAlign w:val="center"/>
                </w:tcPr>
                <w:p w14:paraId="2AB54BAD">
                  <w:pPr>
                    <w:widowControl w:val="0"/>
                    <w:spacing w:line="240" w:lineRule="atLeast"/>
                    <w:jc w:val="center"/>
                    <w:rPr>
                      <w:rFonts w:hint="default" w:ascii="Times New Roman" w:hAnsi="Times New Roman" w:eastAsia="宋体" w:cs="Times New Roman"/>
                      <w:b/>
                      <w:bCs/>
                      <w:color w:val="000000" w:themeColor="text1"/>
                      <w:szCs w:val="21"/>
                      <w14:textFill>
                        <w14:solidFill>
                          <w14:schemeClr w14:val="tx1"/>
                        </w14:solidFill>
                      </w14:textFill>
                    </w:rPr>
                  </w:pPr>
                </w:p>
              </w:tc>
            </w:tr>
            <w:tr w14:paraId="3F15DB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69" w:type="dxa"/>
                  <w:vMerge w:val="continue"/>
                  <w:tcBorders>
                    <w:top w:val="single" w:color="auto" w:sz="4" w:space="0"/>
                    <w:left w:val="single" w:color="auto" w:sz="4" w:space="0"/>
                    <w:bottom w:val="single" w:color="auto" w:sz="4" w:space="0"/>
                    <w:right w:val="single" w:color="auto" w:sz="4" w:space="0"/>
                  </w:tcBorders>
                  <w:vAlign w:val="center"/>
                </w:tcPr>
                <w:p w14:paraId="27D57B83">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p>
              </w:tc>
              <w:tc>
                <w:tcPr>
                  <w:tcW w:w="953" w:type="dxa"/>
                  <w:tcBorders>
                    <w:top w:val="single" w:color="auto" w:sz="4" w:space="0"/>
                    <w:left w:val="single" w:color="auto" w:sz="4" w:space="0"/>
                    <w:bottom w:val="single" w:color="auto" w:sz="4" w:space="0"/>
                    <w:right w:val="single" w:color="auto" w:sz="4" w:space="0"/>
                  </w:tcBorders>
                  <w:vAlign w:val="center"/>
                </w:tcPr>
                <w:p w14:paraId="0EBA2FD1">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第二次</w:t>
                  </w:r>
                </w:p>
              </w:tc>
              <w:tc>
                <w:tcPr>
                  <w:tcW w:w="880" w:type="dxa"/>
                  <w:tcBorders>
                    <w:top w:val="single" w:color="auto" w:sz="4" w:space="0"/>
                    <w:left w:val="single" w:color="auto" w:sz="4" w:space="0"/>
                    <w:bottom w:val="single" w:color="auto" w:sz="4" w:space="0"/>
                    <w:right w:val="single" w:color="auto" w:sz="4" w:space="0"/>
                  </w:tcBorders>
                  <w:vAlign w:val="center"/>
                </w:tcPr>
                <w:p w14:paraId="3F43450A">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72.0</w:t>
                  </w:r>
                </w:p>
              </w:tc>
              <w:tc>
                <w:tcPr>
                  <w:tcW w:w="960" w:type="dxa"/>
                  <w:tcBorders>
                    <w:top w:val="single" w:color="auto" w:sz="4" w:space="0"/>
                    <w:left w:val="single" w:color="auto" w:sz="4" w:space="0"/>
                    <w:bottom w:val="single" w:color="auto" w:sz="4" w:space="0"/>
                    <w:right w:val="single" w:color="auto" w:sz="4" w:space="0"/>
                  </w:tcBorders>
                  <w:vAlign w:val="center"/>
                </w:tcPr>
                <w:p w14:paraId="0A7E0333">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0.226</w:t>
                  </w:r>
                </w:p>
              </w:tc>
              <w:tc>
                <w:tcPr>
                  <w:tcW w:w="1075" w:type="dxa"/>
                  <w:tcBorders>
                    <w:top w:val="single" w:color="auto" w:sz="4" w:space="0"/>
                    <w:left w:val="single" w:color="auto" w:sz="4" w:space="0"/>
                    <w:bottom w:val="single" w:color="auto" w:sz="4" w:space="0"/>
                    <w:right w:val="single" w:color="auto" w:sz="4" w:space="0"/>
                  </w:tcBorders>
                  <w:vAlign w:val="center"/>
                </w:tcPr>
                <w:p w14:paraId="18B224F9">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2.96</w:t>
                  </w:r>
                </w:p>
              </w:tc>
              <w:tc>
                <w:tcPr>
                  <w:tcW w:w="908" w:type="dxa"/>
                  <w:tcBorders>
                    <w:top w:val="single" w:color="auto" w:sz="4" w:space="0"/>
                    <w:left w:val="single" w:color="auto" w:sz="4" w:space="0"/>
                    <w:bottom w:val="single" w:color="auto" w:sz="4" w:space="0"/>
                    <w:right w:val="single" w:color="auto" w:sz="4" w:space="0"/>
                  </w:tcBorders>
                  <w:vAlign w:val="center"/>
                </w:tcPr>
                <w:p w14:paraId="212A94AE">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1.12×10-²</w:t>
                  </w:r>
                </w:p>
              </w:tc>
              <w:tc>
                <w:tcPr>
                  <w:tcW w:w="841" w:type="dxa"/>
                  <w:vMerge w:val="continue"/>
                  <w:tcBorders>
                    <w:left w:val="single" w:color="auto" w:sz="4" w:space="0"/>
                    <w:right w:val="single" w:color="auto" w:sz="4" w:space="0"/>
                  </w:tcBorders>
                  <w:vAlign w:val="center"/>
                </w:tcPr>
                <w:p w14:paraId="108C925E">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p>
              </w:tc>
              <w:tc>
                <w:tcPr>
                  <w:tcW w:w="1471" w:type="dxa"/>
                  <w:vMerge w:val="continue"/>
                  <w:tcBorders>
                    <w:left w:val="single" w:color="auto" w:sz="4" w:space="0"/>
                    <w:right w:val="single" w:color="auto" w:sz="4" w:space="0"/>
                  </w:tcBorders>
                  <w:vAlign w:val="center"/>
                </w:tcPr>
                <w:p w14:paraId="6AF9B7A6">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p>
              </w:tc>
            </w:tr>
            <w:tr w14:paraId="5215E0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69" w:type="dxa"/>
                  <w:vMerge w:val="continue"/>
                  <w:tcBorders>
                    <w:top w:val="single" w:color="auto" w:sz="4" w:space="0"/>
                    <w:left w:val="single" w:color="auto" w:sz="4" w:space="0"/>
                    <w:bottom w:val="single" w:color="auto" w:sz="4" w:space="0"/>
                    <w:right w:val="single" w:color="auto" w:sz="4" w:space="0"/>
                  </w:tcBorders>
                  <w:vAlign w:val="center"/>
                </w:tcPr>
                <w:p w14:paraId="642BC819">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p>
              </w:tc>
              <w:tc>
                <w:tcPr>
                  <w:tcW w:w="953" w:type="dxa"/>
                  <w:tcBorders>
                    <w:top w:val="single" w:color="auto" w:sz="4" w:space="0"/>
                    <w:left w:val="single" w:color="auto" w:sz="4" w:space="0"/>
                    <w:bottom w:val="single" w:color="auto" w:sz="4" w:space="0"/>
                    <w:right w:val="single" w:color="auto" w:sz="4" w:space="0"/>
                  </w:tcBorders>
                  <w:vAlign w:val="center"/>
                </w:tcPr>
                <w:p w14:paraId="10AA61B8">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第三次</w:t>
                  </w:r>
                </w:p>
              </w:tc>
              <w:tc>
                <w:tcPr>
                  <w:tcW w:w="880" w:type="dxa"/>
                  <w:tcBorders>
                    <w:top w:val="single" w:color="auto" w:sz="4" w:space="0"/>
                    <w:left w:val="single" w:color="auto" w:sz="4" w:space="0"/>
                    <w:bottom w:val="single" w:color="auto" w:sz="4" w:space="0"/>
                    <w:right w:val="single" w:color="auto" w:sz="4" w:space="0"/>
                  </w:tcBorders>
                  <w:vAlign w:val="center"/>
                </w:tcPr>
                <w:p w14:paraId="1261EEDB">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73.6</w:t>
                  </w:r>
                </w:p>
              </w:tc>
              <w:tc>
                <w:tcPr>
                  <w:tcW w:w="960" w:type="dxa"/>
                  <w:tcBorders>
                    <w:top w:val="single" w:color="auto" w:sz="4" w:space="0"/>
                    <w:left w:val="single" w:color="auto" w:sz="4" w:space="0"/>
                    <w:bottom w:val="single" w:color="auto" w:sz="4" w:space="0"/>
                    <w:right w:val="single" w:color="auto" w:sz="4" w:space="0"/>
                  </w:tcBorders>
                  <w:vAlign w:val="center"/>
                </w:tcPr>
                <w:p w14:paraId="1CF0181D">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0.232</w:t>
                  </w:r>
                </w:p>
              </w:tc>
              <w:tc>
                <w:tcPr>
                  <w:tcW w:w="1075" w:type="dxa"/>
                  <w:tcBorders>
                    <w:top w:val="single" w:color="auto" w:sz="4" w:space="0"/>
                    <w:left w:val="single" w:color="auto" w:sz="4" w:space="0"/>
                    <w:bottom w:val="single" w:color="auto" w:sz="4" w:space="0"/>
                    <w:right w:val="single" w:color="auto" w:sz="4" w:space="0"/>
                  </w:tcBorders>
                  <w:vAlign w:val="center"/>
                </w:tcPr>
                <w:p w14:paraId="0FE5B077">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3.10</w:t>
                  </w:r>
                </w:p>
              </w:tc>
              <w:tc>
                <w:tcPr>
                  <w:tcW w:w="908" w:type="dxa"/>
                  <w:tcBorders>
                    <w:top w:val="single" w:color="auto" w:sz="4" w:space="0"/>
                    <w:left w:val="single" w:color="auto" w:sz="4" w:space="0"/>
                    <w:bottom w:val="single" w:color="auto" w:sz="4" w:space="0"/>
                    <w:right w:val="single" w:color="auto" w:sz="4" w:space="0"/>
                  </w:tcBorders>
                  <w:vAlign w:val="center"/>
                </w:tcPr>
                <w:p w14:paraId="4B0965D1">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1.01×10</w:t>
                  </w:r>
                  <w:r>
                    <w:rPr>
                      <w:rFonts w:hint="default" w:ascii="Times New Roman" w:hAnsi="Times New Roman" w:eastAsia="宋体" w:cs="Times New Roman"/>
                      <w:color w:val="000000" w:themeColor="text1"/>
                      <w:szCs w:val="21"/>
                      <w:vertAlign w:val="superscript"/>
                      <w14:textFill>
                        <w14:solidFill>
                          <w14:schemeClr w14:val="tx1"/>
                        </w14:solidFill>
                      </w14:textFill>
                    </w:rPr>
                    <w:t>-2</w:t>
                  </w:r>
                </w:p>
              </w:tc>
              <w:tc>
                <w:tcPr>
                  <w:tcW w:w="841" w:type="dxa"/>
                  <w:vMerge w:val="continue"/>
                  <w:tcBorders>
                    <w:left w:val="single" w:color="auto" w:sz="4" w:space="0"/>
                    <w:right w:val="single" w:color="auto" w:sz="4" w:space="0"/>
                  </w:tcBorders>
                  <w:vAlign w:val="center"/>
                </w:tcPr>
                <w:p w14:paraId="44394340">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p>
              </w:tc>
              <w:tc>
                <w:tcPr>
                  <w:tcW w:w="1471" w:type="dxa"/>
                  <w:vMerge w:val="continue"/>
                  <w:tcBorders>
                    <w:left w:val="single" w:color="auto" w:sz="4" w:space="0"/>
                    <w:right w:val="single" w:color="auto" w:sz="4" w:space="0"/>
                  </w:tcBorders>
                  <w:vAlign w:val="center"/>
                </w:tcPr>
                <w:p w14:paraId="224F55DA">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p>
              </w:tc>
            </w:tr>
            <w:tr w14:paraId="0139D6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69" w:type="dxa"/>
                  <w:vMerge w:val="restart"/>
                  <w:tcBorders>
                    <w:top w:val="single" w:color="auto" w:sz="4" w:space="0"/>
                    <w:left w:val="single" w:color="auto" w:sz="4" w:space="0"/>
                    <w:bottom w:val="single" w:color="auto" w:sz="4" w:space="0"/>
                    <w:right w:val="single" w:color="auto" w:sz="4" w:space="0"/>
                  </w:tcBorders>
                  <w:vAlign w:val="center"/>
                </w:tcPr>
                <w:p w14:paraId="0FED14B3">
                  <w:pPr>
                    <w:widowControl w:val="0"/>
                    <w:spacing w:line="240" w:lineRule="atLeast"/>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2023-08-11</w:t>
                  </w:r>
                </w:p>
              </w:tc>
              <w:tc>
                <w:tcPr>
                  <w:tcW w:w="953" w:type="dxa"/>
                  <w:tcBorders>
                    <w:top w:val="single" w:color="auto" w:sz="4" w:space="0"/>
                    <w:left w:val="single" w:color="auto" w:sz="4" w:space="0"/>
                    <w:bottom w:val="single" w:color="auto" w:sz="4" w:space="0"/>
                    <w:right w:val="single" w:color="auto" w:sz="4" w:space="0"/>
                  </w:tcBorders>
                  <w:vAlign w:val="center"/>
                </w:tcPr>
                <w:p w14:paraId="12BBC840">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第一次</w:t>
                  </w:r>
                </w:p>
              </w:tc>
              <w:tc>
                <w:tcPr>
                  <w:tcW w:w="880" w:type="dxa"/>
                  <w:tcBorders>
                    <w:top w:val="single" w:color="auto" w:sz="4" w:space="0"/>
                    <w:left w:val="single" w:color="auto" w:sz="4" w:space="0"/>
                    <w:bottom w:val="single" w:color="auto" w:sz="4" w:space="0"/>
                    <w:right w:val="single" w:color="auto" w:sz="4" w:space="0"/>
                  </w:tcBorders>
                  <w:vAlign w:val="center"/>
                </w:tcPr>
                <w:p w14:paraId="40279F12">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72.4</w:t>
                  </w:r>
                </w:p>
              </w:tc>
              <w:tc>
                <w:tcPr>
                  <w:tcW w:w="960" w:type="dxa"/>
                  <w:tcBorders>
                    <w:top w:val="single" w:color="auto" w:sz="4" w:space="0"/>
                    <w:left w:val="single" w:color="auto" w:sz="4" w:space="0"/>
                    <w:bottom w:val="single" w:color="auto" w:sz="4" w:space="0"/>
                    <w:right w:val="single" w:color="auto" w:sz="4" w:space="0"/>
                  </w:tcBorders>
                  <w:vAlign w:val="center"/>
                </w:tcPr>
                <w:p w14:paraId="10F05FF9">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0.229</w:t>
                  </w:r>
                </w:p>
              </w:tc>
              <w:tc>
                <w:tcPr>
                  <w:tcW w:w="1075" w:type="dxa"/>
                  <w:tcBorders>
                    <w:top w:val="single" w:color="auto" w:sz="4" w:space="0"/>
                    <w:left w:val="single" w:color="auto" w:sz="4" w:space="0"/>
                    <w:bottom w:val="single" w:color="auto" w:sz="4" w:space="0"/>
                    <w:right w:val="single" w:color="auto" w:sz="4" w:space="0"/>
                  </w:tcBorders>
                  <w:vAlign w:val="center"/>
                </w:tcPr>
                <w:p w14:paraId="7FB1B771">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3.12</w:t>
                  </w:r>
                </w:p>
              </w:tc>
              <w:tc>
                <w:tcPr>
                  <w:tcW w:w="908" w:type="dxa"/>
                  <w:tcBorders>
                    <w:top w:val="single" w:color="auto" w:sz="4" w:space="0"/>
                    <w:left w:val="single" w:color="auto" w:sz="4" w:space="0"/>
                    <w:bottom w:val="single" w:color="auto" w:sz="4" w:space="0"/>
                    <w:right w:val="single" w:color="auto" w:sz="4" w:space="0"/>
                  </w:tcBorders>
                  <w:vAlign w:val="center"/>
                </w:tcPr>
                <w:p w14:paraId="75044C88">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1.11×10</w:t>
                  </w:r>
                  <w:r>
                    <w:rPr>
                      <w:rFonts w:hint="default" w:ascii="Times New Roman" w:hAnsi="Times New Roman" w:eastAsia="宋体" w:cs="Times New Roman"/>
                      <w:color w:val="000000" w:themeColor="text1"/>
                      <w:szCs w:val="21"/>
                      <w:vertAlign w:val="superscript"/>
                      <w14:textFill>
                        <w14:solidFill>
                          <w14:schemeClr w14:val="tx1"/>
                        </w14:solidFill>
                      </w14:textFill>
                    </w:rPr>
                    <w:t>-2</w:t>
                  </w:r>
                </w:p>
              </w:tc>
              <w:tc>
                <w:tcPr>
                  <w:tcW w:w="841" w:type="dxa"/>
                  <w:vMerge w:val="continue"/>
                  <w:tcBorders>
                    <w:left w:val="single" w:color="auto" w:sz="4" w:space="0"/>
                    <w:right w:val="single" w:color="auto" w:sz="4" w:space="0"/>
                  </w:tcBorders>
                  <w:vAlign w:val="center"/>
                </w:tcPr>
                <w:p w14:paraId="6BA79A3B">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p>
              </w:tc>
              <w:tc>
                <w:tcPr>
                  <w:tcW w:w="1471" w:type="dxa"/>
                  <w:vMerge w:val="continue"/>
                  <w:tcBorders>
                    <w:left w:val="single" w:color="auto" w:sz="4" w:space="0"/>
                    <w:right w:val="single" w:color="auto" w:sz="4" w:space="0"/>
                  </w:tcBorders>
                  <w:vAlign w:val="center"/>
                </w:tcPr>
                <w:p w14:paraId="1E0143CC">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p>
              </w:tc>
            </w:tr>
            <w:tr w14:paraId="74EAFE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69" w:type="dxa"/>
                  <w:vMerge w:val="continue"/>
                  <w:tcBorders>
                    <w:top w:val="single" w:color="auto" w:sz="4" w:space="0"/>
                    <w:left w:val="single" w:color="auto" w:sz="4" w:space="0"/>
                    <w:bottom w:val="single" w:color="auto" w:sz="4" w:space="0"/>
                    <w:right w:val="single" w:color="auto" w:sz="4" w:space="0"/>
                  </w:tcBorders>
                  <w:vAlign w:val="center"/>
                </w:tcPr>
                <w:p w14:paraId="7D5259D8">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p>
              </w:tc>
              <w:tc>
                <w:tcPr>
                  <w:tcW w:w="953" w:type="dxa"/>
                  <w:tcBorders>
                    <w:top w:val="single" w:color="auto" w:sz="4" w:space="0"/>
                    <w:left w:val="single" w:color="auto" w:sz="4" w:space="0"/>
                    <w:bottom w:val="single" w:color="auto" w:sz="4" w:space="0"/>
                    <w:right w:val="single" w:color="auto" w:sz="4" w:space="0"/>
                  </w:tcBorders>
                  <w:vAlign w:val="center"/>
                </w:tcPr>
                <w:p w14:paraId="01556101">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第二次</w:t>
                  </w:r>
                </w:p>
              </w:tc>
              <w:tc>
                <w:tcPr>
                  <w:tcW w:w="880" w:type="dxa"/>
                  <w:tcBorders>
                    <w:top w:val="single" w:color="auto" w:sz="4" w:space="0"/>
                    <w:left w:val="single" w:color="auto" w:sz="4" w:space="0"/>
                    <w:bottom w:val="single" w:color="auto" w:sz="4" w:space="0"/>
                    <w:right w:val="single" w:color="auto" w:sz="4" w:space="0"/>
                  </w:tcBorders>
                  <w:vAlign w:val="center"/>
                </w:tcPr>
                <w:p w14:paraId="4618887F">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73.2</w:t>
                  </w:r>
                </w:p>
              </w:tc>
              <w:tc>
                <w:tcPr>
                  <w:tcW w:w="960" w:type="dxa"/>
                  <w:tcBorders>
                    <w:top w:val="single" w:color="auto" w:sz="4" w:space="0"/>
                    <w:left w:val="single" w:color="auto" w:sz="4" w:space="0"/>
                    <w:bottom w:val="single" w:color="auto" w:sz="4" w:space="0"/>
                    <w:right w:val="single" w:color="auto" w:sz="4" w:space="0"/>
                  </w:tcBorders>
                  <w:vAlign w:val="center"/>
                </w:tcPr>
                <w:p w14:paraId="58A36CC4">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0.231</w:t>
                  </w:r>
                </w:p>
              </w:tc>
              <w:tc>
                <w:tcPr>
                  <w:tcW w:w="1075" w:type="dxa"/>
                  <w:tcBorders>
                    <w:top w:val="single" w:color="auto" w:sz="4" w:space="0"/>
                    <w:left w:val="single" w:color="auto" w:sz="4" w:space="0"/>
                    <w:bottom w:val="single" w:color="auto" w:sz="4" w:space="0"/>
                    <w:right w:val="single" w:color="auto" w:sz="4" w:space="0"/>
                  </w:tcBorders>
                  <w:vAlign w:val="center"/>
                </w:tcPr>
                <w:p w14:paraId="4EF8D352">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3.08</w:t>
                  </w:r>
                </w:p>
              </w:tc>
              <w:tc>
                <w:tcPr>
                  <w:tcW w:w="908" w:type="dxa"/>
                  <w:tcBorders>
                    <w:top w:val="single" w:color="auto" w:sz="4" w:space="0"/>
                    <w:left w:val="single" w:color="auto" w:sz="4" w:space="0"/>
                    <w:bottom w:val="single" w:color="auto" w:sz="4" w:space="0"/>
                    <w:right w:val="single" w:color="auto" w:sz="4" w:space="0"/>
                  </w:tcBorders>
                  <w:vAlign w:val="center"/>
                </w:tcPr>
                <w:p w14:paraId="45F584FD">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1.13×10-²</w:t>
                  </w:r>
                </w:p>
              </w:tc>
              <w:tc>
                <w:tcPr>
                  <w:tcW w:w="841" w:type="dxa"/>
                  <w:vMerge w:val="continue"/>
                  <w:tcBorders>
                    <w:left w:val="single" w:color="auto" w:sz="4" w:space="0"/>
                    <w:right w:val="single" w:color="auto" w:sz="4" w:space="0"/>
                  </w:tcBorders>
                  <w:vAlign w:val="center"/>
                </w:tcPr>
                <w:p w14:paraId="56C6EA4B">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p>
              </w:tc>
              <w:tc>
                <w:tcPr>
                  <w:tcW w:w="1471" w:type="dxa"/>
                  <w:vMerge w:val="continue"/>
                  <w:tcBorders>
                    <w:left w:val="single" w:color="auto" w:sz="4" w:space="0"/>
                    <w:right w:val="single" w:color="auto" w:sz="4" w:space="0"/>
                  </w:tcBorders>
                  <w:vAlign w:val="center"/>
                </w:tcPr>
                <w:p w14:paraId="073208EB">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p>
              </w:tc>
            </w:tr>
            <w:tr w14:paraId="28EC0F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0" w:hRule="atLeast"/>
              </w:trPr>
              <w:tc>
                <w:tcPr>
                  <w:tcW w:w="569" w:type="dxa"/>
                  <w:vMerge w:val="continue"/>
                  <w:tcBorders>
                    <w:top w:val="single" w:color="auto" w:sz="4" w:space="0"/>
                    <w:left w:val="single" w:color="auto" w:sz="4" w:space="0"/>
                    <w:bottom w:val="single" w:color="auto" w:sz="4" w:space="0"/>
                    <w:right w:val="single" w:color="auto" w:sz="4" w:space="0"/>
                  </w:tcBorders>
                  <w:vAlign w:val="center"/>
                </w:tcPr>
                <w:p w14:paraId="2C81CE2C">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p>
              </w:tc>
              <w:tc>
                <w:tcPr>
                  <w:tcW w:w="953" w:type="dxa"/>
                  <w:tcBorders>
                    <w:top w:val="single" w:color="auto" w:sz="4" w:space="0"/>
                    <w:left w:val="single" w:color="auto" w:sz="4" w:space="0"/>
                    <w:bottom w:val="single" w:color="auto" w:sz="4" w:space="0"/>
                    <w:right w:val="single" w:color="auto" w:sz="4" w:space="0"/>
                  </w:tcBorders>
                  <w:vAlign w:val="center"/>
                </w:tcPr>
                <w:p w14:paraId="389AD174">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第三次</w:t>
                  </w:r>
                </w:p>
              </w:tc>
              <w:tc>
                <w:tcPr>
                  <w:tcW w:w="880" w:type="dxa"/>
                  <w:tcBorders>
                    <w:top w:val="single" w:color="auto" w:sz="4" w:space="0"/>
                    <w:left w:val="single" w:color="auto" w:sz="4" w:space="0"/>
                    <w:bottom w:val="single" w:color="auto" w:sz="4" w:space="0"/>
                    <w:right w:val="single" w:color="auto" w:sz="4" w:space="0"/>
                  </w:tcBorders>
                  <w:vAlign w:val="center"/>
                </w:tcPr>
                <w:p w14:paraId="1436068B">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73:2.</w:t>
                  </w:r>
                </w:p>
              </w:tc>
              <w:tc>
                <w:tcPr>
                  <w:tcW w:w="960" w:type="dxa"/>
                  <w:tcBorders>
                    <w:top w:val="single" w:color="auto" w:sz="4" w:space="0"/>
                    <w:left w:val="single" w:color="auto" w:sz="4" w:space="0"/>
                    <w:bottom w:val="single" w:color="auto" w:sz="4" w:space="0"/>
                    <w:right w:val="single" w:color="auto" w:sz="4" w:space="0"/>
                  </w:tcBorders>
                  <w:vAlign w:val="center"/>
                </w:tcPr>
                <w:p w14:paraId="03D0E48E">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0.239</w:t>
                  </w:r>
                </w:p>
              </w:tc>
              <w:tc>
                <w:tcPr>
                  <w:tcW w:w="1075" w:type="dxa"/>
                  <w:tcBorders>
                    <w:top w:val="single" w:color="auto" w:sz="4" w:space="0"/>
                    <w:left w:val="single" w:color="auto" w:sz="4" w:space="0"/>
                    <w:bottom w:val="single" w:color="auto" w:sz="4" w:space="0"/>
                    <w:right w:val="single" w:color="auto" w:sz="4" w:space="0"/>
                  </w:tcBorders>
                  <w:vAlign w:val="center"/>
                </w:tcPr>
                <w:p w14:paraId="29E25781">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3.06</w:t>
                  </w:r>
                </w:p>
              </w:tc>
              <w:tc>
                <w:tcPr>
                  <w:tcW w:w="908" w:type="dxa"/>
                  <w:tcBorders>
                    <w:top w:val="single" w:color="auto" w:sz="4" w:space="0"/>
                    <w:left w:val="single" w:color="auto" w:sz="4" w:space="0"/>
                    <w:bottom w:val="single" w:color="auto" w:sz="4" w:space="0"/>
                    <w:right w:val="single" w:color="auto" w:sz="4" w:space="0"/>
                  </w:tcBorders>
                  <w:vAlign w:val="center"/>
                </w:tcPr>
                <w:p w14:paraId="5CC918EE">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1.05×10-²</w:t>
                  </w:r>
                </w:p>
              </w:tc>
              <w:tc>
                <w:tcPr>
                  <w:tcW w:w="841" w:type="dxa"/>
                  <w:vMerge w:val="continue"/>
                  <w:tcBorders>
                    <w:left w:val="single" w:color="auto" w:sz="4" w:space="0"/>
                    <w:bottom w:val="single" w:color="auto" w:sz="4" w:space="0"/>
                    <w:right w:val="single" w:color="auto" w:sz="4" w:space="0"/>
                  </w:tcBorders>
                  <w:vAlign w:val="center"/>
                </w:tcPr>
                <w:p w14:paraId="7B776AEB">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p>
              </w:tc>
              <w:tc>
                <w:tcPr>
                  <w:tcW w:w="1471" w:type="dxa"/>
                  <w:vMerge w:val="continue"/>
                  <w:tcBorders>
                    <w:left w:val="single" w:color="auto" w:sz="4" w:space="0"/>
                    <w:bottom w:val="single" w:color="auto" w:sz="4" w:space="0"/>
                    <w:right w:val="single" w:color="auto" w:sz="4" w:space="0"/>
                  </w:tcBorders>
                  <w:vAlign w:val="center"/>
                </w:tcPr>
                <w:p w14:paraId="36D98EE6">
                  <w:pPr>
                    <w:widowControl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p>
              </w:tc>
            </w:tr>
          </w:tbl>
          <w:p w14:paraId="20CA0C29">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由</w:t>
            </w:r>
            <w:r>
              <w:rPr>
                <w:rFonts w:hint="default" w:ascii="Times New Roman" w:hAnsi="Times New Roman" w:eastAsia="宋体" w:cs="Times New Roman"/>
                <w:color w:val="000000" w:themeColor="text1"/>
                <w:sz w:val="24"/>
                <w:lang w:eastAsia="zh-CN"/>
                <w14:textFill>
                  <w14:solidFill>
                    <w14:schemeClr w14:val="tx1"/>
                  </w14:solidFill>
                </w14:textFill>
              </w:rPr>
              <w:t>上表</w:t>
            </w:r>
            <w:r>
              <w:rPr>
                <w:rFonts w:hint="default" w:ascii="Times New Roman" w:hAnsi="Times New Roman" w:eastAsia="宋体" w:cs="Times New Roman"/>
                <w:color w:val="000000" w:themeColor="text1"/>
                <w:sz w:val="24"/>
                <w14:textFill>
                  <w14:solidFill>
                    <w14:schemeClr w14:val="tx1"/>
                  </w14:solidFill>
                </w14:textFill>
              </w:rPr>
              <w:t>可知，监测期间本项目</w:t>
            </w:r>
            <w:r>
              <w:rPr>
                <w:rFonts w:hint="default" w:ascii="Times New Roman" w:hAnsi="Times New Roman" w:eastAsia="宋体" w:cs="Times New Roman"/>
                <w:color w:val="000000" w:themeColor="text1"/>
                <w:sz w:val="24"/>
                <w:lang w:val="en-US" w:eastAsia="zh-CN"/>
                <w14:textFill>
                  <w14:solidFill>
                    <w14:schemeClr w14:val="tx1"/>
                  </w14:solidFill>
                </w14:textFill>
              </w:rPr>
              <w:t>有</w:t>
            </w:r>
            <w:r>
              <w:rPr>
                <w:rFonts w:hint="default" w:ascii="Times New Roman" w:hAnsi="Times New Roman" w:eastAsia="宋体" w:cs="Times New Roman"/>
                <w:color w:val="000000" w:themeColor="text1"/>
                <w:sz w:val="24"/>
                <w14:textFill>
                  <w14:solidFill>
                    <w14:schemeClr w14:val="tx1"/>
                  </w14:solidFill>
                </w14:textFill>
              </w:rPr>
              <w:t>组织排放废气</w:t>
            </w:r>
            <w:r>
              <w:rPr>
                <w:rFonts w:hint="default" w:ascii="Times New Roman" w:hAnsi="Times New Roman" w:eastAsia="宋体" w:cs="Times New Roman"/>
                <w:color w:val="000000" w:themeColor="text1"/>
                <w:sz w:val="24"/>
                <w:lang w:eastAsia="zh-CN"/>
                <w14:textFill>
                  <w14:solidFill>
                    <w14:schemeClr w14:val="tx1"/>
                  </w14:solidFill>
                </w14:textFill>
              </w:rPr>
              <w:t>满足</w:t>
            </w:r>
            <w:r>
              <w:rPr>
                <w:rFonts w:hint="default" w:ascii="Times New Roman" w:hAnsi="Times New Roman" w:eastAsia="宋体" w:cs="Times New Roman"/>
                <w:color w:val="000000" w:themeColor="text1"/>
                <w:sz w:val="24"/>
                <w14:textFill>
                  <w14:solidFill>
                    <w14:schemeClr w14:val="tx1"/>
                  </w14:solidFill>
                </w14:textFill>
              </w:rPr>
              <w:t>天津市DB12/524-</w:t>
            </w:r>
            <w:r>
              <w:rPr>
                <w:rFonts w:hint="default" w:ascii="Times New Roman" w:hAnsi="Times New Roman" w:eastAsia="宋体" w:cs="Times New Roman"/>
                <w:color w:val="000000" w:themeColor="text1"/>
                <w:sz w:val="24"/>
                <w:lang w:val="en-US" w:eastAsia="zh-CN"/>
                <w14:textFill>
                  <w14:solidFill>
                    <w14:schemeClr w14:val="tx1"/>
                  </w14:solidFill>
                </w14:textFill>
              </w:rPr>
              <w:t>2020</w:t>
            </w:r>
            <w:r>
              <w:rPr>
                <w:rFonts w:hint="default" w:ascii="Times New Roman" w:hAnsi="Times New Roman" w:eastAsia="宋体" w:cs="Times New Roman"/>
                <w:color w:val="000000" w:themeColor="text1"/>
                <w:sz w:val="24"/>
                <w14:textFill>
                  <w14:solidFill>
                    <w14:schemeClr w14:val="tx1"/>
                  </w14:solidFill>
                </w14:textFill>
              </w:rPr>
              <w:t>《工业企业挥发性有机物排放控制标准》中标准要求浓度限值。</w:t>
            </w:r>
          </w:p>
          <w:p w14:paraId="09F705A9">
            <w:pPr>
              <w:keepNext w:val="0"/>
              <w:keepLines w:val="0"/>
              <w:pageBreakBefore w:val="0"/>
              <w:widowControl/>
              <w:kinsoku w:val="0"/>
              <w:wordWrap/>
              <w:overflowPunct/>
              <w:topLinePunct w:val="0"/>
              <w:autoSpaceDE w:val="0"/>
              <w:autoSpaceDN w:val="0"/>
              <w:bidi w:val="0"/>
              <w:adjustRightInd/>
              <w:snapToGrid/>
              <w:spacing w:line="360" w:lineRule="auto"/>
              <w:textAlignment w:val="baseline"/>
              <w:rPr>
                <w:rFonts w:hint="default" w:ascii="Times New Roman" w:hAnsi="Times New Roman" w:eastAsia="宋体" w:cs="Times New Roman"/>
                <w:b/>
                <w:bCs/>
                <w:color w:val="auto"/>
                <w:sz w:val="24"/>
                <w:lang w:val="en-US" w:eastAsia="zh-CN"/>
              </w:rPr>
            </w:pPr>
          </w:p>
          <w:p w14:paraId="19973BD3">
            <w:pPr>
              <w:keepNext w:val="0"/>
              <w:keepLines w:val="0"/>
              <w:pageBreakBefore w:val="0"/>
              <w:widowControl/>
              <w:kinsoku w:val="0"/>
              <w:wordWrap/>
              <w:overflowPunct/>
              <w:topLinePunct w:val="0"/>
              <w:autoSpaceDE w:val="0"/>
              <w:autoSpaceDN w:val="0"/>
              <w:bidi w:val="0"/>
              <w:adjustRightInd/>
              <w:snapToGrid/>
              <w:spacing w:line="360" w:lineRule="auto"/>
              <w:textAlignment w:val="baseline"/>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现有工程污染物实际排放量</w:t>
            </w:r>
            <w:r>
              <w:rPr>
                <w:rFonts w:hint="default" w:ascii="Times New Roman" w:hAnsi="Times New Roman" w:eastAsia="宋体" w:cs="Times New Roman"/>
                <w:b/>
                <w:bCs/>
                <w:color w:val="auto"/>
                <w:sz w:val="24"/>
              </w:rPr>
              <w:t>：</w:t>
            </w:r>
          </w:p>
          <w:p w14:paraId="4F5CD17E">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非甲烷总烃的平均排放速率0.0112kg/h，年排放时间1200h，则挥发性有机物年排放量=0.0112kg/h×1200h/a÷1000=0.01344kg/a</w:t>
            </w:r>
          </w:p>
          <w:p w14:paraId="407CA62C">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根据以上计算可知污染物排放满足污染物总量控制指标挥发性有机物0.023t/a的要求。</w:t>
            </w:r>
          </w:p>
          <w:p w14:paraId="4B6032F4">
            <w:pPr>
              <w:keepNext w:val="0"/>
              <w:keepLines w:val="0"/>
              <w:pageBreakBefore w:val="0"/>
              <w:widowControl/>
              <w:kinsoku w:val="0"/>
              <w:wordWrap/>
              <w:overflowPunct/>
              <w:topLinePunct w:val="0"/>
              <w:autoSpaceDE w:val="0"/>
              <w:autoSpaceDN w:val="0"/>
              <w:bidi w:val="0"/>
              <w:adjustRightInd/>
              <w:snapToGrid/>
              <w:spacing w:line="360" w:lineRule="auto"/>
              <w:ind w:firstLine="482" w:firstLineChars="200"/>
              <w:textAlignment w:val="baseline"/>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（2）</w:t>
            </w:r>
            <w:r>
              <w:rPr>
                <w:rFonts w:hint="default" w:ascii="Times New Roman" w:hAnsi="Times New Roman" w:eastAsia="宋体" w:cs="Times New Roman"/>
                <w:b/>
                <w:bCs/>
                <w:color w:val="auto"/>
                <w:sz w:val="24"/>
                <w:lang w:val="en-US" w:eastAsia="zh-CN"/>
              </w:rPr>
              <w:t>油烟</w:t>
            </w:r>
            <w:r>
              <w:rPr>
                <w:rFonts w:hint="default" w:ascii="Times New Roman" w:hAnsi="Times New Roman" w:eastAsia="宋体" w:cs="Times New Roman"/>
                <w:b/>
                <w:bCs/>
                <w:color w:val="auto"/>
                <w:sz w:val="24"/>
              </w:rPr>
              <w:t>废气</w:t>
            </w:r>
          </w:p>
          <w:p w14:paraId="2703AE51">
            <w:pPr>
              <w:keepNext w:val="0"/>
              <w:keepLines w:val="0"/>
              <w:pageBreakBefore w:val="0"/>
              <w:widowControl/>
              <w:kinsoku w:val="0"/>
              <w:wordWrap/>
              <w:overflowPunct/>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表2</w:t>
            </w:r>
            <w:r>
              <w:rPr>
                <w:rFonts w:hint="default" w:ascii="Times New Roman" w:hAnsi="Times New Roman" w:eastAsia="宋体" w:cs="Times New Roman"/>
                <w:b/>
                <w:bCs/>
                <w:color w:val="auto"/>
                <w:sz w:val="24"/>
                <w:lang w:val="en-US" w:eastAsia="zh-CN"/>
              </w:rPr>
              <w:t>-11</w:t>
            </w:r>
            <w:r>
              <w:rPr>
                <w:rFonts w:hint="default" w:ascii="Times New Roman" w:hAnsi="Times New Roman" w:eastAsia="宋体" w:cs="Times New Roman"/>
                <w:b/>
                <w:bCs/>
                <w:color w:val="auto"/>
                <w:sz w:val="24"/>
              </w:rPr>
              <w:t>现有项目废气监测结果一览表（单位：mg/m</w:t>
            </w:r>
            <w:r>
              <w:rPr>
                <w:rFonts w:hint="default" w:ascii="Times New Roman" w:hAnsi="Times New Roman" w:eastAsia="宋体" w:cs="Times New Roman"/>
                <w:b/>
                <w:bCs/>
                <w:color w:val="auto"/>
                <w:sz w:val="24"/>
                <w:vertAlign w:val="superscript"/>
              </w:rPr>
              <w:t>3</w:t>
            </w:r>
            <w:r>
              <w:rPr>
                <w:rFonts w:hint="default" w:ascii="Times New Roman" w:hAnsi="Times New Roman" w:eastAsia="宋体" w:cs="Times New Roman"/>
                <w:b/>
                <w:bCs/>
                <w:color w:val="auto"/>
                <w:sz w:val="24"/>
              </w:rPr>
              <w:t>）</w:t>
            </w:r>
          </w:p>
          <w:tbl>
            <w:tblPr>
              <w:tblStyle w:val="44"/>
              <w:tblW w:w="783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9"/>
              <w:gridCol w:w="540"/>
              <w:gridCol w:w="915"/>
              <w:gridCol w:w="1046"/>
              <w:gridCol w:w="931"/>
              <w:gridCol w:w="1733"/>
              <w:gridCol w:w="1177"/>
              <w:gridCol w:w="937"/>
            </w:tblGrid>
            <w:tr w14:paraId="414B6D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559" w:type="dxa"/>
                  <w:vMerge w:val="restart"/>
                  <w:tcBorders>
                    <w:bottom w:val="nil"/>
                  </w:tcBorders>
                  <w:vAlign w:val="top"/>
                </w:tcPr>
                <w:p w14:paraId="6CF5C964">
                  <w:pPr>
                    <w:widowControl w:val="0"/>
                    <w:spacing w:line="240" w:lineRule="atLeast"/>
                    <w:jc w:val="center"/>
                    <w:rPr>
                      <w:rFonts w:hint="default" w:ascii="Times New Roman" w:hAnsi="Times New Roman" w:eastAsia="宋体" w:cs="Times New Roman"/>
                      <w:color w:val="auto"/>
                      <w:szCs w:val="21"/>
                    </w:rPr>
                  </w:pPr>
                </w:p>
                <w:p w14:paraId="0500F4D6">
                  <w:pPr>
                    <w:widowControl w:val="0"/>
                    <w:spacing w:line="240" w:lineRule="atLeast"/>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采样日期</w:t>
                  </w:r>
                </w:p>
              </w:tc>
              <w:tc>
                <w:tcPr>
                  <w:tcW w:w="1455" w:type="dxa"/>
                  <w:gridSpan w:val="2"/>
                  <w:vAlign w:val="top"/>
                </w:tcPr>
                <w:p w14:paraId="07B13478">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检测项目</w:t>
                  </w:r>
                </w:p>
              </w:tc>
              <w:tc>
                <w:tcPr>
                  <w:tcW w:w="3710" w:type="dxa"/>
                  <w:gridSpan w:val="3"/>
                  <w:vAlign w:val="top"/>
                </w:tcPr>
                <w:p w14:paraId="20D6E1C3">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油烟</w:t>
                  </w:r>
                </w:p>
              </w:tc>
              <w:tc>
                <w:tcPr>
                  <w:tcW w:w="1177" w:type="dxa"/>
                  <w:vMerge w:val="restart"/>
                  <w:shd w:val="clear" w:color="auto" w:fill="auto"/>
                  <w:vAlign w:val="center"/>
                </w:tcPr>
                <w:p w14:paraId="4E3B6056">
                  <w:pPr>
                    <w:widowControl w:val="0"/>
                    <w:spacing w:line="240" w:lineRule="atLeast"/>
                    <w:jc w:val="center"/>
                    <w:rPr>
                      <w:rFonts w:hint="default" w:ascii="Times New Roman" w:hAnsi="Times New Roman" w:eastAsia="宋体" w:cs="Times New Roman"/>
                      <w:b/>
                      <w:bCs/>
                      <w:snapToGrid w:val="0"/>
                      <w:color w:val="auto"/>
                      <w:sz w:val="21"/>
                      <w:szCs w:val="21"/>
                      <w:lang w:val="en-US" w:eastAsia="en-US" w:bidi="ar-SA"/>
                    </w:rPr>
                  </w:pPr>
                  <w:r>
                    <w:rPr>
                      <w:rFonts w:hint="default" w:ascii="Times New Roman" w:hAnsi="Times New Roman" w:eastAsia="宋体" w:cs="Times New Roman"/>
                      <w:b/>
                      <w:bCs/>
                      <w:color w:val="auto"/>
                      <w:szCs w:val="21"/>
                    </w:rPr>
                    <w:t>执行标准</w:t>
                  </w:r>
                </w:p>
              </w:tc>
              <w:tc>
                <w:tcPr>
                  <w:tcW w:w="937" w:type="dxa"/>
                  <w:vMerge w:val="restart"/>
                  <w:shd w:val="clear" w:color="auto" w:fill="auto"/>
                  <w:vAlign w:val="center"/>
                </w:tcPr>
                <w:p w14:paraId="2BD4EA9E">
                  <w:pPr>
                    <w:widowControl w:val="0"/>
                    <w:spacing w:line="240" w:lineRule="atLeast"/>
                    <w:jc w:val="center"/>
                    <w:rPr>
                      <w:rFonts w:hint="default" w:ascii="Times New Roman" w:hAnsi="Times New Roman" w:eastAsia="宋体" w:cs="Times New Roman"/>
                      <w:b/>
                      <w:bCs/>
                      <w:snapToGrid w:val="0"/>
                      <w:color w:val="auto"/>
                      <w:sz w:val="21"/>
                      <w:szCs w:val="21"/>
                      <w:lang w:val="en-US" w:eastAsia="en-US" w:bidi="ar-SA"/>
                    </w:rPr>
                  </w:pPr>
                  <w:r>
                    <w:rPr>
                      <w:rFonts w:hint="default" w:ascii="Times New Roman" w:hAnsi="Times New Roman" w:eastAsia="宋体" w:cs="Times New Roman"/>
                      <w:b/>
                      <w:bCs/>
                      <w:color w:val="auto"/>
                      <w:szCs w:val="21"/>
                    </w:rPr>
                    <w:t>达标情况</w:t>
                  </w:r>
                </w:p>
              </w:tc>
            </w:tr>
            <w:tr w14:paraId="39D38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559" w:type="dxa"/>
                  <w:vMerge w:val="continue"/>
                  <w:tcBorders>
                    <w:top w:val="nil"/>
                    <w:bottom w:val="nil"/>
                  </w:tcBorders>
                  <w:vAlign w:val="top"/>
                </w:tcPr>
                <w:p w14:paraId="04C1390D">
                  <w:pPr>
                    <w:widowControl w:val="0"/>
                    <w:spacing w:line="240" w:lineRule="atLeast"/>
                    <w:jc w:val="center"/>
                    <w:rPr>
                      <w:rFonts w:hint="default" w:ascii="Times New Roman" w:hAnsi="Times New Roman" w:eastAsia="宋体" w:cs="Times New Roman"/>
                      <w:color w:val="auto"/>
                      <w:szCs w:val="21"/>
                    </w:rPr>
                  </w:pPr>
                </w:p>
              </w:tc>
              <w:tc>
                <w:tcPr>
                  <w:tcW w:w="1455" w:type="dxa"/>
                  <w:gridSpan w:val="2"/>
                  <w:vAlign w:val="top"/>
                </w:tcPr>
                <w:p w14:paraId="5488688A">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检测日期</w:t>
                  </w:r>
                </w:p>
              </w:tc>
              <w:tc>
                <w:tcPr>
                  <w:tcW w:w="3710" w:type="dxa"/>
                  <w:gridSpan w:val="3"/>
                  <w:vAlign w:val="top"/>
                </w:tcPr>
                <w:p w14:paraId="3891DFDA">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2023-08-13</w:t>
                  </w:r>
                </w:p>
              </w:tc>
              <w:tc>
                <w:tcPr>
                  <w:tcW w:w="1177" w:type="dxa"/>
                  <w:vMerge w:val="continue"/>
                  <w:vAlign w:val="top"/>
                </w:tcPr>
                <w:p w14:paraId="6DC96835">
                  <w:pPr>
                    <w:widowControl w:val="0"/>
                    <w:spacing w:line="240" w:lineRule="atLeast"/>
                    <w:jc w:val="center"/>
                    <w:rPr>
                      <w:rFonts w:hint="default" w:ascii="Times New Roman" w:hAnsi="Times New Roman" w:eastAsia="宋体" w:cs="Times New Roman"/>
                      <w:color w:val="auto"/>
                      <w:szCs w:val="21"/>
                    </w:rPr>
                  </w:pPr>
                </w:p>
              </w:tc>
              <w:tc>
                <w:tcPr>
                  <w:tcW w:w="937" w:type="dxa"/>
                  <w:vMerge w:val="continue"/>
                  <w:vAlign w:val="top"/>
                </w:tcPr>
                <w:p w14:paraId="12E6B483">
                  <w:pPr>
                    <w:widowControl w:val="0"/>
                    <w:spacing w:line="240" w:lineRule="atLeast"/>
                    <w:jc w:val="center"/>
                    <w:rPr>
                      <w:rFonts w:hint="default" w:ascii="Times New Roman" w:hAnsi="Times New Roman" w:eastAsia="宋体" w:cs="Times New Roman"/>
                      <w:color w:val="auto"/>
                      <w:szCs w:val="21"/>
                    </w:rPr>
                  </w:pPr>
                </w:p>
              </w:tc>
            </w:tr>
            <w:tr w14:paraId="3EDD83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 w:hRule="atLeast"/>
              </w:trPr>
              <w:tc>
                <w:tcPr>
                  <w:tcW w:w="559" w:type="dxa"/>
                  <w:vMerge w:val="continue"/>
                  <w:tcBorders>
                    <w:top w:val="nil"/>
                    <w:bottom w:val="nil"/>
                  </w:tcBorders>
                  <w:vAlign w:val="top"/>
                </w:tcPr>
                <w:p w14:paraId="3FE2CCF0">
                  <w:pPr>
                    <w:widowControl w:val="0"/>
                    <w:spacing w:line="240" w:lineRule="atLeast"/>
                    <w:jc w:val="center"/>
                    <w:rPr>
                      <w:rFonts w:hint="default" w:ascii="Times New Roman" w:hAnsi="Times New Roman" w:eastAsia="宋体" w:cs="Times New Roman"/>
                      <w:color w:val="auto"/>
                      <w:szCs w:val="21"/>
                    </w:rPr>
                  </w:pPr>
                </w:p>
              </w:tc>
              <w:tc>
                <w:tcPr>
                  <w:tcW w:w="1455" w:type="dxa"/>
                  <w:gridSpan w:val="2"/>
                  <w:vAlign w:val="top"/>
                </w:tcPr>
                <w:p w14:paraId="3B9226E1">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检出限(mg/m³)</w:t>
                  </w:r>
                </w:p>
              </w:tc>
              <w:tc>
                <w:tcPr>
                  <w:tcW w:w="3710" w:type="dxa"/>
                  <w:gridSpan w:val="3"/>
                  <w:vAlign w:val="center"/>
                </w:tcPr>
                <w:p w14:paraId="7FFEBE02">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0.1</w:t>
                  </w:r>
                </w:p>
              </w:tc>
              <w:tc>
                <w:tcPr>
                  <w:tcW w:w="1177" w:type="dxa"/>
                  <w:vMerge w:val="continue"/>
                  <w:vAlign w:val="center"/>
                </w:tcPr>
                <w:p w14:paraId="0AD73CE5">
                  <w:pPr>
                    <w:widowControl w:val="0"/>
                    <w:spacing w:line="240" w:lineRule="atLeast"/>
                    <w:jc w:val="center"/>
                    <w:rPr>
                      <w:rFonts w:hint="default" w:ascii="Times New Roman" w:hAnsi="Times New Roman" w:eastAsia="宋体" w:cs="Times New Roman"/>
                      <w:color w:val="auto"/>
                      <w:szCs w:val="21"/>
                    </w:rPr>
                  </w:pPr>
                </w:p>
              </w:tc>
              <w:tc>
                <w:tcPr>
                  <w:tcW w:w="937" w:type="dxa"/>
                  <w:vMerge w:val="continue"/>
                  <w:vAlign w:val="center"/>
                </w:tcPr>
                <w:p w14:paraId="35567992">
                  <w:pPr>
                    <w:widowControl w:val="0"/>
                    <w:spacing w:line="240" w:lineRule="atLeast"/>
                    <w:jc w:val="center"/>
                    <w:rPr>
                      <w:rFonts w:hint="default" w:ascii="Times New Roman" w:hAnsi="Times New Roman" w:eastAsia="宋体" w:cs="Times New Roman"/>
                      <w:color w:val="auto"/>
                      <w:szCs w:val="21"/>
                    </w:rPr>
                  </w:pPr>
                </w:p>
              </w:tc>
            </w:tr>
            <w:tr w14:paraId="1568CF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24" w:hRule="atLeast"/>
              </w:trPr>
              <w:tc>
                <w:tcPr>
                  <w:tcW w:w="559" w:type="dxa"/>
                  <w:vMerge w:val="continue"/>
                  <w:tcBorders>
                    <w:top w:val="nil"/>
                  </w:tcBorders>
                  <w:vAlign w:val="top"/>
                </w:tcPr>
                <w:p w14:paraId="2395F6B6">
                  <w:pPr>
                    <w:widowControl w:val="0"/>
                    <w:spacing w:line="240" w:lineRule="atLeast"/>
                    <w:jc w:val="center"/>
                    <w:rPr>
                      <w:rFonts w:hint="default" w:ascii="Times New Roman" w:hAnsi="Times New Roman" w:eastAsia="宋体" w:cs="Times New Roman"/>
                      <w:color w:val="auto"/>
                      <w:szCs w:val="21"/>
                    </w:rPr>
                  </w:pPr>
                </w:p>
              </w:tc>
              <w:tc>
                <w:tcPr>
                  <w:tcW w:w="1455" w:type="dxa"/>
                  <w:gridSpan w:val="2"/>
                  <w:tcBorders>
                    <w:tl2br w:val="single" w:color="000000" w:sz="4" w:space="0"/>
                  </w:tcBorders>
                  <w:vAlign w:val="top"/>
                </w:tcPr>
                <w:p w14:paraId="5EFB4C79">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检测指标 采样位置</w:t>
                  </w:r>
                </w:p>
                <w:p w14:paraId="60F1EA97">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及频次</w:t>
                  </w:r>
                </w:p>
              </w:tc>
              <w:tc>
                <w:tcPr>
                  <w:tcW w:w="1046" w:type="dxa"/>
                  <w:vAlign w:val="center"/>
                </w:tcPr>
                <w:p w14:paraId="0533BB05">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实测浓度(mg/m³)</w:t>
                  </w:r>
                </w:p>
              </w:tc>
              <w:tc>
                <w:tcPr>
                  <w:tcW w:w="931" w:type="dxa"/>
                  <w:vAlign w:val="center"/>
                </w:tcPr>
                <w:p w14:paraId="6725CE9D">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排放浓度(mg/m)</w:t>
                  </w:r>
                </w:p>
              </w:tc>
              <w:tc>
                <w:tcPr>
                  <w:tcW w:w="1733" w:type="dxa"/>
                  <w:vAlign w:val="center"/>
                </w:tcPr>
                <w:p w14:paraId="46F44588">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排放速率(kgh)</w:t>
                  </w:r>
                </w:p>
              </w:tc>
              <w:tc>
                <w:tcPr>
                  <w:tcW w:w="1177" w:type="dxa"/>
                  <w:vMerge w:val="continue"/>
                  <w:vAlign w:val="center"/>
                </w:tcPr>
                <w:p w14:paraId="73D3A238">
                  <w:pPr>
                    <w:widowControl w:val="0"/>
                    <w:spacing w:line="240" w:lineRule="atLeast"/>
                    <w:jc w:val="center"/>
                    <w:rPr>
                      <w:rFonts w:hint="default" w:ascii="Times New Roman" w:hAnsi="Times New Roman" w:eastAsia="宋体" w:cs="Times New Roman"/>
                      <w:color w:val="auto"/>
                      <w:szCs w:val="21"/>
                    </w:rPr>
                  </w:pPr>
                </w:p>
              </w:tc>
              <w:tc>
                <w:tcPr>
                  <w:tcW w:w="937" w:type="dxa"/>
                  <w:vMerge w:val="continue"/>
                  <w:vAlign w:val="center"/>
                </w:tcPr>
                <w:p w14:paraId="68B5BC38">
                  <w:pPr>
                    <w:widowControl w:val="0"/>
                    <w:spacing w:line="240" w:lineRule="atLeast"/>
                    <w:jc w:val="center"/>
                    <w:rPr>
                      <w:rFonts w:hint="default" w:ascii="Times New Roman" w:hAnsi="Times New Roman" w:eastAsia="宋体" w:cs="Times New Roman"/>
                      <w:color w:val="auto"/>
                      <w:szCs w:val="21"/>
                    </w:rPr>
                  </w:pPr>
                </w:p>
              </w:tc>
            </w:tr>
            <w:tr w14:paraId="056B09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559" w:type="dxa"/>
                  <w:vMerge w:val="restart"/>
                  <w:tcBorders>
                    <w:bottom w:val="nil"/>
                  </w:tcBorders>
                  <w:vAlign w:val="top"/>
                </w:tcPr>
                <w:p w14:paraId="762D5EBD">
                  <w:pPr>
                    <w:widowControl w:val="0"/>
                    <w:spacing w:line="240" w:lineRule="atLeast"/>
                    <w:jc w:val="center"/>
                    <w:rPr>
                      <w:rFonts w:hint="default" w:ascii="Times New Roman" w:hAnsi="Times New Roman" w:eastAsia="宋体" w:cs="Times New Roman"/>
                      <w:color w:val="auto"/>
                      <w:szCs w:val="21"/>
                    </w:rPr>
                  </w:pPr>
                </w:p>
                <w:p w14:paraId="453F690D">
                  <w:pPr>
                    <w:widowControl w:val="0"/>
                    <w:spacing w:line="240" w:lineRule="atLeast"/>
                    <w:jc w:val="both"/>
                    <w:rPr>
                      <w:rFonts w:hint="default" w:ascii="Times New Roman" w:hAnsi="Times New Roman" w:eastAsia="宋体" w:cs="Times New Roman"/>
                      <w:color w:val="auto"/>
                      <w:szCs w:val="21"/>
                    </w:rPr>
                  </w:pPr>
                </w:p>
                <w:p w14:paraId="50F98205">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2023-08-10</w:t>
                  </w:r>
                </w:p>
              </w:tc>
              <w:tc>
                <w:tcPr>
                  <w:tcW w:w="540" w:type="dxa"/>
                  <w:vMerge w:val="restart"/>
                  <w:tcBorders>
                    <w:bottom w:val="nil"/>
                  </w:tcBorders>
                  <w:vAlign w:val="top"/>
                </w:tcPr>
                <w:p w14:paraId="050B691B">
                  <w:pPr>
                    <w:widowControl w:val="0"/>
                    <w:spacing w:line="240" w:lineRule="atLeast"/>
                    <w:jc w:val="center"/>
                    <w:rPr>
                      <w:rFonts w:hint="default" w:ascii="Times New Roman" w:hAnsi="Times New Roman" w:eastAsia="宋体" w:cs="Times New Roman"/>
                      <w:color w:val="auto"/>
                      <w:szCs w:val="21"/>
                    </w:rPr>
                  </w:pPr>
                </w:p>
                <w:p w14:paraId="59C7A5ED">
                  <w:pPr>
                    <w:widowControl w:val="0"/>
                    <w:spacing w:line="240" w:lineRule="atLeast"/>
                    <w:jc w:val="both"/>
                    <w:rPr>
                      <w:rFonts w:hint="default" w:ascii="Times New Roman" w:hAnsi="Times New Roman" w:eastAsia="宋体" w:cs="Times New Roman"/>
                      <w:color w:val="auto"/>
                      <w:szCs w:val="21"/>
                    </w:rPr>
                  </w:pPr>
                </w:p>
                <w:p w14:paraId="486C35AD">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DA003</w:t>
                  </w:r>
                  <w:r>
                    <w:rPr>
                      <w:rFonts w:hint="default" w:ascii="Times New Roman" w:hAnsi="Times New Roman" w:eastAsia="宋体" w:cs="Times New Roman"/>
                      <w:color w:val="auto"/>
                      <w:szCs w:val="21"/>
                    </w:rPr>
                    <w:t>出口</w:t>
                  </w:r>
                </w:p>
              </w:tc>
              <w:tc>
                <w:tcPr>
                  <w:tcW w:w="915" w:type="dxa"/>
                  <w:vAlign w:val="top"/>
                </w:tcPr>
                <w:p w14:paraId="3F8F0550">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第一次</w:t>
                  </w:r>
                </w:p>
              </w:tc>
              <w:tc>
                <w:tcPr>
                  <w:tcW w:w="1046" w:type="dxa"/>
                  <w:vAlign w:val="center"/>
                </w:tcPr>
                <w:p w14:paraId="345DE92B">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0.9</w:t>
                  </w:r>
                </w:p>
              </w:tc>
              <w:tc>
                <w:tcPr>
                  <w:tcW w:w="931" w:type="dxa"/>
                  <w:vAlign w:val="center"/>
                </w:tcPr>
                <w:p w14:paraId="798B8475">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0.2</w:t>
                  </w:r>
                </w:p>
              </w:tc>
              <w:tc>
                <w:tcPr>
                  <w:tcW w:w="1733" w:type="dxa"/>
                  <w:vAlign w:val="center"/>
                </w:tcPr>
                <w:p w14:paraId="67D72A20">
                  <w:pPr>
                    <w:widowControl w:val="0"/>
                    <w:spacing w:line="240" w:lineRule="atLeas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8.07×10</w:t>
                  </w:r>
                  <w:r>
                    <w:rPr>
                      <w:rFonts w:hint="default" w:ascii="Times New Roman" w:hAnsi="Times New Roman" w:eastAsia="宋体" w:cs="Times New Roman"/>
                      <w:color w:val="auto"/>
                      <w:szCs w:val="21"/>
                      <w:vertAlign w:val="superscript"/>
                      <w:lang w:val="en-US" w:eastAsia="zh-CN"/>
                    </w:rPr>
                    <w:t>-4</w:t>
                  </w:r>
                </w:p>
              </w:tc>
              <w:tc>
                <w:tcPr>
                  <w:tcW w:w="1177" w:type="dxa"/>
                  <w:vMerge w:val="restart"/>
                  <w:vAlign w:val="center"/>
                </w:tcPr>
                <w:p w14:paraId="6800869E">
                  <w:pPr>
                    <w:widowControl w:val="0"/>
                    <w:spacing w:line="240" w:lineRule="atLeast"/>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2.0</w:t>
                  </w:r>
                  <w:r>
                    <w:rPr>
                      <w:rFonts w:hint="default" w:ascii="Times New Roman" w:hAnsi="Times New Roman" w:eastAsia="宋体" w:cs="Times New Roman"/>
                      <w:b/>
                      <w:bCs/>
                      <w:color w:val="auto"/>
                      <w:szCs w:val="21"/>
                    </w:rPr>
                    <w:t>mg/m³</w:t>
                  </w:r>
                </w:p>
              </w:tc>
              <w:tc>
                <w:tcPr>
                  <w:tcW w:w="937" w:type="dxa"/>
                  <w:vMerge w:val="restart"/>
                  <w:vAlign w:val="center"/>
                </w:tcPr>
                <w:p w14:paraId="0A7670D6">
                  <w:pPr>
                    <w:widowControl w:val="0"/>
                    <w:spacing w:line="240" w:lineRule="atLeas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 w:val="21"/>
                      <w:szCs w:val="21"/>
                      <w:lang w:val="zh-CN" w:bidi="zh-CN"/>
                    </w:rPr>
                    <w:t>达标</w:t>
                  </w:r>
                </w:p>
              </w:tc>
            </w:tr>
            <w:tr w14:paraId="059CE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559" w:type="dxa"/>
                  <w:vMerge w:val="continue"/>
                  <w:tcBorders>
                    <w:top w:val="nil"/>
                    <w:bottom w:val="nil"/>
                  </w:tcBorders>
                  <w:vAlign w:val="top"/>
                </w:tcPr>
                <w:p w14:paraId="4B07A434">
                  <w:pPr>
                    <w:widowControl w:val="0"/>
                    <w:spacing w:line="240" w:lineRule="atLeast"/>
                    <w:jc w:val="center"/>
                    <w:rPr>
                      <w:rFonts w:hint="default" w:ascii="Times New Roman" w:hAnsi="Times New Roman" w:eastAsia="宋体" w:cs="Times New Roman"/>
                      <w:color w:val="auto"/>
                      <w:szCs w:val="21"/>
                    </w:rPr>
                  </w:pPr>
                </w:p>
              </w:tc>
              <w:tc>
                <w:tcPr>
                  <w:tcW w:w="540" w:type="dxa"/>
                  <w:vMerge w:val="continue"/>
                  <w:tcBorders>
                    <w:top w:val="nil"/>
                    <w:bottom w:val="nil"/>
                  </w:tcBorders>
                  <w:vAlign w:val="top"/>
                </w:tcPr>
                <w:p w14:paraId="5A041D8C">
                  <w:pPr>
                    <w:widowControl w:val="0"/>
                    <w:spacing w:line="240" w:lineRule="atLeast"/>
                    <w:jc w:val="center"/>
                    <w:rPr>
                      <w:rFonts w:hint="default" w:ascii="Times New Roman" w:hAnsi="Times New Roman" w:eastAsia="宋体" w:cs="Times New Roman"/>
                      <w:color w:val="auto"/>
                      <w:szCs w:val="21"/>
                    </w:rPr>
                  </w:pPr>
                </w:p>
              </w:tc>
              <w:tc>
                <w:tcPr>
                  <w:tcW w:w="915" w:type="dxa"/>
                  <w:vAlign w:val="top"/>
                </w:tcPr>
                <w:p w14:paraId="52382360">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第二次</w:t>
                  </w:r>
                </w:p>
              </w:tc>
              <w:tc>
                <w:tcPr>
                  <w:tcW w:w="1046" w:type="dxa"/>
                  <w:vAlign w:val="top"/>
                </w:tcPr>
                <w:p w14:paraId="0B4EAA1B">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0.9</w:t>
                  </w:r>
                </w:p>
              </w:tc>
              <w:tc>
                <w:tcPr>
                  <w:tcW w:w="931" w:type="dxa"/>
                  <w:vAlign w:val="top"/>
                </w:tcPr>
                <w:p w14:paraId="3BEA4981">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0.3</w:t>
                  </w:r>
                </w:p>
              </w:tc>
              <w:tc>
                <w:tcPr>
                  <w:tcW w:w="1733" w:type="dxa"/>
                  <w:vAlign w:val="top"/>
                </w:tcPr>
                <w:p w14:paraId="3E4DD4AA">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8.42×10</w:t>
                  </w:r>
                  <w:r>
                    <w:rPr>
                      <w:rFonts w:hint="default" w:ascii="Times New Roman" w:hAnsi="Times New Roman" w:eastAsia="宋体" w:cs="Times New Roman"/>
                      <w:color w:val="auto"/>
                      <w:szCs w:val="21"/>
                      <w:vertAlign w:val="superscript"/>
                      <w:lang w:val="en-US" w:eastAsia="zh-CN"/>
                    </w:rPr>
                    <w:t>-4</w:t>
                  </w:r>
                </w:p>
              </w:tc>
              <w:tc>
                <w:tcPr>
                  <w:tcW w:w="1177" w:type="dxa"/>
                  <w:vMerge w:val="continue"/>
                  <w:vAlign w:val="top"/>
                </w:tcPr>
                <w:p w14:paraId="66F62AD8">
                  <w:pPr>
                    <w:widowControl w:val="0"/>
                    <w:spacing w:line="240" w:lineRule="atLeast"/>
                    <w:jc w:val="center"/>
                    <w:rPr>
                      <w:rFonts w:hint="default" w:ascii="Times New Roman" w:hAnsi="Times New Roman" w:eastAsia="宋体" w:cs="Times New Roman"/>
                      <w:color w:val="auto"/>
                      <w:szCs w:val="21"/>
                    </w:rPr>
                  </w:pPr>
                </w:p>
              </w:tc>
              <w:tc>
                <w:tcPr>
                  <w:tcW w:w="937" w:type="dxa"/>
                  <w:vMerge w:val="continue"/>
                  <w:vAlign w:val="top"/>
                </w:tcPr>
                <w:p w14:paraId="7695E51F">
                  <w:pPr>
                    <w:widowControl w:val="0"/>
                    <w:spacing w:line="240" w:lineRule="atLeast"/>
                    <w:jc w:val="center"/>
                    <w:rPr>
                      <w:rFonts w:hint="default" w:ascii="Times New Roman" w:hAnsi="Times New Roman" w:eastAsia="宋体" w:cs="Times New Roman"/>
                      <w:color w:val="auto"/>
                      <w:szCs w:val="21"/>
                    </w:rPr>
                  </w:pPr>
                </w:p>
              </w:tc>
            </w:tr>
            <w:tr w14:paraId="61340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559" w:type="dxa"/>
                  <w:vMerge w:val="continue"/>
                  <w:tcBorders>
                    <w:top w:val="nil"/>
                    <w:bottom w:val="nil"/>
                  </w:tcBorders>
                  <w:vAlign w:val="top"/>
                </w:tcPr>
                <w:p w14:paraId="1D5FE825">
                  <w:pPr>
                    <w:widowControl w:val="0"/>
                    <w:spacing w:line="240" w:lineRule="atLeast"/>
                    <w:jc w:val="center"/>
                    <w:rPr>
                      <w:rFonts w:hint="default" w:ascii="Times New Roman" w:hAnsi="Times New Roman" w:eastAsia="宋体" w:cs="Times New Roman"/>
                      <w:color w:val="auto"/>
                      <w:szCs w:val="21"/>
                    </w:rPr>
                  </w:pPr>
                </w:p>
              </w:tc>
              <w:tc>
                <w:tcPr>
                  <w:tcW w:w="540" w:type="dxa"/>
                  <w:vMerge w:val="continue"/>
                  <w:tcBorders>
                    <w:top w:val="nil"/>
                    <w:bottom w:val="nil"/>
                  </w:tcBorders>
                  <w:vAlign w:val="top"/>
                </w:tcPr>
                <w:p w14:paraId="5F2663D4">
                  <w:pPr>
                    <w:widowControl w:val="0"/>
                    <w:spacing w:line="240" w:lineRule="atLeast"/>
                    <w:jc w:val="center"/>
                    <w:rPr>
                      <w:rFonts w:hint="default" w:ascii="Times New Roman" w:hAnsi="Times New Roman" w:eastAsia="宋体" w:cs="Times New Roman"/>
                      <w:color w:val="auto"/>
                      <w:szCs w:val="21"/>
                    </w:rPr>
                  </w:pPr>
                </w:p>
              </w:tc>
              <w:tc>
                <w:tcPr>
                  <w:tcW w:w="915" w:type="dxa"/>
                  <w:vAlign w:val="top"/>
                </w:tcPr>
                <w:p w14:paraId="1BA99BD4">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第三次</w:t>
                  </w:r>
                </w:p>
              </w:tc>
              <w:tc>
                <w:tcPr>
                  <w:tcW w:w="1046" w:type="dxa"/>
                  <w:vAlign w:val="top"/>
                </w:tcPr>
                <w:p w14:paraId="2B6EAFE2">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0.9</w:t>
                  </w:r>
                </w:p>
              </w:tc>
              <w:tc>
                <w:tcPr>
                  <w:tcW w:w="931" w:type="dxa"/>
                  <w:vAlign w:val="top"/>
                </w:tcPr>
                <w:p w14:paraId="01ABEF52">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0.2</w:t>
                  </w:r>
                </w:p>
              </w:tc>
              <w:tc>
                <w:tcPr>
                  <w:tcW w:w="1733" w:type="dxa"/>
                  <w:vAlign w:val="top"/>
                </w:tcPr>
                <w:p w14:paraId="0718AD3A">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8.26×10</w:t>
                  </w:r>
                  <w:r>
                    <w:rPr>
                      <w:rFonts w:hint="default" w:ascii="Times New Roman" w:hAnsi="Times New Roman" w:eastAsia="宋体" w:cs="Times New Roman"/>
                      <w:color w:val="auto"/>
                      <w:szCs w:val="21"/>
                      <w:vertAlign w:val="superscript"/>
                      <w:lang w:val="en-US" w:eastAsia="zh-CN"/>
                    </w:rPr>
                    <w:t>-4</w:t>
                  </w:r>
                </w:p>
              </w:tc>
              <w:tc>
                <w:tcPr>
                  <w:tcW w:w="1177" w:type="dxa"/>
                  <w:vMerge w:val="continue"/>
                  <w:vAlign w:val="top"/>
                </w:tcPr>
                <w:p w14:paraId="029A3886">
                  <w:pPr>
                    <w:widowControl w:val="0"/>
                    <w:spacing w:line="240" w:lineRule="atLeast"/>
                    <w:jc w:val="center"/>
                    <w:rPr>
                      <w:rFonts w:hint="default" w:ascii="Times New Roman" w:hAnsi="Times New Roman" w:eastAsia="宋体" w:cs="Times New Roman"/>
                      <w:color w:val="auto"/>
                      <w:szCs w:val="21"/>
                    </w:rPr>
                  </w:pPr>
                </w:p>
              </w:tc>
              <w:tc>
                <w:tcPr>
                  <w:tcW w:w="937" w:type="dxa"/>
                  <w:vMerge w:val="continue"/>
                  <w:vAlign w:val="top"/>
                </w:tcPr>
                <w:p w14:paraId="67A3D6B1">
                  <w:pPr>
                    <w:widowControl w:val="0"/>
                    <w:spacing w:line="240" w:lineRule="atLeast"/>
                    <w:jc w:val="center"/>
                    <w:rPr>
                      <w:rFonts w:hint="default" w:ascii="Times New Roman" w:hAnsi="Times New Roman" w:eastAsia="宋体" w:cs="Times New Roman"/>
                      <w:color w:val="auto"/>
                      <w:szCs w:val="21"/>
                    </w:rPr>
                  </w:pPr>
                </w:p>
              </w:tc>
            </w:tr>
            <w:tr w14:paraId="4B4571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559" w:type="dxa"/>
                  <w:vMerge w:val="continue"/>
                  <w:tcBorders>
                    <w:top w:val="nil"/>
                    <w:bottom w:val="nil"/>
                  </w:tcBorders>
                  <w:vAlign w:val="top"/>
                </w:tcPr>
                <w:p w14:paraId="48966EDB">
                  <w:pPr>
                    <w:widowControl w:val="0"/>
                    <w:spacing w:line="240" w:lineRule="atLeast"/>
                    <w:jc w:val="center"/>
                    <w:rPr>
                      <w:rFonts w:hint="default" w:ascii="Times New Roman" w:hAnsi="Times New Roman" w:eastAsia="宋体" w:cs="Times New Roman"/>
                      <w:color w:val="auto"/>
                      <w:szCs w:val="21"/>
                    </w:rPr>
                  </w:pPr>
                </w:p>
              </w:tc>
              <w:tc>
                <w:tcPr>
                  <w:tcW w:w="540" w:type="dxa"/>
                  <w:vMerge w:val="continue"/>
                  <w:tcBorders>
                    <w:top w:val="nil"/>
                    <w:bottom w:val="nil"/>
                  </w:tcBorders>
                  <w:vAlign w:val="top"/>
                </w:tcPr>
                <w:p w14:paraId="29CFD8CE">
                  <w:pPr>
                    <w:widowControl w:val="0"/>
                    <w:spacing w:line="240" w:lineRule="atLeast"/>
                    <w:jc w:val="center"/>
                    <w:rPr>
                      <w:rFonts w:hint="default" w:ascii="Times New Roman" w:hAnsi="Times New Roman" w:eastAsia="宋体" w:cs="Times New Roman"/>
                      <w:color w:val="auto"/>
                      <w:szCs w:val="21"/>
                    </w:rPr>
                  </w:pPr>
                </w:p>
              </w:tc>
              <w:tc>
                <w:tcPr>
                  <w:tcW w:w="915" w:type="dxa"/>
                  <w:vAlign w:val="top"/>
                </w:tcPr>
                <w:p w14:paraId="6FE269E4">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第四次</w:t>
                  </w:r>
                </w:p>
              </w:tc>
              <w:tc>
                <w:tcPr>
                  <w:tcW w:w="1046" w:type="dxa"/>
                  <w:vAlign w:val="top"/>
                </w:tcPr>
                <w:p w14:paraId="73AF83D6">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0.8</w:t>
                  </w:r>
                </w:p>
              </w:tc>
              <w:tc>
                <w:tcPr>
                  <w:tcW w:w="931" w:type="dxa"/>
                  <w:vAlign w:val="top"/>
                </w:tcPr>
                <w:p w14:paraId="0D8B3E52">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0.2</w:t>
                  </w:r>
                </w:p>
              </w:tc>
              <w:tc>
                <w:tcPr>
                  <w:tcW w:w="1733" w:type="dxa"/>
                  <w:vAlign w:val="top"/>
                </w:tcPr>
                <w:p w14:paraId="404657BD">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7.17×10</w:t>
                  </w:r>
                  <w:r>
                    <w:rPr>
                      <w:rFonts w:hint="default" w:ascii="Times New Roman" w:hAnsi="Times New Roman" w:eastAsia="宋体" w:cs="Times New Roman"/>
                      <w:color w:val="auto"/>
                      <w:szCs w:val="21"/>
                      <w:vertAlign w:val="superscript"/>
                      <w:lang w:val="en-US" w:eastAsia="zh-CN"/>
                    </w:rPr>
                    <w:t>-4</w:t>
                  </w:r>
                </w:p>
              </w:tc>
              <w:tc>
                <w:tcPr>
                  <w:tcW w:w="1177" w:type="dxa"/>
                  <w:vMerge w:val="continue"/>
                  <w:vAlign w:val="top"/>
                </w:tcPr>
                <w:p w14:paraId="412F73E7">
                  <w:pPr>
                    <w:widowControl w:val="0"/>
                    <w:spacing w:line="240" w:lineRule="atLeast"/>
                    <w:jc w:val="center"/>
                    <w:rPr>
                      <w:rFonts w:hint="default" w:ascii="Times New Roman" w:hAnsi="Times New Roman" w:eastAsia="宋体" w:cs="Times New Roman"/>
                      <w:color w:val="auto"/>
                      <w:szCs w:val="21"/>
                    </w:rPr>
                  </w:pPr>
                </w:p>
              </w:tc>
              <w:tc>
                <w:tcPr>
                  <w:tcW w:w="937" w:type="dxa"/>
                  <w:vMerge w:val="continue"/>
                  <w:vAlign w:val="top"/>
                </w:tcPr>
                <w:p w14:paraId="561CB1ED">
                  <w:pPr>
                    <w:widowControl w:val="0"/>
                    <w:spacing w:line="240" w:lineRule="atLeast"/>
                    <w:jc w:val="center"/>
                    <w:rPr>
                      <w:rFonts w:hint="default" w:ascii="Times New Roman" w:hAnsi="Times New Roman" w:eastAsia="宋体" w:cs="Times New Roman"/>
                      <w:color w:val="auto"/>
                      <w:szCs w:val="21"/>
                    </w:rPr>
                  </w:pPr>
                </w:p>
              </w:tc>
            </w:tr>
            <w:tr w14:paraId="3BA60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559" w:type="dxa"/>
                  <w:vMerge w:val="continue"/>
                  <w:tcBorders>
                    <w:top w:val="nil"/>
                  </w:tcBorders>
                  <w:vAlign w:val="top"/>
                </w:tcPr>
                <w:p w14:paraId="2D9E14E3">
                  <w:pPr>
                    <w:widowControl w:val="0"/>
                    <w:spacing w:line="240" w:lineRule="atLeast"/>
                    <w:jc w:val="center"/>
                    <w:rPr>
                      <w:rFonts w:hint="default" w:ascii="Times New Roman" w:hAnsi="Times New Roman" w:eastAsia="宋体" w:cs="Times New Roman"/>
                      <w:color w:val="auto"/>
                      <w:szCs w:val="21"/>
                    </w:rPr>
                  </w:pPr>
                </w:p>
              </w:tc>
              <w:tc>
                <w:tcPr>
                  <w:tcW w:w="540" w:type="dxa"/>
                  <w:vMerge w:val="continue"/>
                  <w:tcBorders>
                    <w:top w:val="nil"/>
                  </w:tcBorders>
                  <w:vAlign w:val="top"/>
                </w:tcPr>
                <w:p w14:paraId="05F83479">
                  <w:pPr>
                    <w:widowControl w:val="0"/>
                    <w:spacing w:line="240" w:lineRule="atLeast"/>
                    <w:jc w:val="center"/>
                    <w:rPr>
                      <w:rFonts w:hint="default" w:ascii="Times New Roman" w:hAnsi="Times New Roman" w:eastAsia="宋体" w:cs="Times New Roman"/>
                      <w:color w:val="auto"/>
                      <w:szCs w:val="21"/>
                    </w:rPr>
                  </w:pPr>
                </w:p>
              </w:tc>
              <w:tc>
                <w:tcPr>
                  <w:tcW w:w="915" w:type="dxa"/>
                  <w:vAlign w:val="top"/>
                </w:tcPr>
                <w:p w14:paraId="3EE786ED">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第五次</w:t>
                  </w:r>
                </w:p>
              </w:tc>
              <w:tc>
                <w:tcPr>
                  <w:tcW w:w="1046" w:type="dxa"/>
                  <w:vAlign w:val="top"/>
                </w:tcPr>
                <w:p w14:paraId="631CC458">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0.8</w:t>
                  </w:r>
                </w:p>
              </w:tc>
              <w:tc>
                <w:tcPr>
                  <w:tcW w:w="931" w:type="dxa"/>
                  <w:vAlign w:val="top"/>
                </w:tcPr>
                <w:p w14:paraId="780643C8">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0.2</w:t>
                  </w:r>
                </w:p>
              </w:tc>
              <w:tc>
                <w:tcPr>
                  <w:tcW w:w="1733" w:type="dxa"/>
                  <w:vAlign w:val="top"/>
                </w:tcPr>
                <w:p w14:paraId="20E4ADB4">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7.40×10</w:t>
                  </w:r>
                  <w:r>
                    <w:rPr>
                      <w:rFonts w:hint="default" w:ascii="Times New Roman" w:hAnsi="Times New Roman" w:eastAsia="宋体" w:cs="Times New Roman"/>
                      <w:color w:val="auto"/>
                      <w:szCs w:val="21"/>
                      <w:vertAlign w:val="superscript"/>
                      <w:lang w:val="en-US" w:eastAsia="zh-CN"/>
                    </w:rPr>
                    <w:t>-4</w:t>
                  </w:r>
                </w:p>
              </w:tc>
              <w:tc>
                <w:tcPr>
                  <w:tcW w:w="1177" w:type="dxa"/>
                  <w:vMerge w:val="continue"/>
                  <w:vAlign w:val="top"/>
                </w:tcPr>
                <w:p w14:paraId="6117A228">
                  <w:pPr>
                    <w:widowControl w:val="0"/>
                    <w:spacing w:line="240" w:lineRule="atLeast"/>
                    <w:jc w:val="center"/>
                    <w:rPr>
                      <w:rFonts w:hint="default" w:ascii="Times New Roman" w:hAnsi="Times New Roman" w:eastAsia="宋体" w:cs="Times New Roman"/>
                      <w:color w:val="auto"/>
                      <w:szCs w:val="21"/>
                    </w:rPr>
                  </w:pPr>
                </w:p>
              </w:tc>
              <w:tc>
                <w:tcPr>
                  <w:tcW w:w="937" w:type="dxa"/>
                  <w:vMerge w:val="continue"/>
                  <w:vAlign w:val="top"/>
                </w:tcPr>
                <w:p w14:paraId="7CFCC70B">
                  <w:pPr>
                    <w:widowControl w:val="0"/>
                    <w:spacing w:line="240" w:lineRule="atLeast"/>
                    <w:jc w:val="center"/>
                    <w:rPr>
                      <w:rFonts w:hint="default" w:ascii="Times New Roman" w:hAnsi="Times New Roman" w:eastAsia="宋体" w:cs="Times New Roman"/>
                      <w:color w:val="auto"/>
                      <w:szCs w:val="21"/>
                    </w:rPr>
                  </w:pPr>
                </w:p>
              </w:tc>
            </w:tr>
            <w:tr w14:paraId="703D17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014" w:type="dxa"/>
                  <w:gridSpan w:val="3"/>
                  <w:vAlign w:val="top"/>
                </w:tcPr>
                <w:p w14:paraId="56F72A17">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检测结果</w:t>
                  </w:r>
                </w:p>
              </w:tc>
              <w:tc>
                <w:tcPr>
                  <w:tcW w:w="1046" w:type="dxa"/>
                  <w:vAlign w:val="top"/>
                </w:tcPr>
                <w:p w14:paraId="673C3693">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0.9</w:t>
                  </w:r>
                </w:p>
              </w:tc>
              <w:tc>
                <w:tcPr>
                  <w:tcW w:w="931" w:type="dxa"/>
                  <w:vAlign w:val="top"/>
                </w:tcPr>
                <w:p w14:paraId="749691EE">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02</w:t>
                  </w:r>
                </w:p>
              </w:tc>
              <w:tc>
                <w:tcPr>
                  <w:tcW w:w="1733" w:type="dxa"/>
                  <w:vAlign w:val="top"/>
                </w:tcPr>
                <w:p w14:paraId="36BCC8D5">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7.86×10</w:t>
                  </w:r>
                  <w:r>
                    <w:rPr>
                      <w:rFonts w:hint="default" w:ascii="Times New Roman" w:hAnsi="Times New Roman" w:eastAsia="宋体" w:cs="Times New Roman"/>
                      <w:color w:val="auto"/>
                      <w:szCs w:val="21"/>
                      <w:vertAlign w:val="superscript"/>
                      <w:lang w:val="en-US" w:eastAsia="zh-CN"/>
                    </w:rPr>
                    <w:t>-4</w:t>
                  </w:r>
                </w:p>
              </w:tc>
              <w:tc>
                <w:tcPr>
                  <w:tcW w:w="1177" w:type="dxa"/>
                  <w:vMerge w:val="continue"/>
                  <w:vAlign w:val="top"/>
                </w:tcPr>
                <w:p w14:paraId="3BA366D1">
                  <w:pPr>
                    <w:widowControl w:val="0"/>
                    <w:spacing w:line="240" w:lineRule="atLeast"/>
                    <w:jc w:val="center"/>
                    <w:rPr>
                      <w:rFonts w:hint="default" w:ascii="Times New Roman" w:hAnsi="Times New Roman" w:eastAsia="宋体" w:cs="Times New Roman"/>
                      <w:color w:val="auto"/>
                      <w:szCs w:val="21"/>
                    </w:rPr>
                  </w:pPr>
                </w:p>
              </w:tc>
              <w:tc>
                <w:tcPr>
                  <w:tcW w:w="937" w:type="dxa"/>
                  <w:vMerge w:val="continue"/>
                  <w:vAlign w:val="top"/>
                </w:tcPr>
                <w:p w14:paraId="1D0297D9">
                  <w:pPr>
                    <w:widowControl w:val="0"/>
                    <w:spacing w:line="240" w:lineRule="atLeast"/>
                    <w:jc w:val="center"/>
                    <w:rPr>
                      <w:rFonts w:hint="default" w:ascii="Times New Roman" w:hAnsi="Times New Roman" w:eastAsia="宋体" w:cs="Times New Roman"/>
                      <w:color w:val="auto"/>
                      <w:szCs w:val="21"/>
                    </w:rPr>
                  </w:pPr>
                </w:p>
              </w:tc>
            </w:tr>
            <w:tr w14:paraId="61A2AD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559" w:type="dxa"/>
                  <w:vMerge w:val="restart"/>
                  <w:tcBorders>
                    <w:bottom w:val="nil"/>
                  </w:tcBorders>
                  <w:vAlign w:val="top"/>
                </w:tcPr>
                <w:p w14:paraId="7203DCCA">
                  <w:pPr>
                    <w:widowControl w:val="0"/>
                    <w:spacing w:line="240" w:lineRule="atLeast"/>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2023-08-11</w:t>
                  </w:r>
                </w:p>
              </w:tc>
              <w:tc>
                <w:tcPr>
                  <w:tcW w:w="540" w:type="dxa"/>
                  <w:vMerge w:val="restart"/>
                  <w:tcBorders>
                    <w:bottom w:val="nil"/>
                  </w:tcBorders>
                  <w:vAlign w:val="top"/>
                </w:tcPr>
                <w:p w14:paraId="7D328735">
                  <w:pPr>
                    <w:widowControl w:val="0"/>
                    <w:spacing w:line="240" w:lineRule="atLeas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DA003</w:t>
                  </w:r>
                </w:p>
                <w:p w14:paraId="7432223E">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出 口</w:t>
                  </w:r>
                </w:p>
              </w:tc>
              <w:tc>
                <w:tcPr>
                  <w:tcW w:w="915" w:type="dxa"/>
                  <w:vAlign w:val="top"/>
                </w:tcPr>
                <w:p w14:paraId="22F193F4">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第一次</w:t>
                  </w:r>
                </w:p>
              </w:tc>
              <w:tc>
                <w:tcPr>
                  <w:tcW w:w="1046" w:type="dxa"/>
                  <w:vAlign w:val="top"/>
                </w:tcPr>
                <w:p w14:paraId="1F4D9A15">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0.9</w:t>
                  </w:r>
                </w:p>
              </w:tc>
              <w:tc>
                <w:tcPr>
                  <w:tcW w:w="931" w:type="dxa"/>
                  <w:vAlign w:val="top"/>
                </w:tcPr>
                <w:p w14:paraId="4288FF0B">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0.2</w:t>
                  </w:r>
                </w:p>
              </w:tc>
              <w:tc>
                <w:tcPr>
                  <w:tcW w:w="1733" w:type="dxa"/>
                  <w:vAlign w:val="top"/>
                </w:tcPr>
                <w:p w14:paraId="4A213362">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7.96×10</w:t>
                  </w:r>
                  <w:r>
                    <w:rPr>
                      <w:rFonts w:hint="default" w:ascii="Times New Roman" w:hAnsi="Times New Roman" w:eastAsia="宋体" w:cs="Times New Roman"/>
                      <w:color w:val="auto"/>
                      <w:szCs w:val="21"/>
                      <w:vertAlign w:val="superscript"/>
                      <w:lang w:val="en-US" w:eastAsia="zh-CN"/>
                    </w:rPr>
                    <w:t>-4</w:t>
                  </w:r>
                </w:p>
              </w:tc>
              <w:tc>
                <w:tcPr>
                  <w:tcW w:w="1177" w:type="dxa"/>
                  <w:vMerge w:val="continue"/>
                  <w:vAlign w:val="top"/>
                </w:tcPr>
                <w:p w14:paraId="6ED89E11">
                  <w:pPr>
                    <w:widowControl w:val="0"/>
                    <w:spacing w:line="240" w:lineRule="atLeast"/>
                    <w:jc w:val="center"/>
                    <w:rPr>
                      <w:rFonts w:hint="default" w:ascii="Times New Roman" w:hAnsi="Times New Roman" w:eastAsia="宋体" w:cs="Times New Roman"/>
                      <w:color w:val="auto"/>
                      <w:szCs w:val="21"/>
                      <w:lang w:val="en-US" w:eastAsia="zh-CN"/>
                    </w:rPr>
                  </w:pPr>
                </w:p>
              </w:tc>
              <w:tc>
                <w:tcPr>
                  <w:tcW w:w="937" w:type="dxa"/>
                  <w:vMerge w:val="continue"/>
                  <w:vAlign w:val="top"/>
                </w:tcPr>
                <w:p w14:paraId="322522C3">
                  <w:pPr>
                    <w:widowControl w:val="0"/>
                    <w:spacing w:line="240" w:lineRule="atLeast"/>
                    <w:jc w:val="center"/>
                    <w:rPr>
                      <w:rFonts w:hint="default" w:ascii="Times New Roman" w:hAnsi="Times New Roman" w:eastAsia="宋体" w:cs="Times New Roman"/>
                      <w:color w:val="auto"/>
                      <w:szCs w:val="21"/>
                    </w:rPr>
                  </w:pPr>
                </w:p>
              </w:tc>
            </w:tr>
            <w:tr w14:paraId="472FC3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559" w:type="dxa"/>
                  <w:vMerge w:val="continue"/>
                  <w:tcBorders>
                    <w:top w:val="nil"/>
                    <w:bottom w:val="nil"/>
                  </w:tcBorders>
                  <w:vAlign w:val="top"/>
                </w:tcPr>
                <w:p w14:paraId="34C71FE0">
                  <w:pPr>
                    <w:widowControl w:val="0"/>
                    <w:spacing w:line="240" w:lineRule="atLeast"/>
                    <w:jc w:val="center"/>
                    <w:rPr>
                      <w:rFonts w:hint="default" w:ascii="Times New Roman" w:hAnsi="Times New Roman" w:eastAsia="宋体" w:cs="Times New Roman"/>
                      <w:color w:val="auto"/>
                      <w:szCs w:val="21"/>
                    </w:rPr>
                  </w:pPr>
                </w:p>
              </w:tc>
              <w:tc>
                <w:tcPr>
                  <w:tcW w:w="540" w:type="dxa"/>
                  <w:vMerge w:val="continue"/>
                  <w:tcBorders>
                    <w:top w:val="nil"/>
                    <w:bottom w:val="nil"/>
                  </w:tcBorders>
                  <w:vAlign w:val="top"/>
                </w:tcPr>
                <w:p w14:paraId="1F1C668E">
                  <w:pPr>
                    <w:widowControl w:val="0"/>
                    <w:spacing w:line="240" w:lineRule="atLeast"/>
                    <w:jc w:val="center"/>
                    <w:rPr>
                      <w:rFonts w:hint="default" w:ascii="Times New Roman" w:hAnsi="Times New Roman" w:eastAsia="宋体" w:cs="Times New Roman"/>
                      <w:color w:val="auto"/>
                      <w:szCs w:val="21"/>
                    </w:rPr>
                  </w:pPr>
                </w:p>
              </w:tc>
              <w:tc>
                <w:tcPr>
                  <w:tcW w:w="915" w:type="dxa"/>
                  <w:vAlign w:val="top"/>
                </w:tcPr>
                <w:p w14:paraId="14665DE6">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第二次</w:t>
                  </w:r>
                </w:p>
              </w:tc>
              <w:tc>
                <w:tcPr>
                  <w:tcW w:w="1046" w:type="dxa"/>
                  <w:vAlign w:val="top"/>
                </w:tcPr>
                <w:p w14:paraId="3650E055">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0.8</w:t>
                  </w:r>
                </w:p>
              </w:tc>
              <w:tc>
                <w:tcPr>
                  <w:tcW w:w="931" w:type="dxa"/>
                  <w:vAlign w:val="top"/>
                </w:tcPr>
                <w:p w14:paraId="3311D5EB">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0.2</w:t>
                  </w:r>
                </w:p>
              </w:tc>
              <w:tc>
                <w:tcPr>
                  <w:tcW w:w="1733" w:type="dxa"/>
                  <w:vAlign w:val="top"/>
                </w:tcPr>
                <w:p w14:paraId="654D963D">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7.26×10</w:t>
                  </w:r>
                  <w:r>
                    <w:rPr>
                      <w:rFonts w:hint="default" w:ascii="Times New Roman" w:hAnsi="Times New Roman" w:eastAsia="宋体" w:cs="Times New Roman"/>
                      <w:color w:val="auto"/>
                      <w:szCs w:val="21"/>
                      <w:vertAlign w:val="superscript"/>
                      <w:lang w:val="en-US" w:eastAsia="zh-CN"/>
                    </w:rPr>
                    <w:t>-4</w:t>
                  </w:r>
                </w:p>
              </w:tc>
              <w:tc>
                <w:tcPr>
                  <w:tcW w:w="1177" w:type="dxa"/>
                  <w:vMerge w:val="continue"/>
                  <w:vAlign w:val="top"/>
                </w:tcPr>
                <w:p w14:paraId="6E624DCE">
                  <w:pPr>
                    <w:widowControl w:val="0"/>
                    <w:spacing w:line="240" w:lineRule="atLeast"/>
                    <w:jc w:val="center"/>
                    <w:rPr>
                      <w:rFonts w:hint="default" w:ascii="Times New Roman" w:hAnsi="Times New Roman" w:eastAsia="宋体" w:cs="Times New Roman"/>
                      <w:color w:val="auto"/>
                      <w:szCs w:val="21"/>
                    </w:rPr>
                  </w:pPr>
                </w:p>
              </w:tc>
              <w:tc>
                <w:tcPr>
                  <w:tcW w:w="937" w:type="dxa"/>
                  <w:vMerge w:val="continue"/>
                  <w:vAlign w:val="top"/>
                </w:tcPr>
                <w:p w14:paraId="689B68F1">
                  <w:pPr>
                    <w:widowControl w:val="0"/>
                    <w:spacing w:line="240" w:lineRule="atLeast"/>
                    <w:jc w:val="center"/>
                    <w:rPr>
                      <w:rFonts w:hint="default" w:ascii="Times New Roman" w:hAnsi="Times New Roman" w:eastAsia="宋体" w:cs="Times New Roman"/>
                      <w:color w:val="auto"/>
                      <w:szCs w:val="21"/>
                    </w:rPr>
                  </w:pPr>
                </w:p>
              </w:tc>
            </w:tr>
            <w:tr w14:paraId="23082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559" w:type="dxa"/>
                  <w:vMerge w:val="continue"/>
                  <w:tcBorders>
                    <w:top w:val="nil"/>
                    <w:bottom w:val="nil"/>
                  </w:tcBorders>
                  <w:vAlign w:val="top"/>
                </w:tcPr>
                <w:p w14:paraId="5197E853">
                  <w:pPr>
                    <w:widowControl w:val="0"/>
                    <w:spacing w:line="240" w:lineRule="atLeast"/>
                    <w:jc w:val="center"/>
                    <w:rPr>
                      <w:rFonts w:hint="default" w:ascii="Times New Roman" w:hAnsi="Times New Roman" w:eastAsia="宋体" w:cs="Times New Roman"/>
                      <w:color w:val="auto"/>
                      <w:szCs w:val="21"/>
                    </w:rPr>
                  </w:pPr>
                </w:p>
              </w:tc>
              <w:tc>
                <w:tcPr>
                  <w:tcW w:w="540" w:type="dxa"/>
                  <w:vMerge w:val="continue"/>
                  <w:tcBorders>
                    <w:top w:val="nil"/>
                    <w:bottom w:val="nil"/>
                  </w:tcBorders>
                  <w:vAlign w:val="top"/>
                </w:tcPr>
                <w:p w14:paraId="00945547">
                  <w:pPr>
                    <w:widowControl w:val="0"/>
                    <w:spacing w:line="240" w:lineRule="atLeast"/>
                    <w:jc w:val="center"/>
                    <w:rPr>
                      <w:rFonts w:hint="default" w:ascii="Times New Roman" w:hAnsi="Times New Roman" w:eastAsia="宋体" w:cs="Times New Roman"/>
                      <w:color w:val="auto"/>
                      <w:szCs w:val="21"/>
                    </w:rPr>
                  </w:pPr>
                </w:p>
              </w:tc>
              <w:tc>
                <w:tcPr>
                  <w:tcW w:w="915" w:type="dxa"/>
                  <w:vAlign w:val="top"/>
                </w:tcPr>
                <w:p w14:paraId="6D2C3A77">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第三次</w:t>
                  </w:r>
                </w:p>
              </w:tc>
              <w:tc>
                <w:tcPr>
                  <w:tcW w:w="1046" w:type="dxa"/>
                  <w:vAlign w:val="top"/>
                </w:tcPr>
                <w:p w14:paraId="423EFEFF">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0.8</w:t>
                  </w:r>
                </w:p>
              </w:tc>
              <w:tc>
                <w:tcPr>
                  <w:tcW w:w="931" w:type="dxa"/>
                  <w:vAlign w:val="top"/>
                </w:tcPr>
                <w:p w14:paraId="4E87564A">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0.2</w:t>
                  </w:r>
                </w:p>
              </w:tc>
              <w:tc>
                <w:tcPr>
                  <w:tcW w:w="1733" w:type="dxa"/>
                  <w:vAlign w:val="top"/>
                </w:tcPr>
                <w:p w14:paraId="1EA36FCC">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7.17×10</w:t>
                  </w:r>
                  <w:r>
                    <w:rPr>
                      <w:rFonts w:hint="default" w:ascii="Times New Roman" w:hAnsi="Times New Roman" w:eastAsia="宋体" w:cs="Times New Roman"/>
                      <w:color w:val="auto"/>
                      <w:szCs w:val="21"/>
                      <w:vertAlign w:val="superscript"/>
                      <w:lang w:val="en-US" w:eastAsia="zh-CN"/>
                    </w:rPr>
                    <w:t>-4</w:t>
                  </w:r>
                </w:p>
              </w:tc>
              <w:tc>
                <w:tcPr>
                  <w:tcW w:w="1177" w:type="dxa"/>
                  <w:vMerge w:val="continue"/>
                  <w:vAlign w:val="top"/>
                </w:tcPr>
                <w:p w14:paraId="6A30A2D6">
                  <w:pPr>
                    <w:widowControl w:val="0"/>
                    <w:spacing w:line="240" w:lineRule="atLeast"/>
                    <w:jc w:val="center"/>
                    <w:rPr>
                      <w:rFonts w:hint="default" w:ascii="Times New Roman" w:hAnsi="Times New Roman" w:eastAsia="宋体" w:cs="Times New Roman"/>
                      <w:color w:val="auto"/>
                      <w:szCs w:val="21"/>
                    </w:rPr>
                  </w:pPr>
                </w:p>
              </w:tc>
              <w:tc>
                <w:tcPr>
                  <w:tcW w:w="937" w:type="dxa"/>
                  <w:vMerge w:val="continue"/>
                  <w:vAlign w:val="top"/>
                </w:tcPr>
                <w:p w14:paraId="59DA8EBD">
                  <w:pPr>
                    <w:widowControl w:val="0"/>
                    <w:spacing w:line="240" w:lineRule="atLeast"/>
                    <w:jc w:val="center"/>
                    <w:rPr>
                      <w:rFonts w:hint="default" w:ascii="Times New Roman" w:hAnsi="Times New Roman" w:eastAsia="宋体" w:cs="Times New Roman"/>
                      <w:color w:val="auto"/>
                      <w:szCs w:val="21"/>
                    </w:rPr>
                  </w:pPr>
                </w:p>
              </w:tc>
            </w:tr>
            <w:tr w14:paraId="6C38F7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559" w:type="dxa"/>
                  <w:vMerge w:val="continue"/>
                  <w:tcBorders>
                    <w:top w:val="nil"/>
                    <w:bottom w:val="nil"/>
                  </w:tcBorders>
                  <w:vAlign w:val="top"/>
                </w:tcPr>
                <w:p w14:paraId="1C48B47F">
                  <w:pPr>
                    <w:widowControl w:val="0"/>
                    <w:spacing w:line="240" w:lineRule="atLeast"/>
                    <w:jc w:val="center"/>
                    <w:rPr>
                      <w:rFonts w:hint="default" w:ascii="Times New Roman" w:hAnsi="Times New Roman" w:eastAsia="宋体" w:cs="Times New Roman"/>
                      <w:color w:val="auto"/>
                      <w:szCs w:val="21"/>
                    </w:rPr>
                  </w:pPr>
                </w:p>
              </w:tc>
              <w:tc>
                <w:tcPr>
                  <w:tcW w:w="540" w:type="dxa"/>
                  <w:vMerge w:val="continue"/>
                  <w:tcBorders>
                    <w:top w:val="nil"/>
                    <w:bottom w:val="nil"/>
                  </w:tcBorders>
                  <w:vAlign w:val="top"/>
                </w:tcPr>
                <w:p w14:paraId="2962A924">
                  <w:pPr>
                    <w:widowControl w:val="0"/>
                    <w:spacing w:line="240" w:lineRule="atLeast"/>
                    <w:jc w:val="center"/>
                    <w:rPr>
                      <w:rFonts w:hint="default" w:ascii="Times New Roman" w:hAnsi="Times New Roman" w:eastAsia="宋体" w:cs="Times New Roman"/>
                      <w:color w:val="auto"/>
                      <w:szCs w:val="21"/>
                    </w:rPr>
                  </w:pPr>
                </w:p>
              </w:tc>
              <w:tc>
                <w:tcPr>
                  <w:tcW w:w="915" w:type="dxa"/>
                  <w:vAlign w:val="top"/>
                </w:tcPr>
                <w:p w14:paraId="1B53AAE4">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第四次</w:t>
                  </w:r>
                </w:p>
              </w:tc>
              <w:tc>
                <w:tcPr>
                  <w:tcW w:w="1046" w:type="dxa"/>
                  <w:vAlign w:val="top"/>
                </w:tcPr>
                <w:p w14:paraId="3CFA172B">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0.8</w:t>
                  </w:r>
                </w:p>
              </w:tc>
              <w:tc>
                <w:tcPr>
                  <w:tcW w:w="931" w:type="dxa"/>
                  <w:vAlign w:val="top"/>
                </w:tcPr>
                <w:p w14:paraId="16C1B230">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0.2</w:t>
                  </w:r>
                </w:p>
              </w:tc>
              <w:tc>
                <w:tcPr>
                  <w:tcW w:w="1733" w:type="dxa"/>
                  <w:vAlign w:val="top"/>
                </w:tcPr>
                <w:p w14:paraId="07C72D05">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741×10</w:t>
                  </w:r>
                  <w:r>
                    <w:rPr>
                      <w:rFonts w:hint="default" w:ascii="Times New Roman" w:hAnsi="Times New Roman" w:eastAsia="宋体" w:cs="Times New Roman"/>
                      <w:color w:val="auto"/>
                      <w:szCs w:val="21"/>
                      <w:vertAlign w:val="superscript"/>
                      <w:lang w:val="en-US" w:eastAsia="zh-CN"/>
                    </w:rPr>
                    <w:t>-4</w:t>
                  </w:r>
                </w:p>
              </w:tc>
              <w:tc>
                <w:tcPr>
                  <w:tcW w:w="1177" w:type="dxa"/>
                  <w:vMerge w:val="continue"/>
                  <w:vAlign w:val="top"/>
                </w:tcPr>
                <w:p w14:paraId="78E00A74">
                  <w:pPr>
                    <w:widowControl w:val="0"/>
                    <w:spacing w:line="240" w:lineRule="atLeast"/>
                    <w:jc w:val="center"/>
                    <w:rPr>
                      <w:rFonts w:hint="default" w:ascii="Times New Roman" w:hAnsi="Times New Roman" w:eastAsia="宋体" w:cs="Times New Roman"/>
                      <w:color w:val="auto"/>
                      <w:szCs w:val="21"/>
                    </w:rPr>
                  </w:pPr>
                </w:p>
              </w:tc>
              <w:tc>
                <w:tcPr>
                  <w:tcW w:w="937" w:type="dxa"/>
                  <w:vMerge w:val="continue"/>
                  <w:vAlign w:val="top"/>
                </w:tcPr>
                <w:p w14:paraId="3B042726">
                  <w:pPr>
                    <w:widowControl w:val="0"/>
                    <w:spacing w:line="240" w:lineRule="atLeast"/>
                    <w:jc w:val="center"/>
                    <w:rPr>
                      <w:rFonts w:hint="default" w:ascii="Times New Roman" w:hAnsi="Times New Roman" w:eastAsia="宋体" w:cs="Times New Roman"/>
                      <w:color w:val="auto"/>
                      <w:szCs w:val="21"/>
                    </w:rPr>
                  </w:pPr>
                </w:p>
              </w:tc>
            </w:tr>
            <w:tr w14:paraId="538928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559" w:type="dxa"/>
                  <w:vMerge w:val="continue"/>
                  <w:tcBorders>
                    <w:top w:val="nil"/>
                  </w:tcBorders>
                  <w:vAlign w:val="top"/>
                </w:tcPr>
                <w:p w14:paraId="3BCD4CED">
                  <w:pPr>
                    <w:widowControl w:val="0"/>
                    <w:spacing w:line="240" w:lineRule="atLeast"/>
                    <w:jc w:val="center"/>
                    <w:rPr>
                      <w:rFonts w:hint="default" w:ascii="Times New Roman" w:hAnsi="Times New Roman" w:eastAsia="宋体" w:cs="Times New Roman"/>
                      <w:color w:val="auto"/>
                      <w:szCs w:val="21"/>
                    </w:rPr>
                  </w:pPr>
                </w:p>
              </w:tc>
              <w:tc>
                <w:tcPr>
                  <w:tcW w:w="540" w:type="dxa"/>
                  <w:vMerge w:val="continue"/>
                  <w:tcBorders>
                    <w:top w:val="nil"/>
                  </w:tcBorders>
                  <w:vAlign w:val="top"/>
                </w:tcPr>
                <w:p w14:paraId="53672D25">
                  <w:pPr>
                    <w:widowControl w:val="0"/>
                    <w:spacing w:line="240" w:lineRule="atLeast"/>
                    <w:jc w:val="center"/>
                    <w:rPr>
                      <w:rFonts w:hint="default" w:ascii="Times New Roman" w:hAnsi="Times New Roman" w:eastAsia="宋体" w:cs="Times New Roman"/>
                      <w:color w:val="auto"/>
                      <w:szCs w:val="21"/>
                    </w:rPr>
                  </w:pPr>
                </w:p>
              </w:tc>
              <w:tc>
                <w:tcPr>
                  <w:tcW w:w="915" w:type="dxa"/>
                  <w:vAlign w:val="top"/>
                </w:tcPr>
                <w:p w14:paraId="76F1E927">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第五次</w:t>
                  </w:r>
                </w:p>
              </w:tc>
              <w:tc>
                <w:tcPr>
                  <w:tcW w:w="1046" w:type="dxa"/>
                  <w:vAlign w:val="top"/>
                </w:tcPr>
                <w:p w14:paraId="19C67A78">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0.8</w:t>
                  </w:r>
                </w:p>
              </w:tc>
              <w:tc>
                <w:tcPr>
                  <w:tcW w:w="931" w:type="dxa"/>
                  <w:vAlign w:val="top"/>
                </w:tcPr>
                <w:p w14:paraId="657E7E8C">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0.2</w:t>
                  </w:r>
                </w:p>
              </w:tc>
              <w:tc>
                <w:tcPr>
                  <w:tcW w:w="1733" w:type="dxa"/>
                  <w:vAlign w:val="top"/>
                </w:tcPr>
                <w:p w14:paraId="685586AC">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7.26×10</w:t>
                  </w:r>
                  <w:r>
                    <w:rPr>
                      <w:rFonts w:hint="default" w:ascii="Times New Roman" w:hAnsi="Times New Roman" w:eastAsia="宋体" w:cs="Times New Roman"/>
                      <w:color w:val="auto"/>
                      <w:szCs w:val="21"/>
                      <w:vertAlign w:val="superscript"/>
                      <w:lang w:val="en-US" w:eastAsia="zh-CN"/>
                    </w:rPr>
                    <w:t>-4</w:t>
                  </w:r>
                </w:p>
              </w:tc>
              <w:tc>
                <w:tcPr>
                  <w:tcW w:w="1177" w:type="dxa"/>
                  <w:vMerge w:val="continue"/>
                  <w:vAlign w:val="top"/>
                </w:tcPr>
                <w:p w14:paraId="729576AF">
                  <w:pPr>
                    <w:widowControl w:val="0"/>
                    <w:spacing w:line="240" w:lineRule="atLeast"/>
                    <w:jc w:val="center"/>
                    <w:rPr>
                      <w:rFonts w:hint="default" w:ascii="Times New Roman" w:hAnsi="Times New Roman" w:eastAsia="宋体" w:cs="Times New Roman"/>
                      <w:color w:val="auto"/>
                      <w:szCs w:val="21"/>
                    </w:rPr>
                  </w:pPr>
                </w:p>
              </w:tc>
              <w:tc>
                <w:tcPr>
                  <w:tcW w:w="937" w:type="dxa"/>
                  <w:vMerge w:val="continue"/>
                  <w:vAlign w:val="top"/>
                </w:tcPr>
                <w:p w14:paraId="66C8BD08">
                  <w:pPr>
                    <w:widowControl w:val="0"/>
                    <w:spacing w:line="240" w:lineRule="atLeast"/>
                    <w:jc w:val="center"/>
                    <w:rPr>
                      <w:rFonts w:hint="default" w:ascii="Times New Roman" w:hAnsi="Times New Roman" w:eastAsia="宋体" w:cs="Times New Roman"/>
                      <w:color w:val="auto"/>
                      <w:szCs w:val="21"/>
                    </w:rPr>
                  </w:pPr>
                </w:p>
              </w:tc>
            </w:tr>
            <w:tr w14:paraId="69D0DC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2014" w:type="dxa"/>
                  <w:gridSpan w:val="3"/>
                  <w:vAlign w:val="top"/>
                </w:tcPr>
                <w:p w14:paraId="7D108E69">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检测结果</w:t>
                  </w:r>
                </w:p>
              </w:tc>
              <w:tc>
                <w:tcPr>
                  <w:tcW w:w="1046" w:type="dxa"/>
                  <w:vAlign w:val="top"/>
                </w:tcPr>
                <w:p w14:paraId="4C370260">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0.8.</w:t>
                  </w:r>
                </w:p>
              </w:tc>
              <w:tc>
                <w:tcPr>
                  <w:tcW w:w="931" w:type="dxa"/>
                  <w:vAlign w:val="top"/>
                </w:tcPr>
                <w:p w14:paraId="7B7A7FD1">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0.2</w:t>
                  </w:r>
                </w:p>
              </w:tc>
              <w:tc>
                <w:tcPr>
                  <w:tcW w:w="1733" w:type="dxa"/>
                  <w:vAlign w:val="top"/>
                </w:tcPr>
                <w:p w14:paraId="0E69A862">
                  <w:pPr>
                    <w:widowControl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7.41×10</w:t>
                  </w:r>
                  <w:r>
                    <w:rPr>
                      <w:rFonts w:hint="default" w:ascii="Times New Roman" w:hAnsi="Times New Roman" w:eastAsia="宋体" w:cs="Times New Roman"/>
                      <w:color w:val="auto"/>
                      <w:szCs w:val="21"/>
                      <w:vertAlign w:val="superscript"/>
                      <w:lang w:val="en-US" w:eastAsia="zh-CN"/>
                    </w:rPr>
                    <w:t>-4</w:t>
                  </w:r>
                </w:p>
              </w:tc>
              <w:tc>
                <w:tcPr>
                  <w:tcW w:w="1177" w:type="dxa"/>
                  <w:vMerge w:val="continue"/>
                  <w:vAlign w:val="top"/>
                </w:tcPr>
                <w:p w14:paraId="721B5198">
                  <w:pPr>
                    <w:widowControl w:val="0"/>
                    <w:spacing w:line="240" w:lineRule="atLeast"/>
                    <w:jc w:val="center"/>
                    <w:rPr>
                      <w:rFonts w:hint="default" w:ascii="Times New Roman" w:hAnsi="Times New Roman" w:eastAsia="宋体" w:cs="Times New Roman"/>
                      <w:color w:val="auto"/>
                      <w:szCs w:val="21"/>
                    </w:rPr>
                  </w:pPr>
                </w:p>
              </w:tc>
              <w:tc>
                <w:tcPr>
                  <w:tcW w:w="937" w:type="dxa"/>
                  <w:vMerge w:val="continue"/>
                  <w:vAlign w:val="top"/>
                </w:tcPr>
                <w:p w14:paraId="4FCC48BE">
                  <w:pPr>
                    <w:widowControl w:val="0"/>
                    <w:spacing w:line="240" w:lineRule="atLeast"/>
                    <w:jc w:val="center"/>
                    <w:rPr>
                      <w:rFonts w:hint="default" w:ascii="Times New Roman" w:hAnsi="Times New Roman" w:eastAsia="宋体" w:cs="Times New Roman"/>
                      <w:color w:val="auto"/>
                      <w:szCs w:val="21"/>
                    </w:rPr>
                  </w:pPr>
                </w:p>
              </w:tc>
            </w:tr>
          </w:tbl>
          <w:p w14:paraId="2657F9AB">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由表可知，监测期间</w:t>
            </w:r>
            <w:r>
              <w:rPr>
                <w:rFonts w:hint="default" w:ascii="Times New Roman" w:hAnsi="Times New Roman" w:eastAsia="宋体" w:cs="Times New Roman"/>
                <w:color w:val="auto"/>
                <w:sz w:val="24"/>
                <w:lang w:eastAsia="zh-CN"/>
              </w:rPr>
              <w:t>现有</w:t>
            </w:r>
            <w:r>
              <w:rPr>
                <w:rFonts w:hint="default" w:ascii="Times New Roman" w:hAnsi="Times New Roman" w:eastAsia="宋体" w:cs="Times New Roman"/>
                <w:color w:val="auto"/>
                <w:sz w:val="24"/>
              </w:rPr>
              <w:t>项目</w:t>
            </w:r>
            <w:r>
              <w:rPr>
                <w:rFonts w:hint="default" w:ascii="Times New Roman" w:hAnsi="Times New Roman" w:eastAsia="宋体" w:cs="Times New Roman"/>
                <w:color w:val="auto"/>
                <w:sz w:val="24"/>
                <w:lang w:val="en-US" w:eastAsia="zh-CN"/>
              </w:rPr>
              <w:t>食堂油烟</w:t>
            </w:r>
            <w:r>
              <w:rPr>
                <w:rFonts w:hint="default" w:ascii="Times New Roman" w:hAnsi="Times New Roman" w:eastAsia="宋体" w:cs="Times New Roman"/>
                <w:color w:val="auto"/>
                <w:sz w:val="24"/>
              </w:rPr>
              <w:t>排放废气</w:t>
            </w:r>
            <w:r>
              <w:rPr>
                <w:rFonts w:hint="default" w:ascii="Times New Roman" w:hAnsi="Times New Roman" w:eastAsia="宋体" w:cs="Times New Roman"/>
                <w:color w:val="auto"/>
                <w:sz w:val="24"/>
                <w:lang w:eastAsia="zh-CN"/>
              </w:rPr>
              <w:t>满足</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饮食业油烟排放标准（试行）</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G</w:t>
            </w:r>
            <w:r>
              <w:rPr>
                <w:rFonts w:hint="default" w:ascii="Times New Roman" w:hAnsi="Times New Roman" w:eastAsia="宋体" w:cs="Times New Roman"/>
                <w:color w:val="auto"/>
                <w:sz w:val="24"/>
              </w:rPr>
              <w:t>B</w:t>
            </w:r>
            <w:r>
              <w:rPr>
                <w:rFonts w:hint="default" w:ascii="Times New Roman" w:hAnsi="Times New Roman" w:eastAsia="宋体" w:cs="Times New Roman"/>
                <w:color w:val="auto"/>
                <w:sz w:val="24"/>
                <w:lang w:val="en-US" w:eastAsia="zh-CN"/>
              </w:rPr>
              <w:t>18483</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2001</w:t>
            </w:r>
            <w:r>
              <w:rPr>
                <w:rFonts w:hint="default" w:ascii="Times New Roman" w:hAnsi="Times New Roman" w:eastAsia="宋体" w:cs="Times New Roman"/>
                <w:color w:val="auto"/>
                <w:sz w:val="24"/>
              </w:rPr>
              <w:t>）表</w:t>
            </w:r>
            <w:r>
              <w:rPr>
                <w:rFonts w:hint="default" w:ascii="Times New Roman" w:hAnsi="Times New Roman" w:eastAsia="宋体" w:cs="Times New Roman"/>
                <w:color w:val="auto"/>
                <w:sz w:val="24"/>
                <w:lang w:val="en-US" w:eastAsia="zh-CN"/>
              </w:rPr>
              <w:t>2中的相应</w:t>
            </w:r>
            <w:r>
              <w:rPr>
                <w:rFonts w:hint="default" w:ascii="Times New Roman" w:hAnsi="Times New Roman" w:eastAsia="宋体" w:cs="Times New Roman"/>
                <w:color w:val="auto"/>
                <w:sz w:val="24"/>
              </w:rPr>
              <w:t>排放限值</w:t>
            </w:r>
            <w:r>
              <w:rPr>
                <w:rFonts w:hint="default" w:ascii="Times New Roman" w:hAnsi="Times New Roman" w:eastAsia="宋体" w:cs="Times New Roman"/>
                <w:color w:val="auto"/>
                <w:sz w:val="24"/>
                <w:lang w:eastAsia="zh-CN"/>
              </w:rPr>
              <w:t>。</w:t>
            </w:r>
          </w:p>
          <w:p w14:paraId="32B12EAA">
            <w:pPr>
              <w:keepLines w:val="0"/>
              <w:pageBreakBefore w:val="0"/>
              <w:widowControl/>
              <w:kinsoku w:val="0"/>
              <w:wordWrap/>
              <w:overflowPunct/>
              <w:topLinePunct w:val="0"/>
              <w:autoSpaceDE w:val="0"/>
              <w:autoSpaceDN w:val="0"/>
              <w:bidi w:val="0"/>
              <w:adjustRightInd/>
              <w:snapToGrid/>
              <w:spacing w:line="360" w:lineRule="auto"/>
              <w:ind w:firstLine="480" w:firstLineChars="200"/>
              <w:jc w:val="left"/>
              <w:textAlignment w:val="baseline"/>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（2）废水</w:t>
            </w:r>
          </w:p>
          <w:p w14:paraId="02B24A02">
            <w:pPr>
              <w:keepNext/>
              <w:keepLines w:val="0"/>
              <w:pageBreakBefore w:val="0"/>
              <w:widowControl/>
              <w:kinsoku w:val="0"/>
              <w:wordWrap/>
              <w:overflowPunct/>
              <w:topLinePunct w:val="0"/>
              <w:autoSpaceDE w:val="0"/>
              <w:autoSpaceDN w:val="0"/>
              <w:bidi w:val="0"/>
              <w:adjustRightInd/>
              <w:snapToGrid/>
              <w:spacing w:line="360" w:lineRule="auto"/>
              <w:ind w:firstLine="480" w:firstLineChars="200"/>
              <w:jc w:val="both"/>
              <w:textAlignment w:val="baseline"/>
              <w:outlineLvl w:val="1"/>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现有工程无生产废水产生，职工生活污水经厂区内</w:t>
            </w:r>
            <w:r>
              <w:rPr>
                <w:rFonts w:hint="default" w:ascii="Times New Roman" w:hAnsi="Times New Roman" w:eastAsia="宋体" w:cs="Times New Roman"/>
                <w:b w:val="0"/>
                <w:bCs/>
                <w:color w:val="auto"/>
                <w:sz w:val="24"/>
                <w:lang w:eastAsia="zh-CN"/>
              </w:rPr>
              <w:t>隔油池、</w:t>
            </w:r>
            <w:r>
              <w:rPr>
                <w:rFonts w:hint="default" w:ascii="Times New Roman" w:hAnsi="Times New Roman" w:eastAsia="宋体" w:cs="Times New Roman"/>
                <w:b w:val="0"/>
                <w:bCs/>
                <w:color w:val="auto"/>
                <w:sz w:val="24"/>
              </w:rPr>
              <w:t>化粪池处理后由园区污水管网排入宿州市</w:t>
            </w:r>
            <w:r>
              <w:rPr>
                <w:rFonts w:hint="default" w:ascii="Times New Roman" w:hAnsi="Times New Roman" w:eastAsia="宋体" w:cs="Times New Roman"/>
                <w:b w:val="0"/>
                <w:bCs/>
                <w:color w:val="auto"/>
                <w:sz w:val="24"/>
                <w:lang w:eastAsia="zh-CN"/>
              </w:rPr>
              <w:t>埇桥区经济开发区</w:t>
            </w:r>
            <w:r>
              <w:rPr>
                <w:rFonts w:hint="default" w:ascii="Times New Roman" w:hAnsi="Times New Roman" w:eastAsia="宋体" w:cs="Times New Roman"/>
                <w:b w:val="0"/>
                <w:bCs/>
                <w:color w:val="auto"/>
                <w:sz w:val="24"/>
              </w:rPr>
              <w:t>污水处理厂处理。</w:t>
            </w:r>
          </w:p>
          <w:p w14:paraId="7DC9AB10">
            <w:pPr>
              <w:keepNext/>
              <w:keepLines w:val="0"/>
              <w:pageBreakBefore w:val="0"/>
              <w:widowControl/>
              <w:kinsoku w:val="0"/>
              <w:wordWrap/>
              <w:overflowPunct/>
              <w:topLinePunct w:val="0"/>
              <w:autoSpaceDE w:val="0"/>
              <w:autoSpaceDN w:val="0"/>
              <w:bidi w:val="0"/>
              <w:adjustRightInd/>
              <w:snapToGrid/>
              <w:spacing w:line="360" w:lineRule="auto"/>
              <w:ind w:firstLine="480" w:firstLineChars="200"/>
              <w:jc w:val="left"/>
              <w:textAlignment w:val="baseline"/>
              <w:outlineLvl w:val="1"/>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（3）噪声</w:t>
            </w:r>
          </w:p>
          <w:p w14:paraId="72D06062">
            <w:pPr>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b/>
                <w:bCs/>
                <w:color w:val="auto"/>
                <w:sz w:val="24"/>
              </w:rPr>
            </w:pPr>
            <w:r>
              <w:rPr>
                <w:rFonts w:hint="default" w:ascii="Times New Roman" w:hAnsi="Times New Roman" w:eastAsia="宋体" w:cs="Times New Roman"/>
                <w:color w:val="auto"/>
                <w:sz w:val="24"/>
              </w:rPr>
              <w:t>根据</w:t>
            </w:r>
            <w:r>
              <w:rPr>
                <w:rFonts w:hint="default" w:ascii="Times New Roman" w:hAnsi="Times New Roman" w:eastAsia="宋体" w:cs="Times New Roman"/>
                <w:color w:val="auto"/>
                <w:sz w:val="24"/>
                <w:lang w:val="en-US" w:eastAsia="zh-CN"/>
              </w:rPr>
              <w:t>2023</w:t>
            </w:r>
            <w:r>
              <w:rPr>
                <w:rFonts w:hint="default" w:ascii="Times New Roman" w:hAnsi="Times New Roman" w:eastAsia="宋体" w:cs="Times New Roman"/>
                <w:color w:val="auto"/>
                <w:sz w:val="24"/>
                <w:lang w:eastAsia="zh-CN"/>
              </w:rPr>
              <w:t>年</w:t>
            </w:r>
            <w:r>
              <w:rPr>
                <w:rFonts w:hint="default" w:ascii="Times New Roman" w:hAnsi="Times New Roman" w:eastAsia="宋体" w:cs="Times New Roman"/>
                <w:color w:val="auto"/>
                <w:sz w:val="24"/>
                <w:lang w:val="en-US" w:eastAsia="zh-CN"/>
              </w:rPr>
              <w:t>验收</w:t>
            </w:r>
            <w:r>
              <w:rPr>
                <w:rFonts w:hint="default" w:ascii="Times New Roman" w:hAnsi="Times New Roman" w:eastAsia="宋体" w:cs="Times New Roman"/>
                <w:color w:val="auto"/>
                <w:sz w:val="24"/>
                <w:lang w:eastAsia="zh-CN"/>
              </w:rPr>
              <w:t>监测报告（</w:t>
            </w:r>
            <w:r>
              <w:rPr>
                <w:rFonts w:hint="default" w:ascii="Times New Roman" w:hAnsi="Times New Roman" w:eastAsia="宋体" w:cs="Times New Roman"/>
                <w:color w:val="auto"/>
                <w:sz w:val="24"/>
                <w:lang w:val="en-US" w:eastAsia="zh-CN"/>
              </w:rPr>
              <w:t>2023080600802Y</w:t>
            </w:r>
            <w:r>
              <w:rPr>
                <w:rFonts w:hint="default" w:ascii="Times New Roman" w:hAnsi="Times New Roman" w:eastAsia="宋体" w:cs="Times New Roman"/>
                <w:color w:val="auto"/>
                <w:sz w:val="24"/>
                <w:lang w:eastAsia="zh-CN"/>
              </w:rPr>
              <w:t>），现有项目</w:t>
            </w:r>
            <w:r>
              <w:rPr>
                <w:rFonts w:hint="default" w:ascii="Times New Roman" w:hAnsi="Times New Roman" w:eastAsia="宋体" w:cs="Times New Roman"/>
                <w:color w:val="auto"/>
                <w:sz w:val="24"/>
              </w:rPr>
              <w:t>厂界噪声监测结果见</w:t>
            </w:r>
            <w:r>
              <w:rPr>
                <w:rFonts w:hint="default" w:ascii="Times New Roman" w:hAnsi="Times New Roman" w:eastAsia="宋体" w:cs="Times New Roman"/>
                <w:color w:val="auto"/>
                <w:sz w:val="24"/>
                <w:lang w:eastAsia="zh-CN"/>
              </w:rPr>
              <w:t>下</w:t>
            </w:r>
            <w:r>
              <w:rPr>
                <w:rFonts w:hint="default" w:ascii="Times New Roman" w:hAnsi="Times New Roman" w:eastAsia="宋体" w:cs="Times New Roman"/>
                <w:color w:val="auto"/>
                <w:sz w:val="24"/>
              </w:rPr>
              <w:t>表。</w:t>
            </w:r>
          </w:p>
          <w:p w14:paraId="1A949740">
            <w:pPr>
              <w:keepNext w:val="0"/>
              <w:keepLines w:val="0"/>
              <w:pageBreakBefore w:val="0"/>
              <w:widowControl/>
              <w:kinsoku w:val="0"/>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表2</w:t>
            </w:r>
            <w:r>
              <w:rPr>
                <w:rFonts w:hint="default" w:ascii="Times New Roman" w:hAnsi="Times New Roman" w:eastAsia="宋体" w:cs="Times New Roman"/>
                <w:b/>
                <w:bCs/>
                <w:color w:val="auto"/>
                <w:sz w:val="24"/>
                <w:lang w:val="en-US" w:eastAsia="zh-CN"/>
              </w:rPr>
              <w:t>-12</w:t>
            </w:r>
            <w:r>
              <w:rPr>
                <w:rFonts w:hint="default" w:ascii="Times New Roman" w:hAnsi="Times New Roman" w:eastAsia="宋体" w:cs="Times New Roman"/>
                <w:b/>
                <w:bCs/>
                <w:color w:val="auto"/>
                <w:sz w:val="24"/>
              </w:rPr>
              <w:t xml:space="preserve"> 现有项目厂界噪声监测结果一览表（单位：dB（A））</w:t>
            </w:r>
          </w:p>
          <w:tbl>
            <w:tblPr>
              <w:tblStyle w:val="44"/>
              <w:tblW w:w="793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
              <w:gridCol w:w="630"/>
              <w:gridCol w:w="1354"/>
              <w:gridCol w:w="530"/>
              <w:gridCol w:w="595"/>
              <w:gridCol w:w="840"/>
              <w:gridCol w:w="194"/>
              <w:gridCol w:w="712"/>
              <w:gridCol w:w="1178"/>
              <w:gridCol w:w="1087"/>
              <w:gridCol w:w="812"/>
            </w:tblGrid>
            <w:tr w14:paraId="0FFA2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3" w:hRule="atLeast"/>
              </w:trPr>
              <w:tc>
                <w:tcPr>
                  <w:tcW w:w="634" w:type="dxa"/>
                  <w:gridSpan w:val="2"/>
                  <w:vMerge w:val="restart"/>
                  <w:vAlign w:val="center"/>
                </w:tcPr>
                <w:p w14:paraId="08D5808B">
                  <w:pPr>
                    <w:autoSpaceDE w:val="0"/>
                    <w:autoSpaceDN w:val="0"/>
                    <w:adjustRightInd w:val="0"/>
                    <w:spacing w:line="400" w:lineRule="exact"/>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测点号</w:t>
                  </w:r>
                </w:p>
              </w:tc>
              <w:tc>
                <w:tcPr>
                  <w:tcW w:w="1354" w:type="dxa"/>
                  <w:vMerge w:val="restart"/>
                  <w:vAlign w:val="center"/>
                </w:tcPr>
                <w:p w14:paraId="19D14791">
                  <w:pPr>
                    <w:autoSpaceDE w:val="0"/>
                    <w:autoSpaceDN w:val="0"/>
                    <w:adjustRightInd w:val="0"/>
                    <w:spacing w:line="400" w:lineRule="exact"/>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主要噪声源</w:t>
                  </w:r>
                </w:p>
              </w:tc>
              <w:tc>
                <w:tcPr>
                  <w:tcW w:w="1125" w:type="dxa"/>
                  <w:gridSpan w:val="2"/>
                  <w:vMerge w:val="restart"/>
                  <w:vAlign w:val="center"/>
                </w:tcPr>
                <w:p w14:paraId="6B2EBD4E">
                  <w:pPr>
                    <w:autoSpaceDE w:val="0"/>
                    <w:autoSpaceDN w:val="0"/>
                    <w:adjustRightInd w:val="0"/>
                    <w:spacing w:line="400" w:lineRule="exact"/>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测试时间</w:t>
                  </w:r>
                </w:p>
              </w:tc>
              <w:tc>
                <w:tcPr>
                  <w:tcW w:w="2924" w:type="dxa"/>
                  <w:gridSpan w:val="4"/>
                  <w:vAlign w:val="center"/>
                </w:tcPr>
                <w:p w14:paraId="64C78BD4">
                  <w:pPr>
                    <w:autoSpaceDE w:val="0"/>
                    <w:autoSpaceDN w:val="0"/>
                    <w:adjustRightInd w:val="0"/>
                    <w:spacing w:line="400" w:lineRule="exact"/>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检测结果Leq[dB(A)]</w:t>
                  </w:r>
                </w:p>
              </w:tc>
              <w:tc>
                <w:tcPr>
                  <w:tcW w:w="1087" w:type="dxa"/>
                  <w:vMerge w:val="restart"/>
                  <w:shd w:val="clear" w:color="auto" w:fill="auto"/>
                  <w:vAlign w:val="center"/>
                </w:tcPr>
                <w:p w14:paraId="3873C78A">
                  <w:pPr>
                    <w:pStyle w:val="7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标准</w:t>
                  </w:r>
                </w:p>
                <w:p w14:paraId="19DBE7EA">
                  <w:pPr>
                    <w:pStyle w:val="70"/>
                    <w:jc w:val="center"/>
                    <w:rPr>
                      <w:rFonts w:hint="default" w:ascii="Times New Roman" w:hAnsi="Times New Roman" w:eastAsia="宋体" w:cs="Times New Roman"/>
                      <w:b/>
                      <w:bCs/>
                      <w:color w:val="auto"/>
                      <w:sz w:val="21"/>
                      <w:lang w:val="en-US" w:eastAsia="zh-CN" w:bidi="ar-SA"/>
                    </w:rPr>
                  </w:pPr>
                  <w:r>
                    <w:rPr>
                      <w:rFonts w:hint="default" w:ascii="Times New Roman" w:hAnsi="Times New Roman" w:eastAsia="宋体" w:cs="Times New Roman"/>
                      <w:b/>
                      <w:bCs/>
                      <w:color w:val="auto"/>
                    </w:rPr>
                    <w:t>限值</w:t>
                  </w:r>
                </w:p>
              </w:tc>
              <w:tc>
                <w:tcPr>
                  <w:tcW w:w="812" w:type="dxa"/>
                  <w:vMerge w:val="restart"/>
                  <w:shd w:val="clear" w:color="auto" w:fill="auto"/>
                  <w:vAlign w:val="center"/>
                </w:tcPr>
                <w:p w14:paraId="06D2B7D4">
                  <w:pPr>
                    <w:pStyle w:val="7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结果</w:t>
                  </w:r>
                </w:p>
                <w:p w14:paraId="3FA6EC9A">
                  <w:pPr>
                    <w:pStyle w:val="70"/>
                    <w:jc w:val="center"/>
                    <w:rPr>
                      <w:rFonts w:hint="default" w:ascii="Times New Roman" w:hAnsi="Times New Roman" w:eastAsia="宋体" w:cs="Times New Roman"/>
                      <w:b/>
                      <w:bCs/>
                      <w:color w:val="auto"/>
                      <w:sz w:val="21"/>
                      <w:lang w:val="en-US" w:eastAsia="zh-CN" w:bidi="ar-SA"/>
                    </w:rPr>
                  </w:pPr>
                  <w:r>
                    <w:rPr>
                      <w:rFonts w:hint="default" w:ascii="Times New Roman" w:hAnsi="Times New Roman" w:eastAsia="宋体" w:cs="Times New Roman"/>
                      <w:b/>
                      <w:bCs/>
                      <w:color w:val="auto"/>
                    </w:rPr>
                    <w:t>评价</w:t>
                  </w:r>
                </w:p>
              </w:tc>
            </w:tr>
            <w:tr w14:paraId="111A6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trPr>
              <w:tc>
                <w:tcPr>
                  <w:tcW w:w="634" w:type="dxa"/>
                  <w:gridSpan w:val="2"/>
                  <w:vMerge w:val="continue"/>
                  <w:vAlign w:val="center"/>
                </w:tcPr>
                <w:p w14:paraId="6CF4E564">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p>
              </w:tc>
              <w:tc>
                <w:tcPr>
                  <w:tcW w:w="1354" w:type="dxa"/>
                  <w:vMerge w:val="continue"/>
                  <w:vAlign w:val="center"/>
                </w:tcPr>
                <w:p w14:paraId="38596C12">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p>
              </w:tc>
              <w:tc>
                <w:tcPr>
                  <w:tcW w:w="1125" w:type="dxa"/>
                  <w:gridSpan w:val="2"/>
                  <w:vMerge w:val="continue"/>
                  <w:vAlign w:val="center"/>
                </w:tcPr>
                <w:p w14:paraId="7512F424">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p>
              </w:tc>
              <w:tc>
                <w:tcPr>
                  <w:tcW w:w="1034" w:type="dxa"/>
                  <w:gridSpan w:val="2"/>
                  <w:vAlign w:val="center"/>
                </w:tcPr>
                <w:p w14:paraId="6552E18C">
                  <w:pPr>
                    <w:autoSpaceDE w:val="0"/>
                    <w:autoSpaceDN w:val="0"/>
                    <w:adjustRightInd w:val="0"/>
                    <w:spacing w:line="400" w:lineRule="exact"/>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测量值</w:t>
                  </w:r>
                </w:p>
              </w:tc>
              <w:tc>
                <w:tcPr>
                  <w:tcW w:w="712" w:type="dxa"/>
                  <w:vAlign w:val="center"/>
                </w:tcPr>
                <w:p w14:paraId="5BFCAF75">
                  <w:pPr>
                    <w:autoSpaceDE w:val="0"/>
                    <w:autoSpaceDN w:val="0"/>
                    <w:adjustRightInd w:val="0"/>
                    <w:spacing w:line="400" w:lineRule="exact"/>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天气</w:t>
                  </w:r>
                </w:p>
              </w:tc>
              <w:tc>
                <w:tcPr>
                  <w:tcW w:w="1178" w:type="dxa"/>
                  <w:vAlign w:val="center"/>
                </w:tcPr>
                <w:p w14:paraId="3F79CE63">
                  <w:pPr>
                    <w:autoSpaceDE w:val="0"/>
                    <w:autoSpaceDN w:val="0"/>
                    <w:adjustRightInd w:val="0"/>
                    <w:spacing w:line="400" w:lineRule="exact"/>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风速(m/s)</w:t>
                  </w:r>
                </w:p>
              </w:tc>
              <w:tc>
                <w:tcPr>
                  <w:tcW w:w="1087" w:type="dxa"/>
                  <w:vMerge w:val="continue"/>
                  <w:vAlign w:val="center"/>
                </w:tcPr>
                <w:p w14:paraId="38FDE11B">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p>
              </w:tc>
              <w:tc>
                <w:tcPr>
                  <w:tcW w:w="812" w:type="dxa"/>
                  <w:vMerge w:val="continue"/>
                  <w:vAlign w:val="center"/>
                </w:tcPr>
                <w:p w14:paraId="584D2AD9">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p>
              </w:tc>
            </w:tr>
            <w:tr w14:paraId="24F81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trPr>
              <w:tc>
                <w:tcPr>
                  <w:tcW w:w="634" w:type="dxa"/>
                  <w:gridSpan w:val="2"/>
                  <w:vAlign w:val="center"/>
                </w:tcPr>
                <w:p w14:paraId="65B2033B">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N1</w:t>
                  </w:r>
                </w:p>
              </w:tc>
              <w:tc>
                <w:tcPr>
                  <w:tcW w:w="1354" w:type="dxa"/>
                  <w:vAlign w:val="center"/>
                </w:tcPr>
                <w:p w14:paraId="7BE1532B">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厂界环境噪声</w:t>
                  </w:r>
                </w:p>
              </w:tc>
              <w:tc>
                <w:tcPr>
                  <w:tcW w:w="530" w:type="dxa"/>
                  <w:vMerge w:val="restart"/>
                  <w:vAlign w:val="center"/>
                </w:tcPr>
                <w:p w14:paraId="26C91110">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昼间</w:t>
                  </w:r>
                </w:p>
              </w:tc>
              <w:tc>
                <w:tcPr>
                  <w:tcW w:w="595" w:type="dxa"/>
                  <w:vAlign w:val="center"/>
                </w:tcPr>
                <w:p w14:paraId="7E233C12">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16:37</w:t>
                  </w:r>
                </w:p>
              </w:tc>
              <w:tc>
                <w:tcPr>
                  <w:tcW w:w="1034" w:type="dxa"/>
                  <w:gridSpan w:val="2"/>
                  <w:vAlign w:val="center"/>
                </w:tcPr>
                <w:p w14:paraId="594C0864">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57.6</w:t>
                  </w:r>
                </w:p>
              </w:tc>
              <w:tc>
                <w:tcPr>
                  <w:tcW w:w="712" w:type="dxa"/>
                  <w:vMerge w:val="restart"/>
                  <w:vAlign w:val="center"/>
                </w:tcPr>
                <w:p w14:paraId="39256FFB">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晴</w:t>
                  </w:r>
                </w:p>
              </w:tc>
              <w:tc>
                <w:tcPr>
                  <w:tcW w:w="1178" w:type="dxa"/>
                  <w:vMerge w:val="restart"/>
                  <w:vAlign w:val="center"/>
                </w:tcPr>
                <w:p w14:paraId="37AAEC76">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1.1</w:t>
                  </w:r>
                </w:p>
              </w:tc>
              <w:tc>
                <w:tcPr>
                  <w:tcW w:w="1087" w:type="dxa"/>
                  <w:vMerge w:val="restart"/>
                  <w:vAlign w:val="center"/>
                </w:tcPr>
                <w:p w14:paraId="38E946F0">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60</w:t>
                  </w:r>
                  <w:r>
                    <w:rPr>
                      <w:rFonts w:hint="default" w:ascii="Times New Roman" w:hAnsi="Times New Roman" w:eastAsia="宋体" w:cs="Times New Roman"/>
                      <w:b/>
                      <w:bCs/>
                      <w:color w:val="auto"/>
                      <w:sz w:val="24"/>
                    </w:rPr>
                    <w:t>dB</w:t>
                  </w:r>
                </w:p>
              </w:tc>
              <w:tc>
                <w:tcPr>
                  <w:tcW w:w="812" w:type="dxa"/>
                  <w:vMerge w:val="restart"/>
                  <w:vAlign w:val="center"/>
                </w:tcPr>
                <w:p w14:paraId="5169F8DE">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color w:val="auto"/>
                      <w:sz w:val="21"/>
                      <w:szCs w:val="21"/>
                      <w:lang w:val="zh-CN" w:bidi="zh-CN"/>
                    </w:rPr>
                    <w:t>达标</w:t>
                  </w:r>
                </w:p>
              </w:tc>
            </w:tr>
            <w:tr w14:paraId="79B5E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trPr>
              <w:tc>
                <w:tcPr>
                  <w:tcW w:w="634" w:type="dxa"/>
                  <w:gridSpan w:val="2"/>
                  <w:vAlign w:val="center"/>
                </w:tcPr>
                <w:p w14:paraId="3A98B0B3">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N2</w:t>
                  </w:r>
                </w:p>
              </w:tc>
              <w:tc>
                <w:tcPr>
                  <w:tcW w:w="1354" w:type="dxa"/>
                  <w:vAlign w:val="center"/>
                </w:tcPr>
                <w:p w14:paraId="32608F7F">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厂界环境噪声</w:t>
                  </w:r>
                </w:p>
              </w:tc>
              <w:tc>
                <w:tcPr>
                  <w:tcW w:w="530" w:type="dxa"/>
                  <w:vMerge w:val="continue"/>
                  <w:vAlign w:val="center"/>
                </w:tcPr>
                <w:p w14:paraId="788A12CF">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p>
              </w:tc>
              <w:tc>
                <w:tcPr>
                  <w:tcW w:w="595" w:type="dxa"/>
                  <w:vAlign w:val="center"/>
                </w:tcPr>
                <w:p w14:paraId="40A855A5">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16:44</w:t>
                  </w:r>
                </w:p>
              </w:tc>
              <w:tc>
                <w:tcPr>
                  <w:tcW w:w="1034" w:type="dxa"/>
                  <w:gridSpan w:val="2"/>
                  <w:vAlign w:val="center"/>
                </w:tcPr>
                <w:p w14:paraId="727685A6">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56.3</w:t>
                  </w:r>
                </w:p>
              </w:tc>
              <w:tc>
                <w:tcPr>
                  <w:tcW w:w="712" w:type="dxa"/>
                  <w:vMerge w:val="continue"/>
                  <w:vAlign w:val="center"/>
                </w:tcPr>
                <w:p w14:paraId="3EE1826A">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p>
              </w:tc>
              <w:tc>
                <w:tcPr>
                  <w:tcW w:w="1178" w:type="dxa"/>
                  <w:vMerge w:val="continue"/>
                  <w:vAlign w:val="center"/>
                </w:tcPr>
                <w:p w14:paraId="2B3285C6">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p>
              </w:tc>
              <w:tc>
                <w:tcPr>
                  <w:tcW w:w="1087" w:type="dxa"/>
                  <w:vMerge w:val="continue"/>
                  <w:vAlign w:val="center"/>
                </w:tcPr>
                <w:p w14:paraId="221DEAF1">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p>
              </w:tc>
              <w:tc>
                <w:tcPr>
                  <w:tcW w:w="812" w:type="dxa"/>
                  <w:vMerge w:val="continue"/>
                  <w:vAlign w:val="center"/>
                </w:tcPr>
                <w:p w14:paraId="46B444EF">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p>
              </w:tc>
            </w:tr>
            <w:tr w14:paraId="2E22D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6" w:hRule="atLeast"/>
              </w:trPr>
              <w:tc>
                <w:tcPr>
                  <w:tcW w:w="634" w:type="dxa"/>
                  <w:gridSpan w:val="2"/>
                  <w:vAlign w:val="center"/>
                </w:tcPr>
                <w:p w14:paraId="4076B063">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N3</w:t>
                  </w:r>
                </w:p>
              </w:tc>
              <w:tc>
                <w:tcPr>
                  <w:tcW w:w="1354" w:type="dxa"/>
                  <w:vAlign w:val="center"/>
                </w:tcPr>
                <w:p w14:paraId="11D0D399">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厂界环境噪声</w:t>
                  </w:r>
                </w:p>
              </w:tc>
              <w:tc>
                <w:tcPr>
                  <w:tcW w:w="530" w:type="dxa"/>
                  <w:vMerge w:val="continue"/>
                  <w:vAlign w:val="center"/>
                </w:tcPr>
                <w:p w14:paraId="479C87BF">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p>
              </w:tc>
              <w:tc>
                <w:tcPr>
                  <w:tcW w:w="595" w:type="dxa"/>
                  <w:vAlign w:val="center"/>
                </w:tcPr>
                <w:p w14:paraId="1C282BE0">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16:50</w:t>
                  </w:r>
                </w:p>
              </w:tc>
              <w:tc>
                <w:tcPr>
                  <w:tcW w:w="1034" w:type="dxa"/>
                  <w:gridSpan w:val="2"/>
                  <w:vAlign w:val="center"/>
                </w:tcPr>
                <w:p w14:paraId="4C2E2A86">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56.9</w:t>
                  </w:r>
                </w:p>
              </w:tc>
              <w:tc>
                <w:tcPr>
                  <w:tcW w:w="712" w:type="dxa"/>
                  <w:vMerge w:val="continue"/>
                  <w:vAlign w:val="center"/>
                </w:tcPr>
                <w:p w14:paraId="2C6A1E5A">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p>
              </w:tc>
              <w:tc>
                <w:tcPr>
                  <w:tcW w:w="1178" w:type="dxa"/>
                  <w:vMerge w:val="continue"/>
                  <w:vAlign w:val="center"/>
                </w:tcPr>
                <w:p w14:paraId="70E78F2F">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p>
              </w:tc>
              <w:tc>
                <w:tcPr>
                  <w:tcW w:w="1087" w:type="dxa"/>
                  <w:vMerge w:val="continue"/>
                  <w:vAlign w:val="center"/>
                </w:tcPr>
                <w:p w14:paraId="6F5EB085">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p>
              </w:tc>
              <w:tc>
                <w:tcPr>
                  <w:tcW w:w="812" w:type="dxa"/>
                  <w:vMerge w:val="continue"/>
                  <w:vAlign w:val="center"/>
                </w:tcPr>
                <w:p w14:paraId="018A2051">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p>
              </w:tc>
            </w:tr>
            <w:tr w14:paraId="5B636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trPr>
              <w:tc>
                <w:tcPr>
                  <w:tcW w:w="634" w:type="dxa"/>
                  <w:gridSpan w:val="2"/>
                  <w:vAlign w:val="center"/>
                </w:tcPr>
                <w:p w14:paraId="4B247E65">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N4</w:t>
                  </w:r>
                </w:p>
              </w:tc>
              <w:tc>
                <w:tcPr>
                  <w:tcW w:w="1354" w:type="dxa"/>
                  <w:vAlign w:val="center"/>
                </w:tcPr>
                <w:p w14:paraId="5EC101C5">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厂界环境噪声</w:t>
                  </w:r>
                </w:p>
              </w:tc>
              <w:tc>
                <w:tcPr>
                  <w:tcW w:w="530" w:type="dxa"/>
                  <w:vMerge w:val="continue"/>
                  <w:vAlign w:val="center"/>
                </w:tcPr>
                <w:p w14:paraId="323130BA">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p>
              </w:tc>
              <w:tc>
                <w:tcPr>
                  <w:tcW w:w="595" w:type="dxa"/>
                  <w:vAlign w:val="center"/>
                </w:tcPr>
                <w:p w14:paraId="5F23B8BA">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16:56</w:t>
                  </w:r>
                </w:p>
              </w:tc>
              <w:tc>
                <w:tcPr>
                  <w:tcW w:w="1034" w:type="dxa"/>
                  <w:gridSpan w:val="2"/>
                  <w:vAlign w:val="center"/>
                </w:tcPr>
                <w:p w14:paraId="2A356424">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58.2</w:t>
                  </w:r>
                </w:p>
              </w:tc>
              <w:tc>
                <w:tcPr>
                  <w:tcW w:w="712" w:type="dxa"/>
                  <w:vMerge w:val="continue"/>
                  <w:vAlign w:val="center"/>
                </w:tcPr>
                <w:p w14:paraId="2660A0F8">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p>
              </w:tc>
              <w:tc>
                <w:tcPr>
                  <w:tcW w:w="1178" w:type="dxa"/>
                  <w:vMerge w:val="continue"/>
                  <w:vAlign w:val="center"/>
                </w:tcPr>
                <w:p w14:paraId="44A09B98">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p>
              </w:tc>
              <w:tc>
                <w:tcPr>
                  <w:tcW w:w="1087" w:type="dxa"/>
                  <w:vMerge w:val="continue"/>
                  <w:vAlign w:val="center"/>
                </w:tcPr>
                <w:p w14:paraId="402D6FC8">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p>
              </w:tc>
              <w:tc>
                <w:tcPr>
                  <w:tcW w:w="812" w:type="dxa"/>
                  <w:vMerge w:val="continue"/>
                  <w:vAlign w:val="center"/>
                </w:tcPr>
                <w:p w14:paraId="133D1964">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p>
              </w:tc>
            </w:tr>
            <w:tr w14:paraId="137C3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4" w:type="dxa"/>
                <w:trHeight w:val="416" w:hRule="atLeast"/>
              </w:trPr>
              <w:tc>
                <w:tcPr>
                  <w:tcW w:w="630" w:type="dxa"/>
                  <w:vMerge w:val="restart"/>
                  <w:vAlign w:val="center"/>
                </w:tcPr>
                <w:p w14:paraId="177BD320">
                  <w:pPr>
                    <w:autoSpaceDE w:val="0"/>
                    <w:autoSpaceDN w:val="0"/>
                    <w:adjustRightInd w:val="0"/>
                    <w:spacing w:line="400" w:lineRule="exact"/>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测点号</w:t>
                  </w:r>
                </w:p>
              </w:tc>
              <w:tc>
                <w:tcPr>
                  <w:tcW w:w="1354" w:type="dxa"/>
                  <w:vMerge w:val="restart"/>
                  <w:vAlign w:val="center"/>
                </w:tcPr>
                <w:p w14:paraId="1F2BC8FF">
                  <w:pPr>
                    <w:autoSpaceDE w:val="0"/>
                    <w:autoSpaceDN w:val="0"/>
                    <w:adjustRightInd w:val="0"/>
                    <w:spacing w:line="400" w:lineRule="exact"/>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主要噪声源</w:t>
                  </w:r>
                </w:p>
              </w:tc>
              <w:tc>
                <w:tcPr>
                  <w:tcW w:w="1125" w:type="dxa"/>
                  <w:gridSpan w:val="2"/>
                  <w:vMerge w:val="restart"/>
                  <w:vAlign w:val="center"/>
                </w:tcPr>
                <w:p w14:paraId="345ED3B4">
                  <w:pPr>
                    <w:autoSpaceDE w:val="0"/>
                    <w:autoSpaceDN w:val="0"/>
                    <w:adjustRightInd w:val="0"/>
                    <w:spacing w:line="400" w:lineRule="exact"/>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测试时间</w:t>
                  </w:r>
                </w:p>
              </w:tc>
              <w:tc>
                <w:tcPr>
                  <w:tcW w:w="2924" w:type="dxa"/>
                  <w:gridSpan w:val="4"/>
                  <w:vAlign w:val="center"/>
                </w:tcPr>
                <w:p w14:paraId="6E59D40E">
                  <w:pPr>
                    <w:autoSpaceDE w:val="0"/>
                    <w:autoSpaceDN w:val="0"/>
                    <w:adjustRightInd w:val="0"/>
                    <w:spacing w:line="400" w:lineRule="exact"/>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检测结果Leq[dB(A)]</w:t>
                  </w:r>
                </w:p>
              </w:tc>
              <w:tc>
                <w:tcPr>
                  <w:tcW w:w="1087" w:type="dxa"/>
                  <w:vMerge w:val="restart"/>
                  <w:vAlign w:val="center"/>
                </w:tcPr>
                <w:p w14:paraId="05FEAD5A">
                  <w:pPr>
                    <w:pStyle w:val="7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标准</w:t>
                  </w:r>
                </w:p>
                <w:p w14:paraId="3FD76B55">
                  <w:pPr>
                    <w:pStyle w:val="70"/>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rPr>
                    <w:t>限值</w:t>
                  </w:r>
                </w:p>
              </w:tc>
              <w:tc>
                <w:tcPr>
                  <w:tcW w:w="812" w:type="dxa"/>
                  <w:vMerge w:val="restart"/>
                  <w:vAlign w:val="center"/>
                </w:tcPr>
                <w:p w14:paraId="5C6453FB">
                  <w:pPr>
                    <w:pStyle w:val="7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结果</w:t>
                  </w:r>
                </w:p>
                <w:p w14:paraId="202B74C5">
                  <w:pPr>
                    <w:pStyle w:val="70"/>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rPr>
                    <w:t>评价</w:t>
                  </w:r>
                </w:p>
              </w:tc>
            </w:tr>
            <w:tr w14:paraId="5E17F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4" w:type="dxa"/>
                <w:trHeight w:val="416" w:hRule="atLeast"/>
              </w:trPr>
              <w:tc>
                <w:tcPr>
                  <w:tcW w:w="630" w:type="dxa"/>
                  <w:vMerge w:val="continue"/>
                  <w:vAlign w:val="center"/>
                </w:tcPr>
                <w:p w14:paraId="7BD1C7E9">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p>
              </w:tc>
              <w:tc>
                <w:tcPr>
                  <w:tcW w:w="1354" w:type="dxa"/>
                  <w:vMerge w:val="continue"/>
                  <w:vAlign w:val="center"/>
                </w:tcPr>
                <w:p w14:paraId="4E950128">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p>
              </w:tc>
              <w:tc>
                <w:tcPr>
                  <w:tcW w:w="1125" w:type="dxa"/>
                  <w:gridSpan w:val="2"/>
                  <w:vMerge w:val="continue"/>
                  <w:vAlign w:val="center"/>
                </w:tcPr>
                <w:p w14:paraId="5E0ED5DF">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p>
              </w:tc>
              <w:tc>
                <w:tcPr>
                  <w:tcW w:w="840" w:type="dxa"/>
                  <w:vAlign w:val="center"/>
                </w:tcPr>
                <w:p w14:paraId="517678B9">
                  <w:pPr>
                    <w:autoSpaceDE w:val="0"/>
                    <w:autoSpaceDN w:val="0"/>
                    <w:adjustRightInd w:val="0"/>
                    <w:spacing w:line="400" w:lineRule="exact"/>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测量值</w:t>
                  </w:r>
                </w:p>
              </w:tc>
              <w:tc>
                <w:tcPr>
                  <w:tcW w:w="906" w:type="dxa"/>
                  <w:gridSpan w:val="2"/>
                  <w:vAlign w:val="center"/>
                </w:tcPr>
                <w:p w14:paraId="33601186">
                  <w:pPr>
                    <w:autoSpaceDE w:val="0"/>
                    <w:autoSpaceDN w:val="0"/>
                    <w:adjustRightInd w:val="0"/>
                    <w:spacing w:line="400" w:lineRule="exact"/>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天气</w:t>
                  </w:r>
                </w:p>
              </w:tc>
              <w:tc>
                <w:tcPr>
                  <w:tcW w:w="1178" w:type="dxa"/>
                  <w:vAlign w:val="center"/>
                </w:tcPr>
                <w:p w14:paraId="331CF4D5">
                  <w:pPr>
                    <w:autoSpaceDE w:val="0"/>
                    <w:autoSpaceDN w:val="0"/>
                    <w:adjustRightInd w:val="0"/>
                    <w:spacing w:line="400" w:lineRule="exact"/>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风速(m/s)</w:t>
                  </w:r>
                </w:p>
              </w:tc>
              <w:tc>
                <w:tcPr>
                  <w:tcW w:w="1087" w:type="dxa"/>
                  <w:vMerge w:val="continue"/>
                  <w:vAlign w:val="center"/>
                </w:tcPr>
                <w:p w14:paraId="4C81B64C">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p>
              </w:tc>
              <w:tc>
                <w:tcPr>
                  <w:tcW w:w="812" w:type="dxa"/>
                  <w:vMerge w:val="continue"/>
                  <w:vAlign w:val="center"/>
                </w:tcPr>
                <w:p w14:paraId="640D7FC7">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p>
              </w:tc>
            </w:tr>
            <w:tr w14:paraId="01163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4" w:type="dxa"/>
                <w:trHeight w:val="416" w:hRule="atLeast"/>
              </w:trPr>
              <w:tc>
                <w:tcPr>
                  <w:tcW w:w="630" w:type="dxa"/>
                  <w:vAlign w:val="center"/>
                </w:tcPr>
                <w:p w14:paraId="3F90FE04">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NI</w:t>
                  </w:r>
                </w:p>
              </w:tc>
              <w:tc>
                <w:tcPr>
                  <w:tcW w:w="1354" w:type="dxa"/>
                  <w:vAlign w:val="center"/>
                </w:tcPr>
                <w:p w14:paraId="5CF3622B">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厂界环境噪声</w:t>
                  </w:r>
                </w:p>
              </w:tc>
              <w:tc>
                <w:tcPr>
                  <w:tcW w:w="530" w:type="dxa"/>
                  <w:vMerge w:val="restart"/>
                  <w:vAlign w:val="center"/>
                </w:tcPr>
                <w:p w14:paraId="140172EA">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p>
                <w:p w14:paraId="0D793B45">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p>
                <w:p w14:paraId="1E96255E">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昼间</w:t>
                  </w:r>
                </w:p>
              </w:tc>
              <w:tc>
                <w:tcPr>
                  <w:tcW w:w="595" w:type="dxa"/>
                  <w:vAlign w:val="center"/>
                </w:tcPr>
                <w:p w14:paraId="5869BA68">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10:07</w:t>
                  </w:r>
                </w:p>
              </w:tc>
              <w:tc>
                <w:tcPr>
                  <w:tcW w:w="840" w:type="dxa"/>
                  <w:vAlign w:val="center"/>
                </w:tcPr>
                <w:p w14:paraId="76C6B1AA">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56.5</w:t>
                  </w:r>
                </w:p>
              </w:tc>
              <w:tc>
                <w:tcPr>
                  <w:tcW w:w="906" w:type="dxa"/>
                  <w:gridSpan w:val="2"/>
                  <w:vMerge w:val="restart"/>
                  <w:vAlign w:val="center"/>
                </w:tcPr>
                <w:p w14:paraId="18FFADEB">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晴</w:t>
                  </w:r>
                </w:p>
              </w:tc>
              <w:tc>
                <w:tcPr>
                  <w:tcW w:w="1178" w:type="dxa"/>
                  <w:vMerge w:val="restart"/>
                  <w:vAlign w:val="center"/>
                </w:tcPr>
                <w:p w14:paraId="1FABF364">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1.2</w:t>
                  </w:r>
                </w:p>
              </w:tc>
              <w:tc>
                <w:tcPr>
                  <w:tcW w:w="1087" w:type="dxa"/>
                  <w:vMerge w:val="restart"/>
                  <w:vAlign w:val="center"/>
                </w:tcPr>
                <w:p w14:paraId="5956CC41">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60</w:t>
                  </w:r>
                  <w:r>
                    <w:rPr>
                      <w:rFonts w:hint="default" w:ascii="Times New Roman" w:hAnsi="Times New Roman" w:eastAsia="宋体" w:cs="Times New Roman"/>
                      <w:b/>
                      <w:bCs/>
                      <w:color w:val="auto"/>
                      <w:sz w:val="24"/>
                    </w:rPr>
                    <w:t>dB</w:t>
                  </w:r>
                </w:p>
              </w:tc>
              <w:tc>
                <w:tcPr>
                  <w:tcW w:w="812" w:type="dxa"/>
                  <w:vMerge w:val="restart"/>
                  <w:vAlign w:val="center"/>
                </w:tcPr>
                <w:p w14:paraId="5166D166">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color w:val="auto"/>
                      <w:sz w:val="21"/>
                      <w:szCs w:val="21"/>
                      <w:lang w:val="zh-CN" w:bidi="zh-CN"/>
                    </w:rPr>
                    <w:t>达标</w:t>
                  </w:r>
                </w:p>
              </w:tc>
            </w:tr>
            <w:tr w14:paraId="1C92F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4" w:type="dxa"/>
                <w:trHeight w:val="416" w:hRule="atLeast"/>
              </w:trPr>
              <w:tc>
                <w:tcPr>
                  <w:tcW w:w="630" w:type="dxa"/>
                  <w:vAlign w:val="center"/>
                </w:tcPr>
                <w:p w14:paraId="66189A3C">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N2</w:t>
                  </w:r>
                </w:p>
              </w:tc>
              <w:tc>
                <w:tcPr>
                  <w:tcW w:w="1354" w:type="dxa"/>
                  <w:vAlign w:val="center"/>
                </w:tcPr>
                <w:p w14:paraId="2F824A40">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厂界环境噪声</w:t>
                  </w:r>
                </w:p>
              </w:tc>
              <w:tc>
                <w:tcPr>
                  <w:tcW w:w="530" w:type="dxa"/>
                  <w:vMerge w:val="continue"/>
                  <w:vAlign w:val="center"/>
                </w:tcPr>
                <w:p w14:paraId="75861941">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p>
              </w:tc>
              <w:tc>
                <w:tcPr>
                  <w:tcW w:w="595" w:type="dxa"/>
                  <w:vAlign w:val="center"/>
                </w:tcPr>
                <w:p w14:paraId="1B408244">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10:12</w:t>
                  </w:r>
                </w:p>
              </w:tc>
              <w:tc>
                <w:tcPr>
                  <w:tcW w:w="840" w:type="dxa"/>
                  <w:vAlign w:val="center"/>
                </w:tcPr>
                <w:p w14:paraId="7577CECE">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56.0</w:t>
                  </w:r>
                </w:p>
              </w:tc>
              <w:tc>
                <w:tcPr>
                  <w:tcW w:w="906" w:type="dxa"/>
                  <w:gridSpan w:val="2"/>
                  <w:vMerge w:val="continue"/>
                  <w:vAlign w:val="center"/>
                </w:tcPr>
                <w:p w14:paraId="034FD2D6">
                  <w:pPr>
                    <w:jc w:val="center"/>
                    <w:rPr>
                      <w:rFonts w:hint="default" w:ascii="Times New Roman" w:hAnsi="Times New Roman" w:eastAsia="宋体" w:cs="Times New Roman"/>
                      <w:color w:val="auto"/>
                      <w:sz w:val="21"/>
                    </w:rPr>
                  </w:pPr>
                </w:p>
              </w:tc>
              <w:tc>
                <w:tcPr>
                  <w:tcW w:w="1178" w:type="dxa"/>
                  <w:vMerge w:val="continue"/>
                  <w:vAlign w:val="center"/>
                </w:tcPr>
                <w:p w14:paraId="2BD7FC10">
                  <w:pPr>
                    <w:jc w:val="center"/>
                    <w:rPr>
                      <w:rFonts w:hint="default" w:ascii="Times New Roman" w:hAnsi="Times New Roman" w:eastAsia="宋体" w:cs="Times New Roman"/>
                      <w:color w:val="auto"/>
                      <w:sz w:val="21"/>
                    </w:rPr>
                  </w:pPr>
                </w:p>
              </w:tc>
              <w:tc>
                <w:tcPr>
                  <w:tcW w:w="1087" w:type="dxa"/>
                  <w:vMerge w:val="continue"/>
                  <w:vAlign w:val="center"/>
                </w:tcPr>
                <w:p w14:paraId="03644216">
                  <w:pPr>
                    <w:jc w:val="center"/>
                    <w:rPr>
                      <w:rFonts w:hint="default" w:ascii="Times New Roman" w:hAnsi="Times New Roman" w:eastAsia="宋体" w:cs="Times New Roman"/>
                      <w:color w:val="auto"/>
                      <w:sz w:val="21"/>
                    </w:rPr>
                  </w:pPr>
                </w:p>
              </w:tc>
              <w:tc>
                <w:tcPr>
                  <w:tcW w:w="812" w:type="dxa"/>
                  <w:vMerge w:val="continue"/>
                  <w:vAlign w:val="center"/>
                </w:tcPr>
                <w:p w14:paraId="2B26ED14">
                  <w:pPr>
                    <w:jc w:val="center"/>
                    <w:rPr>
                      <w:rFonts w:hint="default" w:ascii="Times New Roman" w:hAnsi="Times New Roman" w:eastAsia="宋体" w:cs="Times New Roman"/>
                      <w:color w:val="auto"/>
                      <w:sz w:val="21"/>
                    </w:rPr>
                  </w:pPr>
                </w:p>
              </w:tc>
            </w:tr>
            <w:tr w14:paraId="61DE5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4" w:type="dxa"/>
                <w:trHeight w:val="416" w:hRule="atLeast"/>
              </w:trPr>
              <w:tc>
                <w:tcPr>
                  <w:tcW w:w="630" w:type="dxa"/>
                  <w:vAlign w:val="center"/>
                </w:tcPr>
                <w:p w14:paraId="47D0F687">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N3</w:t>
                  </w:r>
                </w:p>
              </w:tc>
              <w:tc>
                <w:tcPr>
                  <w:tcW w:w="1354" w:type="dxa"/>
                  <w:vAlign w:val="center"/>
                </w:tcPr>
                <w:p w14:paraId="2CBDCEFA">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厂界环境噪声</w:t>
                  </w:r>
                </w:p>
              </w:tc>
              <w:tc>
                <w:tcPr>
                  <w:tcW w:w="530" w:type="dxa"/>
                  <w:vMerge w:val="continue"/>
                  <w:vAlign w:val="center"/>
                </w:tcPr>
                <w:p w14:paraId="15F3D421">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p>
              </w:tc>
              <w:tc>
                <w:tcPr>
                  <w:tcW w:w="595" w:type="dxa"/>
                  <w:vAlign w:val="center"/>
                </w:tcPr>
                <w:p w14:paraId="4523F9F7">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10:18</w:t>
                  </w:r>
                </w:p>
              </w:tc>
              <w:tc>
                <w:tcPr>
                  <w:tcW w:w="840" w:type="dxa"/>
                  <w:vAlign w:val="center"/>
                </w:tcPr>
                <w:p w14:paraId="37914336">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55.6</w:t>
                  </w:r>
                </w:p>
              </w:tc>
              <w:tc>
                <w:tcPr>
                  <w:tcW w:w="906" w:type="dxa"/>
                  <w:gridSpan w:val="2"/>
                  <w:vMerge w:val="continue"/>
                  <w:vAlign w:val="center"/>
                </w:tcPr>
                <w:p w14:paraId="34475CB4">
                  <w:pPr>
                    <w:jc w:val="center"/>
                    <w:rPr>
                      <w:rFonts w:hint="default" w:ascii="Times New Roman" w:hAnsi="Times New Roman" w:eastAsia="宋体" w:cs="Times New Roman"/>
                      <w:color w:val="auto"/>
                      <w:sz w:val="21"/>
                    </w:rPr>
                  </w:pPr>
                </w:p>
              </w:tc>
              <w:tc>
                <w:tcPr>
                  <w:tcW w:w="1178" w:type="dxa"/>
                  <w:vMerge w:val="continue"/>
                  <w:vAlign w:val="center"/>
                </w:tcPr>
                <w:p w14:paraId="527C1076">
                  <w:pPr>
                    <w:jc w:val="center"/>
                    <w:rPr>
                      <w:rFonts w:hint="default" w:ascii="Times New Roman" w:hAnsi="Times New Roman" w:eastAsia="宋体" w:cs="Times New Roman"/>
                      <w:color w:val="auto"/>
                      <w:sz w:val="21"/>
                    </w:rPr>
                  </w:pPr>
                </w:p>
              </w:tc>
              <w:tc>
                <w:tcPr>
                  <w:tcW w:w="1087" w:type="dxa"/>
                  <w:vMerge w:val="continue"/>
                  <w:vAlign w:val="center"/>
                </w:tcPr>
                <w:p w14:paraId="00830F56">
                  <w:pPr>
                    <w:jc w:val="center"/>
                    <w:rPr>
                      <w:rFonts w:hint="default" w:ascii="Times New Roman" w:hAnsi="Times New Roman" w:eastAsia="宋体" w:cs="Times New Roman"/>
                      <w:color w:val="auto"/>
                      <w:sz w:val="21"/>
                    </w:rPr>
                  </w:pPr>
                </w:p>
              </w:tc>
              <w:tc>
                <w:tcPr>
                  <w:tcW w:w="812" w:type="dxa"/>
                  <w:vMerge w:val="continue"/>
                  <w:vAlign w:val="center"/>
                </w:tcPr>
                <w:p w14:paraId="4C27B761">
                  <w:pPr>
                    <w:jc w:val="center"/>
                    <w:rPr>
                      <w:rFonts w:hint="default" w:ascii="Times New Roman" w:hAnsi="Times New Roman" w:eastAsia="宋体" w:cs="Times New Roman"/>
                      <w:color w:val="auto"/>
                      <w:sz w:val="21"/>
                    </w:rPr>
                  </w:pPr>
                </w:p>
              </w:tc>
            </w:tr>
            <w:tr w14:paraId="77405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Before w:val="1"/>
                <w:wBefore w:w="4" w:type="dxa"/>
                <w:trHeight w:val="426" w:hRule="atLeast"/>
              </w:trPr>
              <w:tc>
                <w:tcPr>
                  <w:tcW w:w="630" w:type="dxa"/>
                  <w:vAlign w:val="center"/>
                </w:tcPr>
                <w:p w14:paraId="1BE2CAB0">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N4</w:t>
                  </w:r>
                </w:p>
              </w:tc>
              <w:tc>
                <w:tcPr>
                  <w:tcW w:w="1354" w:type="dxa"/>
                  <w:vAlign w:val="center"/>
                </w:tcPr>
                <w:p w14:paraId="2EBBAEE9">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厂界环境噪声</w:t>
                  </w:r>
                </w:p>
              </w:tc>
              <w:tc>
                <w:tcPr>
                  <w:tcW w:w="530" w:type="dxa"/>
                  <w:vMerge w:val="continue"/>
                  <w:vAlign w:val="center"/>
                </w:tcPr>
                <w:p w14:paraId="2DBB3523">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p>
              </w:tc>
              <w:tc>
                <w:tcPr>
                  <w:tcW w:w="595" w:type="dxa"/>
                  <w:vAlign w:val="center"/>
                </w:tcPr>
                <w:p w14:paraId="413EFAD7">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10:25</w:t>
                  </w:r>
                </w:p>
              </w:tc>
              <w:tc>
                <w:tcPr>
                  <w:tcW w:w="840" w:type="dxa"/>
                  <w:vAlign w:val="center"/>
                </w:tcPr>
                <w:p w14:paraId="5E25A106">
                  <w:pPr>
                    <w:autoSpaceDE w:val="0"/>
                    <w:autoSpaceDN w:val="0"/>
                    <w:adjustRightInd w:val="0"/>
                    <w:spacing w:line="4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55.9</w:t>
                  </w:r>
                </w:p>
              </w:tc>
              <w:tc>
                <w:tcPr>
                  <w:tcW w:w="906" w:type="dxa"/>
                  <w:gridSpan w:val="2"/>
                  <w:vMerge w:val="continue"/>
                  <w:vAlign w:val="center"/>
                </w:tcPr>
                <w:p w14:paraId="10B04972">
                  <w:pPr>
                    <w:jc w:val="center"/>
                    <w:rPr>
                      <w:rFonts w:hint="default" w:ascii="Times New Roman" w:hAnsi="Times New Roman" w:eastAsia="宋体" w:cs="Times New Roman"/>
                      <w:color w:val="auto"/>
                      <w:sz w:val="21"/>
                    </w:rPr>
                  </w:pPr>
                </w:p>
              </w:tc>
              <w:tc>
                <w:tcPr>
                  <w:tcW w:w="1178" w:type="dxa"/>
                  <w:vMerge w:val="continue"/>
                  <w:vAlign w:val="center"/>
                </w:tcPr>
                <w:p w14:paraId="2D7F8EFA">
                  <w:pPr>
                    <w:jc w:val="center"/>
                    <w:rPr>
                      <w:rFonts w:hint="default" w:ascii="Times New Roman" w:hAnsi="Times New Roman" w:eastAsia="宋体" w:cs="Times New Roman"/>
                      <w:color w:val="auto"/>
                      <w:sz w:val="21"/>
                    </w:rPr>
                  </w:pPr>
                </w:p>
              </w:tc>
              <w:tc>
                <w:tcPr>
                  <w:tcW w:w="1087" w:type="dxa"/>
                  <w:vMerge w:val="continue"/>
                  <w:vAlign w:val="center"/>
                </w:tcPr>
                <w:p w14:paraId="192609F7">
                  <w:pPr>
                    <w:jc w:val="center"/>
                    <w:rPr>
                      <w:rFonts w:hint="default" w:ascii="Times New Roman" w:hAnsi="Times New Roman" w:eastAsia="宋体" w:cs="Times New Roman"/>
                      <w:color w:val="auto"/>
                      <w:sz w:val="21"/>
                    </w:rPr>
                  </w:pPr>
                </w:p>
              </w:tc>
              <w:tc>
                <w:tcPr>
                  <w:tcW w:w="812" w:type="dxa"/>
                  <w:vMerge w:val="continue"/>
                  <w:vAlign w:val="center"/>
                </w:tcPr>
                <w:p w14:paraId="77CF3ACC">
                  <w:pPr>
                    <w:jc w:val="center"/>
                    <w:rPr>
                      <w:rFonts w:hint="default" w:ascii="Times New Roman" w:hAnsi="Times New Roman" w:eastAsia="宋体" w:cs="Times New Roman"/>
                      <w:color w:val="auto"/>
                      <w:sz w:val="21"/>
                    </w:rPr>
                  </w:pPr>
                </w:p>
              </w:tc>
            </w:tr>
          </w:tbl>
          <w:p w14:paraId="15B167E5">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jc w:val="left"/>
              <w:textAlignment w:val="baseline"/>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由</w:t>
            </w:r>
            <w:r>
              <w:rPr>
                <w:rFonts w:hint="default" w:ascii="Times New Roman" w:hAnsi="Times New Roman" w:eastAsia="宋体" w:cs="Times New Roman"/>
                <w:color w:val="auto"/>
                <w:sz w:val="24"/>
                <w:lang w:eastAsia="zh-CN"/>
              </w:rPr>
              <w:t>上表</w:t>
            </w:r>
            <w:r>
              <w:rPr>
                <w:rFonts w:hint="default" w:ascii="Times New Roman" w:hAnsi="Times New Roman" w:eastAsia="宋体" w:cs="Times New Roman"/>
                <w:color w:val="auto"/>
                <w:sz w:val="24"/>
              </w:rPr>
              <w:t>可知，监测结果表明，</w:t>
            </w:r>
            <w:r>
              <w:rPr>
                <w:rFonts w:hint="default" w:ascii="Times New Roman" w:hAnsi="Times New Roman" w:eastAsia="宋体" w:cs="Times New Roman"/>
                <w:color w:val="auto"/>
                <w:sz w:val="24"/>
                <w:lang w:eastAsia="zh-CN"/>
              </w:rPr>
              <w:t>现有</w:t>
            </w:r>
            <w:r>
              <w:rPr>
                <w:rFonts w:hint="default" w:ascii="Times New Roman" w:hAnsi="Times New Roman" w:eastAsia="宋体" w:cs="Times New Roman"/>
                <w:color w:val="auto"/>
                <w:sz w:val="24"/>
              </w:rPr>
              <w:t>项目厂界噪声满足《工业企业厂界环境噪声排放标准》（GB12348-2008）中</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类标准。</w:t>
            </w:r>
          </w:p>
          <w:p w14:paraId="3A592B9B">
            <w:pPr>
              <w:keepNext w:val="0"/>
              <w:keepLines w:val="0"/>
              <w:pageBreakBefore w:val="0"/>
              <w:widowControl/>
              <w:numPr>
                <w:ilvl w:val="0"/>
                <w:numId w:val="7"/>
              </w:numPr>
              <w:kinsoku w:val="0"/>
              <w:wordWrap/>
              <w:overflowPunct/>
              <w:topLinePunct w:val="0"/>
              <w:autoSpaceDE w:val="0"/>
              <w:autoSpaceDN w:val="0"/>
              <w:bidi w:val="0"/>
              <w:adjustRightInd/>
              <w:snapToGrid/>
              <w:spacing w:line="360" w:lineRule="auto"/>
              <w:ind w:firstLine="480" w:firstLineChars="200"/>
              <w:jc w:val="left"/>
              <w:textAlignment w:val="baseline"/>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现有项目固体废物产排情况</w:t>
            </w:r>
          </w:p>
          <w:p w14:paraId="1913A707">
            <w:pPr>
              <w:keepNext w:val="0"/>
              <w:keepLines w:val="0"/>
              <w:pageBreakBefore w:val="0"/>
              <w:widowControl/>
              <w:tabs>
                <w:tab w:val="left" w:pos="7437"/>
              </w:tabs>
              <w:kinsoku w:val="0"/>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rPr>
              <w:t>表2</w:t>
            </w:r>
            <w:r>
              <w:rPr>
                <w:rFonts w:hint="default" w:ascii="Times New Roman" w:hAnsi="Times New Roman" w:eastAsia="宋体" w:cs="Times New Roman"/>
                <w:b/>
                <w:bCs/>
                <w:color w:val="auto"/>
                <w:sz w:val="24"/>
                <w:lang w:val="en-US" w:eastAsia="zh-CN"/>
              </w:rPr>
              <w:t>-13</w:t>
            </w:r>
            <w:r>
              <w:rPr>
                <w:rFonts w:hint="default" w:ascii="Times New Roman" w:hAnsi="Times New Roman" w:eastAsia="宋体" w:cs="Times New Roman"/>
                <w:b/>
                <w:bCs/>
                <w:color w:val="auto"/>
                <w:sz w:val="24"/>
              </w:rPr>
              <w:t>现有项目固体废物产生与处置情况一览表</w:t>
            </w:r>
          </w:p>
          <w:tbl>
            <w:tblPr>
              <w:tblStyle w:val="27"/>
              <w:tblW w:w="4991"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23"/>
              <w:gridCol w:w="1289"/>
              <w:gridCol w:w="854"/>
              <w:gridCol w:w="1238"/>
              <w:gridCol w:w="932"/>
              <w:gridCol w:w="963"/>
              <w:gridCol w:w="912"/>
              <w:gridCol w:w="1298"/>
            </w:tblGrid>
            <w:tr w14:paraId="0B385B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4" w:hRule="atLeast"/>
                <w:jc w:val="center"/>
              </w:trPr>
              <w:tc>
                <w:tcPr>
                  <w:tcW w:w="267" w:type="pct"/>
                  <w:tcBorders>
                    <w:tl2br w:val="nil"/>
                    <w:tr2bl w:val="nil"/>
                  </w:tcBorders>
                  <w:noWrap w:val="0"/>
                  <w:tcMar>
                    <w:left w:w="0" w:type="dxa"/>
                    <w:right w:w="0" w:type="dxa"/>
                  </w:tcMar>
                  <w:vAlign w:val="center"/>
                </w:tcPr>
                <w:p w14:paraId="5D335CC6">
                  <w:pPr>
                    <w:pageBreakBefore w:val="0"/>
                    <w:widowControl w:val="0"/>
                    <w:kinsoku/>
                    <w:wordWrap/>
                    <w:overflowPunct/>
                    <w:topLinePunct w:val="0"/>
                    <w:bidi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序号</w:t>
                  </w:r>
                </w:p>
              </w:tc>
              <w:tc>
                <w:tcPr>
                  <w:tcW w:w="814" w:type="pct"/>
                  <w:tcBorders>
                    <w:tl2br w:val="nil"/>
                    <w:tr2bl w:val="nil"/>
                  </w:tcBorders>
                  <w:noWrap w:val="0"/>
                  <w:tcMar>
                    <w:left w:w="0" w:type="dxa"/>
                    <w:right w:w="0" w:type="dxa"/>
                  </w:tcMar>
                  <w:vAlign w:val="center"/>
                </w:tcPr>
                <w:p w14:paraId="00446C73">
                  <w:pPr>
                    <w:pageBreakBefore w:val="0"/>
                    <w:widowControl w:val="0"/>
                    <w:kinsoku/>
                    <w:wordWrap/>
                    <w:overflowPunct/>
                    <w:topLinePunct w:val="0"/>
                    <w:bidi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固体废物名称</w:t>
                  </w:r>
                </w:p>
              </w:tc>
              <w:tc>
                <w:tcPr>
                  <w:tcW w:w="539" w:type="pct"/>
                  <w:tcBorders>
                    <w:tl2br w:val="nil"/>
                    <w:tr2bl w:val="nil"/>
                  </w:tcBorders>
                  <w:noWrap w:val="0"/>
                  <w:vAlign w:val="center"/>
                </w:tcPr>
                <w:p w14:paraId="0C018B49">
                  <w:pPr>
                    <w:pageBreakBefore w:val="0"/>
                    <w:widowControl w:val="0"/>
                    <w:kinsoku/>
                    <w:wordWrap/>
                    <w:overflowPunct/>
                    <w:topLinePunct w:val="0"/>
                    <w:bidi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属性</w:t>
                  </w:r>
                </w:p>
              </w:tc>
              <w:tc>
                <w:tcPr>
                  <w:tcW w:w="782" w:type="pct"/>
                  <w:tcBorders>
                    <w:tl2br w:val="nil"/>
                    <w:tr2bl w:val="nil"/>
                  </w:tcBorders>
                  <w:noWrap w:val="0"/>
                  <w:vAlign w:val="center"/>
                </w:tcPr>
                <w:p w14:paraId="273E6597">
                  <w:pPr>
                    <w:pageBreakBefore w:val="0"/>
                    <w:widowControl w:val="0"/>
                    <w:kinsoku/>
                    <w:wordWrap/>
                    <w:overflowPunct/>
                    <w:topLinePunct w:val="0"/>
                    <w:bidi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编码</w:t>
                  </w:r>
                </w:p>
              </w:tc>
              <w:tc>
                <w:tcPr>
                  <w:tcW w:w="589" w:type="pct"/>
                  <w:tcBorders>
                    <w:tl2br w:val="nil"/>
                    <w:tr2bl w:val="nil"/>
                  </w:tcBorders>
                  <w:noWrap w:val="0"/>
                  <w:vAlign w:val="center"/>
                </w:tcPr>
                <w:p w14:paraId="2C29AC61">
                  <w:pPr>
                    <w:pageBreakBefore w:val="0"/>
                    <w:widowControl w:val="0"/>
                    <w:kinsoku/>
                    <w:wordWrap/>
                    <w:overflowPunct/>
                    <w:topLinePunct w:val="0"/>
                    <w:bidi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产生量（t/a）</w:t>
                  </w:r>
                </w:p>
              </w:tc>
              <w:tc>
                <w:tcPr>
                  <w:tcW w:w="608" w:type="pct"/>
                  <w:tcBorders>
                    <w:tl2br w:val="nil"/>
                    <w:tr2bl w:val="nil"/>
                  </w:tcBorders>
                  <w:noWrap w:val="0"/>
                  <w:vAlign w:val="center"/>
                </w:tcPr>
                <w:p w14:paraId="48D62AB3">
                  <w:pPr>
                    <w:pageBreakBefore w:val="0"/>
                    <w:widowControl w:val="0"/>
                    <w:kinsoku/>
                    <w:wordWrap/>
                    <w:overflowPunct/>
                    <w:topLinePunct w:val="0"/>
                    <w:bidi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lang w:val="en-US" w:eastAsia="zh-CN"/>
                    </w:rPr>
                    <w:t>排放量</w:t>
                  </w:r>
                  <w:r>
                    <w:rPr>
                      <w:rFonts w:hint="default" w:ascii="Times New Roman" w:hAnsi="Times New Roman" w:eastAsia="宋体" w:cs="Times New Roman"/>
                      <w:b/>
                      <w:bCs/>
                      <w:color w:val="auto"/>
                      <w:szCs w:val="21"/>
                      <w:lang w:eastAsia="zh-CN"/>
                    </w:rPr>
                    <w:t>（</w:t>
                  </w:r>
                  <w:r>
                    <w:rPr>
                      <w:rFonts w:hint="default" w:ascii="Times New Roman" w:hAnsi="Times New Roman" w:eastAsia="宋体" w:cs="Times New Roman"/>
                      <w:b/>
                      <w:bCs/>
                      <w:color w:val="auto"/>
                      <w:szCs w:val="21"/>
                    </w:rPr>
                    <w:t>t/a</w:t>
                  </w:r>
                  <w:r>
                    <w:rPr>
                      <w:rFonts w:hint="default" w:ascii="Times New Roman" w:hAnsi="Times New Roman" w:eastAsia="宋体" w:cs="Times New Roman"/>
                      <w:b/>
                      <w:bCs/>
                      <w:color w:val="auto"/>
                      <w:szCs w:val="21"/>
                      <w:lang w:eastAsia="zh-CN"/>
                    </w:rPr>
                    <w:t>）</w:t>
                  </w:r>
                </w:p>
              </w:tc>
              <w:tc>
                <w:tcPr>
                  <w:tcW w:w="576" w:type="pct"/>
                  <w:tcBorders>
                    <w:tl2br w:val="nil"/>
                    <w:tr2bl w:val="nil"/>
                  </w:tcBorders>
                  <w:noWrap w:val="0"/>
                  <w:tcMar>
                    <w:left w:w="0" w:type="dxa"/>
                    <w:right w:w="0" w:type="dxa"/>
                  </w:tcMar>
                  <w:vAlign w:val="center"/>
                </w:tcPr>
                <w:p w14:paraId="3636241B">
                  <w:pPr>
                    <w:pageBreakBefore w:val="0"/>
                    <w:widowControl w:val="0"/>
                    <w:kinsoku/>
                    <w:wordWrap/>
                    <w:overflowPunct/>
                    <w:topLinePunct w:val="0"/>
                    <w:bidi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贮存位置</w:t>
                  </w:r>
                </w:p>
              </w:tc>
              <w:tc>
                <w:tcPr>
                  <w:tcW w:w="820" w:type="pct"/>
                  <w:tcBorders>
                    <w:tl2br w:val="nil"/>
                    <w:tr2bl w:val="nil"/>
                  </w:tcBorders>
                  <w:noWrap w:val="0"/>
                  <w:vAlign w:val="center"/>
                </w:tcPr>
                <w:p w14:paraId="0DA6A97D">
                  <w:pPr>
                    <w:pageBreakBefore w:val="0"/>
                    <w:widowControl w:val="0"/>
                    <w:kinsoku/>
                    <w:wordWrap/>
                    <w:overflowPunct/>
                    <w:topLinePunct w:val="0"/>
                    <w:bidi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利用处置方式和方向</w:t>
                  </w:r>
                </w:p>
              </w:tc>
            </w:tr>
            <w:tr w14:paraId="12864E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9" w:hRule="atLeast"/>
                <w:jc w:val="center"/>
              </w:trPr>
              <w:tc>
                <w:tcPr>
                  <w:tcW w:w="267" w:type="pct"/>
                  <w:tcBorders>
                    <w:tl2br w:val="nil"/>
                    <w:tr2bl w:val="nil"/>
                  </w:tcBorders>
                  <w:noWrap w:val="0"/>
                  <w:tcMar>
                    <w:left w:w="0" w:type="dxa"/>
                    <w:right w:w="0" w:type="dxa"/>
                  </w:tcMar>
                  <w:vAlign w:val="center"/>
                </w:tcPr>
                <w:p w14:paraId="4F830FA3">
                  <w:pPr>
                    <w:pageBreakBefore w:val="0"/>
                    <w:widowControl w:val="0"/>
                    <w:kinsoku/>
                    <w:wordWrap/>
                    <w:overflowPunct/>
                    <w:topLinePunct w:val="0"/>
                    <w:bidi w:val="0"/>
                    <w:snapToGrid w:val="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1</w:t>
                  </w:r>
                </w:p>
              </w:tc>
              <w:tc>
                <w:tcPr>
                  <w:tcW w:w="814" w:type="pct"/>
                  <w:tcBorders>
                    <w:tl2br w:val="nil"/>
                    <w:tr2bl w:val="nil"/>
                  </w:tcBorders>
                  <w:shd w:val="clear" w:color="auto" w:fill="auto"/>
                  <w:noWrap w:val="0"/>
                  <w:tcMar>
                    <w:left w:w="0" w:type="dxa"/>
                    <w:right w:w="0" w:type="dxa"/>
                  </w:tcMar>
                  <w:vAlign w:val="center"/>
                </w:tcPr>
                <w:p w14:paraId="5F67C867">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sz w:val="21"/>
                      <w:szCs w:val="21"/>
                      <w:lang w:val="en-US" w:eastAsia="zh-CN"/>
                    </w:rPr>
                    <w:t>不合格品</w:t>
                  </w:r>
                </w:p>
              </w:tc>
              <w:tc>
                <w:tcPr>
                  <w:tcW w:w="539" w:type="pct"/>
                  <w:vMerge w:val="restart"/>
                  <w:tcBorders>
                    <w:tl2br w:val="nil"/>
                    <w:tr2bl w:val="nil"/>
                  </w:tcBorders>
                  <w:noWrap w:val="0"/>
                  <w:vAlign w:val="center"/>
                </w:tcPr>
                <w:p w14:paraId="7FA50B63">
                  <w:pPr>
                    <w:pageBreakBefore w:val="0"/>
                    <w:widowControl w:val="0"/>
                    <w:kinsoku/>
                    <w:wordWrap/>
                    <w:overflowPunct/>
                    <w:topLinePunct w:val="0"/>
                    <w:bidi w:val="0"/>
                    <w:snapToGrid w:val="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一般工业固废</w:t>
                  </w:r>
                </w:p>
              </w:tc>
              <w:tc>
                <w:tcPr>
                  <w:tcW w:w="782" w:type="pct"/>
                  <w:tcBorders>
                    <w:tl2br w:val="nil"/>
                    <w:tr2bl w:val="nil"/>
                  </w:tcBorders>
                  <w:noWrap w:val="0"/>
                  <w:vAlign w:val="center"/>
                </w:tcPr>
                <w:p w14:paraId="5CB95CE1">
                  <w:pPr>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w:t>
                  </w:r>
                </w:p>
              </w:tc>
              <w:tc>
                <w:tcPr>
                  <w:tcW w:w="589" w:type="pct"/>
                  <w:tcBorders>
                    <w:tl2br w:val="nil"/>
                    <w:tr2bl w:val="nil"/>
                  </w:tcBorders>
                  <w:shd w:val="clear" w:color="auto" w:fill="auto"/>
                  <w:noWrap w:val="0"/>
                  <w:vAlign w:val="center"/>
                </w:tcPr>
                <w:p w14:paraId="628190B9">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5</w:t>
                  </w:r>
                </w:p>
              </w:tc>
              <w:tc>
                <w:tcPr>
                  <w:tcW w:w="608" w:type="pct"/>
                  <w:tcBorders>
                    <w:tl2br w:val="nil"/>
                    <w:tr2bl w:val="nil"/>
                  </w:tcBorders>
                  <w:noWrap w:val="0"/>
                  <w:vAlign w:val="center"/>
                </w:tcPr>
                <w:p w14:paraId="0E01657C">
                  <w:pPr>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w:t>
                  </w:r>
                </w:p>
              </w:tc>
              <w:tc>
                <w:tcPr>
                  <w:tcW w:w="576" w:type="pct"/>
                  <w:vMerge w:val="restart"/>
                  <w:tcBorders>
                    <w:tl2br w:val="nil"/>
                    <w:tr2bl w:val="nil"/>
                  </w:tcBorders>
                  <w:noWrap w:val="0"/>
                  <w:tcMar>
                    <w:left w:w="0" w:type="dxa"/>
                    <w:right w:w="0" w:type="dxa"/>
                  </w:tcMar>
                  <w:vAlign w:val="center"/>
                </w:tcPr>
                <w:p w14:paraId="38BB98B6">
                  <w:pPr>
                    <w:pageBreakBefore w:val="0"/>
                    <w:widowControl w:val="0"/>
                    <w:kinsoku/>
                    <w:wordWrap/>
                    <w:overflowPunct/>
                    <w:topLinePunct w:val="0"/>
                    <w:bidi w:val="0"/>
                    <w:snapToGrid w:val="0"/>
                    <w:jc w:val="center"/>
                    <w:rPr>
                      <w:rFonts w:hint="default" w:ascii="Times New Roman" w:hAnsi="Times New Roman" w:eastAsia="宋体" w:cs="Times New Roman"/>
                      <w:b w:val="0"/>
                      <w:bCs w:val="0"/>
                      <w:color w:val="auto"/>
                      <w:kern w:val="0"/>
                      <w:szCs w:val="21"/>
                    </w:rPr>
                  </w:pPr>
                  <w:r>
                    <w:rPr>
                      <w:rFonts w:hint="default" w:ascii="Times New Roman" w:hAnsi="Times New Roman" w:eastAsia="宋体" w:cs="Times New Roman"/>
                      <w:b w:val="0"/>
                      <w:bCs w:val="0"/>
                      <w:color w:val="auto"/>
                      <w:kern w:val="0"/>
                      <w:szCs w:val="21"/>
                    </w:rPr>
                    <w:t>一般固废仓库</w:t>
                  </w:r>
                </w:p>
              </w:tc>
              <w:tc>
                <w:tcPr>
                  <w:tcW w:w="820" w:type="pct"/>
                  <w:vMerge w:val="restart"/>
                  <w:tcBorders>
                    <w:tl2br w:val="nil"/>
                    <w:tr2bl w:val="nil"/>
                  </w:tcBorders>
                  <w:noWrap w:val="0"/>
                  <w:vAlign w:val="center"/>
                </w:tcPr>
                <w:p w14:paraId="401F4B00">
                  <w:pPr>
                    <w:pageBreakBefore w:val="0"/>
                    <w:widowControl w:val="0"/>
                    <w:kinsoku/>
                    <w:wordWrap/>
                    <w:overflowPunct/>
                    <w:topLinePunct w:val="0"/>
                    <w:bidi w:val="0"/>
                    <w:snapToGrid w:val="0"/>
                    <w:jc w:val="center"/>
                    <w:rPr>
                      <w:rFonts w:hint="default" w:ascii="Times New Roman" w:hAnsi="Times New Roman" w:eastAsia="宋体" w:cs="Times New Roman"/>
                      <w:b w:val="0"/>
                      <w:bCs w:val="0"/>
                      <w:color w:val="auto"/>
                      <w:kern w:val="0"/>
                      <w:szCs w:val="21"/>
                      <w:lang w:eastAsia="zh-CN"/>
                    </w:rPr>
                  </w:pPr>
                  <w:r>
                    <w:rPr>
                      <w:rFonts w:hint="default" w:ascii="Times New Roman" w:hAnsi="Times New Roman" w:eastAsia="宋体" w:cs="Times New Roman"/>
                      <w:b w:val="0"/>
                      <w:bCs w:val="0"/>
                      <w:color w:val="auto"/>
                      <w:kern w:val="0"/>
                      <w:szCs w:val="21"/>
                      <w:lang w:val="en-US" w:eastAsia="zh-CN"/>
                    </w:rPr>
                    <w:t>物资回收公司</w:t>
                  </w:r>
                </w:p>
              </w:tc>
            </w:tr>
            <w:tr w14:paraId="0256B9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88" w:hRule="atLeast"/>
                <w:jc w:val="center"/>
              </w:trPr>
              <w:tc>
                <w:tcPr>
                  <w:tcW w:w="267" w:type="pct"/>
                  <w:tcBorders>
                    <w:tl2br w:val="nil"/>
                    <w:tr2bl w:val="nil"/>
                  </w:tcBorders>
                  <w:noWrap w:val="0"/>
                  <w:tcMar>
                    <w:left w:w="0" w:type="dxa"/>
                    <w:right w:w="0" w:type="dxa"/>
                  </w:tcMar>
                  <w:vAlign w:val="center"/>
                </w:tcPr>
                <w:p w14:paraId="7B174266">
                  <w:pPr>
                    <w:pageBreakBefore w:val="0"/>
                    <w:widowControl w:val="0"/>
                    <w:kinsoku/>
                    <w:wordWrap/>
                    <w:overflowPunct/>
                    <w:topLinePunct w:val="0"/>
                    <w:bidi w:val="0"/>
                    <w:snapToGrid w:val="0"/>
                    <w:jc w:val="center"/>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2</w:t>
                  </w:r>
                </w:p>
              </w:tc>
              <w:tc>
                <w:tcPr>
                  <w:tcW w:w="814" w:type="pct"/>
                  <w:tcBorders>
                    <w:tl2br w:val="nil"/>
                    <w:tr2bl w:val="nil"/>
                  </w:tcBorders>
                  <w:shd w:val="clear" w:color="auto" w:fill="auto"/>
                  <w:noWrap w:val="0"/>
                  <w:tcMar>
                    <w:left w:w="0" w:type="dxa"/>
                    <w:right w:w="0" w:type="dxa"/>
                  </w:tcMar>
                  <w:vAlign w:val="center"/>
                </w:tcPr>
                <w:p w14:paraId="26493EFE">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sz w:val="21"/>
                      <w:szCs w:val="21"/>
                      <w:lang w:val="en-US" w:eastAsia="zh-CN"/>
                    </w:rPr>
                    <w:t>边角料</w:t>
                  </w:r>
                </w:p>
              </w:tc>
              <w:tc>
                <w:tcPr>
                  <w:tcW w:w="539" w:type="pct"/>
                  <w:vMerge w:val="continue"/>
                  <w:tcBorders>
                    <w:tl2br w:val="nil"/>
                    <w:tr2bl w:val="nil"/>
                  </w:tcBorders>
                  <w:noWrap w:val="0"/>
                  <w:vAlign w:val="center"/>
                </w:tcPr>
                <w:p w14:paraId="31AD02E2">
                  <w:pPr>
                    <w:pageBreakBefore w:val="0"/>
                    <w:widowControl w:val="0"/>
                    <w:kinsoku/>
                    <w:wordWrap/>
                    <w:overflowPunct/>
                    <w:topLinePunct w:val="0"/>
                    <w:bidi w:val="0"/>
                    <w:snapToGrid w:val="0"/>
                    <w:jc w:val="center"/>
                    <w:rPr>
                      <w:rFonts w:hint="default" w:ascii="Times New Roman" w:hAnsi="Times New Roman" w:eastAsia="宋体" w:cs="Times New Roman"/>
                      <w:b w:val="0"/>
                      <w:bCs w:val="0"/>
                      <w:color w:val="auto"/>
                      <w:szCs w:val="21"/>
                    </w:rPr>
                  </w:pPr>
                </w:p>
              </w:tc>
              <w:tc>
                <w:tcPr>
                  <w:tcW w:w="782" w:type="pct"/>
                  <w:tcBorders>
                    <w:tl2br w:val="nil"/>
                    <w:tr2bl w:val="nil"/>
                  </w:tcBorders>
                  <w:noWrap w:val="0"/>
                  <w:vAlign w:val="center"/>
                </w:tcPr>
                <w:p w14:paraId="4C599035">
                  <w:pPr>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w:t>
                  </w:r>
                </w:p>
              </w:tc>
              <w:tc>
                <w:tcPr>
                  <w:tcW w:w="589" w:type="pct"/>
                  <w:tcBorders>
                    <w:tl2br w:val="nil"/>
                    <w:tr2bl w:val="nil"/>
                  </w:tcBorders>
                  <w:shd w:val="clear" w:color="auto" w:fill="auto"/>
                  <w:noWrap w:val="0"/>
                  <w:vAlign w:val="center"/>
                </w:tcPr>
                <w:p w14:paraId="78EA27AC">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3</w:t>
                  </w:r>
                </w:p>
              </w:tc>
              <w:tc>
                <w:tcPr>
                  <w:tcW w:w="608" w:type="pct"/>
                  <w:tcBorders>
                    <w:tl2br w:val="nil"/>
                    <w:tr2bl w:val="nil"/>
                  </w:tcBorders>
                  <w:noWrap w:val="0"/>
                  <w:vAlign w:val="center"/>
                </w:tcPr>
                <w:p w14:paraId="49FF1192">
                  <w:pPr>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w:t>
                  </w:r>
                </w:p>
              </w:tc>
              <w:tc>
                <w:tcPr>
                  <w:tcW w:w="576" w:type="pct"/>
                  <w:vMerge w:val="continue"/>
                  <w:tcBorders>
                    <w:tl2br w:val="nil"/>
                    <w:tr2bl w:val="nil"/>
                  </w:tcBorders>
                  <w:noWrap w:val="0"/>
                  <w:tcMar>
                    <w:left w:w="0" w:type="dxa"/>
                    <w:right w:w="0" w:type="dxa"/>
                  </w:tcMar>
                  <w:vAlign w:val="center"/>
                </w:tcPr>
                <w:p w14:paraId="233A25AF">
                  <w:pPr>
                    <w:pageBreakBefore w:val="0"/>
                    <w:widowControl w:val="0"/>
                    <w:kinsoku/>
                    <w:wordWrap/>
                    <w:overflowPunct/>
                    <w:topLinePunct w:val="0"/>
                    <w:bidi w:val="0"/>
                    <w:snapToGrid w:val="0"/>
                    <w:jc w:val="center"/>
                    <w:rPr>
                      <w:rFonts w:hint="default" w:ascii="Times New Roman" w:hAnsi="Times New Roman" w:eastAsia="宋体" w:cs="Times New Roman"/>
                      <w:b w:val="0"/>
                      <w:bCs w:val="0"/>
                      <w:color w:val="auto"/>
                      <w:kern w:val="0"/>
                      <w:szCs w:val="21"/>
                    </w:rPr>
                  </w:pPr>
                </w:p>
              </w:tc>
              <w:tc>
                <w:tcPr>
                  <w:tcW w:w="820" w:type="pct"/>
                  <w:vMerge w:val="continue"/>
                  <w:tcBorders>
                    <w:tl2br w:val="nil"/>
                    <w:tr2bl w:val="nil"/>
                  </w:tcBorders>
                  <w:noWrap w:val="0"/>
                  <w:vAlign w:val="center"/>
                </w:tcPr>
                <w:p w14:paraId="4F2E397C">
                  <w:pPr>
                    <w:pageBreakBefore w:val="0"/>
                    <w:widowControl w:val="0"/>
                    <w:kinsoku/>
                    <w:wordWrap/>
                    <w:overflowPunct/>
                    <w:topLinePunct w:val="0"/>
                    <w:bidi w:val="0"/>
                    <w:snapToGrid w:val="0"/>
                    <w:jc w:val="center"/>
                    <w:rPr>
                      <w:rFonts w:hint="default" w:ascii="Times New Roman" w:hAnsi="Times New Roman" w:eastAsia="宋体" w:cs="Times New Roman"/>
                      <w:b w:val="0"/>
                      <w:bCs w:val="0"/>
                      <w:color w:val="auto"/>
                      <w:kern w:val="0"/>
                      <w:szCs w:val="21"/>
                      <w:lang w:eastAsia="zh-CN"/>
                    </w:rPr>
                  </w:pPr>
                </w:p>
              </w:tc>
            </w:tr>
            <w:tr w14:paraId="36BC0BA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3" w:hRule="atLeast"/>
                <w:jc w:val="center"/>
              </w:trPr>
              <w:tc>
                <w:tcPr>
                  <w:tcW w:w="267" w:type="pct"/>
                  <w:tcBorders>
                    <w:tl2br w:val="nil"/>
                    <w:tr2bl w:val="nil"/>
                  </w:tcBorders>
                  <w:noWrap w:val="0"/>
                  <w:tcMar>
                    <w:left w:w="0" w:type="dxa"/>
                    <w:right w:w="0" w:type="dxa"/>
                  </w:tcMar>
                  <w:vAlign w:val="center"/>
                </w:tcPr>
                <w:p w14:paraId="64F4CA90">
                  <w:pPr>
                    <w:pageBreakBefore w:val="0"/>
                    <w:widowControl w:val="0"/>
                    <w:kinsoku/>
                    <w:wordWrap/>
                    <w:overflowPunct/>
                    <w:topLinePunct w:val="0"/>
                    <w:bidi w:val="0"/>
                    <w:snapToGrid w:val="0"/>
                    <w:jc w:val="center"/>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3</w:t>
                  </w:r>
                </w:p>
              </w:tc>
              <w:tc>
                <w:tcPr>
                  <w:tcW w:w="814" w:type="pct"/>
                  <w:tcBorders>
                    <w:tl2br w:val="nil"/>
                    <w:tr2bl w:val="nil"/>
                  </w:tcBorders>
                  <w:noWrap w:val="0"/>
                  <w:tcMar>
                    <w:left w:w="0" w:type="dxa"/>
                    <w:right w:w="0" w:type="dxa"/>
                  </w:tcMar>
                  <w:vAlign w:val="center"/>
                </w:tcPr>
                <w:p w14:paraId="1291D173">
                  <w:pPr>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color w:val="auto"/>
                      <w:szCs w:val="24"/>
                    </w:rPr>
                    <w:t>生活垃圾</w:t>
                  </w:r>
                </w:p>
              </w:tc>
              <w:tc>
                <w:tcPr>
                  <w:tcW w:w="539" w:type="pct"/>
                  <w:tcBorders>
                    <w:tl2br w:val="nil"/>
                    <w:tr2bl w:val="nil"/>
                  </w:tcBorders>
                  <w:noWrap w:val="0"/>
                  <w:vAlign w:val="center"/>
                </w:tcPr>
                <w:p w14:paraId="60C2BFDD">
                  <w:pPr>
                    <w:pageBreakBefore w:val="0"/>
                    <w:widowControl w:val="0"/>
                    <w:kinsoku/>
                    <w:wordWrap/>
                    <w:overflowPunct/>
                    <w:topLinePunct w:val="0"/>
                    <w:bidi w:val="0"/>
                    <w:snapToGrid w:val="0"/>
                    <w:jc w:val="center"/>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w:t>
                  </w:r>
                </w:p>
              </w:tc>
              <w:tc>
                <w:tcPr>
                  <w:tcW w:w="782" w:type="pct"/>
                  <w:tcBorders>
                    <w:tl2br w:val="nil"/>
                    <w:tr2bl w:val="nil"/>
                  </w:tcBorders>
                  <w:noWrap w:val="0"/>
                  <w:vAlign w:val="center"/>
                </w:tcPr>
                <w:p w14:paraId="60A25456">
                  <w:pPr>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w:t>
                  </w:r>
                </w:p>
              </w:tc>
              <w:tc>
                <w:tcPr>
                  <w:tcW w:w="589" w:type="pct"/>
                  <w:tcBorders>
                    <w:tl2br w:val="nil"/>
                    <w:tr2bl w:val="nil"/>
                  </w:tcBorders>
                  <w:shd w:val="clear" w:color="auto" w:fill="auto"/>
                  <w:noWrap w:val="0"/>
                  <w:vAlign w:val="center"/>
                </w:tcPr>
                <w:p w14:paraId="0022B7FC">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7.5</w:t>
                  </w:r>
                </w:p>
              </w:tc>
              <w:tc>
                <w:tcPr>
                  <w:tcW w:w="608" w:type="pct"/>
                  <w:tcBorders>
                    <w:tl2br w:val="nil"/>
                    <w:tr2bl w:val="nil"/>
                  </w:tcBorders>
                  <w:noWrap w:val="0"/>
                  <w:vAlign w:val="center"/>
                </w:tcPr>
                <w:p w14:paraId="64C5AC5B">
                  <w:pPr>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w:t>
                  </w:r>
                </w:p>
              </w:tc>
              <w:tc>
                <w:tcPr>
                  <w:tcW w:w="576" w:type="pct"/>
                  <w:tcBorders>
                    <w:tl2br w:val="nil"/>
                    <w:tr2bl w:val="nil"/>
                  </w:tcBorders>
                  <w:noWrap w:val="0"/>
                  <w:tcMar>
                    <w:left w:w="0" w:type="dxa"/>
                    <w:right w:w="0" w:type="dxa"/>
                  </w:tcMar>
                  <w:vAlign w:val="center"/>
                </w:tcPr>
                <w:p w14:paraId="2B287583">
                  <w:pPr>
                    <w:pageBreakBefore w:val="0"/>
                    <w:widowControl w:val="0"/>
                    <w:kinsoku/>
                    <w:wordWrap/>
                    <w:overflowPunct/>
                    <w:topLinePunct w:val="0"/>
                    <w:bidi w:val="0"/>
                    <w:snapToGrid w:val="0"/>
                    <w:jc w:val="center"/>
                    <w:rPr>
                      <w:rFonts w:hint="default" w:ascii="Times New Roman" w:hAnsi="Times New Roman" w:eastAsia="宋体" w:cs="Times New Roman"/>
                      <w:b w:val="0"/>
                      <w:bCs w:val="0"/>
                      <w:color w:val="auto"/>
                      <w:kern w:val="0"/>
                      <w:szCs w:val="21"/>
                    </w:rPr>
                  </w:pPr>
                  <w:r>
                    <w:rPr>
                      <w:rFonts w:hint="default" w:ascii="Times New Roman" w:hAnsi="Times New Roman" w:eastAsia="宋体" w:cs="Times New Roman"/>
                      <w:b w:val="0"/>
                      <w:bCs w:val="0"/>
                      <w:color w:val="auto"/>
                      <w:kern w:val="0"/>
                      <w:szCs w:val="21"/>
                    </w:rPr>
                    <w:t>垃圾桶</w:t>
                  </w:r>
                </w:p>
              </w:tc>
              <w:tc>
                <w:tcPr>
                  <w:tcW w:w="820" w:type="pct"/>
                  <w:tcBorders>
                    <w:tl2br w:val="nil"/>
                    <w:tr2bl w:val="nil"/>
                  </w:tcBorders>
                  <w:noWrap w:val="0"/>
                  <w:vAlign w:val="center"/>
                </w:tcPr>
                <w:p w14:paraId="0CCAC237">
                  <w:pPr>
                    <w:pageBreakBefore w:val="0"/>
                    <w:widowControl w:val="0"/>
                    <w:kinsoku/>
                    <w:wordWrap/>
                    <w:overflowPunct/>
                    <w:topLinePunct w:val="0"/>
                    <w:bidi w:val="0"/>
                    <w:snapToGrid w:val="0"/>
                    <w:jc w:val="center"/>
                    <w:rPr>
                      <w:rFonts w:hint="default" w:ascii="Times New Roman" w:hAnsi="Times New Roman" w:eastAsia="宋体" w:cs="Times New Roman"/>
                      <w:b w:val="0"/>
                      <w:bCs w:val="0"/>
                      <w:color w:val="auto"/>
                      <w:kern w:val="0"/>
                      <w:szCs w:val="21"/>
                    </w:rPr>
                  </w:pPr>
                  <w:r>
                    <w:rPr>
                      <w:rFonts w:hint="default" w:ascii="Times New Roman" w:hAnsi="Times New Roman" w:eastAsia="宋体" w:cs="Times New Roman"/>
                      <w:b w:val="0"/>
                      <w:bCs w:val="0"/>
                      <w:color w:val="auto"/>
                      <w:kern w:val="0"/>
                      <w:szCs w:val="21"/>
                    </w:rPr>
                    <w:t>环卫清运</w:t>
                  </w:r>
                </w:p>
              </w:tc>
            </w:tr>
            <w:tr w14:paraId="7F9D64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8" w:hRule="atLeast"/>
                <w:jc w:val="center"/>
              </w:trPr>
              <w:tc>
                <w:tcPr>
                  <w:tcW w:w="267" w:type="pct"/>
                  <w:tcBorders>
                    <w:tl2br w:val="nil"/>
                    <w:tr2bl w:val="nil"/>
                  </w:tcBorders>
                  <w:noWrap w:val="0"/>
                  <w:vAlign w:val="center"/>
                </w:tcPr>
                <w:p w14:paraId="04735C9F">
                  <w:pPr>
                    <w:pageBreakBefore w:val="0"/>
                    <w:widowControl w:val="0"/>
                    <w:kinsoku/>
                    <w:wordWrap/>
                    <w:overflowPunct/>
                    <w:topLinePunct w:val="0"/>
                    <w:bidi w:val="0"/>
                    <w:snapToGrid w:val="0"/>
                    <w:jc w:val="center"/>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4</w:t>
                  </w:r>
                </w:p>
              </w:tc>
              <w:tc>
                <w:tcPr>
                  <w:tcW w:w="814" w:type="pct"/>
                  <w:tcBorders>
                    <w:tl2br w:val="nil"/>
                    <w:tr2bl w:val="nil"/>
                  </w:tcBorders>
                  <w:shd w:val="clear" w:color="auto" w:fill="auto"/>
                  <w:noWrap w:val="0"/>
                  <w:vAlign w:val="center"/>
                </w:tcPr>
                <w:p w14:paraId="522E5777">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sz w:val="21"/>
                      <w:szCs w:val="21"/>
                      <w:lang w:val="en-US" w:eastAsia="zh-CN"/>
                    </w:rPr>
                    <w:t>废胶桶</w:t>
                  </w:r>
                </w:p>
              </w:tc>
              <w:tc>
                <w:tcPr>
                  <w:tcW w:w="539" w:type="pct"/>
                  <w:vMerge w:val="restart"/>
                  <w:tcBorders>
                    <w:tl2br w:val="nil"/>
                    <w:tr2bl w:val="nil"/>
                  </w:tcBorders>
                  <w:noWrap w:val="0"/>
                  <w:vAlign w:val="center"/>
                </w:tcPr>
                <w:p w14:paraId="605A154F">
                  <w:pPr>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危险废物</w:t>
                  </w:r>
                </w:p>
              </w:tc>
              <w:tc>
                <w:tcPr>
                  <w:tcW w:w="782" w:type="pct"/>
                  <w:tcBorders>
                    <w:tl2br w:val="nil"/>
                    <w:tr2bl w:val="nil"/>
                  </w:tcBorders>
                  <w:shd w:val="clear" w:color="auto" w:fill="auto"/>
                  <w:noWrap w:val="0"/>
                  <w:vAlign w:val="center"/>
                </w:tcPr>
                <w:p w14:paraId="1542E7AC">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sz w:val="21"/>
                      <w:szCs w:val="21"/>
                      <w:lang w:eastAsia="zh-CN"/>
                    </w:rPr>
                    <w:t>900-041-49</w:t>
                  </w:r>
                </w:p>
              </w:tc>
              <w:tc>
                <w:tcPr>
                  <w:tcW w:w="589" w:type="pct"/>
                  <w:tcBorders>
                    <w:tl2br w:val="nil"/>
                    <w:tr2bl w:val="nil"/>
                  </w:tcBorders>
                  <w:shd w:val="clear" w:color="auto" w:fill="auto"/>
                  <w:noWrap w:val="0"/>
                  <w:vAlign w:val="center"/>
                </w:tcPr>
                <w:p w14:paraId="6D6D7F94">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0.15</w:t>
                  </w:r>
                </w:p>
              </w:tc>
              <w:tc>
                <w:tcPr>
                  <w:tcW w:w="608" w:type="pct"/>
                  <w:tcBorders>
                    <w:tl2br w:val="nil"/>
                    <w:tr2bl w:val="nil"/>
                  </w:tcBorders>
                  <w:shd w:val="clear" w:color="auto" w:fill="auto"/>
                  <w:noWrap w:val="0"/>
                  <w:vAlign w:val="center"/>
                </w:tcPr>
                <w:p w14:paraId="3F09512C">
                  <w:pPr>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w:t>
                  </w:r>
                </w:p>
              </w:tc>
              <w:tc>
                <w:tcPr>
                  <w:tcW w:w="576" w:type="pct"/>
                  <w:vMerge w:val="restart"/>
                  <w:tcBorders>
                    <w:tl2br w:val="nil"/>
                    <w:tr2bl w:val="nil"/>
                  </w:tcBorders>
                  <w:noWrap w:val="0"/>
                  <w:vAlign w:val="center"/>
                </w:tcPr>
                <w:p w14:paraId="7703CEEB">
                  <w:pPr>
                    <w:pageBreakBefore w:val="0"/>
                    <w:widowControl w:val="0"/>
                    <w:kinsoku/>
                    <w:wordWrap/>
                    <w:overflowPunct/>
                    <w:topLinePunct w:val="0"/>
                    <w:bidi w:val="0"/>
                    <w:snapToGrid w:val="0"/>
                    <w:jc w:val="center"/>
                    <w:rPr>
                      <w:rFonts w:hint="default" w:ascii="Times New Roman" w:hAnsi="Times New Roman" w:eastAsia="宋体" w:cs="Times New Roman"/>
                      <w:b w:val="0"/>
                      <w:bCs w:val="0"/>
                      <w:color w:val="auto"/>
                      <w:kern w:val="0"/>
                      <w:szCs w:val="21"/>
                      <w:lang w:val="en-US" w:eastAsia="zh-CN"/>
                    </w:rPr>
                  </w:pPr>
                  <w:r>
                    <w:rPr>
                      <w:rFonts w:hint="default" w:ascii="Times New Roman" w:hAnsi="Times New Roman" w:eastAsia="宋体" w:cs="Times New Roman"/>
                      <w:b w:val="0"/>
                      <w:bCs w:val="0"/>
                      <w:color w:val="auto"/>
                      <w:kern w:val="0"/>
                      <w:szCs w:val="21"/>
                      <w:lang w:val="en-US" w:eastAsia="zh-CN"/>
                    </w:rPr>
                    <w:t>危险废物暂存间</w:t>
                  </w:r>
                </w:p>
              </w:tc>
              <w:tc>
                <w:tcPr>
                  <w:tcW w:w="820" w:type="pct"/>
                  <w:vMerge w:val="restart"/>
                  <w:tcBorders>
                    <w:tl2br w:val="nil"/>
                    <w:tr2bl w:val="nil"/>
                  </w:tcBorders>
                  <w:noWrap w:val="0"/>
                  <w:vAlign w:val="center"/>
                </w:tcPr>
                <w:p w14:paraId="2FEFC53D">
                  <w:pPr>
                    <w:pageBreakBefore w:val="0"/>
                    <w:widowControl w:val="0"/>
                    <w:kinsoku/>
                    <w:wordWrap/>
                    <w:overflowPunct/>
                    <w:topLinePunct w:val="0"/>
                    <w:bidi w:val="0"/>
                    <w:snapToGrid w:val="0"/>
                    <w:jc w:val="center"/>
                    <w:rPr>
                      <w:rFonts w:hint="default" w:ascii="Times New Roman" w:hAnsi="Times New Roman" w:eastAsia="宋体" w:cs="Times New Roman"/>
                      <w:b w:val="0"/>
                      <w:bCs w:val="0"/>
                      <w:color w:val="auto"/>
                      <w:kern w:val="0"/>
                      <w:szCs w:val="21"/>
                      <w:lang w:val="en-US" w:eastAsia="zh-CN"/>
                    </w:rPr>
                  </w:pPr>
                  <w:r>
                    <w:rPr>
                      <w:rFonts w:hint="default" w:ascii="Times New Roman" w:hAnsi="Times New Roman" w:eastAsia="宋体" w:cs="Times New Roman"/>
                      <w:b w:val="0"/>
                      <w:bCs w:val="0"/>
                      <w:color w:val="auto"/>
                      <w:kern w:val="0"/>
                      <w:szCs w:val="21"/>
                      <w:lang w:val="en-US" w:eastAsia="zh-CN"/>
                    </w:rPr>
                    <w:t>委托有资质单位处理</w:t>
                  </w:r>
                </w:p>
              </w:tc>
            </w:tr>
            <w:tr w14:paraId="363C5F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67" w:type="pct"/>
                  <w:tcBorders>
                    <w:tl2br w:val="nil"/>
                    <w:tr2bl w:val="nil"/>
                  </w:tcBorders>
                  <w:noWrap w:val="0"/>
                  <w:vAlign w:val="center"/>
                </w:tcPr>
                <w:p w14:paraId="3C6022DD">
                  <w:pPr>
                    <w:pageBreakBefore w:val="0"/>
                    <w:widowControl w:val="0"/>
                    <w:kinsoku/>
                    <w:wordWrap/>
                    <w:overflowPunct/>
                    <w:topLinePunct w:val="0"/>
                    <w:bidi w:val="0"/>
                    <w:snapToGrid w:val="0"/>
                    <w:jc w:val="center"/>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5</w:t>
                  </w:r>
                </w:p>
              </w:tc>
              <w:tc>
                <w:tcPr>
                  <w:tcW w:w="814" w:type="pct"/>
                  <w:tcBorders>
                    <w:tl2br w:val="nil"/>
                    <w:tr2bl w:val="nil"/>
                  </w:tcBorders>
                  <w:shd w:val="clear" w:color="auto" w:fill="auto"/>
                  <w:noWrap w:val="0"/>
                  <w:vAlign w:val="center"/>
                </w:tcPr>
                <w:p w14:paraId="1582CC07">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sz w:val="21"/>
                      <w:szCs w:val="21"/>
                      <w:lang w:eastAsia="zh-CN"/>
                    </w:rPr>
                    <w:t>废活性炭</w:t>
                  </w:r>
                </w:p>
              </w:tc>
              <w:tc>
                <w:tcPr>
                  <w:tcW w:w="539" w:type="pct"/>
                  <w:vMerge w:val="continue"/>
                  <w:tcBorders>
                    <w:tl2br w:val="nil"/>
                    <w:tr2bl w:val="nil"/>
                  </w:tcBorders>
                  <w:noWrap w:val="0"/>
                  <w:vAlign w:val="center"/>
                </w:tcPr>
                <w:p w14:paraId="63597108">
                  <w:pPr>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p>
              </w:tc>
              <w:tc>
                <w:tcPr>
                  <w:tcW w:w="782" w:type="pct"/>
                  <w:tcBorders>
                    <w:tl2br w:val="nil"/>
                    <w:tr2bl w:val="nil"/>
                  </w:tcBorders>
                  <w:shd w:val="clear" w:color="auto" w:fill="auto"/>
                  <w:noWrap w:val="0"/>
                  <w:vAlign w:val="center"/>
                </w:tcPr>
                <w:p w14:paraId="03129DEA">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sz w:val="21"/>
                      <w:szCs w:val="21"/>
                      <w:lang w:eastAsia="zh-CN"/>
                    </w:rPr>
                    <w:t>900-039-49</w:t>
                  </w:r>
                </w:p>
              </w:tc>
              <w:tc>
                <w:tcPr>
                  <w:tcW w:w="589" w:type="pct"/>
                  <w:tcBorders>
                    <w:tl2br w:val="nil"/>
                    <w:tr2bl w:val="nil"/>
                  </w:tcBorders>
                  <w:shd w:val="clear" w:color="auto" w:fill="auto"/>
                  <w:noWrap w:val="0"/>
                  <w:vAlign w:val="center"/>
                </w:tcPr>
                <w:p w14:paraId="2AA98CB6">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0.47</w:t>
                  </w:r>
                </w:p>
              </w:tc>
              <w:tc>
                <w:tcPr>
                  <w:tcW w:w="608" w:type="pct"/>
                  <w:tcBorders>
                    <w:tl2br w:val="nil"/>
                    <w:tr2bl w:val="nil"/>
                  </w:tcBorders>
                  <w:shd w:val="clear" w:color="auto" w:fill="auto"/>
                  <w:noWrap w:val="0"/>
                  <w:vAlign w:val="center"/>
                </w:tcPr>
                <w:p w14:paraId="31143790">
                  <w:pPr>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b w:val="0"/>
                      <w:bCs w:val="0"/>
                      <w:snapToGrid w:val="0"/>
                      <w:color w:val="auto"/>
                      <w:sz w:val="21"/>
                      <w:szCs w:val="21"/>
                      <w:lang w:val="en-US" w:eastAsia="zh-CN" w:bidi="ar-SA"/>
                    </w:rPr>
                  </w:pPr>
                  <w:r>
                    <w:rPr>
                      <w:rFonts w:hint="default" w:ascii="Times New Roman" w:hAnsi="Times New Roman" w:eastAsia="宋体" w:cs="Times New Roman"/>
                      <w:b w:val="0"/>
                      <w:bCs w:val="0"/>
                      <w:color w:val="auto"/>
                      <w:sz w:val="21"/>
                      <w:szCs w:val="21"/>
                      <w:lang w:val="en-US" w:eastAsia="zh-CN"/>
                    </w:rPr>
                    <w:t>0</w:t>
                  </w:r>
                </w:p>
              </w:tc>
              <w:tc>
                <w:tcPr>
                  <w:tcW w:w="576" w:type="pct"/>
                  <w:vMerge w:val="continue"/>
                  <w:tcBorders>
                    <w:tl2br w:val="nil"/>
                    <w:tr2bl w:val="nil"/>
                  </w:tcBorders>
                  <w:noWrap w:val="0"/>
                  <w:vAlign w:val="center"/>
                </w:tcPr>
                <w:p w14:paraId="2AAA792D">
                  <w:pPr>
                    <w:pageBreakBefore w:val="0"/>
                    <w:widowControl w:val="0"/>
                    <w:kinsoku/>
                    <w:wordWrap/>
                    <w:overflowPunct/>
                    <w:topLinePunct w:val="0"/>
                    <w:bidi w:val="0"/>
                    <w:snapToGrid w:val="0"/>
                    <w:jc w:val="center"/>
                    <w:rPr>
                      <w:rFonts w:hint="default" w:ascii="Times New Roman" w:hAnsi="Times New Roman" w:eastAsia="宋体" w:cs="Times New Roman"/>
                      <w:b w:val="0"/>
                      <w:bCs w:val="0"/>
                      <w:color w:val="auto"/>
                      <w:kern w:val="0"/>
                      <w:szCs w:val="21"/>
                      <w:lang w:val="en-US" w:eastAsia="zh-CN"/>
                    </w:rPr>
                  </w:pPr>
                </w:p>
              </w:tc>
              <w:tc>
                <w:tcPr>
                  <w:tcW w:w="820" w:type="pct"/>
                  <w:vMerge w:val="continue"/>
                  <w:tcBorders>
                    <w:tl2br w:val="nil"/>
                    <w:tr2bl w:val="nil"/>
                  </w:tcBorders>
                  <w:noWrap w:val="0"/>
                  <w:vAlign w:val="center"/>
                </w:tcPr>
                <w:p w14:paraId="21B6D74D">
                  <w:pPr>
                    <w:pageBreakBefore w:val="0"/>
                    <w:widowControl w:val="0"/>
                    <w:kinsoku/>
                    <w:wordWrap/>
                    <w:overflowPunct/>
                    <w:topLinePunct w:val="0"/>
                    <w:bidi w:val="0"/>
                    <w:snapToGrid w:val="0"/>
                    <w:jc w:val="center"/>
                    <w:rPr>
                      <w:rFonts w:hint="default" w:ascii="Times New Roman" w:hAnsi="Times New Roman" w:eastAsia="宋体" w:cs="Times New Roman"/>
                      <w:b w:val="0"/>
                      <w:bCs w:val="0"/>
                      <w:color w:val="auto"/>
                      <w:kern w:val="0"/>
                      <w:szCs w:val="21"/>
                      <w:lang w:val="en-US" w:eastAsia="zh-CN"/>
                    </w:rPr>
                  </w:pPr>
                </w:p>
              </w:tc>
            </w:tr>
          </w:tbl>
          <w:p w14:paraId="0F7A94CF">
            <w:pPr>
              <w:pStyle w:val="72"/>
              <w:keepNext w:val="0"/>
              <w:keepLines w:val="0"/>
              <w:pageBreakBefore w:val="0"/>
              <w:widowControl w:val="0"/>
              <w:kinsoku/>
              <w:wordWrap/>
              <w:overflowPunct/>
              <w:topLinePunct w:val="0"/>
              <w:autoSpaceDE w:val="0"/>
              <w:autoSpaceDN w:val="0"/>
              <w:bidi w:val="0"/>
              <w:adjustRightInd/>
              <w:snapToGrid/>
              <w:spacing w:after="0" w:line="360" w:lineRule="auto"/>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color w:val="auto"/>
                <w:lang w:val="en-US" w:eastAsia="zh-CN"/>
              </w:rPr>
              <w:t>四</w:t>
            </w:r>
            <w:r>
              <w:rPr>
                <w:rFonts w:hint="default" w:ascii="Times New Roman" w:hAnsi="Times New Roman" w:eastAsia="宋体" w:cs="Times New Roman"/>
                <w:b/>
                <w:color w:val="auto"/>
              </w:rPr>
              <w:t>、</w:t>
            </w:r>
            <w:r>
              <w:rPr>
                <w:rFonts w:hint="default" w:ascii="Times New Roman" w:hAnsi="Times New Roman" w:eastAsia="宋体" w:cs="Times New Roman"/>
                <w:b/>
                <w:bCs/>
                <w:color w:val="auto"/>
                <w:sz w:val="24"/>
                <w:szCs w:val="32"/>
              </w:rPr>
              <w:t>现有项目存在问题</w:t>
            </w:r>
          </w:p>
          <w:p w14:paraId="185FF71C">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jc w:val="left"/>
              <w:textAlignment w:val="baseline"/>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根据现场踏勘并结合最新政策标准要求，现有项目</w:t>
            </w:r>
            <w:r>
              <w:rPr>
                <w:rFonts w:hint="default" w:ascii="Times New Roman" w:hAnsi="Times New Roman" w:eastAsia="宋体" w:cs="Times New Roman"/>
                <w:color w:val="auto"/>
                <w:sz w:val="24"/>
                <w:lang w:val="en-US" w:eastAsia="zh-CN"/>
              </w:rPr>
              <w:t>不存在项目问题</w:t>
            </w:r>
            <w:r>
              <w:rPr>
                <w:rFonts w:hint="default" w:ascii="Times New Roman" w:hAnsi="Times New Roman" w:eastAsia="宋体" w:cs="Times New Roman"/>
                <w:color w:val="auto"/>
                <w:sz w:val="24"/>
              </w:rPr>
              <w:t>。</w:t>
            </w:r>
          </w:p>
          <w:p w14:paraId="7912436B">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bCs/>
                <w:color w:val="0000FF"/>
                <w:sz w:val="24"/>
                <w:szCs w:val="24"/>
                <w:lang w:eastAsia="zh-CN"/>
              </w:rPr>
            </w:pPr>
          </w:p>
        </w:tc>
      </w:tr>
    </w:tbl>
    <w:p w14:paraId="03EA1093">
      <w:pPr>
        <w:pStyle w:val="24"/>
        <w:kinsoku/>
        <w:jc w:val="center"/>
        <w:outlineLvl w:val="9"/>
        <w:rPr>
          <w:rFonts w:hint="default" w:ascii="Times New Roman" w:hAnsi="Times New Roman" w:eastAsia="宋体" w:cs="Times New Roman"/>
          <w:color w:val="0000FF"/>
          <w:sz w:val="30"/>
          <w:szCs w:val="30"/>
          <w:lang w:eastAsia="zh-CN"/>
        </w:rPr>
        <w:sectPr>
          <w:pgSz w:w="11906" w:h="16838"/>
          <w:pgMar w:top="1440" w:right="1800" w:bottom="1440" w:left="1746" w:header="851" w:footer="992" w:gutter="0"/>
          <w:pgBorders>
            <w:top w:val="none" w:sz="0" w:space="0"/>
            <w:left w:val="none" w:sz="0" w:space="0"/>
            <w:bottom w:val="none" w:sz="0" w:space="0"/>
            <w:right w:val="none" w:sz="0" w:space="0"/>
          </w:pgBorders>
          <w:cols w:space="425" w:num="1"/>
          <w:docGrid w:type="lines" w:linePitch="312" w:charSpace="0"/>
        </w:sectPr>
      </w:pPr>
    </w:p>
    <w:p w14:paraId="77A46E6A">
      <w:pPr>
        <w:pStyle w:val="24"/>
        <w:kinsoku/>
        <w:jc w:val="center"/>
        <w:outlineLvl w:val="0"/>
        <w:rPr>
          <w:rFonts w:hint="default" w:ascii="Times New Roman" w:hAnsi="Times New Roman" w:eastAsia="宋体" w:cs="Times New Roman"/>
          <w:color w:val="auto"/>
          <w:sz w:val="30"/>
          <w:szCs w:val="30"/>
          <w:lang w:eastAsia="zh-CN"/>
        </w:rPr>
      </w:pPr>
      <w:r>
        <w:rPr>
          <w:rFonts w:hint="default" w:ascii="Times New Roman" w:hAnsi="Times New Roman" w:eastAsia="宋体" w:cs="Times New Roman"/>
          <w:color w:val="auto"/>
          <w:sz w:val="30"/>
          <w:szCs w:val="30"/>
          <w:lang w:eastAsia="zh-CN"/>
        </w:rPr>
        <w:t>三、区域环境质量现状、环境保护目标及评价标准</w:t>
      </w:r>
    </w:p>
    <w:tbl>
      <w:tblPr>
        <w:tblStyle w:val="26"/>
        <w:tblW w:w="90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27"/>
        <w:gridCol w:w="8534"/>
      </w:tblGrid>
      <w:tr w14:paraId="5673DE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27" w:type="dxa"/>
            <w:vAlign w:val="center"/>
          </w:tcPr>
          <w:p w14:paraId="7A2CC932">
            <w:pPr>
              <w:kinsoku/>
              <w:jc w:val="center"/>
              <w:rPr>
                <w:rFonts w:hint="default" w:ascii="Times New Roman" w:hAnsi="Times New Roman" w:eastAsia="宋体" w:cs="Times New Roman"/>
                <w:color w:val="0000FF"/>
              </w:rPr>
            </w:pPr>
            <w:r>
              <w:rPr>
                <w:rFonts w:hint="default" w:ascii="Times New Roman" w:hAnsi="Times New Roman" w:eastAsia="宋体" w:cs="Times New Roman"/>
                <w:color w:val="000000" w:themeColor="text1"/>
                <w:sz w:val="24"/>
                <w14:textFill>
                  <w14:solidFill>
                    <w14:schemeClr w14:val="tx1"/>
                  </w14:solidFill>
                </w14:textFill>
              </w:rPr>
              <w:t>区域环境质量现状</w:t>
            </w:r>
          </w:p>
        </w:tc>
        <w:tc>
          <w:tcPr>
            <w:tcW w:w="8534" w:type="dxa"/>
            <w:vAlign w:val="center"/>
          </w:tcPr>
          <w:p w14:paraId="232F8A90">
            <w:pPr>
              <w:keepNext w:val="0"/>
              <w:keepLines w:val="0"/>
              <w:pageBreakBefore w:val="0"/>
              <w:widowControl/>
              <w:kinsoku/>
              <w:wordWrap/>
              <w:overflowPunct/>
              <w:topLinePunct w:val="0"/>
              <w:autoSpaceDE w:val="0"/>
              <w:autoSpaceDN w:val="0"/>
              <w:bidi w:val="0"/>
              <w:adjustRightInd/>
              <w:snapToGrid/>
              <w:spacing w:line="360" w:lineRule="auto"/>
              <w:textAlignment w:val="baseline"/>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1、环境空气质量现状</w:t>
            </w:r>
          </w:p>
          <w:p w14:paraId="71E3727A">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（1）常规因子</w:t>
            </w:r>
          </w:p>
          <w:p w14:paraId="631EC584">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根据《环境影响评价技术导则 大气环境》（HJ2.2-2018），项目所在区域达标情况判定优先采用国家或地方生态环境主管部门公开发布的环境质量公告或环境质量报告中的数据或结论。</w:t>
            </w:r>
          </w:p>
          <w:p w14:paraId="3DABAD0E">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本项目位于宿州市，本次评价选取2024年作为评价基准年，根据国家“环境空气质量模型技术支持服务系统”中发布的2024年环境空气质量数据，项目所在区域环境空气质量现状如下，宿州市2024年SO</w:t>
            </w:r>
            <w:r>
              <w:rPr>
                <w:rFonts w:hint="default" w:ascii="Times New Roman" w:hAnsi="Times New Roman" w:eastAsia="宋体" w:cs="Times New Roman"/>
                <w:color w:val="auto"/>
                <w:sz w:val="24"/>
                <w:vertAlign w:val="subscript"/>
                <w:lang w:eastAsia="zh-CN"/>
              </w:rPr>
              <w:t>2</w:t>
            </w:r>
            <w:r>
              <w:rPr>
                <w:rFonts w:hint="default" w:ascii="Times New Roman" w:hAnsi="Times New Roman" w:eastAsia="宋体" w:cs="Times New Roman"/>
                <w:color w:val="auto"/>
                <w:sz w:val="24"/>
                <w:lang w:eastAsia="zh-CN"/>
              </w:rPr>
              <w:t>、NO</w:t>
            </w:r>
            <w:r>
              <w:rPr>
                <w:rFonts w:hint="default" w:ascii="Times New Roman" w:hAnsi="Times New Roman" w:eastAsia="宋体" w:cs="Times New Roman"/>
                <w:color w:val="auto"/>
                <w:sz w:val="24"/>
                <w:vertAlign w:val="subscript"/>
                <w:lang w:eastAsia="zh-CN"/>
              </w:rPr>
              <w:t>2</w:t>
            </w:r>
            <w:r>
              <w:rPr>
                <w:rFonts w:hint="default" w:ascii="Times New Roman" w:hAnsi="Times New Roman" w:eastAsia="宋体" w:cs="Times New Roman"/>
                <w:color w:val="auto"/>
                <w:sz w:val="24"/>
                <w:lang w:eastAsia="zh-CN"/>
              </w:rPr>
              <w:t>、PM</w:t>
            </w:r>
            <w:r>
              <w:rPr>
                <w:rFonts w:hint="default" w:ascii="Times New Roman" w:hAnsi="Times New Roman" w:eastAsia="宋体" w:cs="Times New Roman"/>
                <w:color w:val="auto"/>
                <w:sz w:val="24"/>
                <w:vertAlign w:val="subscript"/>
                <w:lang w:eastAsia="zh-CN"/>
              </w:rPr>
              <w:t>10</w:t>
            </w:r>
            <w:r>
              <w:rPr>
                <w:rFonts w:hint="default" w:ascii="Times New Roman" w:hAnsi="Times New Roman" w:eastAsia="宋体" w:cs="Times New Roman"/>
                <w:color w:val="auto"/>
                <w:sz w:val="24"/>
                <w:lang w:eastAsia="zh-CN"/>
              </w:rPr>
              <w:t>、PM</w:t>
            </w:r>
            <w:r>
              <w:rPr>
                <w:rFonts w:hint="default" w:ascii="Times New Roman" w:hAnsi="Times New Roman" w:eastAsia="宋体" w:cs="Times New Roman"/>
                <w:color w:val="auto"/>
                <w:sz w:val="24"/>
                <w:vertAlign w:val="subscript"/>
                <w:lang w:eastAsia="zh-CN"/>
              </w:rPr>
              <w:t>2.5</w:t>
            </w:r>
            <w:r>
              <w:rPr>
                <w:rFonts w:hint="default" w:ascii="Times New Roman" w:hAnsi="Times New Roman" w:eastAsia="宋体" w:cs="Times New Roman"/>
                <w:color w:val="auto"/>
                <w:sz w:val="24"/>
                <w:lang w:eastAsia="zh-CN"/>
              </w:rPr>
              <w:t>年均浓度分别为6 ug/m</w:t>
            </w:r>
            <w:r>
              <w:rPr>
                <w:rFonts w:hint="default" w:ascii="Times New Roman" w:hAnsi="Times New Roman" w:eastAsia="宋体" w:cs="Times New Roman"/>
                <w:color w:val="auto"/>
                <w:sz w:val="24"/>
                <w:vertAlign w:val="superscript"/>
                <w:lang w:eastAsia="zh-CN"/>
              </w:rPr>
              <w:t>3</w:t>
            </w:r>
            <w:r>
              <w:rPr>
                <w:rFonts w:hint="default" w:ascii="Times New Roman" w:hAnsi="Times New Roman" w:eastAsia="宋体" w:cs="Times New Roman"/>
                <w:color w:val="auto"/>
                <w:sz w:val="24"/>
                <w:lang w:eastAsia="zh-CN"/>
              </w:rPr>
              <w:t>、18 ug/m</w:t>
            </w:r>
            <w:r>
              <w:rPr>
                <w:rFonts w:hint="default" w:ascii="Times New Roman" w:hAnsi="Times New Roman" w:eastAsia="宋体" w:cs="Times New Roman"/>
                <w:color w:val="auto"/>
                <w:sz w:val="24"/>
                <w:vertAlign w:val="superscript"/>
                <w:lang w:eastAsia="zh-CN"/>
              </w:rPr>
              <w:t>3</w:t>
            </w:r>
            <w:r>
              <w:rPr>
                <w:rFonts w:hint="default" w:ascii="Times New Roman" w:hAnsi="Times New Roman" w:eastAsia="宋体" w:cs="Times New Roman"/>
                <w:color w:val="auto"/>
                <w:sz w:val="24"/>
                <w:lang w:eastAsia="zh-CN"/>
              </w:rPr>
              <w:t>、71 ug/m</w:t>
            </w:r>
            <w:r>
              <w:rPr>
                <w:rFonts w:hint="default" w:ascii="Times New Roman" w:hAnsi="Times New Roman" w:eastAsia="宋体" w:cs="Times New Roman"/>
                <w:color w:val="auto"/>
                <w:sz w:val="24"/>
                <w:vertAlign w:val="superscript"/>
                <w:lang w:eastAsia="zh-CN"/>
              </w:rPr>
              <w:t>3</w:t>
            </w:r>
            <w:r>
              <w:rPr>
                <w:rFonts w:hint="default" w:ascii="Times New Roman" w:hAnsi="Times New Roman" w:eastAsia="宋体" w:cs="Times New Roman"/>
                <w:color w:val="auto"/>
                <w:sz w:val="24"/>
                <w:lang w:eastAsia="zh-CN"/>
              </w:rPr>
              <w:t>、43 ug/m</w:t>
            </w:r>
            <w:r>
              <w:rPr>
                <w:rFonts w:hint="default" w:ascii="Times New Roman" w:hAnsi="Times New Roman" w:eastAsia="宋体" w:cs="Times New Roman"/>
                <w:color w:val="auto"/>
                <w:sz w:val="24"/>
                <w:vertAlign w:val="superscript"/>
                <w:lang w:eastAsia="zh-CN"/>
              </w:rPr>
              <w:t>3</w:t>
            </w:r>
            <w:r>
              <w:rPr>
                <w:rFonts w:hint="default" w:ascii="Times New Roman" w:hAnsi="Times New Roman" w:eastAsia="宋体" w:cs="Times New Roman"/>
                <w:color w:val="auto"/>
                <w:sz w:val="24"/>
                <w:lang w:eastAsia="zh-CN"/>
              </w:rPr>
              <w:t>；CO 24小时平均第95百分位数为0.9mg/m</w:t>
            </w:r>
            <w:r>
              <w:rPr>
                <w:rFonts w:hint="default" w:ascii="Times New Roman" w:hAnsi="Times New Roman" w:eastAsia="宋体" w:cs="Times New Roman"/>
                <w:color w:val="auto"/>
                <w:sz w:val="24"/>
                <w:vertAlign w:val="superscript"/>
                <w:lang w:eastAsia="zh-CN"/>
              </w:rPr>
              <w:t>3</w:t>
            </w:r>
            <w:r>
              <w:rPr>
                <w:rFonts w:hint="default" w:ascii="Times New Roman" w:hAnsi="Times New Roman" w:eastAsia="宋体" w:cs="Times New Roman"/>
                <w:color w:val="auto"/>
                <w:sz w:val="24"/>
                <w:lang w:eastAsia="zh-CN"/>
              </w:rPr>
              <w:t>，O</w:t>
            </w:r>
            <w:r>
              <w:rPr>
                <w:rFonts w:hint="default" w:ascii="Times New Roman" w:hAnsi="Times New Roman" w:eastAsia="宋体" w:cs="Times New Roman"/>
                <w:color w:val="auto"/>
                <w:sz w:val="24"/>
                <w:vertAlign w:val="subscript"/>
                <w:lang w:eastAsia="zh-CN"/>
              </w:rPr>
              <w:t>3</w:t>
            </w:r>
            <w:r>
              <w:rPr>
                <w:rFonts w:hint="default" w:ascii="Times New Roman" w:hAnsi="Times New Roman" w:eastAsia="宋体" w:cs="Times New Roman"/>
                <w:color w:val="auto"/>
                <w:sz w:val="24"/>
                <w:lang w:eastAsia="zh-CN"/>
              </w:rPr>
              <w:t>日最大8小时平均第90百分位数为170 ug/m</w:t>
            </w:r>
            <w:r>
              <w:rPr>
                <w:rFonts w:hint="default" w:ascii="Times New Roman" w:hAnsi="Times New Roman" w:eastAsia="宋体" w:cs="Times New Roman"/>
                <w:color w:val="auto"/>
                <w:sz w:val="24"/>
                <w:vertAlign w:val="superscript"/>
                <w:lang w:eastAsia="zh-CN"/>
              </w:rPr>
              <w:t>3</w:t>
            </w:r>
            <w:r>
              <w:rPr>
                <w:rFonts w:hint="default" w:ascii="Times New Roman" w:hAnsi="Times New Roman" w:eastAsia="宋体" w:cs="Times New Roman"/>
                <w:color w:val="auto"/>
                <w:sz w:val="24"/>
                <w:lang w:eastAsia="zh-CN"/>
              </w:rPr>
              <w:t>；超过《环境空气质量标准》（GB3095-2012）中二级标准限值的污染物为PM</w:t>
            </w:r>
            <w:r>
              <w:rPr>
                <w:rFonts w:hint="default" w:ascii="Times New Roman" w:hAnsi="Times New Roman" w:eastAsia="宋体" w:cs="Times New Roman"/>
                <w:color w:val="auto"/>
                <w:sz w:val="24"/>
                <w:vertAlign w:val="subscript"/>
                <w:lang w:eastAsia="zh-CN"/>
              </w:rPr>
              <w:t>10</w:t>
            </w:r>
            <w:r>
              <w:rPr>
                <w:rFonts w:hint="default" w:ascii="Times New Roman" w:hAnsi="Times New Roman" w:eastAsia="宋体" w:cs="Times New Roman"/>
                <w:color w:val="auto"/>
                <w:sz w:val="24"/>
                <w:lang w:eastAsia="zh-CN"/>
              </w:rPr>
              <w:t>、O</w:t>
            </w:r>
            <w:r>
              <w:rPr>
                <w:rFonts w:hint="default" w:ascii="Times New Roman" w:hAnsi="Times New Roman" w:eastAsia="宋体" w:cs="Times New Roman"/>
                <w:color w:val="auto"/>
                <w:sz w:val="24"/>
                <w:vertAlign w:val="subscript"/>
                <w:lang w:eastAsia="zh-CN"/>
              </w:rPr>
              <w:t>3</w:t>
            </w:r>
            <w:r>
              <w:rPr>
                <w:rFonts w:hint="default" w:ascii="Times New Roman" w:hAnsi="Times New Roman" w:eastAsia="宋体" w:cs="Times New Roman"/>
                <w:color w:val="auto"/>
                <w:sz w:val="24"/>
                <w:lang w:eastAsia="zh-CN"/>
              </w:rPr>
              <w:t>、PM</w:t>
            </w:r>
            <w:r>
              <w:rPr>
                <w:rFonts w:hint="default" w:ascii="Times New Roman" w:hAnsi="Times New Roman" w:eastAsia="宋体" w:cs="Times New Roman"/>
                <w:color w:val="auto"/>
                <w:sz w:val="24"/>
                <w:vertAlign w:val="subscript"/>
                <w:lang w:eastAsia="zh-CN"/>
              </w:rPr>
              <w:t>2.5</w:t>
            </w:r>
            <w:r>
              <w:rPr>
                <w:rFonts w:hint="default" w:ascii="Times New Roman" w:hAnsi="Times New Roman" w:eastAsia="宋体" w:cs="Times New Roman"/>
                <w:color w:val="auto"/>
                <w:sz w:val="24"/>
                <w:lang w:eastAsia="zh-CN"/>
              </w:rPr>
              <w:t>。宿州市2024年环境空气质量基础污染物监测浓度见下表。</w:t>
            </w:r>
          </w:p>
          <w:p w14:paraId="7E1AB9F0">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表3-1区域基本污染物环境质量现状评价表</w:t>
            </w:r>
          </w:p>
          <w:tbl>
            <w:tblPr>
              <w:tblStyle w:val="26"/>
              <w:tblW w:w="48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2282"/>
              <w:gridCol w:w="1256"/>
              <w:gridCol w:w="1223"/>
              <w:gridCol w:w="1190"/>
              <w:gridCol w:w="1159"/>
            </w:tblGrid>
            <w:tr w14:paraId="217E9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70" w:type="pct"/>
                  <w:noWrap w:val="0"/>
                  <w:vAlign w:val="center"/>
                </w:tcPr>
                <w:p w14:paraId="1A81CBFD">
                  <w:pPr>
                    <w:kinsoku/>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污染物</w:t>
                  </w:r>
                </w:p>
              </w:tc>
              <w:tc>
                <w:tcPr>
                  <w:tcW w:w="1421" w:type="pct"/>
                  <w:noWrap w:val="0"/>
                  <w:vAlign w:val="center"/>
                </w:tcPr>
                <w:p w14:paraId="5F0F4791">
                  <w:pPr>
                    <w:kinsoku/>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评价标准</w:t>
                  </w:r>
                </w:p>
              </w:tc>
              <w:tc>
                <w:tcPr>
                  <w:tcW w:w="782" w:type="pct"/>
                  <w:noWrap w:val="0"/>
                  <w:vAlign w:val="center"/>
                </w:tcPr>
                <w:p w14:paraId="7B266095">
                  <w:pPr>
                    <w:kinsoku/>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年均浓度（μg/m</w:t>
                  </w:r>
                  <w:r>
                    <w:rPr>
                      <w:rFonts w:hint="default" w:ascii="Times New Roman" w:hAnsi="Times New Roman" w:eastAsia="宋体" w:cs="Times New Roman"/>
                      <w:b/>
                      <w:bCs/>
                      <w:color w:val="auto"/>
                      <w:vertAlign w:val="superscript"/>
                    </w:rPr>
                    <w:t>3</w:t>
                  </w:r>
                  <w:r>
                    <w:rPr>
                      <w:rFonts w:hint="default" w:ascii="Times New Roman" w:hAnsi="Times New Roman" w:eastAsia="宋体" w:cs="Times New Roman"/>
                      <w:b/>
                      <w:bCs/>
                      <w:color w:val="auto"/>
                    </w:rPr>
                    <w:t>）</w:t>
                  </w:r>
                </w:p>
              </w:tc>
              <w:tc>
                <w:tcPr>
                  <w:tcW w:w="761" w:type="pct"/>
                  <w:noWrap w:val="0"/>
                  <w:vAlign w:val="center"/>
                </w:tcPr>
                <w:p w14:paraId="523B6AC7">
                  <w:pPr>
                    <w:kinsoku/>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标准值（μg/m</w:t>
                  </w:r>
                  <w:r>
                    <w:rPr>
                      <w:rFonts w:hint="default" w:ascii="Times New Roman" w:hAnsi="Times New Roman" w:eastAsia="宋体" w:cs="Times New Roman"/>
                      <w:b/>
                      <w:bCs/>
                      <w:color w:val="auto"/>
                      <w:vertAlign w:val="superscript"/>
                    </w:rPr>
                    <w:t>3</w:t>
                  </w:r>
                  <w:r>
                    <w:rPr>
                      <w:rFonts w:hint="default" w:ascii="Times New Roman" w:hAnsi="Times New Roman" w:eastAsia="宋体" w:cs="Times New Roman"/>
                      <w:b/>
                      <w:bCs/>
                      <w:color w:val="auto"/>
                    </w:rPr>
                    <w:t>）</w:t>
                  </w:r>
                </w:p>
              </w:tc>
              <w:tc>
                <w:tcPr>
                  <w:tcW w:w="741" w:type="pct"/>
                  <w:noWrap w:val="0"/>
                  <w:vAlign w:val="center"/>
                </w:tcPr>
                <w:p w14:paraId="5AAAFA59">
                  <w:pPr>
                    <w:kinsoku/>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占标率%</w:t>
                  </w:r>
                </w:p>
              </w:tc>
              <w:tc>
                <w:tcPr>
                  <w:tcW w:w="722" w:type="pct"/>
                  <w:noWrap w:val="0"/>
                  <w:vAlign w:val="center"/>
                </w:tcPr>
                <w:p w14:paraId="66139AAE">
                  <w:pPr>
                    <w:kinsoku/>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达标情况</w:t>
                  </w:r>
                </w:p>
              </w:tc>
            </w:tr>
            <w:tr w14:paraId="2A1B0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70" w:type="pct"/>
                  <w:noWrap w:val="0"/>
                  <w:vAlign w:val="center"/>
                </w:tcPr>
                <w:p w14:paraId="6DB98C75">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PM10</w:t>
                  </w:r>
                </w:p>
              </w:tc>
              <w:tc>
                <w:tcPr>
                  <w:tcW w:w="1421" w:type="pct"/>
                  <w:noWrap w:val="0"/>
                  <w:vAlign w:val="center"/>
                </w:tcPr>
                <w:p w14:paraId="27DB58AA">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年平均浓度</w:t>
                  </w:r>
                </w:p>
              </w:tc>
              <w:tc>
                <w:tcPr>
                  <w:tcW w:w="782" w:type="pct"/>
                  <w:noWrap w:val="0"/>
                  <w:vAlign w:val="center"/>
                </w:tcPr>
                <w:p w14:paraId="57251F4C">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6</w:t>
                  </w:r>
                </w:p>
              </w:tc>
              <w:tc>
                <w:tcPr>
                  <w:tcW w:w="761" w:type="pct"/>
                  <w:noWrap w:val="0"/>
                  <w:vAlign w:val="center"/>
                </w:tcPr>
                <w:p w14:paraId="022DFB29">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60</w:t>
                  </w:r>
                </w:p>
              </w:tc>
              <w:tc>
                <w:tcPr>
                  <w:tcW w:w="741" w:type="pct"/>
                  <w:noWrap w:val="0"/>
                  <w:vAlign w:val="center"/>
                </w:tcPr>
                <w:p w14:paraId="68ECA2E4">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10</w:t>
                  </w:r>
                </w:p>
              </w:tc>
              <w:tc>
                <w:tcPr>
                  <w:tcW w:w="722" w:type="pct"/>
                  <w:noWrap w:val="0"/>
                  <w:vAlign w:val="center"/>
                </w:tcPr>
                <w:p w14:paraId="542778B9">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14:paraId="125C8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70" w:type="pct"/>
                  <w:noWrap w:val="0"/>
                  <w:vAlign w:val="center"/>
                </w:tcPr>
                <w:p w14:paraId="2BAF3D19">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PM2.5</w:t>
                  </w:r>
                </w:p>
              </w:tc>
              <w:tc>
                <w:tcPr>
                  <w:tcW w:w="1421" w:type="pct"/>
                  <w:noWrap w:val="0"/>
                  <w:vAlign w:val="center"/>
                </w:tcPr>
                <w:p w14:paraId="6B44DD90">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年平均浓度</w:t>
                  </w:r>
                </w:p>
              </w:tc>
              <w:tc>
                <w:tcPr>
                  <w:tcW w:w="782" w:type="pct"/>
                  <w:noWrap w:val="0"/>
                  <w:vAlign w:val="center"/>
                </w:tcPr>
                <w:p w14:paraId="2F459E95">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18</w:t>
                  </w:r>
                </w:p>
              </w:tc>
              <w:tc>
                <w:tcPr>
                  <w:tcW w:w="761" w:type="pct"/>
                  <w:noWrap w:val="0"/>
                  <w:vAlign w:val="center"/>
                </w:tcPr>
                <w:p w14:paraId="6AF55D97">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40</w:t>
                  </w:r>
                </w:p>
              </w:tc>
              <w:tc>
                <w:tcPr>
                  <w:tcW w:w="741" w:type="pct"/>
                  <w:noWrap w:val="0"/>
                  <w:vAlign w:val="center"/>
                </w:tcPr>
                <w:p w14:paraId="4021B91E">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45</w:t>
                  </w:r>
                </w:p>
              </w:tc>
              <w:tc>
                <w:tcPr>
                  <w:tcW w:w="722" w:type="pct"/>
                  <w:noWrap w:val="0"/>
                  <w:vAlign w:val="center"/>
                </w:tcPr>
                <w:p w14:paraId="179EF722">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14:paraId="7E23E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70" w:type="pct"/>
                  <w:noWrap w:val="0"/>
                  <w:vAlign w:val="center"/>
                </w:tcPr>
                <w:p w14:paraId="1142A323">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SO</w:t>
                  </w:r>
                  <w:r>
                    <w:rPr>
                      <w:rFonts w:hint="default" w:ascii="Times New Roman" w:hAnsi="Times New Roman" w:eastAsia="宋体" w:cs="Times New Roman"/>
                      <w:color w:val="auto"/>
                      <w:vertAlign w:val="subscript"/>
                    </w:rPr>
                    <w:t>2</w:t>
                  </w:r>
                </w:p>
              </w:tc>
              <w:tc>
                <w:tcPr>
                  <w:tcW w:w="1421" w:type="pct"/>
                  <w:noWrap w:val="0"/>
                  <w:vAlign w:val="center"/>
                </w:tcPr>
                <w:p w14:paraId="1ACB1E8A">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年平均浓度</w:t>
                  </w:r>
                </w:p>
              </w:tc>
              <w:tc>
                <w:tcPr>
                  <w:tcW w:w="782" w:type="pct"/>
                  <w:noWrap w:val="0"/>
                  <w:vAlign w:val="center"/>
                </w:tcPr>
                <w:p w14:paraId="36FB3E6C">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71</w:t>
                  </w:r>
                </w:p>
              </w:tc>
              <w:tc>
                <w:tcPr>
                  <w:tcW w:w="761" w:type="pct"/>
                  <w:noWrap w:val="0"/>
                  <w:vAlign w:val="center"/>
                </w:tcPr>
                <w:p w14:paraId="5AECA123">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70</w:t>
                  </w:r>
                </w:p>
              </w:tc>
              <w:tc>
                <w:tcPr>
                  <w:tcW w:w="741" w:type="pct"/>
                  <w:noWrap w:val="0"/>
                  <w:vAlign w:val="center"/>
                </w:tcPr>
                <w:p w14:paraId="58E679DD">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101.4</w:t>
                  </w:r>
                </w:p>
              </w:tc>
              <w:tc>
                <w:tcPr>
                  <w:tcW w:w="722" w:type="pct"/>
                  <w:noWrap w:val="0"/>
                  <w:vAlign w:val="center"/>
                </w:tcPr>
                <w:p w14:paraId="3266727B">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不达标</w:t>
                  </w:r>
                </w:p>
              </w:tc>
            </w:tr>
            <w:tr w14:paraId="796F3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70" w:type="pct"/>
                  <w:noWrap w:val="0"/>
                  <w:vAlign w:val="center"/>
                </w:tcPr>
                <w:p w14:paraId="30DFA797">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NO</w:t>
                  </w:r>
                  <w:r>
                    <w:rPr>
                      <w:rFonts w:hint="default" w:ascii="Times New Roman" w:hAnsi="Times New Roman" w:eastAsia="宋体" w:cs="Times New Roman"/>
                      <w:color w:val="auto"/>
                      <w:vertAlign w:val="subscript"/>
                    </w:rPr>
                    <w:t>2</w:t>
                  </w:r>
                </w:p>
              </w:tc>
              <w:tc>
                <w:tcPr>
                  <w:tcW w:w="1421" w:type="pct"/>
                  <w:noWrap w:val="0"/>
                  <w:vAlign w:val="center"/>
                </w:tcPr>
                <w:p w14:paraId="29806B8C">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年平均浓度</w:t>
                  </w:r>
                </w:p>
              </w:tc>
              <w:tc>
                <w:tcPr>
                  <w:tcW w:w="782" w:type="pct"/>
                  <w:noWrap w:val="0"/>
                  <w:vAlign w:val="center"/>
                </w:tcPr>
                <w:p w14:paraId="30531C9E">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43</w:t>
                  </w:r>
                </w:p>
              </w:tc>
              <w:tc>
                <w:tcPr>
                  <w:tcW w:w="761" w:type="pct"/>
                  <w:noWrap w:val="0"/>
                  <w:vAlign w:val="center"/>
                </w:tcPr>
                <w:p w14:paraId="0CECB3FD">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35</w:t>
                  </w:r>
                </w:p>
              </w:tc>
              <w:tc>
                <w:tcPr>
                  <w:tcW w:w="741" w:type="pct"/>
                  <w:noWrap w:val="0"/>
                  <w:vAlign w:val="center"/>
                </w:tcPr>
                <w:p w14:paraId="5A203DCE">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122.9</w:t>
                  </w:r>
                </w:p>
              </w:tc>
              <w:tc>
                <w:tcPr>
                  <w:tcW w:w="722" w:type="pct"/>
                  <w:noWrap w:val="0"/>
                  <w:vAlign w:val="center"/>
                </w:tcPr>
                <w:p w14:paraId="34E3B1DE">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不达标</w:t>
                  </w:r>
                </w:p>
              </w:tc>
            </w:tr>
            <w:tr w14:paraId="24C76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70" w:type="pct"/>
                  <w:noWrap w:val="0"/>
                  <w:vAlign w:val="center"/>
                </w:tcPr>
                <w:p w14:paraId="120605A7">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CO</w:t>
                  </w:r>
                </w:p>
              </w:tc>
              <w:tc>
                <w:tcPr>
                  <w:tcW w:w="1421" w:type="pct"/>
                  <w:noWrap w:val="0"/>
                  <w:vAlign w:val="center"/>
                </w:tcPr>
                <w:p w14:paraId="501D2DBC">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日平均第95百分位质量浓度</w:t>
                  </w:r>
                </w:p>
              </w:tc>
              <w:tc>
                <w:tcPr>
                  <w:tcW w:w="782" w:type="pct"/>
                  <w:noWrap w:val="0"/>
                  <w:vAlign w:val="center"/>
                </w:tcPr>
                <w:p w14:paraId="72CD3CEB">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900</w:t>
                  </w:r>
                </w:p>
              </w:tc>
              <w:tc>
                <w:tcPr>
                  <w:tcW w:w="761" w:type="pct"/>
                  <w:noWrap w:val="0"/>
                  <w:vAlign w:val="center"/>
                </w:tcPr>
                <w:p w14:paraId="3E9D7FC2">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4000</w:t>
                  </w:r>
                </w:p>
              </w:tc>
              <w:tc>
                <w:tcPr>
                  <w:tcW w:w="741" w:type="pct"/>
                  <w:noWrap w:val="0"/>
                  <w:vAlign w:val="center"/>
                </w:tcPr>
                <w:p w14:paraId="66507403">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22.5</w:t>
                  </w:r>
                </w:p>
              </w:tc>
              <w:tc>
                <w:tcPr>
                  <w:tcW w:w="722" w:type="pct"/>
                  <w:noWrap w:val="0"/>
                  <w:vAlign w:val="center"/>
                </w:tcPr>
                <w:p w14:paraId="1ACDFDC9">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14:paraId="0F574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0" w:type="pct"/>
                  <w:noWrap w:val="0"/>
                  <w:vAlign w:val="center"/>
                </w:tcPr>
                <w:p w14:paraId="5CC7C5E8">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O</w:t>
                  </w:r>
                  <w:r>
                    <w:rPr>
                      <w:rFonts w:hint="default" w:ascii="Times New Roman" w:hAnsi="Times New Roman" w:eastAsia="宋体" w:cs="Times New Roman"/>
                      <w:color w:val="auto"/>
                      <w:vertAlign w:val="subscript"/>
                    </w:rPr>
                    <w:t>3</w:t>
                  </w:r>
                </w:p>
              </w:tc>
              <w:tc>
                <w:tcPr>
                  <w:tcW w:w="1421" w:type="pct"/>
                  <w:noWrap w:val="0"/>
                  <w:vAlign w:val="center"/>
                </w:tcPr>
                <w:p w14:paraId="19E01F65">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日最大8小时平均第90百分位质量浓度</w:t>
                  </w:r>
                </w:p>
              </w:tc>
              <w:tc>
                <w:tcPr>
                  <w:tcW w:w="782" w:type="pct"/>
                  <w:noWrap w:val="0"/>
                  <w:vAlign w:val="center"/>
                </w:tcPr>
                <w:p w14:paraId="6FCC418C">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170</w:t>
                  </w:r>
                </w:p>
              </w:tc>
              <w:tc>
                <w:tcPr>
                  <w:tcW w:w="761" w:type="pct"/>
                  <w:noWrap w:val="0"/>
                  <w:vAlign w:val="center"/>
                </w:tcPr>
                <w:p w14:paraId="045AE0FD">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160</w:t>
                  </w:r>
                </w:p>
              </w:tc>
              <w:tc>
                <w:tcPr>
                  <w:tcW w:w="741" w:type="pct"/>
                  <w:noWrap w:val="0"/>
                  <w:vAlign w:val="center"/>
                </w:tcPr>
                <w:p w14:paraId="6F11F268">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106.3</w:t>
                  </w:r>
                </w:p>
              </w:tc>
              <w:tc>
                <w:tcPr>
                  <w:tcW w:w="722" w:type="pct"/>
                  <w:noWrap w:val="0"/>
                  <w:vAlign w:val="center"/>
                </w:tcPr>
                <w:p w14:paraId="7ABD9AB3">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不达标</w:t>
                  </w:r>
                </w:p>
              </w:tc>
            </w:tr>
          </w:tbl>
          <w:p w14:paraId="2BC237CD">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由上表可知，宿州市SO</w:t>
            </w:r>
            <w:r>
              <w:rPr>
                <w:rFonts w:hint="default" w:ascii="Times New Roman" w:hAnsi="Times New Roman" w:eastAsia="宋体" w:cs="Times New Roman"/>
                <w:color w:val="auto"/>
                <w:sz w:val="24"/>
                <w:vertAlign w:val="subscript"/>
                <w:lang w:eastAsia="zh-CN"/>
              </w:rPr>
              <w:t>2</w:t>
            </w:r>
            <w:r>
              <w:rPr>
                <w:rFonts w:hint="default" w:ascii="Times New Roman" w:hAnsi="Times New Roman" w:eastAsia="宋体" w:cs="Times New Roman"/>
                <w:color w:val="auto"/>
                <w:sz w:val="24"/>
                <w:lang w:eastAsia="zh-CN"/>
              </w:rPr>
              <w:t>、NO</w:t>
            </w:r>
            <w:r>
              <w:rPr>
                <w:rFonts w:hint="default" w:ascii="Times New Roman" w:hAnsi="Times New Roman" w:eastAsia="宋体" w:cs="Times New Roman"/>
                <w:color w:val="auto"/>
                <w:sz w:val="24"/>
                <w:vertAlign w:val="subscript"/>
                <w:lang w:eastAsia="zh-CN"/>
              </w:rPr>
              <w:t>2</w:t>
            </w:r>
            <w:r>
              <w:rPr>
                <w:rFonts w:hint="default" w:ascii="Times New Roman" w:hAnsi="Times New Roman" w:eastAsia="宋体" w:cs="Times New Roman"/>
                <w:color w:val="auto"/>
                <w:sz w:val="24"/>
                <w:lang w:eastAsia="zh-CN"/>
              </w:rPr>
              <w:t>、O</w:t>
            </w:r>
            <w:r>
              <w:rPr>
                <w:rFonts w:hint="default" w:ascii="Times New Roman" w:hAnsi="Times New Roman" w:eastAsia="宋体" w:cs="Times New Roman"/>
                <w:color w:val="auto"/>
                <w:sz w:val="24"/>
                <w:vertAlign w:val="subscript"/>
                <w:lang w:eastAsia="zh-CN"/>
              </w:rPr>
              <w:t>3</w:t>
            </w:r>
            <w:r>
              <w:rPr>
                <w:rFonts w:hint="default" w:ascii="Times New Roman" w:hAnsi="Times New Roman" w:eastAsia="宋体" w:cs="Times New Roman"/>
                <w:color w:val="auto"/>
                <w:sz w:val="24"/>
                <w:lang w:eastAsia="zh-CN"/>
              </w:rPr>
              <w:t>浓度超过了《环境空气质量标准》（GB3095-2012）中二级标准限值。因此，宿州市环境空气质量不达标，项目所在区域属于SO</w:t>
            </w:r>
            <w:r>
              <w:rPr>
                <w:rFonts w:hint="default" w:ascii="Times New Roman" w:hAnsi="Times New Roman" w:eastAsia="宋体" w:cs="Times New Roman"/>
                <w:color w:val="auto"/>
                <w:sz w:val="24"/>
                <w:vertAlign w:val="subscript"/>
                <w:lang w:eastAsia="zh-CN"/>
              </w:rPr>
              <w:t>2</w:t>
            </w:r>
            <w:r>
              <w:rPr>
                <w:rFonts w:hint="default" w:ascii="Times New Roman" w:hAnsi="Times New Roman" w:eastAsia="宋体" w:cs="Times New Roman"/>
                <w:color w:val="auto"/>
                <w:sz w:val="24"/>
                <w:lang w:eastAsia="zh-CN"/>
              </w:rPr>
              <w:t>、NO</w:t>
            </w:r>
            <w:r>
              <w:rPr>
                <w:rFonts w:hint="default" w:ascii="Times New Roman" w:hAnsi="Times New Roman" w:eastAsia="宋体" w:cs="Times New Roman"/>
                <w:color w:val="auto"/>
                <w:sz w:val="24"/>
                <w:vertAlign w:val="subscript"/>
                <w:lang w:eastAsia="zh-CN"/>
              </w:rPr>
              <w:t>2</w:t>
            </w:r>
            <w:r>
              <w:rPr>
                <w:rFonts w:hint="default" w:ascii="Times New Roman" w:hAnsi="Times New Roman" w:eastAsia="宋体" w:cs="Times New Roman"/>
                <w:color w:val="auto"/>
                <w:sz w:val="24"/>
                <w:lang w:eastAsia="zh-CN"/>
              </w:rPr>
              <w:t>、O</w:t>
            </w:r>
            <w:r>
              <w:rPr>
                <w:rFonts w:hint="default" w:ascii="Times New Roman" w:hAnsi="Times New Roman" w:eastAsia="宋体" w:cs="Times New Roman"/>
                <w:color w:val="auto"/>
                <w:sz w:val="24"/>
                <w:vertAlign w:val="subscript"/>
                <w:lang w:eastAsia="zh-CN"/>
              </w:rPr>
              <w:t>3</w:t>
            </w:r>
            <w:r>
              <w:rPr>
                <w:rFonts w:hint="default" w:ascii="Times New Roman" w:hAnsi="Times New Roman" w:eastAsia="宋体" w:cs="Times New Roman"/>
                <w:color w:val="auto"/>
                <w:sz w:val="24"/>
                <w:lang w:eastAsia="zh-CN"/>
              </w:rPr>
              <w:t>不达标区。</w:t>
            </w:r>
          </w:p>
          <w:p w14:paraId="54E38585">
            <w:pPr>
              <w:kinsoku/>
              <w:adjustRightInd/>
              <w:snapToGrid/>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（2）特征因子</w:t>
            </w:r>
          </w:p>
          <w:p w14:paraId="3786152F">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本项目非甲烷总烃引用《安徽宿州高新技术产业开发区总体发展规划（2023-2035年）环境影响报告书》中安徽创新检测技术有限公司监测数据，监测时间为2023年5月15日~5月21日。本项目引用宋湖村监测点位监测数据，本项目距离宋湖村监测点约</w:t>
            </w:r>
            <w:r>
              <w:rPr>
                <w:rFonts w:hint="default" w:ascii="Times New Roman" w:hAnsi="Times New Roman" w:eastAsia="宋体" w:cs="Times New Roman"/>
                <w:color w:val="auto"/>
                <w:sz w:val="24"/>
                <w:lang w:val="en-US" w:eastAsia="zh-CN"/>
              </w:rPr>
              <w:t>388</w:t>
            </w:r>
            <w:r>
              <w:rPr>
                <w:rFonts w:hint="default" w:ascii="Times New Roman" w:hAnsi="Times New Roman" w:eastAsia="宋体" w:cs="Times New Roman"/>
                <w:color w:val="auto"/>
                <w:sz w:val="24"/>
                <w:lang w:eastAsia="zh-CN"/>
              </w:rPr>
              <w:t>m；根据《建设项目环境影响报告表编制技术指南》（污染影响类）要求：</w:t>
            </w:r>
            <w:r>
              <w:rPr>
                <w:rFonts w:hint="default" w:ascii="Times New Roman" w:hAnsi="Times New Roman" w:eastAsia="宋体" w:cs="Times New Roman"/>
                <w:color w:val="auto"/>
                <w:sz w:val="24"/>
                <w:szCs w:val="24"/>
                <w:lang w:eastAsia="zh-CN" w:bidi="ar"/>
              </w:rPr>
              <w:t>排放国家、地方环境空气质量标准中有标准限值要求的特征污染物时，引用建设项目周边5千米范围内近3年的现有监测数据。</w:t>
            </w:r>
            <w:r>
              <w:rPr>
                <w:rFonts w:hint="default" w:ascii="Times New Roman" w:hAnsi="Times New Roman" w:eastAsia="宋体" w:cs="Times New Roman"/>
                <w:color w:val="auto"/>
                <w:sz w:val="24"/>
                <w:lang w:eastAsia="zh-CN"/>
              </w:rPr>
              <w:t>本项目环境质量现状监测引用该项目现状监测数据是可行的。</w:t>
            </w:r>
          </w:p>
          <w:p w14:paraId="2DE78C0F">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①监测点位</w:t>
            </w:r>
          </w:p>
          <w:p w14:paraId="26F4E914">
            <w:pPr>
              <w:pStyle w:val="9"/>
              <w:keepNext w:val="0"/>
              <w:keepLines w:val="0"/>
              <w:pageBreakBefore w:val="0"/>
              <w:widowControl/>
              <w:kinsoku/>
              <w:wordWrap/>
              <w:overflowPunct/>
              <w:topLinePunct w:val="0"/>
              <w:autoSpaceDE w:val="0"/>
              <w:autoSpaceDN w:val="0"/>
              <w:bidi w:val="0"/>
              <w:adjustRightInd/>
              <w:snapToGrid/>
              <w:spacing w:before="0" w:after="0" w:line="240" w:lineRule="auto"/>
              <w:ind w:right="0"/>
              <w:jc w:val="center"/>
              <w:textAlignment w:val="baseline"/>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表3-2 监测点位分布</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3027"/>
              <w:gridCol w:w="2078"/>
              <w:gridCol w:w="2078"/>
            </w:tblGrid>
            <w:tr w14:paraId="3B74D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dxa"/>
                  <w:vAlign w:val="center"/>
                </w:tcPr>
                <w:p w14:paraId="1C9E5EA3">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序号</w:t>
                  </w:r>
                </w:p>
              </w:tc>
              <w:tc>
                <w:tcPr>
                  <w:tcW w:w="2987" w:type="dxa"/>
                  <w:vAlign w:val="center"/>
                </w:tcPr>
                <w:p w14:paraId="02A159CD">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监测点位</w:t>
                  </w:r>
                </w:p>
              </w:tc>
              <w:tc>
                <w:tcPr>
                  <w:tcW w:w="2050" w:type="dxa"/>
                  <w:vAlign w:val="center"/>
                </w:tcPr>
                <w:p w14:paraId="02FEC500">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方位</w:t>
                  </w:r>
                </w:p>
              </w:tc>
              <w:tc>
                <w:tcPr>
                  <w:tcW w:w="2050" w:type="dxa"/>
                  <w:vAlign w:val="center"/>
                </w:tcPr>
                <w:p w14:paraId="02D834F9">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距离</w:t>
                  </w:r>
                </w:p>
              </w:tc>
            </w:tr>
            <w:tr w14:paraId="095E1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dxa"/>
                  <w:vAlign w:val="center"/>
                </w:tcPr>
                <w:p w14:paraId="0DB90D9B">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2987" w:type="dxa"/>
                  <w:vAlign w:val="center"/>
                </w:tcPr>
                <w:p w14:paraId="0F4BB4CD">
                  <w:pPr>
                    <w:kinsoku/>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宋湖村</w:t>
                  </w:r>
                </w:p>
              </w:tc>
              <w:tc>
                <w:tcPr>
                  <w:tcW w:w="2050" w:type="dxa"/>
                  <w:vAlign w:val="center"/>
                </w:tcPr>
                <w:p w14:paraId="6663C681">
                  <w:pPr>
                    <w:kinsoku/>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东北</w:t>
                  </w:r>
                </w:p>
              </w:tc>
              <w:tc>
                <w:tcPr>
                  <w:tcW w:w="2050" w:type="dxa"/>
                  <w:vAlign w:val="center"/>
                </w:tcPr>
                <w:p w14:paraId="1CC33F3F">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388</w:t>
                  </w:r>
                  <w:r>
                    <w:rPr>
                      <w:rFonts w:hint="default" w:ascii="Times New Roman" w:hAnsi="Times New Roman" w:eastAsia="宋体" w:cs="Times New Roman"/>
                      <w:color w:val="auto"/>
                    </w:rPr>
                    <w:t>m</w:t>
                  </w:r>
                </w:p>
              </w:tc>
            </w:tr>
          </w:tbl>
          <w:p w14:paraId="7A4FA9CB">
            <w:pPr>
              <w:keepNext w:val="0"/>
              <w:keepLines w:val="0"/>
              <w:pageBreakBefore w:val="0"/>
              <w:widowControl/>
              <w:kinsoku/>
              <w:wordWrap/>
              <w:overflowPunct/>
              <w:topLinePunct w:val="0"/>
              <w:autoSpaceDE w:val="0"/>
              <w:autoSpaceDN w:val="0"/>
              <w:bidi w:val="0"/>
              <w:adjustRightInd/>
              <w:snapToGrid/>
              <w:ind w:left="0" w:firstLine="0" w:firstLineChars="0"/>
              <w:jc w:val="both"/>
              <w:textAlignment w:val="baseline"/>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mc:AlternateContent>
                <mc:Choice Requires="wps">
                  <w:drawing>
                    <wp:anchor distT="0" distB="0" distL="114300" distR="114300" simplePos="0" relativeHeight="251660288" behindDoc="0" locked="0" layoutInCell="1" allowOverlap="1">
                      <wp:simplePos x="0" y="0"/>
                      <wp:positionH relativeFrom="column">
                        <wp:posOffset>1143000</wp:posOffset>
                      </wp:positionH>
                      <wp:positionV relativeFrom="paragraph">
                        <wp:posOffset>1270000</wp:posOffset>
                      </wp:positionV>
                      <wp:extent cx="628015" cy="438150"/>
                      <wp:effectExtent l="367665" t="5080" r="13970" b="13970"/>
                      <wp:wrapNone/>
                      <wp:docPr id="5" name="矩形标注 5"/>
                      <wp:cNvGraphicFramePr/>
                      <a:graphic xmlns:a="http://schemas.openxmlformats.org/drawingml/2006/main">
                        <a:graphicData uri="http://schemas.microsoft.com/office/word/2010/wordprocessingShape">
                          <wps:wsp>
                            <wps:cNvSpPr/>
                            <wps:spPr>
                              <a:xfrm>
                                <a:off x="0" y="0"/>
                                <a:ext cx="628015" cy="438150"/>
                              </a:xfrm>
                              <a:prstGeom prst="wedgeRectCallout">
                                <a:avLst>
                                  <a:gd name="adj1" fmla="val -103787"/>
                                  <a:gd name="adj2" fmla="val -18333"/>
                                </a:avLst>
                              </a:prstGeom>
                              <a:solidFill>
                                <a:srgbClr val="FFFFFF"/>
                              </a:solidFill>
                              <a:ln w="9525" cap="flat" cmpd="sng">
                                <a:solidFill>
                                  <a:srgbClr val="000000"/>
                                </a:solidFill>
                                <a:prstDash val="solid"/>
                                <a:miter/>
                                <a:headEnd type="none" w="med" len="med"/>
                                <a:tailEnd type="none" w="med" len="med"/>
                              </a:ln>
                              <a:effectLst/>
                            </wps:spPr>
                            <wps:txbx>
                              <w:txbxContent>
                                <w:p w14:paraId="143CDE6E">
                                  <w:pPr>
                                    <w:jc w:val="center"/>
                                    <w:rPr>
                                      <w:rFonts w:hint="eastAsia" w:ascii="宋体" w:hAnsi="宋体" w:eastAsia="宋体" w:cs="宋体"/>
                                      <w:b/>
                                      <w:bCs/>
                                      <w:szCs w:val="20"/>
                                    </w:rPr>
                                  </w:pPr>
                                  <w:r>
                                    <w:rPr>
                                      <w:rFonts w:hint="eastAsia" w:ascii="宋体" w:hAnsi="宋体" w:eastAsia="宋体" w:cs="宋体"/>
                                      <w:b/>
                                      <w:bCs/>
                                      <w:szCs w:val="20"/>
                                    </w:rPr>
                                    <w:t>项目所在地</w:t>
                                  </w:r>
                                </w:p>
                              </w:txbxContent>
                            </wps:txbx>
                            <wps:bodyPr upright="1"/>
                          </wps:wsp>
                        </a:graphicData>
                      </a:graphic>
                    </wp:anchor>
                  </w:drawing>
                </mc:Choice>
                <mc:Fallback>
                  <w:pict>
                    <v:shape id="_x0000_s1026" o:spid="_x0000_s1026" o:spt="61" type="#_x0000_t61" style="position:absolute;left:0pt;margin-left:90pt;margin-top:100pt;height:34.5pt;width:49.45pt;z-index:251660288;mso-width-relative:page;mso-height-relative:page;" fillcolor="#FFFFFF" filled="t" stroked="t" coordsize="21600,21600" o:gfxdata="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aWF9/YAAAACwEAAA8AAAAAAAAAAQAgAAAAIgAAAGRy&#10;cy9kb3ducmV2LnhtbFBLAQIUABQAAAAIAIdO4kAM2KSYPgIAAJwEAAAOAAAAAAAAAAEAIAAAACcB&#10;AABkcnMvZTJvRG9jLnhtbFBLBQYAAAAABgAGAFkBAADXBQAAAAA=&#10;" adj="-11618,6840">
                      <v:fill on="t" focussize="0,0"/>
                      <v:stroke color="#000000" joinstyle="miter"/>
                      <v:imagedata o:title=""/>
                      <o:lock v:ext="edit" aspectratio="f"/>
                      <v:textbox>
                        <w:txbxContent>
                          <w:p w14:paraId="143CDE6E">
                            <w:pPr>
                              <w:jc w:val="center"/>
                              <w:rPr>
                                <w:rFonts w:hint="eastAsia" w:ascii="宋体" w:hAnsi="宋体" w:eastAsia="宋体" w:cs="宋体"/>
                                <w:b/>
                                <w:bCs/>
                                <w:szCs w:val="20"/>
                              </w:rPr>
                            </w:pPr>
                            <w:r>
                              <w:rPr>
                                <w:rFonts w:hint="eastAsia" w:ascii="宋体" w:hAnsi="宋体" w:eastAsia="宋体" w:cs="宋体"/>
                                <w:b/>
                                <w:bCs/>
                                <w:szCs w:val="20"/>
                              </w:rPr>
                              <w:t>项目所在地</w:t>
                            </w:r>
                          </w:p>
                        </w:txbxContent>
                      </v:textbox>
                    </v:shape>
                  </w:pict>
                </mc:Fallback>
              </mc:AlternateContent>
            </w:r>
            <w:r>
              <w:rPr>
                <w:rFonts w:hint="default" w:ascii="Times New Roman" w:hAnsi="Times New Roman" w:eastAsia="宋体" w:cs="Times New Roman"/>
                <w:color w:val="auto"/>
              </w:rPr>
              <mc:AlternateContent>
                <mc:Choice Requires="wps">
                  <w:drawing>
                    <wp:anchor distT="0" distB="0" distL="114300" distR="114300" simplePos="0" relativeHeight="251661312" behindDoc="0" locked="0" layoutInCell="1" allowOverlap="1">
                      <wp:simplePos x="0" y="0"/>
                      <wp:positionH relativeFrom="column">
                        <wp:posOffset>2026920</wp:posOffset>
                      </wp:positionH>
                      <wp:positionV relativeFrom="paragraph">
                        <wp:posOffset>642620</wp:posOffset>
                      </wp:positionV>
                      <wp:extent cx="628015" cy="494665"/>
                      <wp:effectExtent l="364490" t="4445" r="17145" b="15240"/>
                      <wp:wrapNone/>
                      <wp:docPr id="14" name="矩形标注 14"/>
                      <wp:cNvGraphicFramePr/>
                      <a:graphic xmlns:a="http://schemas.openxmlformats.org/drawingml/2006/main">
                        <a:graphicData uri="http://schemas.microsoft.com/office/word/2010/wordprocessingShape">
                          <wps:wsp>
                            <wps:cNvSpPr/>
                            <wps:spPr>
                              <a:xfrm>
                                <a:off x="0" y="0"/>
                                <a:ext cx="628015" cy="494665"/>
                              </a:xfrm>
                              <a:prstGeom prst="wedgeRectCallout">
                                <a:avLst>
                                  <a:gd name="adj1" fmla="val -103787"/>
                                  <a:gd name="adj2" fmla="val -18333"/>
                                </a:avLst>
                              </a:prstGeom>
                              <a:solidFill>
                                <a:srgbClr val="FFFFFF"/>
                              </a:solidFill>
                              <a:ln w="9525" cap="flat" cmpd="sng">
                                <a:solidFill>
                                  <a:srgbClr val="000000"/>
                                </a:solidFill>
                                <a:prstDash val="solid"/>
                                <a:miter/>
                                <a:headEnd type="none" w="med" len="med"/>
                                <a:tailEnd type="none" w="med" len="med"/>
                              </a:ln>
                              <a:effectLst/>
                            </wps:spPr>
                            <wps:txbx>
                              <w:txbxContent>
                                <w:p w14:paraId="6475E561">
                                  <w:pPr>
                                    <w:jc w:val="center"/>
                                    <w:rPr>
                                      <w:rFonts w:hint="default" w:ascii="Times New Roman" w:hAnsi="Times New Roman" w:eastAsia="宋体" w:cs="Times New Roman"/>
                                      <w:b/>
                                      <w:bCs/>
                                      <w:szCs w:val="20"/>
                                      <w:lang w:val="en-US" w:eastAsia="zh-CN"/>
                                    </w:rPr>
                                  </w:pPr>
                                  <w:r>
                                    <w:rPr>
                                      <w:rFonts w:hint="default" w:ascii="Times New Roman" w:hAnsi="Times New Roman" w:eastAsia="宋体" w:cs="Times New Roman"/>
                                      <w:b/>
                                      <w:bCs/>
                                      <w:szCs w:val="20"/>
                                      <w:lang w:eastAsia="zh-CN"/>
                                    </w:rPr>
                                    <w:t>监测点</w:t>
                                  </w:r>
                                  <w:r>
                                    <w:rPr>
                                      <w:rFonts w:hint="eastAsia" w:ascii="Times New Roman" w:hAnsi="Times New Roman" w:eastAsia="宋体" w:cs="Times New Roman"/>
                                      <w:b/>
                                      <w:bCs/>
                                      <w:szCs w:val="20"/>
                                      <w:lang w:val="en-US" w:eastAsia="zh-CN"/>
                                    </w:rPr>
                                    <w:t>宋湖村</w:t>
                                  </w:r>
                                </w:p>
                              </w:txbxContent>
                            </wps:txbx>
                            <wps:bodyPr upright="1"/>
                          </wps:wsp>
                        </a:graphicData>
                      </a:graphic>
                    </wp:anchor>
                  </w:drawing>
                </mc:Choice>
                <mc:Fallback>
                  <w:pict>
                    <v:shape id="_x0000_s1026" o:spid="_x0000_s1026" o:spt="61" type="#_x0000_t61" style="position:absolute;left:0pt;margin-left:159.6pt;margin-top:50.6pt;height:38.95pt;width:49.45pt;z-index:251661312;mso-width-relative:page;mso-height-relative:page;" fillcolor="#FFFFFF" filled="t" stroked="t" coordsize="21600,21600" o:gfxdata="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GDIB1NsAAAALAQAADwAAAAAAAAABACAAAAAi&#10;AAAAZHJzL2Rvd25yZXYueG1sUEsBAhQAFAAAAAgAh07iQDUuZ+pAAgAAngQAAA4AAAAAAAAAAQAg&#10;AAAAKgEAAGRycy9lMm9Eb2MueG1sUEsFBgAAAAAGAAYAWQEAANwFAAAAAA==&#10;" adj="-11618,6840">
                      <v:fill on="t" focussize="0,0"/>
                      <v:stroke color="#000000" joinstyle="miter"/>
                      <v:imagedata o:title=""/>
                      <o:lock v:ext="edit" aspectratio="f"/>
                      <v:textbox>
                        <w:txbxContent>
                          <w:p w14:paraId="6475E561">
                            <w:pPr>
                              <w:jc w:val="center"/>
                              <w:rPr>
                                <w:rFonts w:hint="default" w:ascii="Times New Roman" w:hAnsi="Times New Roman" w:eastAsia="宋体" w:cs="Times New Roman"/>
                                <w:b/>
                                <w:bCs/>
                                <w:szCs w:val="20"/>
                                <w:lang w:val="en-US" w:eastAsia="zh-CN"/>
                              </w:rPr>
                            </w:pPr>
                            <w:r>
                              <w:rPr>
                                <w:rFonts w:hint="default" w:ascii="Times New Roman" w:hAnsi="Times New Roman" w:eastAsia="宋体" w:cs="Times New Roman"/>
                                <w:b/>
                                <w:bCs/>
                                <w:szCs w:val="20"/>
                                <w:lang w:eastAsia="zh-CN"/>
                              </w:rPr>
                              <w:t>监测点</w:t>
                            </w:r>
                            <w:r>
                              <w:rPr>
                                <w:rFonts w:hint="eastAsia" w:ascii="Times New Roman" w:hAnsi="Times New Roman" w:eastAsia="宋体" w:cs="Times New Roman"/>
                                <w:b/>
                                <w:bCs/>
                                <w:szCs w:val="20"/>
                                <w:lang w:val="en-US" w:eastAsia="zh-CN"/>
                              </w:rPr>
                              <w:t>宋湖村</w:t>
                            </w:r>
                          </w:p>
                        </w:txbxContent>
                      </v:textbox>
                    </v:shape>
                  </w:pict>
                </mc:Fallback>
              </mc:AlternateContent>
            </w:r>
            <w:r>
              <w:rPr>
                <w:rFonts w:hint="default" w:ascii="Times New Roman" w:hAnsi="Times New Roman" w:eastAsia="宋体" w:cs="Times New Roman"/>
                <w:color w:val="auto"/>
              </w:rPr>
              <w:drawing>
                <wp:inline distT="0" distB="0" distL="114300" distR="114300">
                  <wp:extent cx="5280025" cy="3140075"/>
                  <wp:effectExtent l="0" t="0" r="15875" b="317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9"/>
                          <a:stretch>
                            <a:fillRect/>
                          </a:stretch>
                        </pic:blipFill>
                        <pic:spPr>
                          <a:xfrm>
                            <a:off x="0" y="0"/>
                            <a:ext cx="5280025" cy="3140075"/>
                          </a:xfrm>
                          <a:prstGeom prst="rect">
                            <a:avLst/>
                          </a:prstGeom>
                          <a:noFill/>
                          <a:ln>
                            <a:noFill/>
                          </a:ln>
                        </pic:spPr>
                      </pic:pic>
                    </a:graphicData>
                  </a:graphic>
                </wp:inline>
              </w:drawing>
            </w:r>
          </w:p>
          <w:p w14:paraId="5D31D897">
            <w:pPr>
              <w:kinsoku/>
              <w:ind w:left="482" w:hanging="482" w:hangingChars="200"/>
              <w:jc w:val="center"/>
              <w:rPr>
                <w:rFonts w:hint="default" w:ascii="Times New Roman" w:hAnsi="Times New Roman" w:eastAsia="宋体" w:cs="Times New Roman"/>
                <w:b/>
                <w:bCs/>
                <w:color w:val="auto"/>
                <w:sz w:val="24"/>
                <w:lang w:eastAsia="zh-CN"/>
              </w:rPr>
            </w:pPr>
            <w:r>
              <w:rPr>
                <w:rFonts w:hint="default" w:ascii="Times New Roman" w:hAnsi="Times New Roman" w:eastAsia="宋体" w:cs="Times New Roman"/>
                <w:b/>
                <w:bCs/>
                <w:color w:val="auto"/>
                <w:sz w:val="24"/>
                <w:lang w:eastAsia="zh-CN"/>
              </w:rPr>
              <w:t>图3-1</w:t>
            </w:r>
            <w:r>
              <w:rPr>
                <w:rFonts w:hint="default" w:ascii="Times New Roman" w:hAnsi="Times New Roman" w:eastAsia="宋体" w:cs="Times New Roman"/>
                <w:b/>
                <w:bCs/>
                <w:color w:val="auto"/>
                <w:sz w:val="24"/>
                <w:lang w:val="en-US" w:eastAsia="zh-CN"/>
              </w:rPr>
              <w:t xml:space="preserve"> </w:t>
            </w:r>
            <w:r>
              <w:rPr>
                <w:rFonts w:hint="default" w:ascii="Times New Roman" w:hAnsi="Times New Roman" w:eastAsia="宋体" w:cs="Times New Roman"/>
                <w:b/>
                <w:bCs/>
                <w:color w:val="auto"/>
                <w:sz w:val="24"/>
                <w:lang w:eastAsia="zh-CN"/>
              </w:rPr>
              <w:t>监测点位图</w:t>
            </w:r>
          </w:p>
          <w:p w14:paraId="5C4EFED5">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②监测日期和监测单位</w:t>
            </w:r>
          </w:p>
          <w:p w14:paraId="5D931362">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安徽创新检测技术有限公司分别于2023年5月15日~5月21日对项目区大气环境质量现状进行监测。</w:t>
            </w:r>
          </w:p>
          <w:p w14:paraId="6E5B86EB">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③监测因子</w:t>
            </w:r>
          </w:p>
          <w:p w14:paraId="4853C9ED">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非甲烷总烃</w:t>
            </w:r>
          </w:p>
          <w:p w14:paraId="517659F2">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④监测结果</w:t>
            </w:r>
          </w:p>
          <w:p w14:paraId="62B604E3">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auto"/>
                <w:sz w:val="24"/>
                <w:lang w:eastAsia="zh-CN"/>
              </w:rPr>
              <w:t>监测数据如下：</w:t>
            </w:r>
          </w:p>
          <w:p w14:paraId="02E1C870">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 w:val="24"/>
                <w:vertAlign w:val="superscript"/>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表3-3 现状监测结果表</w:t>
            </w:r>
          </w:p>
          <w:tbl>
            <w:tblPr>
              <w:tblStyle w:val="26"/>
              <w:tblW w:w="83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910"/>
              <w:gridCol w:w="1193"/>
              <w:gridCol w:w="934"/>
              <w:gridCol w:w="1180"/>
              <w:gridCol w:w="993"/>
              <w:gridCol w:w="911"/>
              <w:gridCol w:w="1290"/>
            </w:tblGrid>
            <w:tr w14:paraId="25940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898" w:type="dxa"/>
                  <w:vMerge w:val="restart"/>
                  <w:vAlign w:val="center"/>
                </w:tcPr>
                <w:p w14:paraId="2AD311F5">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eastAsia="zh-CN"/>
                      <w14:textFill>
                        <w14:solidFill>
                          <w14:schemeClr w14:val="tx1"/>
                        </w14:solidFill>
                      </w14:textFill>
                    </w:rPr>
                    <w:t>监测点位</w:t>
                  </w:r>
                </w:p>
              </w:tc>
              <w:tc>
                <w:tcPr>
                  <w:tcW w:w="910" w:type="dxa"/>
                  <w:vMerge w:val="restart"/>
                  <w:vAlign w:val="center"/>
                </w:tcPr>
                <w:p w14:paraId="7E64B05B">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eastAsia="zh-CN"/>
                      <w14:textFill>
                        <w14:solidFill>
                          <w14:schemeClr w14:val="tx1"/>
                        </w14:solidFill>
                      </w14:textFill>
                    </w:rPr>
                    <w:t>监测项目</w:t>
                  </w:r>
                </w:p>
              </w:tc>
              <w:tc>
                <w:tcPr>
                  <w:tcW w:w="3307" w:type="dxa"/>
                  <w:gridSpan w:val="3"/>
                  <w:vAlign w:val="center"/>
                </w:tcPr>
                <w:p w14:paraId="732305C3">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eastAsia="zh-CN"/>
                      <w14:textFill>
                        <w14:solidFill>
                          <w14:schemeClr w14:val="tx1"/>
                        </w14:solidFill>
                      </w14:textFill>
                    </w:rPr>
                    <w:t>小时浓度</w:t>
                  </w:r>
                </w:p>
              </w:tc>
              <w:tc>
                <w:tcPr>
                  <w:tcW w:w="3194" w:type="dxa"/>
                  <w:gridSpan w:val="3"/>
                  <w:vAlign w:val="center"/>
                </w:tcPr>
                <w:p w14:paraId="796A9167">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eastAsia="zh-CN"/>
                      <w14:textFill>
                        <w14:solidFill>
                          <w14:schemeClr w14:val="tx1"/>
                        </w14:solidFill>
                      </w14:textFill>
                    </w:rPr>
                    <w:t>日均浓度</w:t>
                  </w:r>
                </w:p>
              </w:tc>
            </w:tr>
            <w:tr w14:paraId="54CD5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98" w:type="dxa"/>
                  <w:vMerge w:val="continue"/>
                  <w:vAlign w:val="center"/>
                </w:tcPr>
                <w:p w14:paraId="084928B4">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p>
              </w:tc>
              <w:tc>
                <w:tcPr>
                  <w:tcW w:w="910" w:type="dxa"/>
                  <w:vMerge w:val="continue"/>
                  <w:vAlign w:val="center"/>
                </w:tcPr>
                <w:p w14:paraId="79AB3DA1">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p>
              </w:tc>
              <w:tc>
                <w:tcPr>
                  <w:tcW w:w="1193" w:type="dxa"/>
                  <w:vAlign w:val="center"/>
                </w:tcPr>
                <w:p w14:paraId="39684B31">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浓度范围</w:t>
                  </w:r>
                </w:p>
              </w:tc>
              <w:tc>
                <w:tcPr>
                  <w:tcW w:w="934" w:type="dxa"/>
                  <w:vAlign w:val="center"/>
                </w:tcPr>
                <w:p w14:paraId="71195A75">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超标率</w:t>
                  </w:r>
                </w:p>
              </w:tc>
              <w:tc>
                <w:tcPr>
                  <w:tcW w:w="1180" w:type="dxa"/>
                  <w:vAlign w:val="center"/>
                </w:tcPr>
                <w:p w14:paraId="74B03B87">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最大占标率%</w:t>
                  </w:r>
                </w:p>
              </w:tc>
              <w:tc>
                <w:tcPr>
                  <w:tcW w:w="993" w:type="dxa"/>
                  <w:vAlign w:val="center"/>
                </w:tcPr>
                <w:p w14:paraId="27E8A228">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eastAsia="zh-CN"/>
                      <w14:textFill>
                        <w14:solidFill>
                          <w14:schemeClr w14:val="tx1"/>
                        </w14:solidFill>
                      </w14:textFill>
                    </w:rPr>
                    <w:t>浓度范围</w:t>
                  </w:r>
                </w:p>
              </w:tc>
              <w:tc>
                <w:tcPr>
                  <w:tcW w:w="911" w:type="dxa"/>
                  <w:vAlign w:val="center"/>
                </w:tcPr>
                <w:p w14:paraId="264FA1AC">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eastAsia="zh-CN"/>
                      <w14:textFill>
                        <w14:solidFill>
                          <w14:schemeClr w14:val="tx1"/>
                        </w14:solidFill>
                      </w14:textFill>
                    </w:rPr>
                    <w:t>超标率</w:t>
                  </w:r>
                </w:p>
              </w:tc>
              <w:tc>
                <w:tcPr>
                  <w:tcW w:w="1290" w:type="dxa"/>
                  <w:vAlign w:val="center"/>
                </w:tcPr>
                <w:p w14:paraId="5F10EEE3">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eastAsia="zh-CN"/>
                      <w14:textFill>
                        <w14:solidFill>
                          <w14:schemeClr w14:val="tx1"/>
                        </w14:solidFill>
                      </w14:textFill>
                    </w:rPr>
                    <w:t>最大占标率</w:t>
                  </w:r>
                </w:p>
              </w:tc>
            </w:tr>
            <w:tr w14:paraId="61E7B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898" w:type="dxa"/>
                  <w:vAlign w:val="center"/>
                </w:tcPr>
                <w:p w14:paraId="3B0E89B7">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宋湖村</w:t>
                  </w:r>
                </w:p>
              </w:tc>
              <w:tc>
                <w:tcPr>
                  <w:tcW w:w="910" w:type="dxa"/>
                  <w:vAlign w:val="center"/>
                </w:tcPr>
                <w:p w14:paraId="37C5F6CA">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非甲烷总烃</w:t>
                  </w:r>
                </w:p>
              </w:tc>
              <w:tc>
                <w:tcPr>
                  <w:tcW w:w="1193" w:type="dxa"/>
                  <w:vAlign w:val="center"/>
                </w:tcPr>
                <w:p w14:paraId="40997DE5">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0.56~1.09</w:t>
                  </w:r>
                </w:p>
              </w:tc>
              <w:tc>
                <w:tcPr>
                  <w:tcW w:w="934" w:type="dxa"/>
                  <w:vAlign w:val="center"/>
                </w:tcPr>
                <w:p w14:paraId="5B7FA437">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0</w:t>
                  </w:r>
                </w:p>
              </w:tc>
              <w:tc>
                <w:tcPr>
                  <w:tcW w:w="1180" w:type="dxa"/>
                  <w:vAlign w:val="center"/>
                </w:tcPr>
                <w:p w14:paraId="4ACBACA5">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54.5</w:t>
                  </w:r>
                </w:p>
              </w:tc>
              <w:tc>
                <w:tcPr>
                  <w:tcW w:w="993" w:type="dxa"/>
                  <w:vAlign w:val="center"/>
                </w:tcPr>
                <w:p w14:paraId="02AB078B">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911" w:type="dxa"/>
                  <w:vAlign w:val="center"/>
                </w:tcPr>
                <w:p w14:paraId="6DC0E44C">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290" w:type="dxa"/>
                  <w:vAlign w:val="center"/>
                </w:tcPr>
                <w:p w14:paraId="415F30F4">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p>
              </w:tc>
            </w:tr>
          </w:tbl>
          <w:p w14:paraId="029617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根据上表可知</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监测结果表明，监测点位污染物非甲烷总烃满足《大气污染物综合排放标准详解》中数值规定。监测期间，各点位各项污染物均能满足相应标准限值要求。</w:t>
            </w:r>
          </w:p>
          <w:p w14:paraId="5D6F4E6A">
            <w:pPr>
              <w:kinsoku/>
              <w:adjustRightInd/>
              <w:snapToGrid/>
              <w:spacing w:line="360" w:lineRule="auto"/>
              <w:ind w:firstLine="482" w:firstLineChars="200"/>
              <w:rPr>
                <w:rFonts w:hint="default" w:ascii="Times New Roman" w:hAnsi="Times New Roman" w:eastAsia="宋体" w:cs="Times New Roman"/>
                <w:b/>
                <w:color w:val="auto"/>
                <w:sz w:val="24"/>
                <w:lang w:eastAsia="zh-CN"/>
              </w:rPr>
            </w:pPr>
            <w:r>
              <w:rPr>
                <w:rFonts w:hint="default" w:ascii="Times New Roman" w:hAnsi="Times New Roman" w:eastAsia="宋体" w:cs="Times New Roman"/>
                <w:b/>
                <w:color w:val="auto"/>
                <w:sz w:val="24"/>
                <w:lang w:eastAsia="zh-CN"/>
              </w:rPr>
              <w:t>2、地表水环境质量现状</w:t>
            </w:r>
          </w:p>
          <w:p w14:paraId="3B4C133F">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次环评引用宿州陆盾机械制造有限公司委托安徽鑫程检测科技有限公司2025年2月11日-2月13日对对关于淝河的现状监测数据。现状监测的时效与范围符合《建设项目环境影响报告表编制技术指南（污染影响类）（试行）》的要求，故本报告引用该监测报告中淝河地表水现状监测数据。淝河水质现状见下表。</w:t>
            </w:r>
          </w:p>
          <w:p w14:paraId="708B2B6E">
            <w:pPr>
              <w:spacing w:before="120" w:beforeLines="50" w:line="2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表3-4淝河水环境质量现状监测</w:t>
            </w:r>
          </w:p>
          <w:tbl>
            <w:tblPr>
              <w:tblStyle w:val="44"/>
              <w:tblW w:w="831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11"/>
              <w:gridCol w:w="1747"/>
              <w:gridCol w:w="71"/>
              <w:gridCol w:w="1722"/>
              <w:gridCol w:w="203"/>
              <w:gridCol w:w="2025"/>
              <w:gridCol w:w="934"/>
            </w:tblGrid>
            <w:tr w14:paraId="205B6F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68" w:type="pct"/>
                  <w:vMerge w:val="restart"/>
                  <w:tcBorders>
                    <w:top w:val="single" w:color="000000" w:sz="6" w:space="0"/>
                    <w:left w:val="single" w:color="000000" w:sz="6" w:space="0"/>
                    <w:bottom w:val="nil"/>
                  </w:tcBorders>
                  <w:vAlign w:val="center"/>
                </w:tcPr>
                <w:p w14:paraId="260E091C">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样品名称</w:t>
                  </w:r>
                </w:p>
              </w:tc>
              <w:tc>
                <w:tcPr>
                  <w:tcW w:w="1050" w:type="pct"/>
                  <w:vMerge w:val="restart"/>
                  <w:tcBorders>
                    <w:top w:val="single" w:color="000000" w:sz="6" w:space="0"/>
                    <w:bottom w:val="nil"/>
                  </w:tcBorders>
                  <w:vAlign w:val="center"/>
                </w:tcPr>
                <w:p w14:paraId="6707F2F1">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地表水</w:t>
                  </w:r>
                </w:p>
              </w:tc>
              <w:tc>
                <w:tcPr>
                  <w:tcW w:w="1078" w:type="pct"/>
                  <w:gridSpan w:val="2"/>
                  <w:tcBorders>
                    <w:top w:val="single" w:color="000000" w:sz="6" w:space="0"/>
                  </w:tcBorders>
                  <w:vAlign w:val="center"/>
                </w:tcPr>
                <w:p w14:paraId="36FFE656">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完成日期</w:t>
                  </w:r>
                </w:p>
              </w:tc>
              <w:tc>
                <w:tcPr>
                  <w:tcW w:w="1340" w:type="pct"/>
                  <w:gridSpan w:val="2"/>
                  <w:tcBorders>
                    <w:top w:val="single" w:color="000000" w:sz="6" w:space="0"/>
                  </w:tcBorders>
                  <w:vAlign w:val="center"/>
                </w:tcPr>
                <w:p w14:paraId="12344278">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2025-02-11~2025-02-19</w:t>
                  </w:r>
                </w:p>
              </w:tc>
              <w:tc>
                <w:tcPr>
                  <w:tcW w:w="561" w:type="pct"/>
                  <w:vMerge w:val="restart"/>
                  <w:tcBorders>
                    <w:top w:val="single" w:color="000000" w:sz="6" w:space="0"/>
                    <w:bottom w:val="nil"/>
                    <w:right w:val="single" w:color="000000" w:sz="6" w:space="0"/>
                  </w:tcBorders>
                  <w:vAlign w:val="center"/>
                </w:tcPr>
                <w:p w14:paraId="79E6A52C">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检出限</w:t>
                  </w:r>
                </w:p>
              </w:tc>
            </w:tr>
            <w:tr w14:paraId="39850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68" w:type="pct"/>
                  <w:vMerge w:val="continue"/>
                  <w:tcBorders>
                    <w:top w:val="nil"/>
                    <w:left w:val="single" w:color="000000" w:sz="6" w:space="0"/>
                  </w:tcBorders>
                  <w:vAlign w:val="center"/>
                </w:tcPr>
                <w:p w14:paraId="6EE213D7">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
                      <w:bCs w:val="0"/>
                      <w:color w:val="auto"/>
                      <w:sz w:val="21"/>
                      <w:szCs w:val="21"/>
                      <w:lang w:val="en-US" w:eastAsia="zh-CN"/>
                    </w:rPr>
                  </w:pPr>
                </w:p>
              </w:tc>
              <w:tc>
                <w:tcPr>
                  <w:tcW w:w="1050" w:type="pct"/>
                  <w:vMerge w:val="continue"/>
                  <w:tcBorders>
                    <w:top w:val="nil"/>
                  </w:tcBorders>
                  <w:vAlign w:val="center"/>
                </w:tcPr>
                <w:p w14:paraId="72200E25">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
                      <w:bCs w:val="0"/>
                      <w:color w:val="auto"/>
                      <w:sz w:val="21"/>
                      <w:szCs w:val="21"/>
                      <w:lang w:val="en-US" w:eastAsia="zh-CN"/>
                    </w:rPr>
                  </w:pPr>
                </w:p>
              </w:tc>
              <w:tc>
                <w:tcPr>
                  <w:tcW w:w="1078" w:type="pct"/>
                  <w:gridSpan w:val="2"/>
                  <w:vAlign w:val="center"/>
                </w:tcPr>
                <w:p w14:paraId="52CBA923">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样品性状</w:t>
                  </w:r>
                </w:p>
              </w:tc>
              <w:tc>
                <w:tcPr>
                  <w:tcW w:w="1340" w:type="pct"/>
                  <w:gridSpan w:val="2"/>
                  <w:vAlign w:val="center"/>
                </w:tcPr>
                <w:p w14:paraId="6A247BC1">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清</w:t>
                  </w:r>
                </w:p>
              </w:tc>
              <w:tc>
                <w:tcPr>
                  <w:tcW w:w="561" w:type="pct"/>
                  <w:vMerge w:val="continue"/>
                  <w:tcBorders>
                    <w:top w:val="nil"/>
                    <w:bottom w:val="nil"/>
                    <w:right w:val="single" w:color="000000" w:sz="6" w:space="0"/>
                  </w:tcBorders>
                  <w:vAlign w:val="center"/>
                </w:tcPr>
                <w:p w14:paraId="14AC855D">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p>
              </w:tc>
            </w:tr>
            <w:tr w14:paraId="083AA7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68" w:type="pct"/>
                  <w:vMerge w:val="restart"/>
                  <w:tcBorders>
                    <w:left w:val="single" w:color="000000" w:sz="6" w:space="0"/>
                    <w:bottom w:val="nil"/>
                  </w:tcBorders>
                  <w:vAlign w:val="center"/>
                </w:tcPr>
                <w:p w14:paraId="3FDD1A82">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检测项目</w:t>
                  </w:r>
                </w:p>
              </w:tc>
              <w:tc>
                <w:tcPr>
                  <w:tcW w:w="3469" w:type="pct"/>
                  <w:gridSpan w:val="5"/>
                  <w:vAlign w:val="center"/>
                </w:tcPr>
                <w:p w14:paraId="204EC0C6">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采样日期、时间及结果</w:t>
                  </w:r>
                </w:p>
              </w:tc>
              <w:tc>
                <w:tcPr>
                  <w:tcW w:w="561" w:type="pct"/>
                  <w:vMerge w:val="continue"/>
                  <w:tcBorders>
                    <w:top w:val="nil"/>
                    <w:bottom w:val="nil"/>
                    <w:right w:val="single" w:color="000000" w:sz="6" w:space="0"/>
                  </w:tcBorders>
                  <w:vAlign w:val="center"/>
                </w:tcPr>
                <w:p w14:paraId="084633B7">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p>
              </w:tc>
            </w:tr>
            <w:tr w14:paraId="7CFCC6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68" w:type="pct"/>
                  <w:vMerge w:val="continue"/>
                  <w:tcBorders>
                    <w:top w:val="nil"/>
                    <w:left w:val="single" w:color="000000" w:sz="6" w:space="0"/>
                    <w:bottom w:val="nil"/>
                  </w:tcBorders>
                  <w:vAlign w:val="center"/>
                </w:tcPr>
                <w:p w14:paraId="4D3515E6">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p>
              </w:tc>
              <w:tc>
                <w:tcPr>
                  <w:tcW w:w="1093" w:type="pct"/>
                  <w:gridSpan w:val="2"/>
                  <w:vAlign w:val="center"/>
                </w:tcPr>
                <w:p w14:paraId="0895FF96">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2025-02-11</w:t>
                  </w:r>
                </w:p>
              </w:tc>
              <w:tc>
                <w:tcPr>
                  <w:tcW w:w="1157" w:type="pct"/>
                  <w:gridSpan w:val="2"/>
                  <w:vAlign w:val="center"/>
                </w:tcPr>
                <w:p w14:paraId="7D7AC799">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2025-02-12</w:t>
                  </w:r>
                </w:p>
              </w:tc>
              <w:tc>
                <w:tcPr>
                  <w:tcW w:w="1217" w:type="pct"/>
                  <w:vAlign w:val="center"/>
                </w:tcPr>
                <w:p w14:paraId="6A483BEE">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2025-02-13</w:t>
                  </w:r>
                </w:p>
              </w:tc>
              <w:tc>
                <w:tcPr>
                  <w:tcW w:w="561" w:type="pct"/>
                  <w:vMerge w:val="continue"/>
                  <w:tcBorders>
                    <w:top w:val="nil"/>
                    <w:bottom w:val="nil"/>
                    <w:right w:val="single" w:color="000000" w:sz="6" w:space="0"/>
                  </w:tcBorders>
                  <w:vAlign w:val="center"/>
                </w:tcPr>
                <w:p w14:paraId="70300355">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p>
              </w:tc>
            </w:tr>
            <w:tr w14:paraId="4F8517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68" w:type="pct"/>
                  <w:vMerge w:val="continue"/>
                  <w:tcBorders>
                    <w:top w:val="nil"/>
                    <w:left w:val="single" w:color="000000" w:sz="6" w:space="0"/>
                    <w:bottom w:val="nil"/>
                  </w:tcBorders>
                  <w:vAlign w:val="center"/>
                </w:tcPr>
                <w:p w14:paraId="0869F1F0">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p>
              </w:tc>
              <w:tc>
                <w:tcPr>
                  <w:tcW w:w="3469" w:type="pct"/>
                  <w:gridSpan w:val="5"/>
                  <w:vAlign w:val="center"/>
                </w:tcPr>
                <w:p w14:paraId="63732F92">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淝河</w:t>
                  </w:r>
                </w:p>
              </w:tc>
              <w:tc>
                <w:tcPr>
                  <w:tcW w:w="561" w:type="pct"/>
                  <w:vMerge w:val="continue"/>
                  <w:tcBorders>
                    <w:top w:val="nil"/>
                    <w:bottom w:val="nil"/>
                    <w:right w:val="single" w:color="000000" w:sz="6" w:space="0"/>
                  </w:tcBorders>
                  <w:vAlign w:val="center"/>
                </w:tcPr>
                <w:p w14:paraId="54F4D465">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p>
              </w:tc>
            </w:tr>
            <w:tr w14:paraId="596152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68" w:type="pct"/>
                  <w:vMerge w:val="continue"/>
                  <w:tcBorders>
                    <w:top w:val="nil"/>
                    <w:left w:val="single" w:color="000000" w:sz="6" w:space="0"/>
                  </w:tcBorders>
                  <w:vAlign w:val="center"/>
                </w:tcPr>
                <w:p w14:paraId="3FD64C06">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p>
              </w:tc>
              <w:tc>
                <w:tcPr>
                  <w:tcW w:w="1093" w:type="pct"/>
                  <w:gridSpan w:val="2"/>
                  <w:vAlign w:val="center"/>
                </w:tcPr>
                <w:p w14:paraId="1B2F4AA3">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11:55-11:57</w:t>
                  </w:r>
                </w:p>
              </w:tc>
              <w:tc>
                <w:tcPr>
                  <w:tcW w:w="1157" w:type="pct"/>
                  <w:gridSpan w:val="2"/>
                  <w:vAlign w:val="center"/>
                </w:tcPr>
                <w:p w14:paraId="004F1B7F">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10:55-10:58</w:t>
                  </w:r>
                </w:p>
              </w:tc>
              <w:tc>
                <w:tcPr>
                  <w:tcW w:w="1217" w:type="pct"/>
                  <w:vAlign w:val="center"/>
                </w:tcPr>
                <w:p w14:paraId="75DE872A">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11:25-11:29</w:t>
                  </w:r>
                </w:p>
              </w:tc>
              <w:tc>
                <w:tcPr>
                  <w:tcW w:w="561" w:type="pct"/>
                  <w:vMerge w:val="continue"/>
                  <w:tcBorders>
                    <w:top w:val="nil"/>
                    <w:right w:val="single" w:color="000000" w:sz="6" w:space="0"/>
                  </w:tcBorders>
                  <w:vAlign w:val="center"/>
                </w:tcPr>
                <w:p w14:paraId="74F440A8">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p>
              </w:tc>
            </w:tr>
            <w:tr w14:paraId="3ECE7F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68" w:type="pct"/>
                  <w:tcBorders>
                    <w:left w:val="single" w:color="000000" w:sz="6" w:space="0"/>
                    <w:bottom w:val="single" w:color="000000" w:sz="6" w:space="0"/>
                  </w:tcBorders>
                  <w:vAlign w:val="center"/>
                </w:tcPr>
                <w:p w14:paraId="05A91696">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pH值（无量纲）</w:t>
                  </w:r>
                </w:p>
              </w:tc>
              <w:tc>
                <w:tcPr>
                  <w:tcW w:w="1093" w:type="pct"/>
                  <w:gridSpan w:val="2"/>
                  <w:tcBorders>
                    <w:bottom w:val="single" w:color="000000" w:sz="6" w:space="0"/>
                  </w:tcBorders>
                  <w:vAlign w:val="center"/>
                </w:tcPr>
                <w:p w14:paraId="42D43BC7">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7.4</w:t>
                  </w:r>
                </w:p>
              </w:tc>
              <w:tc>
                <w:tcPr>
                  <w:tcW w:w="1157" w:type="pct"/>
                  <w:gridSpan w:val="2"/>
                  <w:tcBorders>
                    <w:bottom w:val="single" w:color="000000" w:sz="6" w:space="0"/>
                  </w:tcBorders>
                  <w:vAlign w:val="center"/>
                </w:tcPr>
                <w:p w14:paraId="63061F7A">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7.5</w:t>
                  </w:r>
                </w:p>
              </w:tc>
              <w:tc>
                <w:tcPr>
                  <w:tcW w:w="1217" w:type="pct"/>
                  <w:tcBorders>
                    <w:bottom w:val="single" w:color="000000" w:sz="6" w:space="0"/>
                  </w:tcBorders>
                  <w:vAlign w:val="center"/>
                </w:tcPr>
                <w:p w14:paraId="7CF27185">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7.3</w:t>
                  </w:r>
                </w:p>
              </w:tc>
              <w:tc>
                <w:tcPr>
                  <w:tcW w:w="561" w:type="pct"/>
                  <w:tcBorders>
                    <w:bottom w:val="single" w:color="000000" w:sz="6" w:space="0"/>
                    <w:right w:val="single" w:color="000000" w:sz="6" w:space="0"/>
                  </w:tcBorders>
                  <w:vAlign w:val="center"/>
                </w:tcPr>
                <w:p w14:paraId="7BF9F239">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r>
            <w:tr w14:paraId="0FB984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68" w:type="pct"/>
                  <w:tcBorders>
                    <w:top w:val="single" w:color="000000" w:sz="6" w:space="0"/>
                    <w:left w:val="single" w:color="000000" w:sz="6" w:space="0"/>
                  </w:tcBorders>
                  <w:vAlign w:val="center"/>
                </w:tcPr>
                <w:p w14:paraId="12EECECE">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化学需氧量</w:t>
                  </w:r>
                </w:p>
              </w:tc>
              <w:tc>
                <w:tcPr>
                  <w:tcW w:w="1093" w:type="pct"/>
                  <w:gridSpan w:val="2"/>
                  <w:tcBorders>
                    <w:top w:val="single" w:color="000000" w:sz="6" w:space="0"/>
                  </w:tcBorders>
                  <w:vAlign w:val="center"/>
                </w:tcPr>
                <w:p w14:paraId="6E807DD0">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16</w:t>
                  </w:r>
                </w:p>
              </w:tc>
              <w:tc>
                <w:tcPr>
                  <w:tcW w:w="1157" w:type="pct"/>
                  <w:gridSpan w:val="2"/>
                  <w:tcBorders>
                    <w:top w:val="single" w:color="000000" w:sz="6" w:space="0"/>
                  </w:tcBorders>
                  <w:vAlign w:val="center"/>
                </w:tcPr>
                <w:p w14:paraId="5267919E">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18</w:t>
                  </w:r>
                </w:p>
              </w:tc>
              <w:tc>
                <w:tcPr>
                  <w:tcW w:w="1217" w:type="pct"/>
                  <w:tcBorders>
                    <w:top w:val="single" w:color="000000" w:sz="6" w:space="0"/>
                  </w:tcBorders>
                  <w:vAlign w:val="center"/>
                </w:tcPr>
                <w:p w14:paraId="6A4A3A61">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14</w:t>
                  </w:r>
                </w:p>
              </w:tc>
              <w:tc>
                <w:tcPr>
                  <w:tcW w:w="561" w:type="pct"/>
                  <w:tcBorders>
                    <w:top w:val="single" w:color="000000" w:sz="6" w:space="0"/>
                    <w:right w:val="single" w:color="000000" w:sz="6" w:space="0"/>
                  </w:tcBorders>
                  <w:vAlign w:val="center"/>
                </w:tcPr>
                <w:p w14:paraId="3CAE8F3A">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4</w:t>
                  </w:r>
                </w:p>
              </w:tc>
            </w:tr>
            <w:tr w14:paraId="3CC29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68" w:type="pct"/>
                  <w:tcBorders>
                    <w:left w:val="single" w:color="000000" w:sz="6" w:space="0"/>
                  </w:tcBorders>
                  <w:vAlign w:val="center"/>
                </w:tcPr>
                <w:p w14:paraId="5B28996B">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五日生化需氧量</w:t>
                  </w:r>
                </w:p>
              </w:tc>
              <w:tc>
                <w:tcPr>
                  <w:tcW w:w="1093" w:type="pct"/>
                  <w:gridSpan w:val="2"/>
                  <w:vAlign w:val="center"/>
                </w:tcPr>
                <w:p w14:paraId="3F927BC2">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2.9</w:t>
                  </w:r>
                </w:p>
              </w:tc>
              <w:tc>
                <w:tcPr>
                  <w:tcW w:w="1157" w:type="pct"/>
                  <w:gridSpan w:val="2"/>
                  <w:vAlign w:val="center"/>
                </w:tcPr>
                <w:p w14:paraId="71A28BCD">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2.7</w:t>
                  </w:r>
                </w:p>
              </w:tc>
              <w:tc>
                <w:tcPr>
                  <w:tcW w:w="1217" w:type="pct"/>
                  <w:vAlign w:val="center"/>
                </w:tcPr>
                <w:p w14:paraId="03DA3EDF">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3.0</w:t>
                  </w:r>
                </w:p>
              </w:tc>
              <w:tc>
                <w:tcPr>
                  <w:tcW w:w="561" w:type="pct"/>
                  <w:tcBorders>
                    <w:right w:val="single" w:color="000000" w:sz="6" w:space="0"/>
                  </w:tcBorders>
                  <w:vAlign w:val="center"/>
                </w:tcPr>
                <w:p w14:paraId="66AAAD2D">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0.5</w:t>
                  </w:r>
                </w:p>
              </w:tc>
            </w:tr>
            <w:tr w14:paraId="354C99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68" w:type="pct"/>
                  <w:tcBorders>
                    <w:left w:val="single" w:color="000000" w:sz="6" w:space="0"/>
                  </w:tcBorders>
                  <w:vAlign w:val="center"/>
                </w:tcPr>
                <w:p w14:paraId="0F6AF757">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氨氮</w:t>
                  </w:r>
                </w:p>
              </w:tc>
              <w:tc>
                <w:tcPr>
                  <w:tcW w:w="1093" w:type="pct"/>
                  <w:gridSpan w:val="2"/>
                  <w:vAlign w:val="center"/>
                </w:tcPr>
                <w:p w14:paraId="159F7191">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0.567</w:t>
                  </w:r>
                </w:p>
              </w:tc>
              <w:tc>
                <w:tcPr>
                  <w:tcW w:w="1157" w:type="pct"/>
                  <w:gridSpan w:val="2"/>
                  <w:vAlign w:val="center"/>
                </w:tcPr>
                <w:p w14:paraId="20D47A8E">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0.596</w:t>
                  </w:r>
                </w:p>
              </w:tc>
              <w:tc>
                <w:tcPr>
                  <w:tcW w:w="1217" w:type="pct"/>
                  <w:vAlign w:val="center"/>
                </w:tcPr>
                <w:p w14:paraId="126E59E1">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1.42</w:t>
                  </w:r>
                </w:p>
              </w:tc>
              <w:tc>
                <w:tcPr>
                  <w:tcW w:w="561" w:type="pct"/>
                  <w:tcBorders>
                    <w:right w:val="single" w:color="000000" w:sz="6" w:space="0"/>
                  </w:tcBorders>
                  <w:vAlign w:val="center"/>
                </w:tcPr>
                <w:p w14:paraId="2E7ABA5F">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0.025</w:t>
                  </w:r>
                </w:p>
              </w:tc>
            </w:tr>
            <w:tr w14:paraId="170C3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68" w:type="pct"/>
                  <w:tcBorders>
                    <w:left w:val="single" w:color="000000" w:sz="6" w:space="0"/>
                  </w:tcBorders>
                  <w:vAlign w:val="center"/>
                </w:tcPr>
                <w:p w14:paraId="56B2CF96">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总磷</w:t>
                  </w:r>
                </w:p>
              </w:tc>
              <w:tc>
                <w:tcPr>
                  <w:tcW w:w="1093" w:type="pct"/>
                  <w:gridSpan w:val="2"/>
                  <w:vAlign w:val="center"/>
                </w:tcPr>
                <w:p w14:paraId="24D284DC">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0.14</w:t>
                  </w:r>
                </w:p>
              </w:tc>
              <w:tc>
                <w:tcPr>
                  <w:tcW w:w="1157" w:type="pct"/>
                  <w:gridSpan w:val="2"/>
                  <w:vAlign w:val="center"/>
                </w:tcPr>
                <w:p w14:paraId="3B3FBDD2">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0.10</w:t>
                  </w:r>
                </w:p>
              </w:tc>
              <w:tc>
                <w:tcPr>
                  <w:tcW w:w="1217" w:type="pct"/>
                  <w:vAlign w:val="center"/>
                </w:tcPr>
                <w:p w14:paraId="1761E939">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0.15</w:t>
                  </w:r>
                </w:p>
              </w:tc>
              <w:tc>
                <w:tcPr>
                  <w:tcW w:w="561" w:type="pct"/>
                  <w:tcBorders>
                    <w:right w:val="single" w:color="000000" w:sz="6" w:space="0"/>
                  </w:tcBorders>
                  <w:vAlign w:val="center"/>
                </w:tcPr>
                <w:p w14:paraId="223CF192">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0.01</w:t>
                  </w:r>
                </w:p>
              </w:tc>
            </w:tr>
            <w:tr w14:paraId="4B954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68" w:type="pct"/>
                  <w:tcBorders>
                    <w:left w:val="single" w:color="000000" w:sz="6" w:space="0"/>
                  </w:tcBorders>
                  <w:vAlign w:val="center"/>
                </w:tcPr>
                <w:p w14:paraId="4B3D0AC8">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水温(℃)</w:t>
                  </w:r>
                </w:p>
              </w:tc>
              <w:tc>
                <w:tcPr>
                  <w:tcW w:w="1093" w:type="pct"/>
                  <w:gridSpan w:val="2"/>
                  <w:vAlign w:val="center"/>
                </w:tcPr>
                <w:p w14:paraId="7FD38A72">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4.5</w:t>
                  </w:r>
                </w:p>
              </w:tc>
              <w:tc>
                <w:tcPr>
                  <w:tcW w:w="1157" w:type="pct"/>
                  <w:gridSpan w:val="2"/>
                  <w:vAlign w:val="center"/>
                </w:tcPr>
                <w:p w14:paraId="717337EA">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6.9</w:t>
                  </w:r>
                </w:p>
              </w:tc>
              <w:tc>
                <w:tcPr>
                  <w:tcW w:w="1217" w:type="pct"/>
                  <w:vAlign w:val="center"/>
                </w:tcPr>
                <w:p w14:paraId="6C34F9A0">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8.3</w:t>
                  </w:r>
                </w:p>
              </w:tc>
              <w:tc>
                <w:tcPr>
                  <w:tcW w:w="561" w:type="pct"/>
                  <w:tcBorders>
                    <w:right w:val="single" w:color="000000" w:sz="6" w:space="0"/>
                  </w:tcBorders>
                  <w:vAlign w:val="center"/>
                </w:tcPr>
                <w:p w14:paraId="47596570">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r>
          </w:tbl>
          <w:p w14:paraId="2832522A">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b/>
                <w:color w:val="auto"/>
                <w:sz w:val="24"/>
                <w:lang w:eastAsia="zh-CN"/>
              </w:rPr>
            </w:pPr>
            <w:r>
              <w:rPr>
                <w:rFonts w:hint="default" w:ascii="Times New Roman" w:hAnsi="Times New Roman" w:eastAsia="宋体" w:cs="Times New Roman"/>
                <w:color w:val="auto"/>
                <w:sz w:val="24"/>
                <w:szCs w:val="24"/>
              </w:rPr>
              <w:t>由上表可知，淝河水质监测因子均满足《地表水环境质量标准》（GB3838-2002）中的Ⅳ类水质标准要求。</w:t>
            </w:r>
          </w:p>
          <w:p w14:paraId="673725E4">
            <w:pPr>
              <w:keepNext w:val="0"/>
              <w:keepLines w:val="0"/>
              <w:pageBreakBefore w:val="0"/>
              <w:widowControl/>
              <w:kinsoku/>
              <w:wordWrap/>
              <w:overflowPunct/>
              <w:topLinePunct w:val="0"/>
              <w:autoSpaceDE w:val="0"/>
              <w:autoSpaceDN w:val="0"/>
              <w:bidi w:val="0"/>
              <w:adjustRightInd/>
              <w:snapToGrid/>
              <w:spacing w:line="360" w:lineRule="auto"/>
              <w:ind w:firstLine="570"/>
              <w:textAlignment w:val="baseline"/>
              <w:rPr>
                <w:rFonts w:hint="default" w:ascii="Times New Roman" w:hAnsi="Times New Roman" w:eastAsia="宋体" w:cs="Times New Roman"/>
                <w:b/>
                <w:color w:val="auto"/>
                <w:sz w:val="24"/>
                <w:lang w:eastAsia="zh-CN"/>
              </w:rPr>
            </w:pPr>
            <w:r>
              <w:rPr>
                <w:rFonts w:hint="default" w:ascii="Times New Roman" w:hAnsi="Times New Roman" w:eastAsia="宋体" w:cs="Times New Roman"/>
                <w:b/>
                <w:color w:val="auto"/>
                <w:sz w:val="24"/>
                <w:lang w:eastAsia="zh-CN"/>
              </w:rPr>
              <w:t>3、声环境质量现状</w:t>
            </w:r>
          </w:p>
          <w:p w14:paraId="04970EA2">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本项目厂界周边50米范围内无声环境保护目标，不需要进行保护目标声环境质量现状监测。</w:t>
            </w:r>
          </w:p>
          <w:p w14:paraId="530DE02B">
            <w:pPr>
              <w:keepNext w:val="0"/>
              <w:keepLines w:val="0"/>
              <w:pageBreakBefore w:val="0"/>
              <w:widowControl/>
              <w:kinsoku/>
              <w:wordWrap/>
              <w:overflowPunct/>
              <w:topLinePunct w:val="0"/>
              <w:autoSpaceDE w:val="0"/>
              <w:autoSpaceDN w:val="0"/>
              <w:bidi w:val="0"/>
              <w:adjustRightInd/>
              <w:snapToGrid/>
              <w:spacing w:line="360" w:lineRule="auto"/>
              <w:ind w:firstLine="482" w:firstLineChars="200"/>
              <w:textAlignment w:val="baseline"/>
              <w:rPr>
                <w:rFonts w:hint="default" w:ascii="Times New Roman" w:hAnsi="Times New Roman" w:eastAsia="宋体" w:cs="Times New Roman"/>
                <w:b/>
                <w:bCs/>
                <w:color w:val="auto"/>
                <w:sz w:val="24"/>
                <w:lang w:eastAsia="zh-CN"/>
              </w:rPr>
            </w:pPr>
            <w:r>
              <w:rPr>
                <w:rFonts w:hint="default" w:ascii="Times New Roman" w:hAnsi="Times New Roman" w:eastAsia="宋体" w:cs="Times New Roman"/>
                <w:b/>
                <w:bCs/>
                <w:color w:val="auto"/>
                <w:sz w:val="24"/>
                <w:lang w:eastAsia="zh-CN"/>
              </w:rPr>
              <w:t>4、生态环境</w:t>
            </w:r>
          </w:p>
          <w:p w14:paraId="015F6E17">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b/>
                <w:bCs/>
                <w:color w:val="auto"/>
                <w:sz w:val="24"/>
                <w:lang w:eastAsia="zh-CN"/>
              </w:rPr>
            </w:pPr>
            <w:r>
              <w:rPr>
                <w:rFonts w:hint="default" w:ascii="Times New Roman" w:hAnsi="Times New Roman" w:eastAsia="宋体" w:cs="Times New Roman"/>
                <w:color w:val="auto"/>
                <w:sz w:val="24"/>
                <w:lang w:eastAsia="zh-CN"/>
              </w:rPr>
              <w:t>本项目位于园区内，不进行生态现状调查。</w:t>
            </w:r>
          </w:p>
          <w:p w14:paraId="65843D23">
            <w:pPr>
              <w:keepNext w:val="0"/>
              <w:keepLines w:val="0"/>
              <w:pageBreakBefore w:val="0"/>
              <w:widowControl/>
              <w:kinsoku/>
              <w:wordWrap/>
              <w:overflowPunct/>
              <w:topLinePunct w:val="0"/>
              <w:autoSpaceDE w:val="0"/>
              <w:autoSpaceDN w:val="0"/>
              <w:bidi w:val="0"/>
              <w:adjustRightInd/>
              <w:snapToGrid/>
              <w:spacing w:line="360" w:lineRule="auto"/>
              <w:ind w:firstLine="482" w:firstLineChars="200"/>
              <w:textAlignment w:val="baseline"/>
              <w:rPr>
                <w:rFonts w:hint="default" w:ascii="Times New Roman" w:hAnsi="Times New Roman" w:eastAsia="宋体" w:cs="Times New Roman"/>
                <w:b/>
                <w:bCs/>
                <w:color w:val="auto"/>
                <w:sz w:val="24"/>
                <w:lang w:eastAsia="zh-CN"/>
              </w:rPr>
            </w:pPr>
            <w:r>
              <w:rPr>
                <w:rFonts w:hint="default" w:ascii="Times New Roman" w:hAnsi="Times New Roman" w:eastAsia="宋体" w:cs="Times New Roman"/>
                <w:b/>
                <w:bCs/>
                <w:color w:val="auto"/>
                <w:sz w:val="24"/>
                <w:lang w:eastAsia="zh-CN"/>
              </w:rPr>
              <w:t>5、电磁辐射</w:t>
            </w:r>
          </w:p>
          <w:p w14:paraId="59959C52">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b/>
                <w:bCs/>
                <w:color w:val="auto"/>
                <w:sz w:val="24"/>
                <w:lang w:eastAsia="zh-CN"/>
              </w:rPr>
            </w:pPr>
            <w:r>
              <w:rPr>
                <w:rFonts w:hint="default" w:ascii="Times New Roman" w:hAnsi="Times New Roman" w:eastAsia="宋体" w:cs="Times New Roman"/>
                <w:color w:val="auto"/>
                <w:sz w:val="24"/>
                <w:lang w:eastAsia="zh-CN"/>
              </w:rPr>
              <w:t>本项目不涉及电磁辐射类项目，不进行电磁辐射现状调查与评价。</w:t>
            </w:r>
          </w:p>
          <w:p w14:paraId="7B831AD6">
            <w:pPr>
              <w:keepNext w:val="0"/>
              <w:keepLines w:val="0"/>
              <w:pageBreakBefore w:val="0"/>
              <w:widowControl/>
              <w:kinsoku/>
              <w:wordWrap/>
              <w:overflowPunct/>
              <w:topLinePunct w:val="0"/>
              <w:autoSpaceDE w:val="0"/>
              <w:autoSpaceDN w:val="0"/>
              <w:bidi w:val="0"/>
              <w:adjustRightInd/>
              <w:snapToGrid/>
              <w:spacing w:line="360" w:lineRule="auto"/>
              <w:ind w:firstLine="482" w:firstLineChars="200"/>
              <w:textAlignment w:val="baseline"/>
              <w:rPr>
                <w:rFonts w:hint="default" w:ascii="Times New Roman" w:hAnsi="Times New Roman" w:eastAsia="宋体" w:cs="Times New Roman"/>
                <w:b/>
                <w:bCs/>
                <w:color w:val="auto"/>
                <w:sz w:val="24"/>
                <w:lang w:eastAsia="zh-CN"/>
              </w:rPr>
            </w:pPr>
            <w:r>
              <w:rPr>
                <w:rFonts w:hint="default" w:ascii="Times New Roman" w:hAnsi="Times New Roman" w:eastAsia="宋体" w:cs="Times New Roman"/>
                <w:b/>
                <w:bCs/>
                <w:color w:val="auto"/>
                <w:sz w:val="24"/>
                <w:lang w:eastAsia="zh-CN"/>
              </w:rPr>
              <w:t>6、地下水、土壤环境</w:t>
            </w:r>
          </w:p>
          <w:p w14:paraId="6FA98C2F">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FF"/>
                <w:sz w:val="24"/>
                <w:lang w:eastAsia="zh-CN"/>
              </w:rPr>
            </w:pPr>
            <w:r>
              <w:rPr>
                <w:rFonts w:hint="default" w:ascii="Times New Roman" w:hAnsi="Times New Roman" w:eastAsia="宋体" w:cs="Times New Roman"/>
                <w:color w:val="auto"/>
                <w:sz w:val="24"/>
                <w:lang w:eastAsia="zh-CN"/>
              </w:rPr>
              <w:t>根据《建设项目环境影响报告表编制技术指南（污染影响类）（试行）》，本项目采取有效的防渗防漏措施，对地下水、土壤环境影响较小，原则上可不开展地下水、土壤环境现状调查。</w:t>
            </w:r>
          </w:p>
        </w:tc>
      </w:tr>
      <w:tr w14:paraId="326665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99" w:hRule="atLeast"/>
          <w:jc w:val="center"/>
        </w:trPr>
        <w:tc>
          <w:tcPr>
            <w:tcW w:w="527" w:type="dxa"/>
            <w:vAlign w:val="center"/>
          </w:tcPr>
          <w:p w14:paraId="2A0D0B2F">
            <w:pPr>
              <w:kinsoku/>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环境保护目标</w:t>
            </w:r>
          </w:p>
        </w:tc>
        <w:tc>
          <w:tcPr>
            <w:tcW w:w="8534" w:type="dxa"/>
            <w:vAlign w:val="center"/>
          </w:tcPr>
          <w:p w14:paraId="0D2BAE03">
            <w:pPr>
              <w:keepNext w:val="0"/>
              <w:keepLines w:val="0"/>
              <w:pageBreakBefore w:val="0"/>
              <w:widowControl/>
              <w:kinsoku w:val="0"/>
              <w:wordWrap/>
              <w:overflowPunct/>
              <w:topLinePunct w:val="0"/>
              <w:autoSpaceDE w:val="0"/>
              <w:autoSpaceDN w:val="0"/>
              <w:bidi w:val="0"/>
              <w:adjustRightInd/>
              <w:snapToGrid/>
              <w:spacing w:line="360" w:lineRule="auto"/>
              <w:ind w:firstLine="482" w:firstLineChars="200"/>
              <w:textAlignment w:val="baseline"/>
              <w:rPr>
                <w:rFonts w:hint="default" w:ascii="Times New Roman" w:hAnsi="Times New Roman" w:eastAsia="宋体" w:cs="Times New Roman"/>
                <w:b/>
                <w:bCs/>
                <w:color w:val="000000" w:themeColor="text1"/>
                <w:kern w:val="0"/>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14:textFill>
                  <w14:solidFill>
                    <w14:schemeClr w14:val="tx1"/>
                  </w14:solidFill>
                </w14:textFill>
              </w:rPr>
              <w:t>1、大气环境</w:t>
            </w:r>
          </w:p>
          <w:p w14:paraId="7355A6F5">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jc w:val="left"/>
              <w:textAlignment w:val="baseline"/>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本项目评价范围内无自然保护区、风景名胜区、其他著名旅游景点和文物古迹等需要特殊保护的环境敏感对象，主要环境保护目标为项目周边居住敏感点，项目500m范围内</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大气</w:t>
            </w:r>
            <w:r>
              <w:rPr>
                <w:rFonts w:hint="default" w:ascii="Times New Roman" w:hAnsi="Times New Roman" w:eastAsia="宋体" w:cs="Times New Roman"/>
                <w:color w:val="000000" w:themeColor="text1"/>
                <w:sz w:val="24"/>
                <w:szCs w:val="24"/>
                <w:lang w:eastAsia="zh-CN"/>
                <w14:textFill>
                  <w14:solidFill>
                    <w14:schemeClr w14:val="tx1"/>
                  </w14:solidFill>
                </w14:textFill>
              </w:rPr>
              <w:t>环境保护目标见下表</w:t>
            </w:r>
            <w:r>
              <w:rPr>
                <w:rFonts w:hint="default" w:ascii="Times New Roman" w:hAnsi="Times New Roman" w:eastAsia="宋体" w:cs="Times New Roman"/>
                <w:color w:val="000000" w:themeColor="text1"/>
                <w:sz w:val="24"/>
                <w:szCs w:val="24"/>
                <w14:textFill>
                  <w14:solidFill>
                    <w14:schemeClr w14:val="tx1"/>
                  </w14:solidFill>
                </w14:textFill>
              </w:rPr>
              <w:t>。</w:t>
            </w:r>
          </w:p>
          <w:p w14:paraId="6FBEA9F3">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表3-</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 xml:space="preserve"> 大气环境保护目标一览表</w:t>
            </w:r>
          </w:p>
          <w:tbl>
            <w:tblPr>
              <w:tblStyle w:val="2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9"/>
              <w:gridCol w:w="645"/>
              <w:gridCol w:w="646"/>
              <w:gridCol w:w="1021"/>
              <w:gridCol w:w="1141"/>
              <w:gridCol w:w="1596"/>
              <w:gridCol w:w="856"/>
              <w:gridCol w:w="1083"/>
            </w:tblGrid>
            <w:tr w14:paraId="26F21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319" w:type="dxa"/>
                  <w:vMerge w:val="restart"/>
                  <w:vAlign w:val="center"/>
                </w:tcPr>
                <w:p w14:paraId="008ABB54">
                  <w:pPr>
                    <w:pStyle w:val="34"/>
                    <w:kinsoku/>
                    <w:spacing w:line="240" w:lineRule="auto"/>
                    <w:ind w:left="0" w:firstLine="0" w:firstLineChars="0"/>
                    <w:rPr>
                      <w:rFonts w:hint="default" w:ascii="Times New Roman" w:hAnsi="Times New Roman" w:eastAsia="宋体" w:cs="Times New Roman"/>
                      <w:b/>
                      <w:bCs w:val="0"/>
                      <w:color w:val="000000" w:themeColor="text1"/>
                      <w14:textFill>
                        <w14:solidFill>
                          <w14:schemeClr w14:val="tx1"/>
                        </w14:solidFill>
                      </w14:textFill>
                    </w:rPr>
                  </w:pPr>
                  <w:r>
                    <w:rPr>
                      <w:rFonts w:hint="default" w:ascii="Times New Roman" w:hAnsi="Times New Roman" w:eastAsia="宋体" w:cs="Times New Roman"/>
                      <w:b/>
                      <w:bCs w:val="0"/>
                      <w:color w:val="000000" w:themeColor="text1"/>
                      <w14:textFill>
                        <w14:solidFill>
                          <w14:schemeClr w14:val="tx1"/>
                        </w14:solidFill>
                      </w14:textFill>
                    </w:rPr>
                    <w:t>名称</w:t>
                  </w:r>
                </w:p>
              </w:tc>
              <w:tc>
                <w:tcPr>
                  <w:tcW w:w="1291" w:type="dxa"/>
                  <w:gridSpan w:val="2"/>
                  <w:vAlign w:val="center"/>
                </w:tcPr>
                <w:p w14:paraId="6541364B">
                  <w:pPr>
                    <w:pStyle w:val="34"/>
                    <w:kinsoku/>
                    <w:spacing w:line="240" w:lineRule="auto"/>
                    <w:ind w:left="0" w:firstLine="0" w:firstLineChars="0"/>
                    <w:rPr>
                      <w:rFonts w:hint="default" w:ascii="Times New Roman" w:hAnsi="Times New Roman" w:eastAsia="宋体" w:cs="Times New Roman"/>
                      <w:b/>
                      <w:bCs w:val="0"/>
                      <w:color w:val="000000" w:themeColor="text1"/>
                      <w14:textFill>
                        <w14:solidFill>
                          <w14:schemeClr w14:val="tx1"/>
                        </w14:solidFill>
                      </w14:textFill>
                    </w:rPr>
                  </w:pPr>
                  <w:r>
                    <w:rPr>
                      <w:rFonts w:hint="default" w:ascii="Times New Roman" w:hAnsi="Times New Roman" w:eastAsia="宋体" w:cs="Times New Roman"/>
                      <w:b/>
                      <w:bCs w:val="0"/>
                      <w:color w:val="000000" w:themeColor="text1"/>
                      <w14:textFill>
                        <w14:solidFill>
                          <w14:schemeClr w14:val="tx1"/>
                        </w14:solidFill>
                      </w14:textFill>
                    </w:rPr>
                    <w:t>坐标/m</w:t>
                  </w:r>
                </w:p>
              </w:tc>
              <w:tc>
                <w:tcPr>
                  <w:tcW w:w="1021" w:type="dxa"/>
                  <w:vMerge w:val="restart"/>
                  <w:vAlign w:val="center"/>
                </w:tcPr>
                <w:p w14:paraId="11CCBE9B">
                  <w:pPr>
                    <w:pStyle w:val="34"/>
                    <w:kinsoku/>
                    <w:spacing w:line="240" w:lineRule="auto"/>
                    <w:ind w:left="0" w:firstLine="0" w:firstLineChars="0"/>
                    <w:rPr>
                      <w:rFonts w:hint="default" w:ascii="Times New Roman" w:hAnsi="Times New Roman" w:eastAsia="宋体" w:cs="Times New Roman"/>
                      <w:b/>
                      <w:bCs w:val="0"/>
                      <w:color w:val="000000" w:themeColor="text1"/>
                      <w14:textFill>
                        <w14:solidFill>
                          <w14:schemeClr w14:val="tx1"/>
                        </w14:solidFill>
                      </w14:textFill>
                    </w:rPr>
                  </w:pPr>
                  <w:r>
                    <w:rPr>
                      <w:rFonts w:hint="default" w:ascii="Times New Roman" w:hAnsi="Times New Roman" w:eastAsia="宋体" w:cs="Times New Roman"/>
                      <w:b/>
                      <w:bCs w:val="0"/>
                      <w:color w:val="000000" w:themeColor="text1"/>
                      <w14:textFill>
                        <w14:solidFill>
                          <w14:schemeClr w14:val="tx1"/>
                        </w14:solidFill>
                      </w14:textFill>
                    </w:rPr>
                    <w:t>保护对象</w:t>
                  </w:r>
                </w:p>
              </w:tc>
              <w:tc>
                <w:tcPr>
                  <w:tcW w:w="1141" w:type="dxa"/>
                  <w:vMerge w:val="restart"/>
                  <w:vAlign w:val="center"/>
                </w:tcPr>
                <w:p w14:paraId="76B8F9B3">
                  <w:pPr>
                    <w:pStyle w:val="34"/>
                    <w:kinsoku/>
                    <w:spacing w:line="240" w:lineRule="auto"/>
                    <w:ind w:left="0" w:firstLine="0" w:firstLineChars="0"/>
                    <w:rPr>
                      <w:rFonts w:hint="default" w:ascii="Times New Roman" w:hAnsi="Times New Roman" w:eastAsia="宋体" w:cs="Times New Roman"/>
                      <w:b/>
                      <w:bCs w:val="0"/>
                      <w:color w:val="000000" w:themeColor="text1"/>
                      <w14:textFill>
                        <w14:solidFill>
                          <w14:schemeClr w14:val="tx1"/>
                        </w14:solidFill>
                      </w14:textFill>
                    </w:rPr>
                  </w:pPr>
                  <w:r>
                    <w:rPr>
                      <w:rFonts w:hint="default" w:ascii="Times New Roman" w:hAnsi="Times New Roman" w:eastAsia="宋体" w:cs="Times New Roman"/>
                      <w:b/>
                      <w:bCs w:val="0"/>
                      <w:color w:val="000000" w:themeColor="text1"/>
                      <w14:textFill>
                        <w14:solidFill>
                          <w14:schemeClr w14:val="tx1"/>
                        </w14:solidFill>
                      </w14:textFill>
                    </w:rPr>
                    <w:t>保护内容</w:t>
                  </w:r>
                </w:p>
              </w:tc>
              <w:tc>
                <w:tcPr>
                  <w:tcW w:w="1596" w:type="dxa"/>
                  <w:vMerge w:val="restart"/>
                  <w:vAlign w:val="center"/>
                </w:tcPr>
                <w:p w14:paraId="31504D7A">
                  <w:pPr>
                    <w:pStyle w:val="34"/>
                    <w:kinsoku/>
                    <w:spacing w:line="240" w:lineRule="auto"/>
                    <w:ind w:left="0" w:firstLine="0" w:firstLineChars="0"/>
                    <w:rPr>
                      <w:rFonts w:hint="default" w:ascii="Times New Roman" w:hAnsi="Times New Roman" w:eastAsia="宋体" w:cs="Times New Roman"/>
                      <w:b/>
                      <w:bCs w:val="0"/>
                      <w:color w:val="000000" w:themeColor="text1"/>
                      <w14:textFill>
                        <w14:solidFill>
                          <w14:schemeClr w14:val="tx1"/>
                        </w14:solidFill>
                      </w14:textFill>
                    </w:rPr>
                  </w:pPr>
                  <w:r>
                    <w:rPr>
                      <w:rFonts w:hint="default" w:ascii="Times New Roman" w:hAnsi="Times New Roman" w:eastAsia="宋体" w:cs="Times New Roman"/>
                      <w:b/>
                      <w:bCs w:val="0"/>
                      <w:color w:val="000000" w:themeColor="text1"/>
                      <w14:textFill>
                        <w14:solidFill>
                          <w14:schemeClr w14:val="tx1"/>
                        </w14:solidFill>
                      </w14:textFill>
                    </w:rPr>
                    <w:t>环境要求及保护级别</w:t>
                  </w:r>
                </w:p>
              </w:tc>
              <w:tc>
                <w:tcPr>
                  <w:tcW w:w="856" w:type="dxa"/>
                  <w:vMerge w:val="restart"/>
                  <w:vAlign w:val="center"/>
                </w:tcPr>
                <w:p w14:paraId="70B90820">
                  <w:pPr>
                    <w:pStyle w:val="34"/>
                    <w:kinsoku/>
                    <w:spacing w:line="240" w:lineRule="auto"/>
                    <w:ind w:left="0" w:firstLine="0" w:firstLineChars="0"/>
                    <w:rPr>
                      <w:rFonts w:hint="default" w:ascii="Times New Roman" w:hAnsi="Times New Roman" w:eastAsia="宋体" w:cs="Times New Roman"/>
                      <w:b/>
                      <w:bCs w:val="0"/>
                      <w:color w:val="000000" w:themeColor="text1"/>
                      <w14:textFill>
                        <w14:solidFill>
                          <w14:schemeClr w14:val="tx1"/>
                        </w14:solidFill>
                      </w14:textFill>
                    </w:rPr>
                  </w:pPr>
                  <w:r>
                    <w:rPr>
                      <w:rFonts w:hint="default" w:ascii="Times New Roman" w:hAnsi="Times New Roman" w:eastAsia="宋体" w:cs="Times New Roman"/>
                      <w:b/>
                      <w:bCs w:val="0"/>
                      <w:color w:val="000000" w:themeColor="text1"/>
                      <w14:textFill>
                        <w14:solidFill>
                          <w14:schemeClr w14:val="tx1"/>
                        </w14:solidFill>
                      </w14:textFill>
                    </w:rPr>
                    <w:t>相对厂址方位</w:t>
                  </w:r>
                </w:p>
              </w:tc>
              <w:tc>
                <w:tcPr>
                  <w:tcW w:w="1083" w:type="dxa"/>
                  <w:vMerge w:val="restart"/>
                  <w:vAlign w:val="center"/>
                </w:tcPr>
                <w:p w14:paraId="0579A66B">
                  <w:pPr>
                    <w:pStyle w:val="34"/>
                    <w:kinsoku/>
                    <w:spacing w:line="240" w:lineRule="auto"/>
                    <w:ind w:left="0" w:firstLine="0" w:firstLineChars="0"/>
                    <w:rPr>
                      <w:rFonts w:hint="default" w:ascii="Times New Roman" w:hAnsi="Times New Roman" w:eastAsia="宋体" w:cs="Times New Roman"/>
                      <w:b/>
                      <w:bCs w:val="0"/>
                      <w:color w:val="000000" w:themeColor="text1"/>
                      <w14:textFill>
                        <w14:solidFill>
                          <w14:schemeClr w14:val="tx1"/>
                        </w14:solidFill>
                      </w14:textFill>
                    </w:rPr>
                  </w:pPr>
                  <w:r>
                    <w:rPr>
                      <w:rFonts w:hint="default" w:ascii="Times New Roman" w:hAnsi="Times New Roman" w:eastAsia="宋体" w:cs="Times New Roman"/>
                      <w:b/>
                      <w:bCs w:val="0"/>
                      <w:color w:val="000000" w:themeColor="text1"/>
                      <w14:textFill>
                        <w14:solidFill>
                          <w14:schemeClr w14:val="tx1"/>
                        </w14:solidFill>
                      </w14:textFill>
                    </w:rPr>
                    <w:t>相对场界距离/m</w:t>
                  </w:r>
                </w:p>
              </w:tc>
            </w:tr>
            <w:tr w14:paraId="0A390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319" w:type="dxa"/>
                  <w:vMerge w:val="continue"/>
                  <w:vAlign w:val="center"/>
                </w:tcPr>
                <w:p w14:paraId="301637E6">
                  <w:pPr>
                    <w:pStyle w:val="34"/>
                    <w:kinsoku/>
                    <w:spacing w:line="240" w:lineRule="auto"/>
                    <w:ind w:left="0" w:firstLine="0" w:firstLineChars="0"/>
                    <w:rPr>
                      <w:rFonts w:hint="default" w:ascii="Times New Roman" w:hAnsi="Times New Roman" w:eastAsia="宋体" w:cs="Times New Roman"/>
                      <w:b w:val="0"/>
                      <w:bCs/>
                      <w:color w:val="000000" w:themeColor="text1"/>
                      <w14:textFill>
                        <w14:solidFill>
                          <w14:schemeClr w14:val="tx1"/>
                        </w14:solidFill>
                      </w14:textFill>
                    </w:rPr>
                  </w:pPr>
                </w:p>
              </w:tc>
              <w:tc>
                <w:tcPr>
                  <w:tcW w:w="645" w:type="dxa"/>
                  <w:vAlign w:val="center"/>
                </w:tcPr>
                <w:p w14:paraId="5F6B4A72">
                  <w:pPr>
                    <w:pStyle w:val="34"/>
                    <w:kinsoku/>
                    <w:spacing w:line="240" w:lineRule="auto"/>
                    <w:ind w:left="0" w:firstLine="0" w:firstLineChars="0"/>
                    <w:rPr>
                      <w:rFonts w:hint="default" w:ascii="Times New Roman" w:hAnsi="Times New Roman" w:eastAsia="宋体" w:cs="Times New Roman"/>
                      <w:b/>
                      <w:bCs w:val="0"/>
                      <w:color w:val="000000" w:themeColor="text1"/>
                      <w14:textFill>
                        <w14:solidFill>
                          <w14:schemeClr w14:val="tx1"/>
                        </w14:solidFill>
                      </w14:textFill>
                    </w:rPr>
                  </w:pPr>
                  <w:r>
                    <w:rPr>
                      <w:rFonts w:hint="default" w:ascii="Times New Roman" w:hAnsi="Times New Roman" w:eastAsia="宋体" w:cs="Times New Roman"/>
                      <w:b/>
                      <w:bCs w:val="0"/>
                      <w:color w:val="000000" w:themeColor="text1"/>
                      <w14:textFill>
                        <w14:solidFill>
                          <w14:schemeClr w14:val="tx1"/>
                        </w14:solidFill>
                      </w14:textFill>
                    </w:rPr>
                    <w:t>x</w:t>
                  </w:r>
                </w:p>
              </w:tc>
              <w:tc>
                <w:tcPr>
                  <w:tcW w:w="646" w:type="dxa"/>
                  <w:vAlign w:val="center"/>
                </w:tcPr>
                <w:p w14:paraId="3213D3BA">
                  <w:pPr>
                    <w:pStyle w:val="34"/>
                    <w:kinsoku/>
                    <w:spacing w:line="240" w:lineRule="auto"/>
                    <w:ind w:left="0" w:firstLine="0" w:firstLineChars="0"/>
                    <w:rPr>
                      <w:rFonts w:hint="default" w:ascii="Times New Roman" w:hAnsi="Times New Roman" w:eastAsia="宋体" w:cs="Times New Roman"/>
                      <w:b/>
                      <w:bCs w:val="0"/>
                      <w:color w:val="000000" w:themeColor="text1"/>
                      <w14:textFill>
                        <w14:solidFill>
                          <w14:schemeClr w14:val="tx1"/>
                        </w14:solidFill>
                      </w14:textFill>
                    </w:rPr>
                  </w:pPr>
                  <w:r>
                    <w:rPr>
                      <w:rFonts w:hint="default" w:ascii="Times New Roman" w:hAnsi="Times New Roman" w:eastAsia="宋体" w:cs="Times New Roman"/>
                      <w:b/>
                      <w:bCs w:val="0"/>
                      <w:color w:val="000000" w:themeColor="text1"/>
                      <w14:textFill>
                        <w14:solidFill>
                          <w14:schemeClr w14:val="tx1"/>
                        </w14:solidFill>
                      </w14:textFill>
                    </w:rPr>
                    <w:t>y</w:t>
                  </w:r>
                </w:p>
              </w:tc>
              <w:tc>
                <w:tcPr>
                  <w:tcW w:w="1021" w:type="dxa"/>
                  <w:vMerge w:val="continue"/>
                  <w:vAlign w:val="center"/>
                </w:tcPr>
                <w:p w14:paraId="3DAE5805">
                  <w:pPr>
                    <w:pStyle w:val="34"/>
                    <w:kinsoku/>
                    <w:spacing w:line="240" w:lineRule="auto"/>
                    <w:ind w:left="0" w:firstLine="0" w:firstLineChars="0"/>
                    <w:rPr>
                      <w:rFonts w:hint="default" w:ascii="Times New Roman" w:hAnsi="Times New Roman" w:eastAsia="宋体" w:cs="Times New Roman"/>
                      <w:b w:val="0"/>
                      <w:bCs/>
                      <w:color w:val="000000" w:themeColor="text1"/>
                      <w14:textFill>
                        <w14:solidFill>
                          <w14:schemeClr w14:val="tx1"/>
                        </w14:solidFill>
                      </w14:textFill>
                    </w:rPr>
                  </w:pPr>
                </w:p>
              </w:tc>
              <w:tc>
                <w:tcPr>
                  <w:tcW w:w="1141" w:type="dxa"/>
                  <w:vMerge w:val="continue"/>
                  <w:vAlign w:val="center"/>
                </w:tcPr>
                <w:p w14:paraId="64737C4D">
                  <w:pPr>
                    <w:pStyle w:val="34"/>
                    <w:kinsoku/>
                    <w:spacing w:line="240" w:lineRule="auto"/>
                    <w:ind w:left="0" w:firstLine="0" w:firstLineChars="0"/>
                    <w:rPr>
                      <w:rFonts w:hint="default" w:ascii="Times New Roman" w:hAnsi="Times New Roman" w:eastAsia="宋体" w:cs="Times New Roman"/>
                      <w:b w:val="0"/>
                      <w:bCs/>
                      <w:color w:val="000000" w:themeColor="text1"/>
                      <w14:textFill>
                        <w14:solidFill>
                          <w14:schemeClr w14:val="tx1"/>
                        </w14:solidFill>
                      </w14:textFill>
                    </w:rPr>
                  </w:pPr>
                </w:p>
              </w:tc>
              <w:tc>
                <w:tcPr>
                  <w:tcW w:w="1596" w:type="dxa"/>
                  <w:vMerge w:val="continue"/>
                  <w:vAlign w:val="center"/>
                </w:tcPr>
                <w:p w14:paraId="3D747090">
                  <w:pPr>
                    <w:pStyle w:val="34"/>
                    <w:kinsoku/>
                    <w:spacing w:line="240" w:lineRule="auto"/>
                    <w:ind w:left="0" w:firstLine="0" w:firstLineChars="0"/>
                    <w:rPr>
                      <w:rFonts w:hint="default" w:ascii="Times New Roman" w:hAnsi="Times New Roman" w:eastAsia="宋体" w:cs="Times New Roman"/>
                      <w:b w:val="0"/>
                      <w:bCs/>
                      <w:color w:val="000000" w:themeColor="text1"/>
                      <w14:textFill>
                        <w14:solidFill>
                          <w14:schemeClr w14:val="tx1"/>
                        </w14:solidFill>
                      </w14:textFill>
                    </w:rPr>
                  </w:pPr>
                </w:p>
              </w:tc>
              <w:tc>
                <w:tcPr>
                  <w:tcW w:w="856" w:type="dxa"/>
                  <w:vMerge w:val="continue"/>
                  <w:vAlign w:val="center"/>
                </w:tcPr>
                <w:p w14:paraId="370F0EF1">
                  <w:pPr>
                    <w:pStyle w:val="34"/>
                    <w:kinsoku/>
                    <w:spacing w:line="240" w:lineRule="auto"/>
                    <w:ind w:left="0" w:firstLine="0" w:firstLineChars="0"/>
                    <w:rPr>
                      <w:rFonts w:hint="default" w:ascii="Times New Roman" w:hAnsi="Times New Roman" w:eastAsia="宋体" w:cs="Times New Roman"/>
                      <w:b w:val="0"/>
                      <w:bCs/>
                      <w:color w:val="000000" w:themeColor="text1"/>
                      <w14:textFill>
                        <w14:solidFill>
                          <w14:schemeClr w14:val="tx1"/>
                        </w14:solidFill>
                      </w14:textFill>
                    </w:rPr>
                  </w:pPr>
                </w:p>
              </w:tc>
              <w:tc>
                <w:tcPr>
                  <w:tcW w:w="1083" w:type="dxa"/>
                  <w:vMerge w:val="continue"/>
                  <w:vAlign w:val="center"/>
                </w:tcPr>
                <w:p w14:paraId="57BD0A18">
                  <w:pPr>
                    <w:pStyle w:val="34"/>
                    <w:kinsoku/>
                    <w:spacing w:line="240" w:lineRule="auto"/>
                    <w:ind w:left="0" w:firstLine="0" w:firstLineChars="0"/>
                    <w:rPr>
                      <w:rFonts w:hint="default" w:ascii="Times New Roman" w:hAnsi="Times New Roman" w:eastAsia="宋体" w:cs="Times New Roman"/>
                      <w:b w:val="0"/>
                      <w:bCs/>
                      <w:color w:val="000000" w:themeColor="text1"/>
                      <w14:textFill>
                        <w14:solidFill>
                          <w14:schemeClr w14:val="tx1"/>
                        </w14:solidFill>
                      </w14:textFill>
                    </w:rPr>
                  </w:pPr>
                </w:p>
              </w:tc>
            </w:tr>
            <w:tr w14:paraId="52460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319" w:type="dxa"/>
                  <w:vAlign w:val="center"/>
                </w:tcPr>
                <w:p w14:paraId="2CD05A50">
                  <w:pPr>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宋湖村</w:t>
                  </w:r>
                </w:p>
              </w:tc>
              <w:tc>
                <w:tcPr>
                  <w:tcW w:w="645" w:type="dxa"/>
                  <w:vAlign w:val="center"/>
                </w:tcPr>
                <w:p w14:paraId="7D107053">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268</w:t>
                  </w:r>
                </w:p>
              </w:tc>
              <w:tc>
                <w:tcPr>
                  <w:tcW w:w="646" w:type="dxa"/>
                  <w:vAlign w:val="center"/>
                </w:tcPr>
                <w:p w14:paraId="43BEAF4D">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297</w:t>
                  </w:r>
                </w:p>
              </w:tc>
              <w:tc>
                <w:tcPr>
                  <w:tcW w:w="1021" w:type="dxa"/>
                  <w:vAlign w:val="center"/>
                </w:tcPr>
                <w:p w14:paraId="12D69660">
                  <w:pPr>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居民点</w:t>
                  </w:r>
                </w:p>
              </w:tc>
              <w:tc>
                <w:tcPr>
                  <w:tcW w:w="1141" w:type="dxa"/>
                  <w:vAlign w:val="center"/>
                </w:tcPr>
                <w:p w14:paraId="06031C6E">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180人</w:t>
                  </w:r>
                </w:p>
              </w:tc>
              <w:tc>
                <w:tcPr>
                  <w:tcW w:w="1596" w:type="dxa"/>
                  <w:vMerge w:val="restart"/>
                  <w:vAlign w:val="center"/>
                </w:tcPr>
                <w:p w14:paraId="1844D925">
                  <w:pPr>
                    <w:pStyle w:val="34"/>
                    <w:kinsoku/>
                    <w:spacing w:line="240" w:lineRule="auto"/>
                    <w:ind w:left="0" w:firstLine="0" w:firstLineChars="0"/>
                    <w:rPr>
                      <w:rFonts w:hint="default" w:ascii="Times New Roman" w:hAnsi="Times New Roman" w:eastAsia="宋体" w:cs="Times New Roman"/>
                      <w:b w:val="0"/>
                      <w:bCs/>
                      <w:color w:val="000000" w:themeColor="text1"/>
                      <w:lang w:eastAsia="zh-CN"/>
                      <w14:textFill>
                        <w14:solidFill>
                          <w14:schemeClr w14:val="tx1"/>
                        </w14:solidFill>
                      </w14:textFill>
                    </w:rPr>
                  </w:pPr>
                  <w:r>
                    <w:rPr>
                      <w:rFonts w:hint="default" w:ascii="Times New Roman" w:hAnsi="Times New Roman" w:eastAsia="宋体" w:cs="Times New Roman"/>
                      <w:b w:val="0"/>
                      <w:bCs/>
                      <w:color w:val="000000" w:themeColor="text1"/>
                      <w:lang w:eastAsia="zh-CN"/>
                      <w14:textFill>
                        <w14:solidFill>
                          <w14:schemeClr w14:val="tx1"/>
                        </w14:solidFill>
                      </w14:textFill>
                    </w:rPr>
                    <w:t>《环境空气质量标准》（GB3095-2012）及其修改单中的二级标准</w:t>
                  </w:r>
                </w:p>
              </w:tc>
              <w:tc>
                <w:tcPr>
                  <w:tcW w:w="856" w:type="dxa"/>
                  <w:vAlign w:val="center"/>
                </w:tcPr>
                <w:p w14:paraId="5737CBF9">
                  <w:pPr>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东北</w:t>
                  </w:r>
                </w:p>
              </w:tc>
              <w:tc>
                <w:tcPr>
                  <w:tcW w:w="1083" w:type="dxa"/>
                  <w:vAlign w:val="center"/>
                </w:tcPr>
                <w:p w14:paraId="2BDE1645">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388</w:t>
                  </w:r>
                </w:p>
              </w:tc>
            </w:tr>
            <w:tr w14:paraId="3255B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319" w:type="dxa"/>
                  <w:vAlign w:val="center"/>
                </w:tcPr>
                <w:p w14:paraId="607612B1">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三环村</w:t>
                  </w:r>
                </w:p>
              </w:tc>
              <w:tc>
                <w:tcPr>
                  <w:tcW w:w="645" w:type="dxa"/>
                  <w:vAlign w:val="center"/>
                </w:tcPr>
                <w:p w14:paraId="6D41B4D8">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-150</w:t>
                  </w:r>
                </w:p>
              </w:tc>
              <w:tc>
                <w:tcPr>
                  <w:tcW w:w="646" w:type="dxa"/>
                  <w:vAlign w:val="center"/>
                </w:tcPr>
                <w:p w14:paraId="6933940B">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w:t>
                  </w:r>
                </w:p>
              </w:tc>
              <w:tc>
                <w:tcPr>
                  <w:tcW w:w="1021" w:type="dxa"/>
                  <w:vAlign w:val="center"/>
                </w:tcPr>
                <w:p w14:paraId="0A02C9DB">
                  <w:pPr>
                    <w:kinsoku/>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居民点</w:t>
                  </w:r>
                </w:p>
              </w:tc>
              <w:tc>
                <w:tcPr>
                  <w:tcW w:w="1141" w:type="dxa"/>
                  <w:vAlign w:val="center"/>
                </w:tcPr>
                <w:p w14:paraId="4B3F8BE8">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300人</w:t>
                  </w:r>
                </w:p>
              </w:tc>
              <w:tc>
                <w:tcPr>
                  <w:tcW w:w="1596" w:type="dxa"/>
                  <w:vMerge w:val="continue"/>
                  <w:vAlign w:val="center"/>
                </w:tcPr>
                <w:p w14:paraId="69EFF5E5">
                  <w:pPr>
                    <w:pStyle w:val="34"/>
                    <w:kinsoku/>
                    <w:spacing w:line="240" w:lineRule="auto"/>
                    <w:ind w:left="0" w:firstLine="0" w:firstLineChars="0"/>
                    <w:rPr>
                      <w:rFonts w:hint="default" w:ascii="Times New Roman" w:hAnsi="Times New Roman" w:eastAsia="宋体" w:cs="Times New Roman"/>
                      <w:b w:val="0"/>
                      <w:bCs/>
                      <w:color w:val="000000" w:themeColor="text1"/>
                      <w:lang w:eastAsia="zh-CN"/>
                      <w14:textFill>
                        <w14:solidFill>
                          <w14:schemeClr w14:val="tx1"/>
                        </w14:solidFill>
                      </w14:textFill>
                    </w:rPr>
                  </w:pPr>
                </w:p>
              </w:tc>
              <w:tc>
                <w:tcPr>
                  <w:tcW w:w="856" w:type="dxa"/>
                  <w:vAlign w:val="center"/>
                </w:tcPr>
                <w:p w14:paraId="114076F8">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东</w:t>
                  </w:r>
                </w:p>
              </w:tc>
              <w:tc>
                <w:tcPr>
                  <w:tcW w:w="1083" w:type="dxa"/>
                  <w:vAlign w:val="center"/>
                </w:tcPr>
                <w:p w14:paraId="3E6002A9">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150</w:t>
                  </w:r>
                </w:p>
              </w:tc>
            </w:tr>
            <w:tr w14:paraId="5535E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8307" w:type="dxa"/>
                  <w:gridSpan w:val="8"/>
                  <w:vAlign w:val="center"/>
                </w:tcPr>
                <w:p w14:paraId="53E7B724">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注：以企业所在区域对角线交点为坐标原点，以东西方向为X坐标轴（东方向为正方向），以南北方向为Y坐标轴（北方向为正方向）</w:t>
                  </w:r>
                </w:p>
              </w:tc>
            </w:tr>
          </w:tbl>
          <w:p w14:paraId="72C1C44B">
            <w:pPr>
              <w:keepNext w:val="0"/>
              <w:keepLines w:val="0"/>
              <w:pageBreakBefore w:val="0"/>
              <w:widowControl/>
              <w:wordWrap/>
              <w:overflowPunct/>
              <w:topLinePunct w:val="0"/>
              <w:autoSpaceDE w:val="0"/>
              <w:autoSpaceDN w:val="0"/>
              <w:bidi w:val="0"/>
              <w:adjustRightInd/>
              <w:snapToGrid/>
              <w:spacing w:line="360" w:lineRule="auto"/>
              <w:ind w:firstLine="482" w:firstLineChars="200"/>
              <w:textAlignment w:val="baseline"/>
              <w:rPr>
                <w:rFonts w:hint="default" w:ascii="Times New Roman" w:hAnsi="Times New Roman" w:eastAsia="宋体" w:cs="Times New Roman"/>
                <w:b/>
                <w:bCs/>
                <w:color w:val="000000" w:themeColor="text1"/>
                <w:kern w:val="0"/>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14:textFill>
                  <w14:solidFill>
                    <w14:schemeClr w14:val="tx1"/>
                  </w14:solidFill>
                </w14:textFill>
              </w:rPr>
              <w:t>2</w:t>
            </w:r>
            <w:r>
              <w:rPr>
                <w:rFonts w:hint="default" w:ascii="Times New Roman" w:hAnsi="Times New Roman" w:eastAsia="宋体" w:cs="Times New Roman"/>
                <w:b/>
                <w:bCs/>
                <w:color w:val="000000" w:themeColor="text1"/>
                <w:kern w:val="0"/>
                <w:sz w:val="24"/>
                <w:szCs w:val="24"/>
                <w14:textFill>
                  <w14:solidFill>
                    <w14:schemeClr w14:val="tx1"/>
                  </w14:solidFill>
                </w14:textFill>
              </w:rPr>
              <w:t>、声环境</w:t>
            </w:r>
          </w:p>
          <w:p w14:paraId="156F1EB0">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本项目厂界周边50米范围内无声环境保护目标</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4A0307F6">
            <w:pPr>
              <w:keepNext w:val="0"/>
              <w:keepLines w:val="0"/>
              <w:pageBreakBefore w:val="0"/>
              <w:widowControl/>
              <w:wordWrap/>
              <w:overflowPunct/>
              <w:topLinePunct w:val="0"/>
              <w:autoSpaceDE w:val="0"/>
              <w:autoSpaceDN w:val="0"/>
              <w:bidi w:val="0"/>
              <w:adjustRightInd/>
              <w:snapToGrid/>
              <w:spacing w:line="360" w:lineRule="auto"/>
              <w:ind w:firstLine="482" w:firstLineChars="200"/>
              <w:textAlignment w:val="baseline"/>
              <w:rPr>
                <w:rFonts w:hint="default" w:ascii="Times New Roman" w:hAnsi="Times New Roman" w:eastAsia="宋体" w:cs="Times New Roman"/>
                <w:b/>
                <w:bCs/>
                <w:color w:val="000000" w:themeColor="text1"/>
                <w:kern w:val="0"/>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14:textFill>
                  <w14:solidFill>
                    <w14:schemeClr w14:val="tx1"/>
                  </w14:solidFill>
                </w14:textFill>
              </w:rPr>
              <w:t>3</w:t>
            </w:r>
            <w:r>
              <w:rPr>
                <w:rFonts w:hint="default" w:ascii="Times New Roman" w:hAnsi="Times New Roman" w:eastAsia="宋体" w:cs="Times New Roman"/>
                <w:b/>
                <w:bCs/>
                <w:color w:val="000000" w:themeColor="text1"/>
                <w:kern w:val="0"/>
                <w:sz w:val="24"/>
                <w:szCs w:val="24"/>
                <w14:textFill>
                  <w14:solidFill>
                    <w14:schemeClr w14:val="tx1"/>
                  </w14:solidFill>
                </w14:textFill>
              </w:rPr>
              <w:t>、地下水环境</w:t>
            </w:r>
          </w:p>
          <w:p w14:paraId="46189825">
            <w:pPr>
              <w:keepNext w:val="0"/>
              <w:keepLines w:val="0"/>
              <w:pageBreakBefore w:val="0"/>
              <w:widowControl/>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厂界外500m范围内无地下水集中式引用水水源和热水、矿泉水、温泉等特殊地下水资源。</w:t>
            </w:r>
          </w:p>
          <w:p w14:paraId="2471B60C">
            <w:pPr>
              <w:keepNext w:val="0"/>
              <w:keepLines w:val="0"/>
              <w:pageBreakBefore w:val="0"/>
              <w:widowControl/>
              <w:wordWrap/>
              <w:overflowPunct/>
              <w:topLinePunct w:val="0"/>
              <w:autoSpaceDE w:val="0"/>
              <w:autoSpaceDN w:val="0"/>
              <w:bidi w:val="0"/>
              <w:adjustRightInd/>
              <w:snapToGrid/>
              <w:spacing w:line="360" w:lineRule="auto"/>
              <w:ind w:firstLine="482" w:firstLineChars="200"/>
              <w:textAlignment w:val="baseline"/>
              <w:rPr>
                <w:rFonts w:hint="default" w:ascii="Times New Roman" w:hAnsi="Times New Roman" w:eastAsia="宋体" w:cs="Times New Roman"/>
                <w:b/>
                <w:bCs/>
                <w:color w:val="000000" w:themeColor="text1"/>
                <w:kern w:val="0"/>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14:textFill>
                  <w14:solidFill>
                    <w14:schemeClr w14:val="tx1"/>
                  </w14:solidFill>
                </w14:textFill>
              </w:rPr>
              <w:t>4</w:t>
            </w:r>
            <w:r>
              <w:rPr>
                <w:rFonts w:hint="default" w:ascii="Times New Roman" w:hAnsi="Times New Roman" w:eastAsia="宋体" w:cs="Times New Roman"/>
                <w:b/>
                <w:bCs/>
                <w:color w:val="000000" w:themeColor="text1"/>
                <w:kern w:val="0"/>
                <w:sz w:val="24"/>
                <w:szCs w:val="24"/>
                <w14:textFill>
                  <w14:solidFill>
                    <w14:schemeClr w14:val="tx1"/>
                  </w14:solidFill>
                </w14:textFill>
              </w:rPr>
              <w:t>、生态环境</w:t>
            </w:r>
          </w:p>
          <w:p w14:paraId="4F3CEC2D">
            <w:pPr>
              <w:keepNext w:val="0"/>
              <w:keepLines w:val="0"/>
              <w:pageBreakBefore w:val="0"/>
              <w:widowControl/>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本项目位于</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宿州市埇桥区经济开发区滨河路西侧</w:t>
            </w:r>
            <w:r>
              <w:rPr>
                <w:rFonts w:hint="default" w:ascii="Times New Roman" w:hAnsi="Times New Roman" w:eastAsia="宋体" w:cs="Times New Roman"/>
                <w:color w:val="000000" w:themeColor="text1"/>
                <w:kern w:val="0"/>
                <w:sz w:val="24"/>
                <w:szCs w:val="24"/>
                <w14:textFill>
                  <w14:solidFill>
                    <w14:schemeClr w14:val="tx1"/>
                  </w14:solidFill>
                </w14:textFill>
              </w:rPr>
              <w:t>，用地范围内不涉及生态环境保护目标。</w:t>
            </w:r>
          </w:p>
        </w:tc>
      </w:tr>
      <w:tr w14:paraId="2C9D4A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27" w:type="dxa"/>
            <w:vAlign w:val="center"/>
          </w:tcPr>
          <w:p w14:paraId="31E73810">
            <w:pPr>
              <w:kinsoku/>
              <w:jc w:val="center"/>
              <w:rPr>
                <w:rFonts w:hint="default" w:ascii="Times New Roman" w:hAnsi="Times New Roman" w:eastAsia="宋体" w:cs="Times New Roman"/>
                <w:color w:val="000000" w:themeColor="text1"/>
                <w:sz w:val="24"/>
                <w:szCs w:val="24"/>
                <w14:textFill>
                  <w14:solidFill>
                    <w14:schemeClr w14:val="tx1"/>
                  </w14:solidFill>
                </w14:textFill>
              </w:rPr>
            </w:pPr>
          </w:p>
          <w:p w14:paraId="79A8E522">
            <w:pPr>
              <w:kinsoku/>
              <w:jc w:val="center"/>
              <w:rPr>
                <w:rFonts w:hint="default" w:ascii="Times New Roman" w:hAnsi="Times New Roman" w:eastAsia="宋体" w:cs="Times New Roman"/>
                <w:color w:val="000000" w:themeColor="text1"/>
                <w:sz w:val="24"/>
                <w:szCs w:val="24"/>
                <w14:textFill>
                  <w14:solidFill>
                    <w14:schemeClr w14:val="tx1"/>
                  </w14:solidFill>
                </w14:textFill>
              </w:rPr>
            </w:pPr>
          </w:p>
          <w:p w14:paraId="03B326B7">
            <w:pPr>
              <w:kinsoku/>
              <w:jc w:val="center"/>
              <w:rPr>
                <w:rFonts w:hint="default" w:ascii="Times New Roman" w:hAnsi="Times New Roman" w:eastAsia="宋体" w:cs="Times New Roman"/>
                <w:color w:val="000000" w:themeColor="text1"/>
                <w:sz w:val="24"/>
                <w:szCs w:val="24"/>
                <w14:textFill>
                  <w14:solidFill>
                    <w14:schemeClr w14:val="tx1"/>
                  </w14:solidFill>
                </w14:textFill>
              </w:rPr>
            </w:pPr>
          </w:p>
          <w:p w14:paraId="1F8A8E3E">
            <w:pPr>
              <w:kinsoku/>
              <w:jc w:val="center"/>
              <w:rPr>
                <w:rFonts w:hint="default" w:ascii="Times New Roman" w:hAnsi="Times New Roman" w:eastAsia="宋体" w:cs="Times New Roman"/>
                <w:color w:val="000000" w:themeColor="text1"/>
                <w:sz w:val="24"/>
                <w:szCs w:val="24"/>
                <w14:textFill>
                  <w14:solidFill>
                    <w14:schemeClr w14:val="tx1"/>
                  </w14:solidFill>
                </w14:textFill>
              </w:rPr>
            </w:pPr>
          </w:p>
          <w:p w14:paraId="41E0FB42">
            <w:pPr>
              <w:kinsoku/>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污染</w:t>
            </w:r>
          </w:p>
          <w:p w14:paraId="6F13EE03">
            <w:pPr>
              <w:kinsoku/>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物排</w:t>
            </w:r>
          </w:p>
          <w:p w14:paraId="6A9EDD87">
            <w:pPr>
              <w:kinsoku/>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放控</w:t>
            </w:r>
          </w:p>
          <w:p w14:paraId="6BA5685F">
            <w:pPr>
              <w:kinsoku/>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制标</w:t>
            </w:r>
          </w:p>
          <w:p w14:paraId="5D6518BD">
            <w:pPr>
              <w:kinsoku/>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准</w:t>
            </w:r>
          </w:p>
        </w:tc>
        <w:tc>
          <w:tcPr>
            <w:tcW w:w="8534" w:type="dxa"/>
            <w:vAlign w:val="center"/>
          </w:tcPr>
          <w:p w14:paraId="351B062A">
            <w:pPr>
              <w:tabs>
                <w:tab w:val="left" w:pos="402"/>
              </w:tabs>
              <w:kinsoku/>
              <w:adjustRightInd/>
              <w:snapToGrid/>
              <w:spacing w:line="360" w:lineRule="auto"/>
              <w:outlineLvl w:val="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b/>
                <w:bCs/>
                <w:color w:val="000000" w:themeColor="text1"/>
                <w:sz w:val="24"/>
                <w:lang w:eastAsia="zh-CN"/>
                <w14:textFill>
                  <w14:solidFill>
                    <w14:schemeClr w14:val="tx1"/>
                  </w14:solidFill>
                </w14:textFill>
              </w:rPr>
              <w:t>一、大气污染物排放标准</w:t>
            </w:r>
          </w:p>
          <w:p w14:paraId="4F1E6CAF">
            <w:pPr>
              <w:kinsoku/>
              <w:adjustRightInd/>
              <w:snapToGrid/>
              <w:spacing w:line="360" w:lineRule="auto"/>
              <w:ind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涂胶、烘干、复合废气</w:t>
            </w:r>
            <w:r>
              <w:rPr>
                <w:rFonts w:hint="default" w:ascii="Times New Roman" w:hAnsi="Times New Roman" w:eastAsia="宋体" w:cs="Times New Roman"/>
                <w:color w:val="000000" w:themeColor="text1"/>
                <w:sz w:val="24"/>
                <w:szCs w:val="24"/>
                <w:lang w:eastAsia="zh-CN"/>
                <w14:textFill>
                  <w14:solidFill>
                    <w14:schemeClr w14:val="tx1"/>
                  </w14:solidFill>
                </w14:textFill>
              </w:rPr>
              <w:t>产生的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有组织非甲烷总烃</w:t>
            </w:r>
            <w:r>
              <w:rPr>
                <w:rFonts w:hint="default" w:ascii="Times New Roman" w:hAnsi="Times New Roman" w:eastAsia="宋体" w:cs="Times New Roman"/>
                <w:color w:val="000000" w:themeColor="text1"/>
                <w:sz w:val="24"/>
                <w:szCs w:val="24"/>
                <w:lang w:eastAsia="zh-CN"/>
                <w14:textFill>
                  <w14:solidFill>
                    <w14:schemeClr w14:val="tx1"/>
                  </w14:solidFill>
                </w14:textFill>
              </w:rPr>
              <w:t>执行《固定源挥发性有机物综合排放标准第</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eastAsia="zh-CN"/>
                <w14:textFill>
                  <w14:solidFill>
                    <w14:schemeClr w14:val="tx1"/>
                  </w14:solidFill>
                </w14:textFill>
              </w:rPr>
              <w:t>部分:涂料、油墨及胶粘剂工业》（DB34/4812.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eastAsia="zh-CN"/>
                <w14:textFill>
                  <w14:solidFill>
                    <w14:schemeClr w14:val="tx1"/>
                  </w14:solidFill>
                </w14:textFill>
              </w:rPr>
              <w:t>-2024）排放限值要求；厂界无组织执行《大气污染物综合排放标准》（GB16297-1996）中要求具体标准</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厂区内监控点处1h平均浓度值、任意一次浓度值执行《固定源挥发性有机物综合排放标准第</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eastAsia="zh-CN"/>
                <w14:textFill>
                  <w14:solidFill>
                    <w14:schemeClr w14:val="tx1"/>
                  </w14:solidFill>
                </w14:textFill>
              </w:rPr>
              <w:t>部分:涂料、油墨及胶粘剂工业》（DB34/4812.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eastAsia="zh-CN"/>
                <w14:textFill>
                  <w14:solidFill>
                    <w14:schemeClr w14:val="tx1"/>
                  </w14:solidFill>
                </w14:textFill>
              </w:rPr>
              <w:t>-2024）表4厂区内VOCs无组织排放限值相应规定，具体限值</w:t>
            </w:r>
            <w:r>
              <w:rPr>
                <w:rFonts w:hint="default" w:ascii="Times New Roman" w:hAnsi="Times New Roman" w:eastAsia="宋体" w:cs="Times New Roman"/>
                <w:bCs/>
                <w:color w:val="000000" w:themeColor="text1"/>
                <w:sz w:val="24"/>
                <w:szCs w:val="24"/>
                <w:lang w:eastAsia="zh-CN"/>
                <w14:textFill>
                  <w14:solidFill>
                    <w14:schemeClr w14:val="tx1"/>
                  </w14:solidFill>
                </w14:textFill>
              </w:rPr>
              <w:t>见下表</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284BF48D">
            <w:pPr>
              <w:pStyle w:val="79"/>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bCs/>
                <w:color w:val="000000" w:themeColor="text1"/>
                <w:spacing w:val="2"/>
                <w14:textFill>
                  <w14:solidFill>
                    <w14:schemeClr w14:val="tx1"/>
                  </w14:solidFill>
                </w14:textFill>
              </w:rPr>
              <w:t>表3</w:t>
            </w:r>
            <w:r>
              <w:rPr>
                <w:rFonts w:hint="default" w:ascii="Times New Roman" w:hAnsi="Times New Roman" w:eastAsia="宋体" w:cs="Times New Roman"/>
                <w:bCs/>
                <w:color w:val="000000" w:themeColor="text1"/>
                <w:spacing w:val="2"/>
                <w:lang w:val="en-US" w:eastAsia="zh-CN"/>
                <w14:textFill>
                  <w14:solidFill>
                    <w14:schemeClr w14:val="tx1"/>
                  </w14:solidFill>
                </w14:textFill>
              </w:rPr>
              <w:t>-</w:t>
            </w:r>
            <w:r>
              <w:rPr>
                <w:rFonts w:hint="eastAsia" w:eastAsia="宋体" w:cs="Times New Roman"/>
                <w:bCs/>
                <w:color w:val="000000" w:themeColor="text1"/>
                <w:spacing w:val="2"/>
                <w:lang w:val="en-US" w:eastAsia="zh-CN"/>
                <w14:textFill>
                  <w14:solidFill>
                    <w14:schemeClr w14:val="tx1"/>
                  </w14:solidFill>
                </w14:textFill>
              </w:rPr>
              <w:t>6</w:t>
            </w:r>
            <w:r>
              <w:rPr>
                <w:rFonts w:hint="default" w:ascii="Times New Roman" w:hAnsi="Times New Roman" w:eastAsia="宋体" w:cs="Times New Roman"/>
                <w:bCs/>
                <w:color w:val="000000" w:themeColor="text1"/>
                <w:spacing w:val="2"/>
                <w14:textFill>
                  <w14:solidFill>
                    <w14:schemeClr w14:val="tx1"/>
                  </w14:solidFill>
                </w14:textFill>
              </w:rPr>
              <w:t xml:space="preserve"> </w:t>
            </w:r>
            <w:r>
              <w:rPr>
                <w:rFonts w:hint="default" w:ascii="Times New Roman" w:hAnsi="Times New Roman" w:eastAsia="宋体" w:cs="Times New Roman"/>
                <w:color w:val="000000" w:themeColor="text1"/>
                <w:kern w:val="0"/>
                <w14:textFill>
                  <w14:solidFill>
                    <w14:schemeClr w14:val="tx1"/>
                  </w14:solidFill>
                </w14:textFill>
              </w:rPr>
              <w:t>《大气污染物综合排放标准》（GB16297-1996）</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1640"/>
              <w:gridCol w:w="1918"/>
              <w:gridCol w:w="1606"/>
              <w:gridCol w:w="1601"/>
            </w:tblGrid>
            <w:tr w14:paraId="70960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7" w:hRule="atLeast"/>
                <w:jc w:val="center"/>
              </w:trPr>
              <w:tc>
                <w:tcPr>
                  <w:tcW w:w="1543" w:type="dxa"/>
                  <w:vMerge w:val="restart"/>
                  <w:tcBorders>
                    <w:top w:val="single" w:color="auto" w:sz="4" w:space="0"/>
                    <w:left w:val="single" w:color="auto" w:sz="4" w:space="0"/>
                    <w:bottom w:val="single" w:color="auto" w:sz="4" w:space="0"/>
                    <w:right w:val="single" w:color="auto" w:sz="4" w:space="0"/>
                  </w:tcBorders>
                  <w:noWrap w:val="0"/>
                  <w:vAlign w:val="center"/>
                </w:tcPr>
                <w:p w14:paraId="70DA4778">
                  <w:pPr>
                    <w:adjustRightInd w:val="0"/>
                    <w:snapToGrid w:val="0"/>
                    <w:spacing w:before="48" w:beforeLines="2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污染物名称</w:t>
                  </w:r>
                </w:p>
              </w:tc>
              <w:tc>
                <w:tcPr>
                  <w:tcW w:w="1640" w:type="dxa"/>
                  <w:vMerge w:val="restart"/>
                  <w:tcBorders>
                    <w:top w:val="single" w:color="auto" w:sz="4" w:space="0"/>
                    <w:left w:val="single" w:color="auto" w:sz="4" w:space="0"/>
                    <w:bottom w:val="single" w:color="auto" w:sz="4" w:space="0"/>
                    <w:right w:val="single" w:color="auto" w:sz="4" w:space="0"/>
                  </w:tcBorders>
                  <w:noWrap w:val="0"/>
                  <w:vAlign w:val="center"/>
                </w:tcPr>
                <w:p w14:paraId="785B0E2C">
                  <w:pPr>
                    <w:adjustRightInd w:val="0"/>
                    <w:snapToGrid w:val="0"/>
                    <w:spacing w:before="48" w:beforeLines="2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最高允许排放浓度（mg/m</w:t>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w:t>
                  </w:r>
                </w:p>
              </w:tc>
              <w:tc>
                <w:tcPr>
                  <w:tcW w:w="1918" w:type="dxa"/>
                  <w:vMerge w:val="restart"/>
                  <w:tcBorders>
                    <w:top w:val="single" w:color="auto" w:sz="4" w:space="0"/>
                    <w:left w:val="single" w:color="auto" w:sz="4" w:space="0"/>
                    <w:right w:val="single" w:color="auto" w:sz="4" w:space="0"/>
                  </w:tcBorders>
                  <w:noWrap w:val="0"/>
                  <w:vAlign w:val="center"/>
                </w:tcPr>
                <w:p w14:paraId="29CB98F2">
                  <w:pPr>
                    <w:adjustRightInd w:val="0"/>
                    <w:snapToGrid w:val="0"/>
                    <w:spacing w:before="48" w:beforeLines="2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最高允许排放速率kg/h</w:t>
                  </w:r>
                </w:p>
              </w:tc>
              <w:tc>
                <w:tcPr>
                  <w:tcW w:w="3207" w:type="dxa"/>
                  <w:gridSpan w:val="2"/>
                  <w:tcBorders>
                    <w:top w:val="single" w:color="auto" w:sz="4" w:space="0"/>
                    <w:left w:val="single" w:color="auto" w:sz="4" w:space="0"/>
                    <w:bottom w:val="single" w:color="auto" w:sz="4" w:space="0"/>
                    <w:right w:val="single" w:color="auto" w:sz="4" w:space="0"/>
                  </w:tcBorders>
                  <w:noWrap w:val="0"/>
                  <w:vAlign w:val="center"/>
                </w:tcPr>
                <w:p w14:paraId="04ADA358">
                  <w:pPr>
                    <w:adjustRightInd w:val="0"/>
                    <w:snapToGrid w:val="0"/>
                    <w:spacing w:before="48" w:beforeLines="2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厂界监控浓度限值</w:t>
                  </w:r>
                </w:p>
              </w:tc>
            </w:tr>
            <w:tr w14:paraId="3A2F2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1543" w:type="dxa"/>
                  <w:vMerge w:val="continue"/>
                  <w:tcBorders>
                    <w:top w:val="single" w:color="auto" w:sz="4" w:space="0"/>
                    <w:left w:val="single" w:color="auto" w:sz="4" w:space="0"/>
                    <w:bottom w:val="single" w:color="auto" w:sz="4" w:space="0"/>
                    <w:right w:val="single" w:color="auto" w:sz="4" w:space="0"/>
                  </w:tcBorders>
                  <w:noWrap w:val="0"/>
                  <w:vAlign w:val="center"/>
                </w:tcPr>
                <w:p w14:paraId="047682B4">
                  <w:pPr>
                    <w:widowControl/>
                    <w:adjustRightInd w:val="0"/>
                    <w:snapToGrid w:val="0"/>
                    <w:spacing w:before="48" w:beforeLines="20"/>
                    <w:jc w:val="left"/>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1640" w:type="dxa"/>
                  <w:vMerge w:val="continue"/>
                  <w:tcBorders>
                    <w:top w:val="single" w:color="auto" w:sz="4" w:space="0"/>
                    <w:left w:val="single" w:color="auto" w:sz="4" w:space="0"/>
                    <w:bottom w:val="single" w:color="auto" w:sz="4" w:space="0"/>
                    <w:right w:val="single" w:color="auto" w:sz="4" w:space="0"/>
                  </w:tcBorders>
                  <w:noWrap w:val="0"/>
                  <w:vAlign w:val="center"/>
                </w:tcPr>
                <w:p w14:paraId="6A04FACC">
                  <w:pPr>
                    <w:widowControl/>
                    <w:adjustRightInd w:val="0"/>
                    <w:snapToGrid w:val="0"/>
                    <w:spacing w:before="48" w:beforeLines="20"/>
                    <w:jc w:val="left"/>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1918" w:type="dxa"/>
                  <w:vMerge w:val="continue"/>
                  <w:tcBorders>
                    <w:left w:val="single" w:color="auto" w:sz="4" w:space="0"/>
                    <w:bottom w:val="single" w:color="auto" w:sz="4" w:space="0"/>
                    <w:right w:val="single" w:color="auto" w:sz="4" w:space="0"/>
                  </w:tcBorders>
                  <w:noWrap w:val="0"/>
                  <w:vAlign w:val="center"/>
                </w:tcPr>
                <w:p w14:paraId="364E9314">
                  <w:pPr>
                    <w:adjustRightInd w:val="0"/>
                    <w:snapToGrid w:val="0"/>
                    <w:spacing w:before="48" w:beforeLines="20"/>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1606" w:type="dxa"/>
                  <w:tcBorders>
                    <w:top w:val="single" w:color="auto" w:sz="4" w:space="0"/>
                    <w:left w:val="single" w:color="auto" w:sz="4" w:space="0"/>
                    <w:bottom w:val="single" w:color="auto" w:sz="4" w:space="0"/>
                    <w:right w:val="single" w:color="auto" w:sz="4" w:space="0"/>
                  </w:tcBorders>
                  <w:noWrap w:val="0"/>
                  <w:vAlign w:val="center"/>
                </w:tcPr>
                <w:p w14:paraId="3B10118A">
                  <w:pPr>
                    <w:adjustRightInd w:val="0"/>
                    <w:snapToGrid w:val="0"/>
                    <w:spacing w:before="48" w:beforeLines="2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监控点</w:t>
                  </w:r>
                </w:p>
              </w:tc>
              <w:tc>
                <w:tcPr>
                  <w:tcW w:w="1601" w:type="dxa"/>
                  <w:tcBorders>
                    <w:top w:val="single" w:color="auto" w:sz="4" w:space="0"/>
                    <w:left w:val="single" w:color="auto" w:sz="4" w:space="0"/>
                    <w:bottom w:val="single" w:color="auto" w:sz="4" w:space="0"/>
                    <w:right w:val="single" w:color="auto" w:sz="4" w:space="0"/>
                  </w:tcBorders>
                  <w:noWrap w:val="0"/>
                  <w:vAlign w:val="center"/>
                </w:tcPr>
                <w:p w14:paraId="10525BB4">
                  <w:pPr>
                    <w:adjustRightInd w:val="0"/>
                    <w:snapToGrid w:val="0"/>
                    <w:spacing w:before="48" w:beforeLines="2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浓度（mg/m</w:t>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w:t>
                  </w:r>
                </w:p>
              </w:tc>
            </w:tr>
            <w:tr w14:paraId="41234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4" w:hRule="atLeast"/>
                <w:jc w:val="center"/>
              </w:trPr>
              <w:tc>
                <w:tcPr>
                  <w:tcW w:w="15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164193">
                  <w:pPr>
                    <w:adjustRightInd w:val="0"/>
                    <w:snapToGrid w:val="0"/>
                    <w:spacing w:before="48" w:beforeLines="20"/>
                    <w:jc w:val="center"/>
                    <w:rPr>
                      <w:rFonts w:hint="default" w:ascii="Times New Roman" w:hAnsi="Times New Roman" w:eastAsia="宋体" w:cs="Times New Roman"/>
                      <w:snapToGrid w:val="0"/>
                      <w:color w:val="000000" w:themeColor="text1"/>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非甲烷总烃</w:t>
                  </w:r>
                </w:p>
              </w:tc>
              <w:tc>
                <w:tcPr>
                  <w:tcW w:w="164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CB0A169">
                  <w:pPr>
                    <w:adjustRightInd w:val="0"/>
                    <w:snapToGrid w:val="0"/>
                    <w:spacing w:before="48" w:beforeLines="20"/>
                    <w:jc w:val="center"/>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91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F56740B">
                  <w:pPr>
                    <w:adjustRightInd w:val="0"/>
                    <w:snapToGrid w:val="0"/>
                    <w:spacing w:before="48" w:beforeLines="20"/>
                    <w:jc w:val="center"/>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606" w:type="dxa"/>
                  <w:tcBorders>
                    <w:top w:val="single" w:color="auto" w:sz="4" w:space="0"/>
                    <w:left w:val="single" w:color="auto" w:sz="4" w:space="0"/>
                    <w:right w:val="single" w:color="auto" w:sz="4" w:space="0"/>
                  </w:tcBorders>
                  <w:noWrap w:val="0"/>
                  <w:vAlign w:val="center"/>
                </w:tcPr>
                <w:p w14:paraId="595EDFCA">
                  <w:pPr>
                    <w:adjustRightInd w:val="0"/>
                    <w:snapToGrid w:val="0"/>
                    <w:spacing w:before="48" w:before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周界外浓度最高点</w:t>
                  </w:r>
                </w:p>
              </w:tc>
              <w:tc>
                <w:tcPr>
                  <w:tcW w:w="1601" w:type="dxa"/>
                  <w:tcBorders>
                    <w:top w:val="single" w:color="auto" w:sz="4" w:space="0"/>
                    <w:left w:val="single" w:color="auto" w:sz="4" w:space="0"/>
                    <w:bottom w:val="single" w:color="auto" w:sz="4" w:space="0"/>
                    <w:right w:val="single" w:color="auto" w:sz="4" w:space="0"/>
                  </w:tcBorders>
                  <w:noWrap w:val="0"/>
                  <w:vAlign w:val="center"/>
                </w:tcPr>
                <w:p w14:paraId="7C1A4091">
                  <w:pPr>
                    <w:adjustRightInd w:val="0"/>
                    <w:snapToGrid w:val="0"/>
                    <w:spacing w:before="48" w:before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w:t>
                  </w:r>
                </w:p>
              </w:tc>
            </w:tr>
          </w:tbl>
          <w:p w14:paraId="3734542C">
            <w:pPr>
              <w:pStyle w:val="79"/>
              <w:spacing w:before="120" w:beforeLines="5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表3</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eastAsia" w:eastAsia="宋体" w:cs="Times New Roman"/>
                <w:color w:val="000000" w:themeColor="text1"/>
                <w:lang w:val="en-US" w:eastAsia="zh-CN"/>
                <w14:textFill>
                  <w14:solidFill>
                    <w14:schemeClr w14:val="tx1"/>
                  </w14:solidFill>
                </w14:textFill>
              </w:rPr>
              <w:t>7</w:t>
            </w:r>
            <w:r>
              <w:rPr>
                <w:rFonts w:hint="default" w:ascii="Times New Roman" w:hAnsi="Times New Roman" w:eastAsia="宋体" w:cs="Times New Roman"/>
                <w:color w:val="000000" w:themeColor="text1"/>
                <w:lang w:eastAsia="zh-CN"/>
                <w14:textFill>
                  <w14:solidFill>
                    <w14:schemeClr w14:val="tx1"/>
                  </w14:solidFill>
                </w14:textFill>
              </w:rPr>
              <w:t>《固定源挥发性有机物综合排放标准第1部分:涂料、油墨及胶粘剂工业》（DB34/4812.1-2024）</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2128"/>
              <w:gridCol w:w="1504"/>
              <w:gridCol w:w="2266"/>
            </w:tblGrid>
            <w:tr w14:paraId="7319D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10" w:type="dxa"/>
                  <w:vMerge w:val="restart"/>
                  <w:tcBorders>
                    <w:bottom w:val="single" w:color="auto" w:sz="4" w:space="0"/>
                  </w:tcBorders>
                  <w:noWrap w:val="0"/>
                  <w:vAlign w:val="center"/>
                </w:tcPr>
                <w:p w14:paraId="66AFFBA9">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污染物</w:t>
                  </w:r>
                </w:p>
              </w:tc>
              <w:tc>
                <w:tcPr>
                  <w:tcW w:w="1245" w:type="dxa"/>
                  <w:vMerge w:val="restart"/>
                  <w:tcBorders>
                    <w:bottom w:val="single" w:color="auto" w:sz="4" w:space="0"/>
                  </w:tcBorders>
                  <w:noWrap w:val="0"/>
                  <w:vAlign w:val="center"/>
                </w:tcPr>
                <w:p w14:paraId="37A9DBB2">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最高允许排放浓度mg/m</w:t>
                  </w:r>
                  <w:r>
                    <w:rPr>
                      <w:rFonts w:hint="default" w:ascii="Times New Roman" w:hAnsi="Times New Roman" w:eastAsia="宋体" w:cs="Times New Roman"/>
                      <w:b/>
                      <w:color w:val="000000" w:themeColor="text1"/>
                      <w:sz w:val="21"/>
                      <w:szCs w:val="21"/>
                      <w:vertAlign w:val="superscript"/>
                      <w14:textFill>
                        <w14:solidFill>
                          <w14:schemeClr w14:val="tx1"/>
                        </w14:solidFill>
                      </w14:textFill>
                    </w:rPr>
                    <w:t>3</w:t>
                  </w:r>
                </w:p>
              </w:tc>
              <w:tc>
                <w:tcPr>
                  <w:tcW w:w="880" w:type="dxa"/>
                  <w:vMerge w:val="restart"/>
                  <w:tcBorders>
                    <w:bottom w:val="single" w:color="auto" w:sz="4" w:space="0"/>
                  </w:tcBorders>
                  <w:noWrap w:val="0"/>
                  <w:vAlign w:val="center"/>
                </w:tcPr>
                <w:p w14:paraId="62559E5A">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排气筒高度（m）</w:t>
                  </w:r>
                </w:p>
              </w:tc>
              <w:tc>
                <w:tcPr>
                  <w:tcW w:w="1325" w:type="dxa"/>
                  <w:vMerge w:val="restart"/>
                  <w:noWrap w:val="0"/>
                  <w:vAlign w:val="center"/>
                </w:tcPr>
                <w:p w14:paraId="75AAD479">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最高允许排放速率，kg/h</w:t>
                  </w:r>
                </w:p>
              </w:tc>
            </w:tr>
            <w:tr w14:paraId="53C3A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410" w:type="dxa"/>
                  <w:vMerge w:val="continue"/>
                  <w:noWrap w:val="0"/>
                  <w:vAlign w:val="center"/>
                </w:tcPr>
                <w:p w14:paraId="5CC410F9">
                  <w:pPr>
                    <w:jc w:val="center"/>
                    <w:rPr>
                      <w:rFonts w:hint="default" w:ascii="Times New Roman" w:hAnsi="Times New Roman" w:eastAsia="宋体" w:cs="Times New Roman"/>
                      <w:b/>
                      <w:color w:val="000000" w:themeColor="text1"/>
                      <w:sz w:val="21"/>
                      <w:szCs w:val="21"/>
                      <w14:textFill>
                        <w14:solidFill>
                          <w14:schemeClr w14:val="tx1"/>
                        </w14:solidFill>
                      </w14:textFill>
                    </w:rPr>
                  </w:pPr>
                </w:p>
              </w:tc>
              <w:tc>
                <w:tcPr>
                  <w:tcW w:w="1245" w:type="dxa"/>
                  <w:vMerge w:val="continue"/>
                  <w:noWrap w:val="0"/>
                  <w:vAlign w:val="center"/>
                </w:tcPr>
                <w:p w14:paraId="6FE0F507">
                  <w:pPr>
                    <w:jc w:val="center"/>
                    <w:rPr>
                      <w:rFonts w:hint="default" w:ascii="Times New Roman" w:hAnsi="Times New Roman" w:eastAsia="宋体" w:cs="Times New Roman"/>
                      <w:b/>
                      <w:color w:val="000000" w:themeColor="text1"/>
                      <w:sz w:val="21"/>
                      <w:szCs w:val="21"/>
                      <w14:textFill>
                        <w14:solidFill>
                          <w14:schemeClr w14:val="tx1"/>
                        </w14:solidFill>
                      </w14:textFill>
                    </w:rPr>
                  </w:pPr>
                </w:p>
              </w:tc>
              <w:tc>
                <w:tcPr>
                  <w:tcW w:w="880" w:type="dxa"/>
                  <w:vMerge w:val="continue"/>
                  <w:noWrap w:val="0"/>
                  <w:vAlign w:val="center"/>
                </w:tcPr>
                <w:p w14:paraId="1C4AD329">
                  <w:pPr>
                    <w:jc w:val="center"/>
                    <w:rPr>
                      <w:rFonts w:hint="default" w:ascii="Times New Roman" w:hAnsi="Times New Roman" w:eastAsia="宋体" w:cs="Times New Roman"/>
                      <w:b/>
                      <w:color w:val="000000" w:themeColor="text1"/>
                      <w:sz w:val="21"/>
                      <w:szCs w:val="21"/>
                      <w14:textFill>
                        <w14:solidFill>
                          <w14:schemeClr w14:val="tx1"/>
                        </w14:solidFill>
                      </w14:textFill>
                    </w:rPr>
                  </w:pPr>
                </w:p>
              </w:tc>
              <w:tc>
                <w:tcPr>
                  <w:tcW w:w="1325" w:type="dxa"/>
                  <w:vMerge w:val="continue"/>
                  <w:noWrap w:val="0"/>
                  <w:vAlign w:val="center"/>
                </w:tcPr>
                <w:p w14:paraId="1FE39D66">
                  <w:pPr>
                    <w:jc w:val="center"/>
                    <w:rPr>
                      <w:rFonts w:hint="default" w:ascii="Times New Roman" w:hAnsi="Times New Roman" w:eastAsia="宋体" w:cs="Times New Roman"/>
                      <w:b/>
                      <w:color w:val="000000" w:themeColor="text1"/>
                      <w:sz w:val="21"/>
                      <w:szCs w:val="21"/>
                      <w14:textFill>
                        <w14:solidFill>
                          <w14:schemeClr w14:val="tx1"/>
                        </w14:solidFill>
                      </w14:textFill>
                    </w:rPr>
                  </w:pPr>
                </w:p>
              </w:tc>
            </w:tr>
            <w:tr w14:paraId="5164A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1410" w:type="dxa"/>
                  <w:noWrap w:val="0"/>
                  <w:vAlign w:val="center"/>
                </w:tcPr>
                <w:p w14:paraId="702A2790">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非甲烷总烃</w:t>
                  </w:r>
                </w:p>
              </w:tc>
              <w:tc>
                <w:tcPr>
                  <w:tcW w:w="1245" w:type="dxa"/>
                  <w:noWrap w:val="0"/>
                  <w:vAlign w:val="center"/>
                </w:tcPr>
                <w:p w14:paraId="357A4254">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60</w:t>
                  </w:r>
                </w:p>
              </w:tc>
              <w:tc>
                <w:tcPr>
                  <w:tcW w:w="880" w:type="dxa"/>
                  <w:noWrap w:val="0"/>
                  <w:vAlign w:val="center"/>
                </w:tcPr>
                <w:p w14:paraId="3BBD0935">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15</w:t>
                  </w:r>
                </w:p>
              </w:tc>
              <w:tc>
                <w:tcPr>
                  <w:tcW w:w="1325" w:type="dxa"/>
                  <w:noWrap w:val="0"/>
                  <w:vAlign w:val="center"/>
                </w:tcPr>
                <w:p w14:paraId="7FD125F7">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2.0</w:t>
                  </w:r>
                </w:p>
              </w:tc>
            </w:tr>
          </w:tbl>
          <w:p w14:paraId="5E21D50B">
            <w:pPr>
              <w:pStyle w:val="79"/>
              <w:spacing w:before="120" w:beforeLines="5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表3</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eastAsia" w:eastAsia="宋体" w:cs="Times New Roman"/>
                <w:color w:val="000000" w:themeColor="text1"/>
                <w:lang w:val="en-US" w:eastAsia="zh-CN"/>
                <w14:textFill>
                  <w14:solidFill>
                    <w14:schemeClr w14:val="tx1"/>
                  </w14:solidFill>
                </w14:textFill>
              </w:rPr>
              <w:t>8</w:t>
            </w:r>
            <w:r>
              <w:rPr>
                <w:rFonts w:hint="default" w:ascii="Times New Roman" w:hAnsi="Times New Roman" w:eastAsia="宋体" w:cs="Times New Roman"/>
                <w:color w:val="000000" w:themeColor="text1"/>
                <w14:textFill>
                  <w14:solidFill>
                    <w14:schemeClr w14:val="tx1"/>
                  </w14:solidFill>
                </w14:textFill>
              </w:rPr>
              <w:t>厂区内VOCs无组织排放限值（</w:t>
            </w:r>
            <w:r>
              <w:rPr>
                <w:rFonts w:hint="default" w:ascii="Times New Roman" w:hAnsi="Times New Roman" w:eastAsia="宋体" w:cs="Times New Roman"/>
                <w:color w:val="000000" w:themeColor="text1"/>
                <w:lang w:bidi="ar"/>
                <w14:textFill>
                  <w14:solidFill>
                    <w14:schemeClr w14:val="tx1"/>
                  </w14:solidFill>
                </w14:textFill>
              </w:rPr>
              <w:t>DB34/4812.6-2024</w:t>
            </w:r>
            <w:r>
              <w:rPr>
                <w:rFonts w:hint="default" w:ascii="Times New Roman" w:hAnsi="Times New Roman" w:eastAsia="宋体" w:cs="Times New Roman"/>
                <w:color w:val="000000" w:themeColor="text1"/>
                <w14:textFill>
                  <w14:solidFill>
                    <w14:schemeClr w14:val="tx1"/>
                  </w14:solidFill>
                </w14:textFill>
              </w:rPr>
              <w:t>）</w:t>
            </w:r>
          </w:p>
          <w:p w14:paraId="1B0AED44">
            <w:pPr>
              <w:kinsoku/>
              <w:adjustRightInd/>
              <w:snapToGrid/>
              <w:spacing w:line="360" w:lineRule="auto"/>
              <w:ind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厂区内监控点处1h平均浓度值、任意一次浓度值执行《固定源挥发性有机物综合排放标准第</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eastAsia="zh-CN"/>
                <w14:textFill>
                  <w14:solidFill>
                    <w14:schemeClr w14:val="tx1"/>
                  </w14:solidFill>
                </w14:textFill>
              </w:rPr>
              <w:t>部分:涂料、油墨及胶粘剂工业》（DB34/4812.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eastAsia="zh-CN"/>
                <w14:textFill>
                  <w14:solidFill>
                    <w14:schemeClr w14:val="tx1"/>
                  </w14:solidFill>
                </w14:textFill>
              </w:rPr>
              <w:t>-2024）表4厂区内VOCs无组织排放限值相应规定。</w:t>
            </w:r>
          </w:p>
          <w:tbl>
            <w:tblPr>
              <w:tblStyle w:val="26"/>
              <w:tblW w:w="83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1868"/>
              <w:gridCol w:w="3019"/>
              <w:gridCol w:w="1746"/>
            </w:tblGrid>
            <w:tr w14:paraId="4491F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705" w:type="dxa"/>
                  <w:noWrap w:val="0"/>
                  <w:vAlign w:val="center"/>
                </w:tcPr>
                <w:p w14:paraId="133E5A36">
                  <w:pPr>
                    <w:pStyle w:val="77"/>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污染物项目</w:t>
                  </w:r>
                </w:p>
              </w:tc>
              <w:tc>
                <w:tcPr>
                  <w:tcW w:w="1868" w:type="dxa"/>
                  <w:noWrap w:val="0"/>
                  <w:vAlign w:val="center"/>
                </w:tcPr>
                <w:p w14:paraId="3C05BA80">
                  <w:pPr>
                    <w:pStyle w:val="77"/>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最高允许排放浓度（mg/m</w:t>
                  </w:r>
                  <w:r>
                    <w:rPr>
                      <w:rFonts w:hint="default" w:ascii="Times New Roman" w:hAnsi="Times New Roman" w:eastAsia="宋体" w:cs="Times New Roman"/>
                      <w:b/>
                      <w:bCs/>
                      <w:color w:val="000000" w:themeColor="text1"/>
                      <w:vertAlign w:val="superscript"/>
                      <w14:textFill>
                        <w14:solidFill>
                          <w14:schemeClr w14:val="tx1"/>
                        </w14:solidFill>
                      </w14:textFill>
                    </w:rPr>
                    <w:t>3</w:t>
                  </w:r>
                  <w:r>
                    <w:rPr>
                      <w:rFonts w:hint="default" w:ascii="Times New Roman" w:hAnsi="Times New Roman" w:eastAsia="宋体" w:cs="Times New Roman"/>
                      <w:b/>
                      <w:bCs/>
                      <w:color w:val="000000" w:themeColor="text1"/>
                      <w14:textFill>
                        <w14:solidFill>
                          <w14:schemeClr w14:val="tx1"/>
                        </w14:solidFill>
                      </w14:textFill>
                    </w:rPr>
                    <w:t>）</w:t>
                  </w:r>
                </w:p>
              </w:tc>
              <w:tc>
                <w:tcPr>
                  <w:tcW w:w="3019" w:type="dxa"/>
                  <w:noWrap w:val="0"/>
                  <w:vAlign w:val="center"/>
                </w:tcPr>
                <w:p w14:paraId="2452D240">
                  <w:pPr>
                    <w:pStyle w:val="77"/>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限制含义</w:t>
                  </w:r>
                </w:p>
              </w:tc>
              <w:tc>
                <w:tcPr>
                  <w:tcW w:w="1746" w:type="dxa"/>
                  <w:noWrap w:val="0"/>
                  <w:vAlign w:val="center"/>
                </w:tcPr>
                <w:p w14:paraId="4FAA2A2D">
                  <w:pPr>
                    <w:pStyle w:val="77"/>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无组织排放监控位置</w:t>
                  </w:r>
                </w:p>
              </w:tc>
            </w:tr>
            <w:tr w14:paraId="7FACC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05" w:type="dxa"/>
                  <w:vMerge w:val="restart"/>
                  <w:noWrap w:val="0"/>
                  <w:vAlign w:val="center"/>
                </w:tcPr>
                <w:p w14:paraId="3D9B2E99">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NMHC</w:t>
                  </w:r>
                </w:p>
              </w:tc>
              <w:tc>
                <w:tcPr>
                  <w:tcW w:w="1868" w:type="dxa"/>
                  <w:noWrap w:val="0"/>
                  <w:vAlign w:val="center"/>
                </w:tcPr>
                <w:p w14:paraId="0C9DF51F">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6</w:t>
                  </w:r>
                </w:p>
              </w:tc>
              <w:tc>
                <w:tcPr>
                  <w:tcW w:w="3019" w:type="dxa"/>
                  <w:noWrap w:val="0"/>
                  <w:vAlign w:val="center"/>
                </w:tcPr>
                <w:p w14:paraId="5C1B3EDE">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监控点处1h平均浓度值</w:t>
                  </w:r>
                </w:p>
              </w:tc>
              <w:tc>
                <w:tcPr>
                  <w:tcW w:w="1746" w:type="dxa"/>
                  <w:vMerge w:val="restart"/>
                  <w:noWrap w:val="0"/>
                  <w:vAlign w:val="center"/>
                </w:tcPr>
                <w:p w14:paraId="4EBE1286">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在厂房外设置监控点</w:t>
                  </w:r>
                </w:p>
              </w:tc>
            </w:tr>
            <w:tr w14:paraId="2DA0B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1705" w:type="dxa"/>
                  <w:vMerge w:val="continue"/>
                  <w:noWrap w:val="0"/>
                  <w:vAlign w:val="center"/>
                </w:tcPr>
                <w:p w14:paraId="6F937478">
                  <w:pPr>
                    <w:pStyle w:val="77"/>
                    <w:rPr>
                      <w:rFonts w:hint="default" w:ascii="Times New Roman" w:hAnsi="Times New Roman" w:eastAsia="宋体" w:cs="Times New Roman"/>
                      <w:color w:val="000000" w:themeColor="text1"/>
                      <w14:textFill>
                        <w14:solidFill>
                          <w14:schemeClr w14:val="tx1"/>
                        </w14:solidFill>
                      </w14:textFill>
                    </w:rPr>
                  </w:pPr>
                </w:p>
              </w:tc>
              <w:tc>
                <w:tcPr>
                  <w:tcW w:w="1868" w:type="dxa"/>
                  <w:noWrap w:val="0"/>
                  <w:vAlign w:val="center"/>
                </w:tcPr>
                <w:p w14:paraId="367729EE">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20</w:t>
                  </w:r>
                </w:p>
              </w:tc>
              <w:tc>
                <w:tcPr>
                  <w:tcW w:w="3019" w:type="dxa"/>
                  <w:noWrap w:val="0"/>
                  <w:vAlign w:val="center"/>
                </w:tcPr>
                <w:p w14:paraId="25FB63FC">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监控点处任意一次浓度值</w:t>
                  </w:r>
                </w:p>
              </w:tc>
              <w:tc>
                <w:tcPr>
                  <w:tcW w:w="1746" w:type="dxa"/>
                  <w:vMerge w:val="continue"/>
                  <w:noWrap w:val="0"/>
                  <w:vAlign w:val="center"/>
                </w:tcPr>
                <w:p w14:paraId="5C7DDFD2">
                  <w:pPr>
                    <w:pStyle w:val="77"/>
                    <w:rPr>
                      <w:rFonts w:hint="default" w:ascii="Times New Roman" w:hAnsi="Times New Roman" w:eastAsia="宋体" w:cs="Times New Roman"/>
                      <w:color w:val="000000" w:themeColor="text1"/>
                      <w14:textFill>
                        <w14:solidFill>
                          <w14:schemeClr w14:val="tx1"/>
                        </w14:solidFill>
                      </w14:textFill>
                    </w:rPr>
                  </w:pPr>
                </w:p>
              </w:tc>
            </w:tr>
          </w:tbl>
          <w:p w14:paraId="14FA1FB4">
            <w:pPr>
              <w:kinsoku/>
              <w:adjustRightInd/>
              <w:snapToGrid/>
              <w:spacing w:line="360" w:lineRule="auto"/>
              <w:ind w:firstLine="482" w:firstLineChars="200"/>
              <w:rPr>
                <w:rFonts w:hint="default" w:ascii="Times New Roman" w:hAnsi="Times New Roman" w:eastAsia="宋体" w:cs="Times New Roman"/>
                <w:b/>
                <w:color w:val="000000" w:themeColor="text1"/>
                <w:sz w:val="24"/>
                <w:lang w:eastAsia="zh-CN"/>
                <w14:textFill>
                  <w14:solidFill>
                    <w14:schemeClr w14:val="tx1"/>
                  </w14:solidFill>
                </w14:textFill>
              </w:rPr>
            </w:pPr>
            <w:r>
              <w:rPr>
                <w:rFonts w:hint="default" w:ascii="Times New Roman" w:hAnsi="Times New Roman" w:eastAsia="宋体" w:cs="Times New Roman"/>
                <w:b/>
                <w:color w:val="000000" w:themeColor="text1"/>
                <w:sz w:val="24"/>
                <w:lang w:eastAsia="zh-CN"/>
                <w14:textFill>
                  <w14:solidFill>
                    <w14:schemeClr w14:val="tx1"/>
                  </w14:solidFill>
                </w14:textFill>
              </w:rPr>
              <w:t>2、废水排放标准</w:t>
            </w:r>
          </w:p>
          <w:p w14:paraId="363E2622">
            <w:pPr>
              <w:kinsoku/>
              <w:adjustRightInd/>
              <w:snapToGrid/>
              <w:spacing w:line="360" w:lineRule="auto"/>
              <w:ind w:firstLine="480" w:firstLineChars="200"/>
              <w:rPr>
                <w:rFonts w:hint="default" w:ascii="Times New Roman" w:hAnsi="Times New Roman" w:eastAsia="宋体" w:cs="Times New Roman"/>
                <w:b/>
                <w:bCs/>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bidi="ar"/>
                <w14:textFill>
                  <w14:solidFill>
                    <w14:schemeClr w14:val="tx1"/>
                  </w14:solidFill>
                </w14:textFill>
              </w:rPr>
              <w:t>生活污水经化粪池处理后达到《污水综合排放标准》（GB8978-1996）中三级标准并满足埇桥区经济开发区污水处理厂接管要求，进入埇桥区经济开发区污水处理厂进一步处理，达标后排放至运淝河。</w:t>
            </w:r>
          </w:p>
          <w:p w14:paraId="1F817C85">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000000" w:themeColor="text1"/>
                <w:sz w:val="24"/>
                <w:lang w:eastAsia="zh-CN"/>
                <w14:textFill>
                  <w14:solidFill>
                    <w14:schemeClr w14:val="tx1"/>
                  </w14:solidFill>
                </w14:textFill>
              </w:rPr>
            </w:pPr>
            <w:r>
              <w:rPr>
                <w:rFonts w:hint="default" w:ascii="Times New Roman" w:hAnsi="Times New Roman" w:eastAsia="宋体" w:cs="Times New Roman"/>
                <w:b/>
                <w:bCs/>
                <w:color w:val="000000" w:themeColor="text1"/>
                <w:sz w:val="24"/>
                <w:lang w:eastAsia="zh-CN"/>
                <w14:textFill>
                  <w14:solidFill>
                    <w14:schemeClr w14:val="tx1"/>
                  </w14:solidFill>
                </w14:textFill>
              </w:rPr>
              <w:t>表3-</w:t>
            </w:r>
            <w:r>
              <w:rPr>
                <w:rFonts w:hint="eastAsia" w:ascii="Times New Roman" w:hAnsi="Times New Roman" w:eastAsia="宋体" w:cs="Times New Roman"/>
                <w:b/>
                <w:bCs/>
                <w:color w:val="000000" w:themeColor="text1"/>
                <w:sz w:val="24"/>
                <w:lang w:val="en-US" w:eastAsia="zh-CN"/>
                <w14:textFill>
                  <w14:solidFill>
                    <w14:schemeClr w14:val="tx1"/>
                  </w14:solidFill>
                </w14:textFill>
              </w:rPr>
              <w:t>9</w:t>
            </w:r>
            <w:r>
              <w:rPr>
                <w:rFonts w:hint="default" w:ascii="Times New Roman" w:hAnsi="Times New Roman" w:eastAsia="宋体" w:cs="Times New Roman"/>
                <w:b/>
                <w:bCs/>
                <w:color w:val="000000" w:themeColor="text1"/>
                <w:sz w:val="24"/>
                <w:lang w:eastAsia="zh-CN"/>
                <w14:textFill>
                  <w14:solidFill>
                    <w14:schemeClr w14:val="tx1"/>
                  </w14:solidFill>
                </w14:textFill>
              </w:rPr>
              <w:t>污水排放标准单位mg/LpH无量纲</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2"/>
              <w:gridCol w:w="755"/>
              <w:gridCol w:w="843"/>
              <w:gridCol w:w="892"/>
              <w:gridCol w:w="730"/>
              <w:gridCol w:w="786"/>
            </w:tblGrid>
            <w:tr w14:paraId="0CB20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4061" w:type="dxa"/>
                  <w:vAlign w:val="center"/>
                </w:tcPr>
                <w:p w14:paraId="4592BB5B">
                  <w:pPr>
                    <w:pStyle w:val="54"/>
                    <w:kinsoku/>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标准类别</w:t>
                  </w:r>
                </w:p>
              </w:tc>
              <w:tc>
                <w:tcPr>
                  <w:tcW w:w="713" w:type="dxa"/>
                  <w:vAlign w:val="center"/>
                </w:tcPr>
                <w:p w14:paraId="292A5F03">
                  <w:pPr>
                    <w:pStyle w:val="54"/>
                    <w:kinsoku/>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pH</w:t>
                  </w:r>
                </w:p>
              </w:tc>
              <w:tc>
                <w:tcPr>
                  <w:tcW w:w="797" w:type="dxa"/>
                  <w:vAlign w:val="center"/>
                </w:tcPr>
                <w:p w14:paraId="598BBE78">
                  <w:pPr>
                    <w:pStyle w:val="54"/>
                    <w:kinsoku/>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COD</w:t>
                  </w:r>
                </w:p>
              </w:tc>
              <w:tc>
                <w:tcPr>
                  <w:tcW w:w="842" w:type="dxa"/>
                  <w:vAlign w:val="center"/>
                </w:tcPr>
                <w:p w14:paraId="6116ED44">
                  <w:pPr>
                    <w:pStyle w:val="54"/>
                    <w:kinsoku/>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BOD</w:t>
                  </w:r>
                  <w:r>
                    <w:rPr>
                      <w:rFonts w:hint="default" w:ascii="Times New Roman" w:hAnsi="Times New Roman" w:eastAsia="宋体" w:cs="Times New Roman"/>
                      <w:b/>
                      <w:bCs/>
                      <w:color w:val="000000" w:themeColor="text1"/>
                      <w:sz w:val="21"/>
                      <w:szCs w:val="21"/>
                      <w:vertAlign w:val="subscript"/>
                      <w14:textFill>
                        <w14:solidFill>
                          <w14:schemeClr w14:val="tx1"/>
                        </w14:solidFill>
                      </w14:textFill>
                    </w:rPr>
                    <w:t>5</w:t>
                  </w:r>
                </w:p>
              </w:tc>
              <w:tc>
                <w:tcPr>
                  <w:tcW w:w="690" w:type="dxa"/>
                  <w:vAlign w:val="center"/>
                </w:tcPr>
                <w:p w14:paraId="47992437">
                  <w:pPr>
                    <w:pStyle w:val="54"/>
                    <w:kinsoku/>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SS</w:t>
                  </w:r>
                </w:p>
              </w:tc>
              <w:tc>
                <w:tcPr>
                  <w:tcW w:w="743" w:type="dxa"/>
                  <w:vAlign w:val="center"/>
                </w:tcPr>
                <w:p w14:paraId="590F3C01">
                  <w:pPr>
                    <w:pStyle w:val="54"/>
                    <w:kinsoku/>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氨氮</w:t>
                  </w:r>
                </w:p>
              </w:tc>
            </w:tr>
            <w:tr w14:paraId="28CA9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4061" w:type="dxa"/>
                  <w:vAlign w:val="center"/>
                </w:tcPr>
                <w:p w14:paraId="4D2F5724">
                  <w:pPr>
                    <w:pStyle w:val="54"/>
                    <w:kinsoku/>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《污水综合排放标准》（GB8978-1996）</w:t>
                  </w:r>
                </w:p>
              </w:tc>
              <w:tc>
                <w:tcPr>
                  <w:tcW w:w="713" w:type="dxa"/>
                  <w:vAlign w:val="center"/>
                </w:tcPr>
                <w:p w14:paraId="2C2ED280">
                  <w:pPr>
                    <w:kinsoku/>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6~9</w:t>
                  </w:r>
                </w:p>
              </w:tc>
              <w:tc>
                <w:tcPr>
                  <w:tcW w:w="797" w:type="dxa"/>
                  <w:vAlign w:val="center"/>
                </w:tcPr>
                <w:p w14:paraId="1B4E4AD9">
                  <w:pPr>
                    <w:kinsoku/>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bidi="ar"/>
                      <w14:textFill>
                        <w14:solidFill>
                          <w14:schemeClr w14:val="tx1"/>
                        </w14:solidFill>
                      </w14:textFill>
                    </w:rPr>
                    <w:t>500</w:t>
                  </w:r>
                </w:p>
              </w:tc>
              <w:tc>
                <w:tcPr>
                  <w:tcW w:w="842" w:type="dxa"/>
                  <w:vAlign w:val="center"/>
                </w:tcPr>
                <w:p w14:paraId="259A3236">
                  <w:pPr>
                    <w:kinsoku/>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bidi="ar"/>
                      <w14:textFill>
                        <w14:solidFill>
                          <w14:schemeClr w14:val="tx1"/>
                        </w14:solidFill>
                      </w14:textFill>
                    </w:rPr>
                    <w:t>300</w:t>
                  </w:r>
                </w:p>
              </w:tc>
              <w:tc>
                <w:tcPr>
                  <w:tcW w:w="690" w:type="dxa"/>
                  <w:vAlign w:val="center"/>
                </w:tcPr>
                <w:p w14:paraId="2785111E">
                  <w:pPr>
                    <w:kinsoku/>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bidi="ar"/>
                      <w14:textFill>
                        <w14:solidFill>
                          <w14:schemeClr w14:val="tx1"/>
                        </w14:solidFill>
                      </w14:textFill>
                    </w:rPr>
                    <w:t>400</w:t>
                  </w:r>
                </w:p>
              </w:tc>
              <w:tc>
                <w:tcPr>
                  <w:tcW w:w="743" w:type="dxa"/>
                  <w:vAlign w:val="center"/>
                </w:tcPr>
                <w:p w14:paraId="36EE7B06">
                  <w:pPr>
                    <w:kinsoku/>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bidi="ar"/>
                      <w14:textFill>
                        <w14:solidFill>
                          <w14:schemeClr w14:val="tx1"/>
                        </w14:solidFill>
                      </w14:textFill>
                    </w:rPr>
                    <w:t>/</w:t>
                  </w:r>
                </w:p>
              </w:tc>
            </w:tr>
            <w:tr w14:paraId="0DFC2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61" w:type="dxa"/>
                  <w:vAlign w:val="center"/>
                </w:tcPr>
                <w:p w14:paraId="6F85F0E7">
                  <w:pPr>
                    <w:pStyle w:val="33"/>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污水处理厂接管标准</w:t>
                  </w:r>
                </w:p>
              </w:tc>
              <w:tc>
                <w:tcPr>
                  <w:tcW w:w="713" w:type="dxa"/>
                  <w:vAlign w:val="center"/>
                </w:tcPr>
                <w:p w14:paraId="0077B373">
                  <w:pPr>
                    <w:pStyle w:val="33"/>
                    <w:ind w:left="0" w:leftChars="0" w:firstLine="0" w:firstLineChars="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6~9</w:t>
                  </w:r>
                </w:p>
              </w:tc>
              <w:tc>
                <w:tcPr>
                  <w:tcW w:w="797" w:type="dxa"/>
                  <w:vAlign w:val="center"/>
                </w:tcPr>
                <w:p w14:paraId="0B2BFB0D">
                  <w:pPr>
                    <w:pStyle w:val="33"/>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500</w:t>
                  </w:r>
                </w:p>
              </w:tc>
              <w:tc>
                <w:tcPr>
                  <w:tcW w:w="842" w:type="dxa"/>
                  <w:vAlign w:val="center"/>
                </w:tcPr>
                <w:p w14:paraId="314AE503">
                  <w:pPr>
                    <w:pStyle w:val="33"/>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150</w:t>
                  </w:r>
                </w:p>
              </w:tc>
              <w:tc>
                <w:tcPr>
                  <w:tcW w:w="690" w:type="dxa"/>
                  <w:vAlign w:val="center"/>
                </w:tcPr>
                <w:p w14:paraId="2140676A">
                  <w:pPr>
                    <w:pStyle w:val="33"/>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250</w:t>
                  </w:r>
                </w:p>
              </w:tc>
              <w:tc>
                <w:tcPr>
                  <w:tcW w:w="743" w:type="dxa"/>
                  <w:vAlign w:val="center"/>
                </w:tcPr>
                <w:p w14:paraId="3ECC1BFF">
                  <w:pPr>
                    <w:pStyle w:val="33"/>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30</w:t>
                  </w:r>
                </w:p>
              </w:tc>
            </w:tr>
            <w:tr w14:paraId="0223D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4061" w:type="dxa"/>
                  <w:vAlign w:val="center"/>
                </w:tcPr>
                <w:p w14:paraId="32E77C5B">
                  <w:pPr>
                    <w:pStyle w:val="54"/>
                    <w:kinsoku/>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本项目执行</w:t>
                  </w:r>
                </w:p>
              </w:tc>
              <w:tc>
                <w:tcPr>
                  <w:tcW w:w="713" w:type="dxa"/>
                  <w:vAlign w:val="center"/>
                </w:tcPr>
                <w:p w14:paraId="759A818D">
                  <w:pPr>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6~9</w:t>
                  </w:r>
                </w:p>
              </w:tc>
              <w:tc>
                <w:tcPr>
                  <w:tcW w:w="797" w:type="dxa"/>
                  <w:vAlign w:val="center"/>
                </w:tcPr>
                <w:p w14:paraId="4368FDE7">
                  <w:pPr>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500</w:t>
                  </w:r>
                </w:p>
              </w:tc>
              <w:tc>
                <w:tcPr>
                  <w:tcW w:w="842" w:type="dxa"/>
                  <w:vAlign w:val="center"/>
                </w:tcPr>
                <w:p w14:paraId="2DE14E2D">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150</w:t>
                  </w:r>
                </w:p>
              </w:tc>
              <w:tc>
                <w:tcPr>
                  <w:tcW w:w="690" w:type="dxa"/>
                  <w:vAlign w:val="center"/>
                </w:tcPr>
                <w:p w14:paraId="3780E439">
                  <w:pPr>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2</w:t>
                  </w:r>
                  <w:r>
                    <w:rPr>
                      <w:rFonts w:hint="default" w:ascii="Times New Roman" w:hAnsi="Times New Roman" w:eastAsia="宋体" w:cs="Times New Roman"/>
                      <w:color w:val="000000" w:themeColor="text1"/>
                      <w:lang w:val="en-US" w:eastAsia="zh-CN" w:bidi="ar"/>
                      <w14:textFill>
                        <w14:solidFill>
                          <w14:schemeClr w14:val="tx1"/>
                        </w14:solidFill>
                      </w14:textFill>
                    </w:rPr>
                    <w:t>5</w:t>
                  </w:r>
                  <w:r>
                    <w:rPr>
                      <w:rFonts w:hint="default" w:ascii="Times New Roman" w:hAnsi="Times New Roman" w:eastAsia="宋体" w:cs="Times New Roman"/>
                      <w:color w:val="000000" w:themeColor="text1"/>
                      <w:lang w:eastAsia="zh-CN" w:bidi="ar"/>
                      <w14:textFill>
                        <w14:solidFill>
                          <w14:schemeClr w14:val="tx1"/>
                        </w14:solidFill>
                      </w14:textFill>
                    </w:rPr>
                    <w:t>0</w:t>
                  </w:r>
                </w:p>
              </w:tc>
              <w:tc>
                <w:tcPr>
                  <w:tcW w:w="743" w:type="dxa"/>
                  <w:vAlign w:val="center"/>
                </w:tcPr>
                <w:p w14:paraId="66C02A4F">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30</w:t>
                  </w:r>
                </w:p>
              </w:tc>
            </w:tr>
          </w:tbl>
          <w:p w14:paraId="00B1B793">
            <w:pPr>
              <w:kinsoku/>
              <w:adjustRightInd/>
              <w:snapToGrid/>
              <w:spacing w:line="360" w:lineRule="auto"/>
              <w:ind w:firstLine="241" w:firstLineChars="100"/>
              <w:rPr>
                <w:rFonts w:hint="default" w:ascii="Times New Roman" w:hAnsi="Times New Roman" w:eastAsia="宋体" w:cs="Times New Roman"/>
                <w:b/>
                <w:color w:val="000000" w:themeColor="text1"/>
                <w:sz w:val="24"/>
                <w:lang w:eastAsia="zh-CN"/>
                <w14:textFill>
                  <w14:solidFill>
                    <w14:schemeClr w14:val="tx1"/>
                  </w14:solidFill>
                </w14:textFill>
              </w:rPr>
            </w:pPr>
            <w:r>
              <w:rPr>
                <w:rFonts w:hint="default" w:ascii="Times New Roman" w:hAnsi="Times New Roman" w:eastAsia="宋体" w:cs="Times New Roman"/>
                <w:b/>
                <w:color w:val="000000" w:themeColor="text1"/>
                <w:sz w:val="24"/>
                <w:lang w:eastAsia="zh-CN"/>
                <w14:textFill>
                  <w14:solidFill>
                    <w14:schemeClr w14:val="tx1"/>
                  </w14:solidFill>
                </w14:textFill>
              </w:rPr>
              <w:t>3、噪声排放标准</w:t>
            </w:r>
          </w:p>
          <w:p w14:paraId="2BD2646F">
            <w:pPr>
              <w:kinsoku/>
              <w:adjustRightInd/>
              <w:snapToGrid/>
              <w:spacing w:line="360" w:lineRule="auto"/>
              <w:ind w:firstLine="480" w:firstLineChars="200"/>
              <w:rPr>
                <w:rFonts w:hint="default" w:ascii="Times New Roman" w:hAnsi="Times New Roman" w:eastAsia="宋体" w:cs="Times New Roman"/>
                <w:color w:val="000000" w:themeColor="text1"/>
                <w:sz w:val="24"/>
                <w:lang w:val="en-US" w:eastAsia="zh-CN" w:bidi="ar"/>
                <w14:textFill>
                  <w14:solidFill>
                    <w14:schemeClr w14:val="tx1"/>
                  </w14:solidFill>
                </w14:textFill>
              </w:rPr>
            </w:pPr>
            <w:r>
              <w:rPr>
                <w:rFonts w:hint="default" w:ascii="Times New Roman" w:hAnsi="Times New Roman" w:eastAsia="宋体" w:cs="Times New Roman"/>
                <w:color w:val="000000" w:themeColor="text1"/>
                <w:sz w:val="24"/>
                <w:lang w:eastAsia="zh-CN" w:bidi="ar"/>
                <w14:textFill>
                  <w14:solidFill>
                    <w14:schemeClr w14:val="tx1"/>
                  </w14:solidFill>
                </w14:textFill>
              </w:rPr>
              <w:t>项目施工期噪声执行《建筑施工厂界环境噪声排放标准》（GB12523-2011）中标准要求；项目运营期噪声排放执行《工业企业厂界环境噪声排放标准》（GB12348-2008）</w:t>
            </w:r>
            <w:r>
              <w:rPr>
                <w:rFonts w:hint="default" w:ascii="Times New Roman" w:hAnsi="Times New Roman" w:eastAsia="宋体" w:cs="Times New Roman"/>
                <w:color w:val="000000" w:themeColor="text1"/>
                <w:sz w:val="24"/>
                <w:lang w:val="en-US" w:eastAsia="zh-CN" w:bidi="ar"/>
                <w14:textFill>
                  <w14:solidFill>
                    <w14:schemeClr w14:val="tx1"/>
                  </w14:solidFill>
                </w14:textFill>
              </w:rPr>
              <w:t>2</w:t>
            </w:r>
            <w:r>
              <w:rPr>
                <w:rFonts w:hint="default" w:ascii="Times New Roman" w:hAnsi="Times New Roman" w:eastAsia="宋体" w:cs="Times New Roman"/>
                <w:color w:val="000000" w:themeColor="text1"/>
                <w:sz w:val="24"/>
                <w:lang w:eastAsia="zh-CN" w:bidi="ar"/>
                <w14:textFill>
                  <w14:solidFill>
                    <w14:schemeClr w14:val="tx1"/>
                  </w14:solidFill>
                </w14:textFill>
              </w:rPr>
              <w:t>类标准</w:t>
            </w:r>
            <w:r>
              <w:rPr>
                <w:rFonts w:hint="default" w:ascii="Times New Roman" w:hAnsi="Times New Roman" w:eastAsia="宋体" w:cs="Times New Roman"/>
                <w:color w:val="000000" w:themeColor="text1"/>
                <w:sz w:val="24"/>
                <w:lang w:val="en-US" w:eastAsia="zh-CN" w:bidi="ar"/>
                <w14:textFill>
                  <w14:solidFill>
                    <w14:schemeClr w14:val="tx1"/>
                  </w14:solidFill>
                </w14:textFill>
              </w:rPr>
              <w:t>。</w:t>
            </w:r>
          </w:p>
          <w:p w14:paraId="2495FAA6">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000000" w:themeColor="text1"/>
                <w:sz w:val="24"/>
                <w:lang w:eastAsia="zh-CN"/>
                <w14:textFill>
                  <w14:solidFill>
                    <w14:schemeClr w14:val="tx1"/>
                  </w14:solidFill>
                </w14:textFill>
              </w:rPr>
            </w:pPr>
            <w:r>
              <w:rPr>
                <w:rFonts w:hint="default" w:ascii="Times New Roman" w:hAnsi="Times New Roman" w:eastAsia="宋体" w:cs="Times New Roman"/>
                <w:b/>
                <w:bCs/>
                <w:color w:val="000000" w:themeColor="text1"/>
                <w:sz w:val="24"/>
                <w:lang w:eastAsia="zh-CN"/>
                <w14:textFill>
                  <w14:solidFill>
                    <w14:schemeClr w14:val="tx1"/>
                  </w14:solidFill>
                </w14:textFill>
              </w:rPr>
              <w:t>表3-</w:t>
            </w:r>
            <w:r>
              <w:rPr>
                <w:rFonts w:hint="eastAsia" w:ascii="Times New Roman" w:hAnsi="Times New Roman" w:eastAsia="宋体" w:cs="Times New Roman"/>
                <w:b/>
                <w:bCs/>
                <w:color w:val="000000" w:themeColor="text1"/>
                <w:sz w:val="24"/>
                <w:lang w:val="en-US" w:eastAsia="zh-CN"/>
                <w14:textFill>
                  <w14:solidFill>
                    <w14:schemeClr w14:val="tx1"/>
                  </w14:solidFill>
                </w14:textFill>
              </w:rPr>
              <w:t>10</w:t>
            </w:r>
            <w:r>
              <w:rPr>
                <w:rFonts w:hint="default" w:ascii="Times New Roman" w:hAnsi="Times New Roman" w:eastAsia="宋体" w:cs="Times New Roman"/>
                <w:b/>
                <w:bCs/>
                <w:color w:val="000000" w:themeColor="text1"/>
                <w:sz w:val="24"/>
                <w:lang w:eastAsia="zh-CN"/>
                <w14:textFill>
                  <w14:solidFill>
                    <w14:schemeClr w14:val="tx1"/>
                  </w14:solidFill>
                </w14:textFill>
              </w:rPr>
              <w:t>工业企业厂界环境噪声排放标准单位：dB(A)</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1557"/>
              <w:gridCol w:w="1932"/>
              <w:gridCol w:w="3802"/>
            </w:tblGrid>
            <w:tr w14:paraId="6CD59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17" w:type="dxa"/>
                  <w:tcBorders>
                    <w:top w:val="single" w:color="auto" w:sz="4" w:space="0"/>
                    <w:left w:val="single" w:color="auto" w:sz="4" w:space="0"/>
                    <w:bottom w:val="single" w:color="auto" w:sz="4" w:space="0"/>
                    <w:right w:val="single" w:color="auto" w:sz="4" w:space="0"/>
                  </w:tcBorders>
                  <w:vAlign w:val="center"/>
                </w:tcPr>
                <w:p w14:paraId="1E3970ED">
                  <w:pPr>
                    <w:pStyle w:val="55"/>
                    <w:widowControl w:val="0"/>
                    <w:tabs>
                      <w:tab w:val="left" w:pos="416"/>
                    </w:tabs>
                    <w:kinsoku/>
                    <w:adjustRightInd/>
                    <w:spacing w:before="0" w:line="240" w:lineRule="auto"/>
                    <w:ind w:firstLineChars="0"/>
                    <w:textAlignment w:val="auto"/>
                    <w:rPr>
                      <w:rFonts w:hint="default" w:ascii="Times New Roman" w:hAnsi="Times New Roman" w:eastAsia="宋体" w:cs="Times New Roman"/>
                      <w:b/>
                      <w:bCs/>
                      <w:color w:val="000000" w:themeColor="text1"/>
                      <w:sz w:val="21"/>
                      <w:lang w:eastAsia="zh-CN"/>
                      <w14:textFill>
                        <w14:solidFill>
                          <w14:schemeClr w14:val="tx1"/>
                        </w14:solidFill>
                      </w14:textFill>
                    </w:rPr>
                  </w:pPr>
                  <w:r>
                    <w:rPr>
                      <w:rFonts w:hint="default" w:ascii="Times New Roman" w:hAnsi="Times New Roman" w:eastAsia="宋体" w:cs="Times New Roman"/>
                      <w:b/>
                      <w:bCs/>
                      <w:color w:val="000000" w:themeColor="text1"/>
                      <w:sz w:val="21"/>
                      <w:lang w:eastAsia="zh-CN"/>
                      <w14:textFill>
                        <w14:solidFill>
                          <w14:schemeClr w14:val="tx1"/>
                        </w14:solidFill>
                      </w14:textFill>
                    </w:rPr>
                    <w:t>类别</w:t>
                  </w:r>
                </w:p>
              </w:tc>
              <w:tc>
                <w:tcPr>
                  <w:tcW w:w="1557" w:type="dxa"/>
                  <w:tcBorders>
                    <w:top w:val="single" w:color="auto" w:sz="4" w:space="0"/>
                    <w:left w:val="single" w:color="auto" w:sz="4" w:space="0"/>
                    <w:bottom w:val="single" w:color="auto" w:sz="4" w:space="0"/>
                    <w:right w:val="single" w:color="auto" w:sz="4" w:space="0"/>
                  </w:tcBorders>
                  <w:vAlign w:val="center"/>
                </w:tcPr>
                <w:p w14:paraId="7F399969">
                  <w:pPr>
                    <w:pStyle w:val="55"/>
                    <w:widowControl w:val="0"/>
                    <w:tabs>
                      <w:tab w:val="left" w:pos="416"/>
                    </w:tabs>
                    <w:kinsoku/>
                    <w:adjustRightInd/>
                    <w:spacing w:before="0" w:line="240" w:lineRule="auto"/>
                    <w:ind w:firstLineChars="0"/>
                    <w:textAlignment w:val="auto"/>
                    <w:rPr>
                      <w:rFonts w:hint="default" w:ascii="Times New Roman" w:hAnsi="Times New Roman" w:eastAsia="宋体" w:cs="Times New Roman"/>
                      <w:b/>
                      <w:bCs/>
                      <w:color w:val="000000" w:themeColor="text1"/>
                      <w:sz w:val="21"/>
                      <w:lang w:eastAsia="zh-CN"/>
                      <w14:textFill>
                        <w14:solidFill>
                          <w14:schemeClr w14:val="tx1"/>
                        </w14:solidFill>
                      </w14:textFill>
                    </w:rPr>
                  </w:pPr>
                  <w:r>
                    <w:rPr>
                      <w:rFonts w:hint="default" w:ascii="Times New Roman" w:hAnsi="Times New Roman" w:eastAsia="宋体" w:cs="Times New Roman"/>
                      <w:b/>
                      <w:bCs/>
                      <w:color w:val="000000" w:themeColor="text1"/>
                      <w:sz w:val="21"/>
                      <w:lang w:eastAsia="zh-CN"/>
                      <w14:textFill>
                        <w14:solidFill>
                          <w14:schemeClr w14:val="tx1"/>
                        </w14:solidFill>
                      </w14:textFill>
                    </w:rPr>
                    <w:t>昼间</w:t>
                  </w:r>
                </w:p>
              </w:tc>
              <w:tc>
                <w:tcPr>
                  <w:tcW w:w="1932" w:type="dxa"/>
                  <w:tcBorders>
                    <w:top w:val="single" w:color="auto" w:sz="4" w:space="0"/>
                    <w:left w:val="single" w:color="auto" w:sz="4" w:space="0"/>
                    <w:bottom w:val="single" w:color="auto" w:sz="4" w:space="0"/>
                    <w:right w:val="single" w:color="auto" w:sz="4" w:space="0"/>
                  </w:tcBorders>
                  <w:vAlign w:val="center"/>
                </w:tcPr>
                <w:p w14:paraId="6133BB46">
                  <w:pPr>
                    <w:pStyle w:val="55"/>
                    <w:widowControl w:val="0"/>
                    <w:tabs>
                      <w:tab w:val="left" w:pos="416"/>
                    </w:tabs>
                    <w:kinsoku/>
                    <w:adjustRightInd/>
                    <w:spacing w:before="0" w:line="240" w:lineRule="auto"/>
                    <w:ind w:firstLineChars="0"/>
                    <w:textAlignment w:val="auto"/>
                    <w:rPr>
                      <w:rFonts w:hint="default" w:ascii="Times New Roman" w:hAnsi="Times New Roman" w:eastAsia="宋体" w:cs="Times New Roman"/>
                      <w:b/>
                      <w:bCs/>
                      <w:color w:val="000000" w:themeColor="text1"/>
                      <w:sz w:val="21"/>
                      <w:lang w:eastAsia="zh-CN"/>
                      <w14:textFill>
                        <w14:solidFill>
                          <w14:schemeClr w14:val="tx1"/>
                        </w14:solidFill>
                      </w14:textFill>
                    </w:rPr>
                  </w:pPr>
                  <w:r>
                    <w:rPr>
                      <w:rFonts w:hint="default" w:ascii="Times New Roman" w:hAnsi="Times New Roman" w:eastAsia="宋体" w:cs="Times New Roman"/>
                      <w:b/>
                      <w:bCs/>
                      <w:color w:val="000000" w:themeColor="text1"/>
                      <w:sz w:val="21"/>
                      <w:lang w:eastAsia="zh-CN"/>
                      <w14:textFill>
                        <w14:solidFill>
                          <w14:schemeClr w14:val="tx1"/>
                        </w14:solidFill>
                      </w14:textFill>
                    </w:rPr>
                    <w:t>夜间</w:t>
                  </w:r>
                </w:p>
              </w:tc>
              <w:tc>
                <w:tcPr>
                  <w:tcW w:w="3802" w:type="dxa"/>
                  <w:tcBorders>
                    <w:top w:val="single" w:color="auto" w:sz="4" w:space="0"/>
                    <w:left w:val="single" w:color="auto" w:sz="4" w:space="0"/>
                    <w:bottom w:val="single" w:color="auto" w:sz="4" w:space="0"/>
                    <w:right w:val="single" w:color="auto" w:sz="4" w:space="0"/>
                  </w:tcBorders>
                  <w:vAlign w:val="center"/>
                </w:tcPr>
                <w:p w14:paraId="2A23D6B4">
                  <w:pPr>
                    <w:pStyle w:val="55"/>
                    <w:widowControl w:val="0"/>
                    <w:tabs>
                      <w:tab w:val="left" w:pos="416"/>
                    </w:tabs>
                    <w:kinsoku/>
                    <w:adjustRightInd/>
                    <w:spacing w:before="0" w:line="240" w:lineRule="auto"/>
                    <w:ind w:firstLineChars="0"/>
                    <w:textAlignment w:val="auto"/>
                    <w:rPr>
                      <w:rFonts w:hint="default" w:ascii="Times New Roman" w:hAnsi="Times New Roman" w:eastAsia="宋体" w:cs="Times New Roman"/>
                      <w:b/>
                      <w:bCs/>
                      <w:color w:val="000000" w:themeColor="text1"/>
                      <w:sz w:val="21"/>
                      <w:lang w:eastAsia="zh-CN"/>
                      <w14:textFill>
                        <w14:solidFill>
                          <w14:schemeClr w14:val="tx1"/>
                        </w14:solidFill>
                      </w14:textFill>
                    </w:rPr>
                  </w:pPr>
                  <w:r>
                    <w:rPr>
                      <w:rFonts w:hint="default" w:ascii="Times New Roman" w:hAnsi="Times New Roman" w:eastAsia="宋体" w:cs="Times New Roman"/>
                      <w:b/>
                      <w:bCs/>
                      <w:color w:val="000000" w:themeColor="text1"/>
                      <w:sz w:val="21"/>
                      <w:lang w:eastAsia="zh-CN"/>
                      <w14:textFill>
                        <w14:solidFill>
                          <w14:schemeClr w14:val="tx1"/>
                        </w14:solidFill>
                      </w14:textFill>
                    </w:rPr>
                    <w:t>标准来源</w:t>
                  </w:r>
                </w:p>
              </w:tc>
            </w:tr>
            <w:tr w14:paraId="70BA7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17" w:type="dxa"/>
                  <w:tcBorders>
                    <w:top w:val="single" w:color="auto" w:sz="4" w:space="0"/>
                    <w:left w:val="single" w:color="auto" w:sz="4" w:space="0"/>
                    <w:bottom w:val="single" w:color="auto" w:sz="4" w:space="0"/>
                    <w:right w:val="single" w:color="auto" w:sz="4" w:space="0"/>
                  </w:tcBorders>
                  <w:vAlign w:val="center"/>
                </w:tcPr>
                <w:p w14:paraId="28E09E07">
                  <w:pPr>
                    <w:pStyle w:val="55"/>
                    <w:keepNext w:val="0"/>
                    <w:keepLines w:val="0"/>
                    <w:pageBreakBefore w:val="0"/>
                    <w:widowControl w:val="0"/>
                    <w:tabs>
                      <w:tab w:val="left" w:pos="416"/>
                    </w:tabs>
                    <w:kinsoku/>
                    <w:wordWrap/>
                    <w:overflowPunct/>
                    <w:topLinePunct w:val="0"/>
                    <w:autoSpaceDE w:val="0"/>
                    <w:autoSpaceDN w:val="0"/>
                    <w:bidi w:val="0"/>
                    <w:adjustRightInd/>
                    <w:snapToGrid/>
                    <w:spacing w:before="0" w:line="240" w:lineRule="auto"/>
                    <w:ind w:firstLine="0" w:firstLineChars="0"/>
                    <w:textAlignment w:val="auto"/>
                    <w:rPr>
                      <w:rFonts w:hint="default" w:ascii="Times New Roman" w:hAnsi="Times New Roman" w:eastAsia="宋体" w:cs="Times New Roman"/>
                      <w:color w:val="000000" w:themeColor="text1"/>
                      <w:sz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施工期</w:t>
                  </w:r>
                </w:p>
              </w:tc>
              <w:tc>
                <w:tcPr>
                  <w:tcW w:w="1557" w:type="dxa"/>
                  <w:tcBorders>
                    <w:top w:val="single" w:color="auto" w:sz="4" w:space="0"/>
                    <w:left w:val="single" w:color="auto" w:sz="4" w:space="0"/>
                    <w:bottom w:val="single" w:color="auto" w:sz="4" w:space="0"/>
                    <w:right w:val="single" w:color="auto" w:sz="4" w:space="0"/>
                  </w:tcBorders>
                  <w:vAlign w:val="center"/>
                </w:tcPr>
                <w:p w14:paraId="58DF6DDA">
                  <w:pPr>
                    <w:pStyle w:val="55"/>
                    <w:keepNext w:val="0"/>
                    <w:keepLines w:val="0"/>
                    <w:pageBreakBefore w:val="0"/>
                    <w:widowControl w:val="0"/>
                    <w:tabs>
                      <w:tab w:val="left" w:pos="416"/>
                    </w:tabs>
                    <w:kinsoku/>
                    <w:wordWrap/>
                    <w:overflowPunct/>
                    <w:topLinePunct w:val="0"/>
                    <w:autoSpaceDE w:val="0"/>
                    <w:autoSpaceDN w:val="0"/>
                    <w:bidi w:val="0"/>
                    <w:adjustRightInd/>
                    <w:snapToGrid/>
                    <w:spacing w:before="0" w:line="240" w:lineRule="auto"/>
                    <w:ind w:firstLine="0" w:firstLineChars="0"/>
                    <w:textAlignment w:val="auto"/>
                    <w:rPr>
                      <w:rFonts w:hint="default" w:ascii="Times New Roman" w:hAnsi="Times New Roman" w:eastAsia="宋体" w:cs="Times New Roman"/>
                      <w:color w:val="000000" w:themeColor="text1"/>
                      <w:sz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70</w:t>
                  </w:r>
                </w:p>
              </w:tc>
              <w:tc>
                <w:tcPr>
                  <w:tcW w:w="1932" w:type="dxa"/>
                  <w:tcBorders>
                    <w:top w:val="single" w:color="auto" w:sz="4" w:space="0"/>
                    <w:left w:val="single" w:color="auto" w:sz="4" w:space="0"/>
                    <w:bottom w:val="single" w:color="auto" w:sz="4" w:space="0"/>
                    <w:right w:val="single" w:color="auto" w:sz="4" w:space="0"/>
                  </w:tcBorders>
                  <w:vAlign w:val="center"/>
                </w:tcPr>
                <w:p w14:paraId="6C4373BA">
                  <w:pPr>
                    <w:pStyle w:val="55"/>
                    <w:keepNext w:val="0"/>
                    <w:keepLines w:val="0"/>
                    <w:pageBreakBefore w:val="0"/>
                    <w:widowControl w:val="0"/>
                    <w:tabs>
                      <w:tab w:val="left" w:pos="416"/>
                    </w:tabs>
                    <w:kinsoku/>
                    <w:wordWrap/>
                    <w:overflowPunct/>
                    <w:topLinePunct w:val="0"/>
                    <w:autoSpaceDE w:val="0"/>
                    <w:autoSpaceDN w:val="0"/>
                    <w:bidi w:val="0"/>
                    <w:adjustRightInd/>
                    <w:snapToGrid/>
                    <w:spacing w:before="0" w:line="240" w:lineRule="auto"/>
                    <w:ind w:firstLine="0" w:firstLineChars="0"/>
                    <w:textAlignment w:val="auto"/>
                    <w:rPr>
                      <w:rFonts w:hint="default" w:ascii="Times New Roman" w:hAnsi="Times New Roman" w:eastAsia="宋体" w:cs="Times New Roman"/>
                      <w:color w:val="000000" w:themeColor="text1"/>
                      <w:sz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55</w:t>
                  </w:r>
                </w:p>
              </w:tc>
              <w:tc>
                <w:tcPr>
                  <w:tcW w:w="3802" w:type="dxa"/>
                  <w:tcBorders>
                    <w:top w:val="single" w:color="auto" w:sz="4" w:space="0"/>
                    <w:left w:val="single" w:color="auto" w:sz="4" w:space="0"/>
                    <w:bottom w:val="single" w:color="auto" w:sz="4" w:space="0"/>
                    <w:right w:val="single" w:color="auto" w:sz="4" w:space="0"/>
                  </w:tcBorders>
                  <w:vAlign w:val="center"/>
                </w:tcPr>
                <w:p w14:paraId="51D67A12">
                  <w:pPr>
                    <w:pStyle w:val="55"/>
                    <w:keepNext w:val="0"/>
                    <w:keepLines w:val="0"/>
                    <w:pageBreakBefore w:val="0"/>
                    <w:widowControl w:val="0"/>
                    <w:tabs>
                      <w:tab w:val="left" w:pos="416"/>
                    </w:tabs>
                    <w:kinsoku/>
                    <w:wordWrap/>
                    <w:overflowPunct/>
                    <w:topLinePunct w:val="0"/>
                    <w:autoSpaceDE w:val="0"/>
                    <w:autoSpaceDN w:val="0"/>
                    <w:bidi w:val="0"/>
                    <w:adjustRightInd/>
                    <w:snapToGrid/>
                    <w:spacing w:before="0" w:line="240" w:lineRule="auto"/>
                    <w:ind w:firstLine="0" w:firstLineChars="0"/>
                    <w:textAlignment w:val="auto"/>
                    <w:rPr>
                      <w:rFonts w:hint="default" w:ascii="Times New Roman" w:hAnsi="Times New Roman" w:eastAsia="宋体" w:cs="Times New Roman"/>
                      <w:color w:val="000000" w:themeColor="text1"/>
                      <w:sz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《建筑施工厂界环境噪声排放标准》（GB12523-2011）中标准要求</w:t>
                  </w:r>
                </w:p>
              </w:tc>
            </w:tr>
          </w:tbl>
          <w:p w14:paraId="6625D4C1">
            <w:pPr>
              <w:keepNext w:val="0"/>
              <w:keepLines w:val="0"/>
              <w:pageBreakBefore w:val="0"/>
              <w:widowControl/>
              <w:kinsoku/>
              <w:wordWrap/>
              <w:overflowPunct/>
              <w:topLinePunct w:val="0"/>
              <w:autoSpaceDE w:val="0"/>
              <w:autoSpaceDN w:val="0"/>
              <w:bidi w:val="0"/>
              <w:adjustRightInd/>
              <w:snapToGrid/>
              <w:spacing w:before="157" w:beforeLines="50"/>
              <w:jc w:val="center"/>
              <w:textAlignment w:val="baseline"/>
              <w:rPr>
                <w:rFonts w:hint="default" w:ascii="Times New Roman" w:hAnsi="Times New Roman" w:eastAsia="宋体" w:cs="Times New Roman"/>
                <w:b/>
                <w:bCs/>
                <w:color w:val="000000" w:themeColor="text1"/>
                <w:sz w:val="24"/>
                <w:lang w:eastAsia="zh-CN"/>
                <w14:textFill>
                  <w14:solidFill>
                    <w14:schemeClr w14:val="tx1"/>
                  </w14:solidFill>
                </w14:textFill>
              </w:rPr>
            </w:pPr>
            <w:r>
              <w:rPr>
                <w:rFonts w:hint="default" w:ascii="Times New Roman" w:hAnsi="Times New Roman" w:eastAsia="宋体" w:cs="Times New Roman"/>
                <w:b/>
                <w:bCs/>
                <w:color w:val="000000" w:themeColor="text1"/>
                <w:sz w:val="24"/>
                <w:lang w:eastAsia="zh-CN"/>
                <w14:textFill>
                  <w14:solidFill>
                    <w14:schemeClr w14:val="tx1"/>
                  </w14:solidFill>
                </w14:textFill>
              </w:rPr>
              <w:t>表3-</w:t>
            </w:r>
            <w:r>
              <w:rPr>
                <w:rFonts w:hint="eastAsia" w:ascii="Times New Roman" w:hAnsi="Times New Roman" w:eastAsia="宋体" w:cs="Times New Roman"/>
                <w:b/>
                <w:bCs/>
                <w:color w:val="000000" w:themeColor="text1"/>
                <w:sz w:val="24"/>
                <w:lang w:val="en-US" w:eastAsia="zh-CN"/>
                <w14:textFill>
                  <w14:solidFill>
                    <w14:schemeClr w14:val="tx1"/>
                  </w14:solidFill>
                </w14:textFill>
              </w:rPr>
              <w:t>11</w:t>
            </w:r>
            <w:r>
              <w:rPr>
                <w:rFonts w:hint="default" w:ascii="Times New Roman" w:hAnsi="Times New Roman" w:eastAsia="宋体" w:cs="Times New Roman"/>
                <w:b/>
                <w:bCs/>
                <w:color w:val="000000" w:themeColor="text1"/>
                <w:sz w:val="24"/>
                <w:lang w:eastAsia="zh-CN"/>
                <w14:textFill>
                  <w14:solidFill>
                    <w14:schemeClr w14:val="tx1"/>
                  </w14:solidFill>
                </w14:textFill>
              </w:rPr>
              <w:t>工业企业厂界环境噪声排放标准单位：dB(A)</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6"/>
              <w:gridCol w:w="2639"/>
              <w:gridCol w:w="2903"/>
            </w:tblGrid>
            <w:tr w14:paraId="05601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860" w:type="dxa"/>
                  <w:tcBorders>
                    <w:top w:val="single" w:color="auto" w:sz="4" w:space="0"/>
                    <w:left w:val="single" w:color="auto" w:sz="4" w:space="0"/>
                    <w:bottom w:val="single" w:color="auto" w:sz="4" w:space="0"/>
                    <w:right w:val="single" w:color="auto" w:sz="4" w:space="0"/>
                  </w:tcBorders>
                  <w:vAlign w:val="center"/>
                </w:tcPr>
                <w:p w14:paraId="545FEBBE">
                  <w:pPr>
                    <w:pStyle w:val="55"/>
                    <w:widowControl w:val="0"/>
                    <w:tabs>
                      <w:tab w:val="left" w:pos="416"/>
                    </w:tabs>
                    <w:kinsoku/>
                    <w:adjustRightInd/>
                    <w:spacing w:before="0" w:line="240" w:lineRule="auto"/>
                    <w:ind w:firstLineChars="0"/>
                    <w:textAlignment w:val="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类别</w:t>
                  </w:r>
                </w:p>
              </w:tc>
              <w:tc>
                <w:tcPr>
                  <w:tcW w:w="2728" w:type="dxa"/>
                  <w:tcBorders>
                    <w:top w:val="single" w:color="auto" w:sz="4" w:space="0"/>
                    <w:left w:val="single" w:color="auto" w:sz="4" w:space="0"/>
                    <w:bottom w:val="single" w:color="auto" w:sz="4" w:space="0"/>
                    <w:right w:val="single" w:color="auto" w:sz="4" w:space="0"/>
                  </w:tcBorders>
                  <w:vAlign w:val="center"/>
                </w:tcPr>
                <w:p w14:paraId="7EE3CCFC">
                  <w:pPr>
                    <w:pStyle w:val="55"/>
                    <w:widowControl w:val="0"/>
                    <w:tabs>
                      <w:tab w:val="left" w:pos="416"/>
                    </w:tabs>
                    <w:kinsoku/>
                    <w:adjustRightInd/>
                    <w:spacing w:before="0" w:line="240" w:lineRule="auto"/>
                    <w:ind w:firstLineChars="0"/>
                    <w:textAlignment w:val="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昼间</w:t>
                  </w:r>
                </w:p>
              </w:tc>
              <w:tc>
                <w:tcPr>
                  <w:tcW w:w="3001" w:type="dxa"/>
                  <w:tcBorders>
                    <w:top w:val="single" w:color="auto" w:sz="4" w:space="0"/>
                    <w:left w:val="single" w:color="auto" w:sz="4" w:space="0"/>
                    <w:bottom w:val="single" w:color="auto" w:sz="4" w:space="0"/>
                    <w:right w:val="single" w:color="auto" w:sz="4" w:space="0"/>
                  </w:tcBorders>
                  <w:vAlign w:val="center"/>
                </w:tcPr>
                <w:p w14:paraId="043BCE25">
                  <w:pPr>
                    <w:pStyle w:val="55"/>
                    <w:widowControl w:val="0"/>
                    <w:tabs>
                      <w:tab w:val="left" w:pos="416"/>
                    </w:tabs>
                    <w:kinsoku/>
                    <w:adjustRightInd/>
                    <w:spacing w:before="0" w:line="240" w:lineRule="auto"/>
                    <w:ind w:firstLineChars="0"/>
                    <w:textAlignment w:val="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夜间</w:t>
                  </w:r>
                </w:p>
              </w:tc>
            </w:tr>
            <w:tr w14:paraId="027D6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860" w:type="dxa"/>
                  <w:tcBorders>
                    <w:top w:val="single" w:color="auto" w:sz="4" w:space="0"/>
                    <w:left w:val="single" w:color="auto" w:sz="4" w:space="0"/>
                    <w:bottom w:val="single" w:color="auto" w:sz="4" w:space="0"/>
                    <w:right w:val="single" w:color="auto" w:sz="4" w:space="0"/>
                  </w:tcBorders>
                  <w:vAlign w:val="center"/>
                </w:tcPr>
                <w:p w14:paraId="685449A8">
                  <w:pPr>
                    <w:keepNext w:val="0"/>
                    <w:keepLines w:val="0"/>
                    <w:pageBreakBefore w:val="0"/>
                    <w:widowControl w:val="0"/>
                    <w:kinsoku/>
                    <w:wordWrap/>
                    <w:overflowPunct/>
                    <w:topLinePunct w:val="0"/>
                    <w:autoSpaceDE w:val="0"/>
                    <w:autoSpaceDN w:val="0"/>
                    <w:bidi w:val="0"/>
                    <w:adjustRightInd/>
                    <w:snapToGrid/>
                    <w:spacing w:before="0" w:line="240" w:lineRule="auto"/>
                    <w:ind w:right="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snapToGrid w:val="0"/>
                      <w:color w:val="000000" w:themeColor="text1"/>
                      <w:kern w:val="28"/>
                      <w:sz w:val="21"/>
                      <w:szCs w:val="21"/>
                      <w:lang w:val="en-US" w:eastAsia="zh-CN" w:bidi="ar-SA"/>
                      <w14:textFill>
                        <w14:solidFill>
                          <w14:schemeClr w14:val="tx1"/>
                        </w14:solidFill>
                      </w14:textFill>
                    </w:rPr>
                    <w:t>2类</w:t>
                  </w:r>
                </w:p>
              </w:tc>
              <w:tc>
                <w:tcPr>
                  <w:tcW w:w="2728" w:type="dxa"/>
                  <w:tcBorders>
                    <w:top w:val="single" w:color="auto" w:sz="4" w:space="0"/>
                    <w:left w:val="single" w:color="auto" w:sz="4" w:space="0"/>
                    <w:bottom w:val="single" w:color="auto" w:sz="4" w:space="0"/>
                    <w:right w:val="single" w:color="auto" w:sz="4" w:space="0"/>
                  </w:tcBorders>
                  <w:vAlign w:val="center"/>
                </w:tcPr>
                <w:p w14:paraId="134B0DE4">
                  <w:pPr>
                    <w:pStyle w:val="55"/>
                    <w:widowControl w:val="0"/>
                    <w:tabs>
                      <w:tab w:val="left" w:pos="416"/>
                    </w:tabs>
                    <w:kinsoku/>
                    <w:adjustRightInd/>
                    <w:spacing w:before="0" w:line="240" w:lineRule="auto"/>
                    <w:ind w:right="113" w:rightChars="0" w:firstLine="0" w:firstLineChars="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6</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c>
                <w:tcPr>
                  <w:tcW w:w="3001" w:type="dxa"/>
                  <w:tcBorders>
                    <w:top w:val="single" w:color="auto" w:sz="4" w:space="0"/>
                    <w:left w:val="single" w:color="auto" w:sz="4" w:space="0"/>
                    <w:bottom w:val="single" w:color="auto" w:sz="4" w:space="0"/>
                    <w:right w:val="single" w:color="auto" w:sz="4" w:space="0"/>
                  </w:tcBorders>
                  <w:vAlign w:val="center"/>
                </w:tcPr>
                <w:p w14:paraId="0E9E5242">
                  <w:pPr>
                    <w:pStyle w:val="55"/>
                    <w:widowControl w:val="0"/>
                    <w:tabs>
                      <w:tab w:val="left" w:pos="416"/>
                    </w:tabs>
                    <w:kinsoku/>
                    <w:adjustRightInd/>
                    <w:spacing w:before="0" w:line="240" w:lineRule="auto"/>
                    <w:ind w:right="113" w:rightChars="0" w:firstLine="0" w:firstLineChars="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bl>
          <w:p w14:paraId="7E2B7DC5">
            <w:pPr>
              <w:kinsoku/>
              <w:adjustRightInd/>
              <w:snapToGrid/>
              <w:spacing w:line="360" w:lineRule="auto"/>
              <w:ind w:firstLine="402" w:firstLineChars="167"/>
              <w:rPr>
                <w:rFonts w:hint="default" w:ascii="Times New Roman" w:hAnsi="Times New Roman" w:eastAsia="宋体" w:cs="Times New Roman"/>
                <w:b/>
                <w:color w:val="000000" w:themeColor="text1"/>
                <w:sz w:val="24"/>
                <w:lang w:eastAsia="zh-CN"/>
                <w14:textFill>
                  <w14:solidFill>
                    <w14:schemeClr w14:val="tx1"/>
                  </w14:solidFill>
                </w14:textFill>
              </w:rPr>
            </w:pPr>
            <w:r>
              <w:rPr>
                <w:rFonts w:hint="default" w:ascii="Times New Roman" w:hAnsi="Times New Roman" w:eastAsia="宋体" w:cs="Times New Roman"/>
                <w:b/>
                <w:color w:val="000000" w:themeColor="text1"/>
                <w:sz w:val="24"/>
                <w:lang w:eastAsia="zh-CN"/>
                <w14:textFill>
                  <w14:solidFill>
                    <w14:schemeClr w14:val="tx1"/>
                  </w14:solidFill>
                </w14:textFill>
              </w:rPr>
              <w:t>4、固体废物</w:t>
            </w:r>
          </w:p>
          <w:p w14:paraId="6C9DC2E4">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一般工业固体废物和危险固废的暂存及污染控制分别按《一般工业固体废物贮存和填埋污染控制标准》（GB18599-2020）、《危险废物贮存污染控制标准》（GB18597-2023）要求执行。</w:t>
            </w:r>
          </w:p>
        </w:tc>
      </w:tr>
      <w:tr w14:paraId="3B32D5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7" w:type="dxa"/>
            <w:vAlign w:val="center"/>
          </w:tcPr>
          <w:p w14:paraId="1201F1A7">
            <w:pPr>
              <w:kinsoku/>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总量</w:t>
            </w:r>
          </w:p>
          <w:p w14:paraId="6FA0474A">
            <w:pPr>
              <w:kinsoku/>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控制</w:t>
            </w:r>
          </w:p>
          <w:p w14:paraId="72DBE7DA">
            <w:pPr>
              <w:kinsoku/>
              <w:jc w:val="center"/>
              <w:rPr>
                <w:rFonts w:hint="default" w:ascii="Times New Roman" w:hAnsi="Times New Roman" w:eastAsia="宋体" w:cs="Times New Roman"/>
                <w:color w:val="0000FF"/>
                <w:sz w:val="24"/>
              </w:rPr>
            </w:pPr>
            <w:r>
              <w:rPr>
                <w:rFonts w:hint="default" w:ascii="Times New Roman" w:hAnsi="Times New Roman" w:eastAsia="宋体" w:cs="Times New Roman"/>
                <w:color w:val="000000" w:themeColor="text1"/>
                <w:sz w:val="24"/>
                <w14:textFill>
                  <w14:solidFill>
                    <w14:schemeClr w14:val="tx1"/>
                  </w14:solidFill>
                </w14:textFill>
              </w:rPr>
              <w:t>指标</w:t>
            </w:r>
          </w:p>
        </w:tc>
        <w:tc>
          <w:tcPr>
            <w:tcW w:w="8534" w:type="dxa"/>
            <w:vAlign w:val="center"/>
          </w:tcPr>
          <w:p w14:paraId="66CD66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根据安徽省主要污染物排放总量控制计划，总量控制因子为二氧化硫、氮氧化物、烟（粉）尘、挥发性有机物、COD和氨氮。本项目涉及的废气总量控制因子为挥发性有机物。核算本项目污染总量控制指标，具体如下：</w:t>
            </w:r>
          </w:p>
          <w:p w14:paraId="7A81E0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（1）废水</w:t>
            </w:r>
          </w:p>
          <w:p w14:paraId="1FC99D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本次扩建项目不新增废水污染物，无需另行申请总量。</w:t>
            </w:r>
          </w:p>
          <w:p w14:paraId="670884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（2）废气</w:t>
            </w:r>
          </w:p>
          <w:p w14:paraId="050B03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根据《建设项目主要污染物排放总量指标核定表（试行）》项目主要污染物排放总量控制目标，本项目许可排放总量为：挥发性有机物：</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0.031</w:t>
            </w:r>
            <w:r>
              <w:rPr>
                <w:rFonts w:hint="default" w:ascii="Times New Roman" w:hAnsi="Times New Roman" w:eastAsia="宋体" w:cs="Times New Roman"/>
                <w:color w:val="000000" w:themeColor="text1"/>
                <w:sz w:val="24"/>
                <w:szCs w:val="24"/>
                <w:lang w:eastAsia="zh-CN"/>
                <w14:textFill>
                  <w14:solidFill>
                    <w14:schemeClr w14:val="tx1"/>
                  </w14:solidFill>
                </w14:textFill>
              </w:rPr>
              <w:t>t/a。该项目所需挥发性有机物从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2025</w:t>
            </w:r>
            <w:r>
              <w:rPr>
                <w:rFonts w:hint="default" w:ascii="Times New Roman" w:hAnsi="Times New Roman" w:eastAsia="宋体" w:cs="Times New Roman"/>
                <w:color w:val="000000" w:themeColor="text1"/>
                <w:sz w:val="24"/>
                <w:szCs w:val="24"/>
                <w:lang w:eastAsia="zh-CN"/>
                <w14:textFill>
                  <w14:solidFill>
                    <w14:schemeClr w14:val="tx1"/>
                  </w14:solidFill>
                </w14:textFill>
              </w:rPr>
              <w:t>年度</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宿州埇桥区</w:t>
            </w:r>
            <w:r>
              <w:rPr>
                <w:rFonts w:hint="default" w:ascii="Times New Roman" w:hAnsi="Times New Roman" w:eastAsia="宋体" w:cs="Times New Roman"/>
                <w:color w:val="000000" w:themeColor="text1"/>
                <w:sz w:val="24"/>
                <w:szCs w:val="24"/>
                <w:lang w:eastAsia="zh-CN"/>
                <w14:textFill>
                  <w14:solidFill>
                    <w14:schemeClr w14:val="tx1"/>
                  </w14:solidFill>
                </w14:textFill>
              </w:rPr>
              <w:t>企业宿州英大智能科技有限公司、宿州市惠通碳纤维有限公司、安徽思诺特新材料科技有限公司、安徽英利智能机械有限公司、安徽新贵族家具有限公司、宿州海内工程机械有限公司（VoCs减排量(吨/年)9.219剩余VOCs量(吨/年)4.526）形成的减排量中调剂解决。</w:t>
            </w:r>
          </w:p>
          <w:p w14:paraId="21FB27C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FF"/>
                <w:lang w:eastAsia="zh-CN"/>
              </w:rPr>
            </w:pPr>
            <w:r>
              <w:rPr>
                <w:rFonts w:hint="default" w:ascii="Times New Roman" w:hAnsi="Times New Roman" w:eastAsia="宋体" w:cs="Times New Roman"/>
                <w:color w:val="000000" w:themeColor="text1"/>
                <w:sz w:val="24"/>
                <w:szCs w:val="24"/>
                <w:lang w:eastAsia="zh-CN"/>
                <w14:textFill>
                  <w14:solidFill>
                    <w14:schemeClr w14:val="tx1"/>
                  </w14:solidFill>
                </w14:textFill>
              </w:rPr>
              <w:t>根据计算项目（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扩建</w:t>
            </w:r>
            <w:r>
              <w:rPr>
                <w:rFonts w:hint="default" w:ascii="Times New Roman" w:hAnsi="Times New Roman" w:eastAsia="宋体" w:cs="Times New Roman"/>
                <w:color w:val="000000" w:themeColor="text1"/>
                <w:sz w:val="24"/>
                <w:szCs w:val="24"/>
                <w:lang w:eastAsia="zh-CN"/>
                <w14:textFill>
                  <w14:solidFill>
                    <w14:schemeClr w14:val="tx1"/>
                  </w14:solidFill>
                </w14:textFill>
              </w:rPr>
              <w:t>）排放总量为：挥发性有机物：</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0.029</w:t>
            </w:r>
            <w:r>
              <w:rPr>
                <w:rFonts w:hint="default" w:ascii="Times New Roman" w:hAnsi="Times New Roman" w:eastAsia="宋体" w:cs="Times New Roman"/>
                <w:color w:val="000000" w:themeColor="text1"/>
                <w:sz w:val="24"/>
                <w:szCs w:val="24"/>
                <w:lang w:eastAsia="zh-CN"/>
                <w14:textFill>
                  <w14:solidFill>
                    <w14:schemeClr w14:val="tx1"/>
                  </w14:solidFill>
                </w14:textFill>
              </w:rPr>
              <w:t>t/a，满足总量需求。</w:t>
            </w:r>
          </w:p>
        </w:tc>
      </w:tr>
    </w:tbl>
    <w:p w14:paraId="36794E59">
      <w:pPr>
        <w:rPr>
          <w:rFonts w:hint="default" w:ascii="Times New Roman" w:hAnsi="Times New Roman" w:eastAsia="宋体" w:cs="Times New Roman"/>
          <w:color w:val="0000FF"/>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263D4543">
      <w:pPr>
        <w:pStyle w:val="24"/>
        <w:kinsoku/>
        <w:spacing w:before="0" w:beforeAutospacing="0" w:after="312" w:afterLines="100" w:afterAutospacing="0"/>
        <w:jc w:val="center"/>
        <w:outlineLvl w:val="0"/>
        <w:rPr>
          <w:rFonts w:hint="default" w:ascii="Times New Roman" w:hAnsi="Times New Roman" w:eastAsia="宋体" w:cs="Times New Roman"/>
          <w:color w:val="auto"/>
          <w:sz w:val="30"/>
          <w:szCs w:val="30"/>
          <w:lang w:eastAsia="zh-CN"/>
        </w:rPr>
      </w:pPr>
      <w:r>
        <w:rPr>
          <w:rFonts w:hint="default" w:ascii="Times New Roman" w:hAnsi="Times New Roman" w:eastAsia="宋体" w:cs="Times New Roman"/>
          <w:color w:val="auto"/>
          <w:sz w:val="30"/>
          <w:szCs w:val="30"/>
          <w:lang w:eastAsia="zh-CN"/>
        </w:rPr>
        <w:t>四、主要环境影响和保护措施</w:t>
      </w:r>
    </w:p>
    <w:tbl>
      <w:tblPr>
        <w:tblStyle w:val="26"/>
        <w:tblW w:w="90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8364"/>
      </w:tblGrid>
      <w:tr w14:paraId="06EB0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87" w:type="dxa"/>
            <w:tcMar>
              <w:left w:w="28" w:type="dxa"/>
              <w:right w:w="28" w:type="dxa"/>
            </w:tcMar>
            <w:vAlign w:val="center"/>
          </w:tcPr>
          <w:p w14:paraId="1796EFDD">
            <w:pPr>
              <w:pStyle w:val="24"/>
              <w:pageBreakBefore w:val="0"/>
              <w:kinsoku/>
              <w:wordWrap/>
              <w:overflowPunct/>
              <w:bidi w:val="0"/>
              <w:spacing w:before="0" w:beforeAutospacing="0" w:after="0" w:afterAutospacing="0"/>
              <w:jc w:val="center"/>
              <w:rPr>
                <w:rFonts w:hint="default" w:ascii="Times New Roman" w:hAnsi="Times New Roman" w:eastAsia="宋体" w:cs="Times New Roman"/>
                <w:color w:val="000000" w:themeColor="text1"/>
                <w:kern w:val="2"/>
                <w:szCs w:val="24"/>
                <w14:textFill>
                  <w14:solidFill>
                    <w14:schemeClr w14:val="tx1"/>
                  </w14:solidFill>
                </w14:textFill>
              </w:rPr>
            </w:pPr>
            <w:r>
              <w:rPr>
                <w:rFonts w:hint="default" w:ascii="Times New Roman" w:hAnsi="Times New Roman" w:eastAsia="宋体" w:cs="Times New Roman"/>
                <w:color w:val="000000" w:themeColor="text1"/>
                <w:kern w:val="2"/>
                <w:szCs w:val="24"/>
                <w14:textFill>
                  <w14:solidFill>
                    <w14:schemeClr w14:val="tx1"/>
                  </w14:solidFill>
                </w14:textFill>
              </w:rPr>
              <w:t>施工</w:t>
            </w:r>
          </w:p>
          <w:p w14:paraId="147CA091">
            <w:pPr>
              <w:pStyle w:val="24"/>
              <w:pageBreakBefore w:val="0"/>
              <w:kinsoku/>
              <w:wordWrap/>
              <w:overflowPunct/>
              <w:bidi w:val="0"/>
              <w:spacing w:before="0" w:beforeAutospacing="0" w:after="0" w:afterAutospacing="0"/>
              <w:jc w:val="center"/>
              <w:rPr>
                <w:rFonts w:hint="default" w:ascii="Times New Roman" w:hAnsi="Times New Roman" w:eastAsia="宋体" w:cs="Times New Roman"/>
                <w:color w:val="000000" w:themeColor="text1"/>
                <w:kern w:val="2"/>
                <w:szCs w:val="24"/>
                <w14:textFill>
                  <w14:solidFill>
                    <w14:schemeClr w14:val="tx1"/>
                  </w14:solidFill>
                </w14:textFill>
              </w:rPr>
            </w:pPr>
            <w:r>
              <w:rPr>
                <w:rFonts w:hint="default" w:ascii="Times New Roman" w:hAnsi="Times New Roman" w:eastAsia="宋体" w:cs="Times New Roman"/>
                <w:color w:val="000000" w:themeColor="text1"/>
                <w:kern w:val="2"/>
                <w:szCs w:val="24"/>
                <w14:textFill>
                  <w14:solidFill>
                    <w14:schemeClr w14:val="tx1"/>
                  </w14:solidFill>
                </w14:textFill>
              </w:rPr>
              <w:t>期环</w:t>
            </w:r>
          </w:p>
          <w:p w14:paraId="0C28A5C2">
            <w:pPr>
              <w:pStyle w:val="24"/>
              <w:pageBreakBefore w:val="0"/>
              <w:kinsoku/>
              <w:wordWrap/>
              <w:overflowPunct/>
              <w:bidi w:val="0"/>
              <w:spacing w:before="0" w:beforeAutospacing="0" w:after="0" w:afterAutospacing="0"/>
              <w:jc w:val="center"/>
              <w:rPr>
                <w:rFonts w:hint="default" w:ascii="Times New Roman" w:hAnsi="Times New Roman" w:eastAsia="宋体" w:cs="Times New Roman"/>
                <w:color w:val="000000" w:themeColor="text1"/>
                <w:kern w:val="2"/>
                <w:szCs w:val="24"/>
                <w14:textFill>
                  <w14:solidFill>
                    <w14:schemeClr w14:val="tx1"/>
                  </w14:solidFill>
                </w14:textFill>
              </w:rPr>
            </w:pPr>
            <w:r>
              <w:rPr>
                <w:rFonts w:hint="default" w:ascii="Times New Roman" w:hAnsi="Times New Roman" w:eastAsia="宋体" w:cs="Times New Roman"/>
                <w:color w:val="000000" w:themeColor="text1"/>
                <w:kern w:val="2"/>
                <w:szCs w:val="24"/>
                <w14:textFill>
                  <w14:solidFill>
                    <w14:schemeClr w14:val="tx1"/>
                  </w14:solidFill>
                </w14:textFill>
              </w:rPr>
              <w:t>境保</w:t>
            </w:r>
          </w:p>
          <w:p w14:paraId="0E6BB71B">
            <w:pPr>
              <w:pStyle w:val="24"/>
              <w:pageBreakBefore w:val="0"/>
              <w:kinsoku/>
              <w:wordWrap/>
              <w:overflowPunct/>
              <w:bidi w:val="0"/>
              <w:spacing w:before="0" w:beforeAutospacing="0" w:after="0" w:afterAutospacing="0"/>
              <w:jc w:val="center"/>
              <w:rPr>
                <w:rFonts w:hint="default" w:ascii="Times New Roman" w:hAnsi="Times New Roman" w:eastAsia="宋体" w:cs="Times New Roman"/>
                <w:color w:val="000000" w:themeColor="text1"/>
                <w:kern w:val="2"/>
                <w:szCs w:val="24"/>
                <w14:textFill>
                  <w14:solidFill>
                    <w14:schemeClr w14:val="tx1"/>
                  </w14:solidFill>
                </w14:textFill>
              </w:rPr>
            </w:pPr>
            <w:r>
              <w:rPr>
                <w:rFonts w:hint="default" w:ascii="Times New Roman" w:hAnsi="Times New Roman" w:eastAsia="宋体" w:cs="Times New Roman"/>
                <w:color w:val="000000" w:themeColor="text1"/>
                <w:kern w:val="2"/>
                <w:szCs w:val="24"/>
                <w14:textFill>
                  <w14:solidFill>
                    <w14:schemeClr w14:val="tx1"/>
                  </w14:solidFill>
                </w14:textFill>
              </w:rPr>
              <w:t>护措</w:t>
            </w:r>
          </w:p>
          <w:p w14:paraId="555C400E">
            <w:pPr>
              <w:pStyle w:val="24"/>
              <w:pageBreakBefore w:val="0"/>
              <w:kinsoku/>
              <w:wordWrap/>
              <w:overflowPunct/>
              <w:bidi w:val="0"/>
              <w:spacing w:before="0" w:beforeAutospacing="0" w:after="0" w:afterAutospacing="0"/>
              <w:jc w:val="center"/>
              <w:rPr>
                <w:rFonts w:hint="default" w:ascii="Times New Roman" w:hAnsi="Times New Roman" w:eastAsia="宋体" w:cs="Times New Roman"/>
                <w:bCs/>
                <w:color w:val="0000FF"/>
                <w:kern w:val="2"/>
                <w:szCs w:val="24"/>
              </w:rPr>
            </w:pPr>
            <w:r>
              <w:rPr>
                <w:rFonts w:hint="default" w:ascii="Times New Roman" w:hAnsi="Times New Roman" w:eastAsia="宋体" w:cs="Times New Roman"/>
                <w:color w:val="000000" w:themeColor="text1"/>
                <w:kern w:val="2"/>
                <w:szCs w:val="24"/>
                <w14:textFill>
                  <w14:solidFill>
                    <w14:schemeClr w14:val="tx1"/>
                  </w14:solidFill>
                </w14:textFill>
              </w:rPr>
              <w:t>施</w:t>
            </w:r>
          </w:p>
        </w:tc>
        <w:tc>
          <w:tcPr>
            <w:tcW w:w="8364" w:type="dxa"/>
            <w:vAlign w:val="center"/>
          </w:tcPr>
          <w:p w14:paraId="4883D5B0">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在原有厂房基础上施工</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本项目施工期主要为生产设备的安装调试，施工期短，对环境的污染和影响较小。本项目利用现有厂房进行建设。因此，施工期内容仅是对已有厂房进行布置及局部改造（如用电线路、排气、排水管线改造等）和生产设备的安装及预埋固定钢件的处理，无大规模土建施工过程。在施工建设期间，各项施工活动、设备运输会产生废气、废水、噪声、固体废物等，会对周围的环境产生一定的影响。本项目施工内容简单，施工期较短。</w:t>
            </w:r>
          </w:p>
          <w:p w14:paraId="6BCE72B4">
            <w:pPr>
              <w:keepNext w:val="0"/>
              <w:keepLines w:val="0"/>
              <w:pageBreakBefore w:val="0"/>
              <w:widowControl/>
              <w:kinsoku/>
              <w:wordWrap/>
              <w:overflowPunct/>
              <w:topLinePunct w:val="0"/>
              <w:autoSpaceDE w:val="0"/>
              <w:autoSpaceDN w:val="0"/>
              <w:bidi w:val="0"/>
              <w:adjustRightInd/>
              <w:snapToGrid/>
              <w:spacing w:line="360" w:lineRule="auto"/>
              <w:ind w:firstLine="482" w:firstLineChars="200"/>
              <w:textAlignment w:val="baseline"/>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一、施工期大气环境影响分析</w:t>
            </w:r>
          </w:p>
          <w:p w14:paraId="63DE0675">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本项目主体工程已建设完成，仅进行机械设备的安装，无涉及厂房改造，不需大型施工机器施工，人员走动和设备安装产生的少量扬尘采取定期洒水措施，减少施工扬尘对周边环境影响。</w:t>
            </w:r>
          </w:p>
          <w:p w14:paraId="5670D814">
            <w:pPr>
              <w:keepNext w:val="0"/>
              <w:keepLines w:val="0"/>
              <w:pageBreakBefore w:val="0"/>
              <w:widowControl/>
              <w:kinsoku/>
              <w:wordWrap/>
              <w:overflowPunct/>
              <w:topLinePunct w:val="0"/>
              <w:autoSpaceDE w:val="0"/>
              <w:autoSpaceDN w:val="0"/>
              <w:bidi w:val="0"/>
              <w:adjustRightInd/>
              <w:snapToGrid/>
              <w:spacing w:line="360" w:lineRule="auto"/>
              <w:ind w:firstLine="482" w:firstLineChars="200"/>
              <w:textAlignment w:val="baseline"/>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二、施工期废水环境影响分析</w:t>
            </w:r>
          </w:p>
          <w:p w14:paraId="27FA00B6">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本项目施工人员产生的生活废水经隔油池+化粪池处理水质简单，通过废水总排放口经污水管网排入</w:t>
            </w:r>
            <w:r>
              <w:rPr>
                <w:rFonts w:hint="default" w:ascii="Times New Roman" w:hAnsi="Times New Roman" w:eastAsia="宋体" w:cs="Times New Roman"/>
                <w:color w:val="auto"/>
                <w:sz w:val="24"/>
                <w:szCs w:val="24"/>
                <w:lang w:eastAsia="zh-CN" w:bidi="ar"/>
              </w:rPr>
              <w:t>埇桥区经济开发区工业污水处理厂</w:t>
            </w:r>
            <w:r>
              <w:rPr>
                <w:rFonts w:hint="default" w:ascii="Times New Roman" w:hAnsi="Times New Roman" w:eastAsia="宋体" w:cs="Times New Roman"/>
                <w:color w:val="auto"/>
                <w:sz w:val="24"/>
                <w:szCs w:val="24"/>
                <w:lang w:bidi="ar"/>
              </w:rPr>
              <w:t>进一步处理，达标排入</w:t>
            </w:r>
            <w:r>
              <w:rPr>
                <w:rFonts w:hint="default" w:ascii="Times New Roman" w:hAnsi="Times New Roman" w:eastAsia="宋体" w:cs="Times New Roman"/>
                <w:color w:val="auto"/>
                <w:sz w:val="24"/>
                <w:szCs w:val="24"/>
                <w:lang w:eastAsia="zh-CN" w:bidi="ar"/>
              </w:rPr>
              <w:t>淝河</w:t>
            </w:r>
            <w:r>
              <w:rPr>
                <w:rFonts w:hint="default" w:ascii="Times New Roman" w:hAnsi="Times New Roman" w:eastAsia="宋体" w:cs="Times New Roman"/>
                <w:color w:val="auto"/>
                <w:sz w:val="24"/>
                <w:szCs w:val="24"/>
                <w:lang w:bidi="ar"/>
              </w:rPr>
              <w:t>。通过采取上述废水治理措施后，项目施工期产生的废水可以得到妥善处理，不会对项目所在区域地表水环境产生影响。</w:t>
            </w:r>
          </w:p>
          <w:p w14:paraId="12A51219">
            <w:pPr>
              <w:keepNext w:val="0"/>
              <w:keepLines w:val="0"/>
              <w:pageBreakBefore w:val="0"/>
              <w:widowControl/>
              <w:kinsoku/>
              <w:wordWrap/>
              <w:overflowPunct/>
              <w:topLinePunct w:val="0"/>
              <w:autoSpaceDE w:val="0"/>
              <w:autoSpaceDN w:val="0"/>
              <w:bidi w:val="0"/>
              <w:adjustRightInd/>
              <w:snapToGrid/>
              <w:spacing w:line="360" w:lineRule="auto"/>
              <w:ind w:firstLine="482" w:firstLineChars="200"/>
              <w:textAlignment w:val="baseline"/>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三、施工期声环境影响分析</w:t>
            </w:r>
          </w:p>
          <w:p w14:paraId="00EA2DB2">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本项目施工方应在施工期采取有效的噪声控制措施：</w:t>
            </w:r>
          </w:p>
          <w:p w14:paraId="1946C04D">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①合理安排施工时间，高噪声设备禁止在夜间（22:00-6:00）进行施工，尤 其是要严格控制施工机械噪声值在大于85dB（A）的作业。</w:t>
            </w:r>
          </w:p>
          <w:p w14:paraId="23F02847">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②加强管理，尽量减少人为噪声（如设备、原材料的装卸、搬运等）。</w:t>
            </w:r>
          </w:p>
          <w:p w14:paraId="3A6D748F">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由于本项目施工工期较短，负面影响只是暂时性的，在采取隔声降噪措施和严格管理下，场界噪声能达到国家《建筑施工场界环境噪声排放标准》（GB12523-2011）的规定，因此在采取以上措施后，施工噪声对周围环境产生的影响较小。</w:t>
            </w:r>
          </w:p>
          <w:p w14:paraId="3144E483">
            <w:pPr>
              <w:keepNext w:val="0"/>
              <w:keepLines w:val="0"/>
              <w:pageBreakBefore w:val="0"/>
              <w:widowControl/>
              <w:kinsoku/>
              <w:wordWrap/>
              <w:overflowPunct/>
              <w:topLinePunct w:val="0"/>
              <w:autoSpaceDE w:val="0"/>
              <w:autoSpaceDN w:val="0"/>
              <w:bidi w:val="0"/>
              <w:adjustRightInd/>
              <w:snapToGrid/>
              <w:spacing w:line="360" w:lineRule="auto"/>
              <w:ind w:firstLine="482" w:firstLineChars="200"/>
              <w:textAlignment w:val="baseline"/>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四、施工期固废环境影响分析</w:t>
            </w:r>
          </w:p>
          <w:p w14:paraId="7C2CB8FF">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bCs/>
                <w:color w:val="0000FF"/>
                <w:spacing w:val="-10"/>
                <w:sz w:val="24"/>
                <w:szCs w:val="24"/>
                <w:lang w:eastAsia="zh-CN"/>
              </w:rPr>
            </w:pPr>
            <w:r>
              <w:rPr>
                <w:rFonts w:hint="default" w:ascii="Times New Roman" w:hAnsi="Times New Roman" w:eastAsia="宋体" w:cs="Times New Roman"/>
                <w:color w:val="auto"/>
                <w:sz w:val="24"/>
                <w:szCs w:val="24"/>
                <w:lang w:bidi="ar"/>
              </w:rPr>
              <w:t>项目施工人员产生的生活垃圾及装修废物应全部及时交由环卫部门进行处置。施工期产生的环境影响相对营运期而言属于短期和暂时影响，环境影响随着施工期的结束而消失。</w:t>
            </w:r>
          </w:p>
        </w:tc>
      </w:tr>
      <w:tr w14:paraId="7AD76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9" w:hRule="atLeast"/>
          <w:jc w:val="center"/>
        </w:trPr>
        <w:tc>
          <w:tcPr>
            <w:tcW w:w="687" w:type="dxa"/>
            <w:tcMar>
              <w:left w:w="28" w:type="dxa"/>
              <w:right w:w="28" w:type="dxa"/>
            </w:tcMar>
            <w:vAlign w:val="center"/>
          </w:tcPr>
          <w:p w14:paraId="02A286A5">
            <w:pPr>
              <w:pageBreakBefore w:val="0"/>
              <w:kinsoku/>
              <w:wordWrap/>
              <w:overflowPunct/>
              <w:bidi w:val="0"/>
              <w:jc w:val="center"/>
              <w:rPr>
                <w:rFonts w:hint="default" w:ascii="Times New Roman" w:hAnsi="Times New Roman" w:eastAsia="宋体" w:cs="Times New Roman"/>
                <w:bCs/>
                <w:color w:val="000000" w:themeColor="text1"/>
                <w:sz w:val="24"/>
                <w:lang w:eastAsia="zh-CN"/>
                <w14:textFill>
                  <w14:solidFill>
                    <w14:schemeClr w14:val="tx1"/>
                  </w14:solidFill>
                </w14:textFill>
              </w:rPr>
            </w:pPr>
            <w:r>
              <w:rPr>
                <w:rFonts w:hint="default" w:ascii="Times New Roman" w:hAnsi="Times New Roman" w:eastAsia="宋体" w:cs="Times New Roman"/>
                <w:bCs/>
                <w:color w:val="000000" w:themeColor="text1"/>
                <w:sz w:val="24"/>
                <w:lang w:eastAsia="zh-CN"/>
                <w14:textFill>
                  <w14:solidFill>
                    <w14:schemeClr w14:val="tx1"/>
                  </w14:solidFill>
                </w14:textFill>
              </w:rPr>
              <w:t>运营</w:t>
            </w:r>
          </w:p>
          <w:p w14:paraId="30140AB6">
            <w:pPr>
              <w:pageBreakBefore w:val="0"/>
              <w:kinsoku/>
              <w:wordWrap/>
              <w:overflowPunct/>
              <w:bidi w:val="0"/>
              <w:jc w:val="center"/>
              <w:rPr>
                <w:rFonts w:hint="default" w:ascii="Times New Roman" w:hAnsi="Times New Roman" w:eastAsia="宋体" w:cs="Times New Roman"/>
                <w:bCs/>
                <w:color w:val="000000" w:themeColor="text1"/>
                <w:sz w:val="24"/>
                <w:lang w:eastAsia="zh-CN"/>
                <w14:textFill>
                  <w14:solidFill>
                    <w14:schemeClr w14:val="tx1"/>
                  </w14:solidFill>
                </w14:textFill>
              </w:rPr>
            </w:pPr>
            <w:r>
              <w:rPr>
                <w:rFonts w:hint="default" w:ascii="Times New Roman" w:hAnsi="Times New Roman" w:eastAsia="宋体" w:cs="Times New Roman"/>
                <w:bCs/>
                <w:color w:val="000000" w:themeColor="text1"/>
                <w:sz w:val="24"/>
                <w:lang w:eastAsia="zh-CN"/>
                <w14:textFill>
                  <w14:solidFill>
                    <w14:schemeClr w14:val="tx1"/>
                  </w14:solidFill>
                </w14:textFill>
              </w:rPr>
              <w:t>期环</w:t>
            </w:r>
          </w:p>
          <w:p w14:paraId="0BEBA663">
            <w:pPr>
              <w:pageBreakBefore w:val="0"/>
              <w:kinsoku/>
              <w:wordWrap/>
              <w:overflowPunct/>
              <w:bidi w:val="0"/>
              <w:jc w:val="center"/>
              <w:rPr>
                <w:rFonts w:hint="default" w:ascii="Times New Roman" w:hAnsi="Times New Roman" w:eastAsia="宋体" w:cs="Times New Roman"/>
                <w:bCs/>
                <w:color w:val="000000" w:themeColor="text1"/>
                <w:sz w:val="24"/>
                <w:lang w:eastAsia="zh-CN"/>
                <w14:textFill>
                  <w14:solidFill>
                    <w14:schemeClr w14:val="tx1"/>
                  </w14:solidFill>
                </w14:textFill>
              </w:rPr>
            </w:pPr>
            <w:r>
              <w:rPr>
                <w:rFonts w:hint="default" w:ascii="Times New Roman" w:hAnsi="Times New Roman" w:eastAsia="宋体" w:cs="Times New Roman"/>
                <w:bCs/>
                <w:color w:val="000000" w:themeColor="text1"/>
                <w:sz w:val="24"/>
                <w:lang w:eastAsia="zh-CN"/>
                <w14:textFill>
                  <w14:solidFill>
                    <w14:schemeClr w14:val="tx1"/>
                  </w14:solidFill>
                </w14:textFill>
              </w:rPr>
              <w:t>境影</w:t>
            </w:r>
          </w:p>
          <w:p w14:paraId="6A5AEC45">
            <w:pPr>
              <w:pageBreakBefore w:val="0"/>
              <w:kinsoku/>
              <w:wordWrap/>
              <w:overflowPunct/>
              <w:bidi w:val="0"/>
              <w:jc w:val="center"/>
              <w:rPr>
                <w:rFonts w:hint="default" w:ascii="Times New Roman" w:hAnsi="Times New Roman" w:eastAsia="宋体" w:cs="Times New Roman"/>
                <w:bCs/>
                <w:color w:val="000000" w:themeColor="text1"/>
                <w:sz w:val="24"/>
                <w:lang w:eastAsia="zh-CN"/>
                <w14:textFill>
                  <w14:solidFill>
                    <w14:schemeClr w14:val="tx1"/>
                  </w14:solidFill>
                </w14:textFill>
              </w:rPr>
            </w:pPr>
            <w:r>
              <w:rPr>
                <w:rFonts w:hint="default" w:ascii="Times New Roman" w:hAnsi="Times New Roman" w:eastAsia="宋体" w:cs="Times New Roman"/>
                <w:bCs/>
                <w:color w:val="000000" w:themeColor="text1"/>
                <w:sz w:val="24"/>
                <w:lang w:eastAsia="zh-CN"/>
                <w14:textFill>
                  <w14:solidFill>
                    <w14:schemeClr w14:val="tx1"/>
                  </w14:solidFill>
                </w14:textFill>
              </w:rPr>
              <w:t>响和</w:t>
            </w:r>
          </w:p>
          <w:p w14:paraId="3D26F7C5">
            <w:pPr>
              <w:pageBreakBefore w:val="0"/>
              <w:kinsoku/>
              <w:wordWrap/>
              <w:overflowPunct/>
              <w:bidi w:val="0"/>
              <w:jc w:val="center"/>
              <w:rPr>
                <w:rFonts w:hint="default" w:ascii="Times New Roman" w:hAnsi="Times New Roman" w:eastAsia="宋体" w:cs="Times New Roman"/>
                <w:bCs/>
                <w:color w:val="000000" w:themeColor="text1"/>
                <w:sz w:val="24"/>
                <w:lang w:eastAsia="zh-CN"/>
                <w14:textFill>
                  <w14:solidFill>
                    <w14:schemeClr w14:val="tx1"/>
                  </w14:solidFill>
                </w14:textFill>
              </w:rPr>
            </w:pPr>
            <w:r>
              <w:rPr>
                <w:rFonts w:hint="default" w:ascii="Times New Roman" w:hAnsi="Times New Roman" w:eastAsia="宋体" w:cs="Times New Roman"/>
                <w:bCs/>
                <w:color w:val="000000" w:themeColor="text1"/>
                <w:sz w:val="24"/>
                <w:lang w:eastAsia="zh-CN"/>
                <w14:textFill>
                  <w14:solidFill>
                    <w14:schemeClr w14:val="tx1"/>
                  </w14:solidFill>
                </w14:textFill>
              </w:rPr>
              <w:t>保护</w:t>
            </w:r>
          </w:p>
          <w:p w14:paraId="1AFC1F34">
            <w:pPr>
              <w:pStyle w:val="24"/>
              <w:pageBreakBefore w:val="0"/>
              <w:kinsoku/>
              <w:wordWrap/>
              <w:overflowPunct/>
              <w:bidi w:val="0"/>
              <w:spacing w:before="0" w:beforeAutospacing="0" w:after="0" w:afterAutospacing="0"/>
              <w:jc w:val="center"/>
              <w:rPr>
                <w:rFonts w:hint="default" w:ascii="Times New Roman" w:hAnsi="Times New Roman" w:eastAsia="宋体" w:cs="Times New Roman"/>
                <w:color w:val="0000FF"/>
                <w:kern w:val="2"/>
                <w:szCs w:val="24"/>
                <w:lang w:eastAsia="zh-CN"/>
              </w:rPr>
            </w:pPr>
            <w:r>
              <w:rPr>
                <w:rFonts w:hint="default" w:ascii="Times New Roman" w:hAnsi="Times New Roman" w:eastAsia="宋体" w:cs="Times New Roman"/>
                <w:bCs/>
                <w:color w:val="000000" w:themeColor="text1"/>
                <w:lang w:eastAsia="zh-CN"/>
                <w14:textFill>
                  <w14:solidFill>
                    <w14:schemeClr w14:val="tx1"/>
                  </w14:solidFill>
                </w14:textFill>
              </w:rPr>
              <w:t>措施</w:t>
            </w:r>
          </w:p>
        </w:tc>
        <w:tc>
          <w:tcPr>
            <w:tcW w:w="8364" w:type="dxa"/>
            <w:vAlign w:val="center"/>
          </w:tcPr>
          <w:p w14:paraId="5545D12D">
            <w:pPr>
              <w:pageBreakBefore w:val="0"/>
              <w:kinsoku/>
              <w:wordWrap/>
              <w:overflowPunct/>
              <w:bidi w:val="0"/>
              <w:adjustRightInd/>
              <w:snapToGrid/>
              <w:spacing w:line="360" w:lineRule="auto"/>
              <w:rPr>
                <w:rFonts w:hint="default" w:ascii="Times New Roman" w:hAnsi="Times New Roman" w:eastAsia="宋体" w:cs="Times New Roman"/>
                <w:b/>
                <w:bCs/>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一、</w:t>
            </w:r>
            <w:r>
              <w:rPr>
                <w:rFonts w:hint="default" w:ascii="Times New Roman" w:hAnsi="Times New Roman" w:eastAsia="宋体" w:cs="Times New Roman"/>
                <w:b/>
                <w:bCs/>
                <w:color w:val="000000" w:themeColor="text1"/>
                <w:sz w:val="24"/>
                <w:lang w:eastAsia="zh-CN"/>
                <w14:textFill>
                  <w14:solidFill>
                    <w14:schemeClr w14:val="tx1"/>
                  </w14:solidFill>
                </w14:textFill>
              </w:rPr>
              <w:t>大气污染</w:t>
            </w:r>
          </w:p>
          <w:p w14:paraId="72768988">
            <w:pPr>
              <w:pageBreakBefore w:val="0"/>
              <w:kinsoku/>
              <w:wordWrap/>
              <w:overflowPunct/>
              <w:bidi w:val="0"/>
              <w:adjustRightInd/>
              <w:snapToGrid/>
              <w:spacing w:line="360" w:lineRule="auto"/>
              <w:rPr>
                <w:rFonts w:hint="default" w:ascii="Times New Roman" w:hAnsi="Times New Roman" w:eastAsia="宋体" w:cs="Times New Roman"/>
                <w:b/>
                <w:bCs/>
                <w:color w:val="000000" w:themeColor="text1"/>
                <w:sz w:val="24"/>
                <w:lang w:eastAsia="zh-CN"/>
                <w14:textFill>
                  <w14:solidFill>
                    <w14:schemeClr w14:val="tx1"/>
                  </w14:solidFill>
                </w14:textFill>
              </w:rPr>
            </w:pPr>
            <w:r>
              <w:rPr>
                <w:rFonts w:hint="default" w:ascii="Times New Roman" w:hAnsi="Times New Roman" w:eastAsia="宋体" w:cs="Times New Roman"/>
                <w:b/>
                <w:bCs/>
                <w:color w:val="000000" w:themeColor="text1"/>
                <w:sz w:val="24"/>
                <w:lang w:eastAsia="zh-CN"/>
                <w14:textFill>
                  <w14:solidFill>
                    <w14:schemeClr w14:val="tx1"/>
                  </w14:solidFill>
                </w14:textFill>
              </w:rPr>
              <w:t>1、污染源强核算</w:t>
            </w:r>
          </w:p>
          <w:p w14:paraId="5B72F875">
            <w:pPr>
              <w:pStyle w:val="14"/>
              <w:keepNext w:val="0"/>
              <w:keepLines w:val="0"/>
              <w:pageBreakBefore w:val="0"/>
              <w:numPr>
                <w:ilvl w:val="0"/>
                <w:numId w:val="0"/>
              </w:numPr>
              <w:kinsoku/>
              <w:wordWrap/>
              <w:overflowPunct/>
              <w:bidi w:val="0"/>
              <w:adjustRightInd/>
              <w:snapToGrid/>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本次扩建项目运营期废气主要为涂胶、烘干、复合工序产生的废气。</w:t>
            </w:r>
          </w:p>
          <w:p w14:paraId="3D138226">
            <w:pPr>
              <w:pStyle w:val="14"/>
              <w:keepNext w:val="0"/>
              <w:keepLines w:val="0"/>
              <w:pageBreakBefore w:val="0"/>
              <w:numPr>
                <w:ilvl w:val="0"/>
                <w:numId w:val="0"/>
              </w:numPr>
              <w:kinsoku/>
              <w:wordWrap/>
              <w:overflowPunct/>
              <w:bidi w:val="0"/>
              <w:adjustRightInd/>
              <w:snapToGrid/>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涂胶、烘干、复合工序产生的废气经集气系统+水喷淋+二级活性炭吸附装置</w:t>
            </w:r>
            <w:r>
              <w:rPr>
                <w:rFonts w:hint="default" w:ascii="Times New Roman" w:hAnsi="Times New Roman" w:eastAsia="宋体" w:cs="Times New Roman"/>
                <w:color w:val="000000" w:themeColor="text1"/>
                <w:sz w:val="24"/>
                <w:lang w:eastAsia="zh-CN"/>
                <w14:textFill>
                  <w14:solidFill>
                    <w14:schemeClr w14:val="tx1"/>
                  </w14:solidFill>
                </w14:textFill>
              </w:rPr>
              <w:t>处理后由一根高为15米的排气筒排放（</w:t>
            </w:r>
            <w:r>
              <w:rPr>
                <w:rFonts w:hint="default" w:ascii="Times New Roman" w:hAnsi="Times New Roman" w:eastAsia="宋体" w:cs="Times New Roman"/>
                <w:color w:val="000000" w:themeColor="text1"/>
                <w:sz w:val="24"/>
                <w:lang w:val="en-US" w:eastAsia="zh-CN"/>
                <w14:textFill>
                  <w14:solidFill>
                    <w14:schemeClr w14:val="tx1"/>
                  </w14:solidFill>
                </w14:textFill>
              </w:rPr>
              <w:t>DA003</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14:paraId="416884ED">
            <w:pPr>
              <w:pStyle w:val="14"/>
              <w:keepNext w:val="0"/>
              <w:keepLines w:val="0"/>
              <w:pageBreakBefore w:val="0"/>
              <w:numPr>
                <w:ilvl w:val="0"/>
                <w:numId w:val="0"/>
              </w:numPr>
              <w:kinsoku/>
              <w:wordWrap/>
              <w:overflowPunct/>
              <w:bidi w:val="0"/>
              <w:adjustRightInd/>
              <w:snapToGrid/>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①涂胶、烘干、复合废气</w:t>
            </w:r>
          </w:p>
          <w:p w14:paraId="73BE2318">
            <w:pPr>
              <w:pStyle w:val="14"/>
              <w:keepNext w:val="0"/>
              <w:keepLines w:val="0"/>
              <w:pageBreakBefore w:val="0"/>
              <w:numPr>
                <w:ilvl w:val="0"/>
                <w:numId w:val="0"/>
              </w:numPr>
              <w:kinsoku/>
              <w:wordWrap/>
              <w:overflowPunct/>
              <w:bidi w:val="0"/>
              <w:adjustRightInd/>
              <w:snapToGrid/>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PET膜涂胶、烘干、复合工序产生的废气经集气罩收集后</w:t>
            </w:r>
            <w:r>
              <w:rPr>
                <w:rFonts w:hint="default" w:ascii="Times New Roman" w:hAnsi="Times New Roman" w:eastAsia="宋体" w:cs="Times New Roman"/>
                <w:color w:val="000000" w:themeColor="text1"/>
                <w:sz w:val="24"/>
                <w:lang w:eastAsia="zh-CN"/>
                <w14:textFill>
                  <w14:solidFill>
                    <w14:schemeClr w14:val="tx1"/>
                  </w14:solidFill>
                </w14:textFill>
              </w:rPr>
              <w:t>进入一套水喷淋+二级活性炭处理后由一根高为15米的排气筒排放（</w:t>
            </w:r>
            <w:r>
              <w:rPr>
                <w:rFonts w:hint="default" w:ascii="Times New Roman" w:hAnsi="Times New Roman" w:eastAsia="宋体" w:cs="Times New Roman"/>
                <w:color w:val="000000" w:themeColor="text1"/>
                <w:sz w:val="24"/>
                <w:lang w:val="en-US" w:eastAsia="zh-CN"/>
                <w14:textFill>
                  <w14:solidFill>
                    <w14:schemeClr w14:val="tx1"/>
                  </w14:solidFill>
                </w14:textFill>
              </w:rPr>
              <w:t>DA003</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。本项目使用水性复合胶，总用量约为50t/a,原料类型为：水性复合胶丙烯酸酯类。根据企业提供水性复合胶VOCs检测报告，挥发性有机物含量7g/L，密度为1.08×10</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kg/m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，则水性复合胶的体积为约46296L。本项目挥发性有机物的产生量以限值的100%计，挥发性有机物的产生量约为0.324t/a。</w:t>
            </w:r>
          </w:p>
          <w:p w14:paraId="4C30C634">
            <w:pPr>
              <w:pStyle w:val="14"/>
              <w:keepNext w:val="0"/>
              <w:keepLines w:val="0"/>
              <w:pageBreakBefore w:val="0"/>
              <w:numPr>
                <w:ilvl w:val="0"/>
                <w:numId w:val="0"/>
              </w:numPr>
              <w:kinsoku/>
              <w:wordWrap/>
              <w:overflowPunct/>
              <w:bidi w:val="0"/>
              <w:adjustRightInd/>
              <w:snapToGrid/>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铝箔玻纤布多功能复合机设置集气罩截面积为1m×0.5m，控制点风速不低于0.5m/s，项目建成后共有8台，则风量为15120m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/h，考虑到风阻，设计风机风量为16000m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/h。干复机设置集气罩截面积为1m×1m，控制点风速不低于0.5m/s，项目建成后共有2台干复机，则风量为5040m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/h，考虑到风阻，设计风机风量为5500m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/h。铝箔牛皮纸网格贴面多功能复合机设置集气罩截面积为1m×1m，控制点风速不低于0.5m/s，项目建成后共有4台，则风量为10080m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/h，考虑到风阻，设计风机风量为10200m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/h。平板牛皮纸多功能复合机设置集气罩截面积为1m×0.5m，控制点风速不低于0.5m/s，项目建成后共有1台，则风量为1890m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/h，考虑到风阻，设计风机风量为2000m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/h。则总设计风机风量33700m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/h，废气均收集至水喷淋+二级活性炭吸附装置进行吸附处理，处理后尾气经一个15m排气筒（DA003）排放。</w:t>
            </w:r>
          </w:p>
          <w:p w14:paraId="0E3DBC62">
            <w:pPr>
              <w:pStyle w:val="14"/>
              <w:keepNext w:val="0"/>
              <w:keepLines w:val="0"/>
              <w:pageBreakBefore w:val="0"/>
              <w:numPr>
                <w:ilvl w:val="0"/>
                <w:numId w:val="0"/>
              </w:numPr>
              <w:kinsoku/>
              <w:wordWrap/>
              <w:overflowPunct/>
              <w:bidi w:val="0"/>
              <w:adjustRightInd/>
              <w:snapToGrid/>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则总设计风量为34000m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/h，工作时间为2400h，本环评取收集效率为90%，有机废气去除效率为90%。则项目非甲烷总烃有组织产生量约0.292t/a，有组织排放量约为0.029t/a。无组织排放量为0.032t/a。</w:t>
            </w:r>
          </w:p>
          <w:p w14:paraId="611B0016">
            <w:pPr>
              <w:pageBreakBefore w:val="0"/>
              <w:kinsoku/>
              <w:wordWrap/>
              <w:overflowPunct/>
              <w:bidi w:val="0"/>
              <w:adjustRightInd/>
              <w:snapToGrid/>
              <w:spacing w:line="360" w:lineRule="auto"/>
              <w:rPr>
                <w:rFonts w:hint="default" w:ascii="Times New Roman" w:hAnsi="Times New Roman" w:eastAsia="宋体" w:cs="Times New Roman"/>
                <w:b/>
                <w:bCs/>
                <w:color w:val="000000" w:themeColor="text1"/>
                <w:sz w:val="24"/>
                <w:lang w:eastAsia="zh-CN"/>
                <w14:textFill>
                  <w14:solidFill>
                    <w14:schemeClr w14:val="tx1"/>
                  </w14:solidFill>
                </w14:textFill>
              </w:rPr>
            </w:pPr>
            <w:r>
              <w:rPr>
                <w:rFonts w:hint="default" w:ascii="Times New Roman" w:hAnsi="Times New Roman" w:eastAsia="宋体" w:cs="Times New Roman"/>
                <w:b/>
                <w:bCs/>
                <w:color w:val="000000" w:themeColor="text1"/>
                <w:sz w:val="24"/>
                <w:lang w:eastAsia="zh-CN"/>
                <w14:textFill>
                  <w14:solidFill>
                    <w14:schemeClr w14:val="tx1"/>
                  </w14:solidFill>
                </w14:textFill>
              </w:rPr>
              <w:t>风量设计：</w:t>
            </w:r>
          </w:p>
          <w:p w14:paraId="062807DE">
            <w:pPr>
              <w:pStyle w:val="14"/>
              <w:keepNext w:val="0"/>
              <w:keepLines w:val="0"/>
              <w:pageBreakBefore w:val="0"/>
              <w:numPr>
                <w:ilvl w:val="0"/>
                <w:numId w:val="0"/>
              </w:numPr>
              <w:kinsoku/>
              <w:wordWrap/>
              <w:overflowPunct/>
              <w:bidi w:val="0"/>
              <w:adjustRightInd/>
              <w:snapToGrid/>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根据《简明通风设计手册》，单个集气罩集气风量计算公式：</w:t>
            </w:r>
          </w:p>
          <w:p w14:paraId="05246652">
            <w:pPr>
              <w:pStyle w:val="14"/>
              <w:keepNext w:val="0"/>
              <w:keepLines w:val="0"/>
              <w:pageBreakBefore w:val="0"/>
              <w:numPr>
                <w:ilvl w:val="0"/>
                <w:numId w:val="0"/>
              </w:numPr>
              <w:kinsoku/>
              <w:wordWrap/>
              <w:overflowPunct/>
              <w:bidi w:val="0"/>
              <w:adjustRightInd/>
              <w:snapToGrid/>
              <w:spacing w:line="360" w:lineRule="auto"/>
              <w:ind w:firstLine="480" w:firstLineChars="20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Q=K（a＋b）×h×V0×3600</w:t>
            </w:r>
          </w:p>
          <w:p w14:paraId="76D58459">
            <w:pPr>
              <w:pStyle w:val="14"/>
              <w:keepNext w:val="0"/>
              <w:keepLines w:val="0"/>
              <w:pageBreakBefore w:val="0"/>
              <w:numPr>
                <w:ilvl w:val="0"/>
                <w:numId w:val="0"/>
              </w:numPr>
              <w:kinsoku/>
              <w:wordWrap/>
              <w:overflowPunct/>
              <w:bidi w:val="0"/>
              <w:adjustRightInd/>
              <w:snapToGrid/>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式中：Q——为集气罩集气风量，单位为m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/h；</w:t>
            </w:r>
          </w:p>
          <w:p w14:paraId="1D7625D6">
            <w:pPr>
              <w:pStyle w:val="14"/>
              <w:keepNext w:val="0"/>
              <w:keepLines w:val="0"/>
              <w:pageBreakBefore w:val="0"/>
              <w:numPr>
                <w:ilvl w:val="0"/>
                <w:numId w:val="0"/>
              </w:numPr>
              <w:kinsoku/>
              <w:wordWrap/>
              <w:overflowPunct/>
              <w:bidi w:val="0"/>
              <w:adjustRightInd/>
              <w:snapToGrid/>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      K——为安全系数1.4；</w:t>
            </w:r>
          </w:p>
          <w:p w14:paraId="69CBA290">
            <w:pPr>
              <w:pStyle w:val="14"/>
              <w:keepNext w:val="0"/>
              <w:keepLines w:val="0"/>
              <w:pageBreakBefore w:val="0"/>
              <w:numPr>
                <w:ilvl w:val="0"/>
                <w:numId w:val="0"/>
              </w:numPr>
              <w:kinsoku/>
              <w:wordWrap/>
              <w:overflowPunct/>
              <w:bidi w:val="0"/>
              <w:adjustRightInd/>
              <w:snapToGrid/>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（a+b）——为集气罩长加宽，单位为m；</w:t>
            </w:r>
          </w:p>
          <w:p w14:paraId="4D645D6F">
            <w:pPr>
              <w:pStyle w:val="14"/>
              <w:keepNext w:val="0"/>
              <w:keepLines w:val="0"/>
              <w:pageBreakBefore w:val="0"/>
              <w:numPr>
                <w:ilvl w:val="0"/>
                <w:numId w:val="0"/>
              </w:numPr>
              <w:kinsoku/>
              <w:wordWrap/>
              <w:overflowPunct/>
              <w:bidi w:val="0"/>
              <w:adjustRightInd/>
              <w:snapToGrid/>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      h——为罩口至污染源的距离，单位为m，本项目取0.5m；</w:t>
            </w:r>
          </w:p>
          <w:p w14:paraId="478E01EE">
            <w:pPr>
              <w:pStyle w:val="14"/>
              <w:keepNext w:val="0"/>
              <w:keepLines w:val="0"/>
              <w:pageBreakBefore w:val="0"/>
              <w:numPr>
                <w:ilvl w:val="0"/>
                <w:numId w:val="0"/>
              </w:numPr>
              <w:kinsoku/>
              <w:wordWrap/>
              <w:overflowPunct/>
              <w:bidi w:val="0"/>
              <w:adjustRightInd/>
              <w:snapToGrid/>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      V</w:t>
            </w:r>
            <w:r>
              <w:rPr>
                <w:rFonts w:hint="default" w:ascii="Times New Roman" w:hAnsi="Times New Roman" w:eastAsia="宋体" w:cs="Times New Roman"/>
                <w:color w:val="000000" w:themeColor="text1"/>
                <w:sz w:val="24"/>
                <w:vertAlign w:val="subscript"/>
                <w:lang w:val="en-US" w:eastAsia="zh-CN"/>
                <w14:textFill>
                  <w14:solidFill>
                    <w14:schemeClr w14:val="tx1"/>
                  </w14:solidFill>
                </w14:textFill>
              </w:rPr>
              <w:t>0</w:t>
            </w:r>
            <w:r>
              <w:rPr>
                <w:rFonts w:hint="default" w:ascii="Times New Roman" w:hAnsi="Times New Roman" w:eastAsia="宋体" w:cs="Times New Roman"/>
                <w:color w:val="000000" w:themeColor="text1"/>
                <w:sz w:val="24"/>
                <w:lang w:val="en-US" w:eastAsia="zh-CN"/>
                <w14:textFill>
                  <w14:solidFill>
                    <w14:schemeClr w14:val="tx1"/>
                  </w14:solidFill>
                </w14:textFill>
              </w:rPr>
              <w:t>：污染源气体流速，一般在0.5m/s~1.5m/s，本次评价取均值0.5m/s（根据《局部排放设置控制风速检测与评估技术规范》（AQ/T4274-2016）中有毒气体外部排风罩控制风速1.0m/s）。</w:t>
            </w:r>
          </w:p>
          <w:p w14:paraId="6F7D731A">
            <w:pPr>
              <w:pStyle w:val="9"/>
              <w:keepNext w:val="0"/>
              <w:keepLines w:val="0"/>
              <w:pageBreakBefore w:val="0"/>
              <w:kinsoku/>
              <w:wordWrap/>
              <w:overflowPunct/>
              <w:bidi w:val="0"/>
              <w:adjustRightInd/>
              <w:snapToGrid/>
              <w:spacing w:before="0" w:after="0" w:line="360" w:lineRule="auto"/>
              <w:ind w:right="0" w:firstLine="480" w:firstLineChars="200"/>
              <w:rPr>
                <w:rFonts w:hint="default" w:ascii="Times New Roman" w:hAnsi="Times New Roman" w:eastAsia="宋体" w:cs="Times New Roman"/>
                <w:color w:val="000000" w:themeColor="text1"/>
                <w:sz w:val="24"/>
                <w:szCs w:val="24"/>
                <w:lang w:eastAsia="zh-CN" w:bidi="ar"/>
                <w14:textFill>
                  <w14:solidFill>
                    <w14:schemeClr w14:val="tx1"/>
                  </w14:solidFill>
                </w14:textFill>
              </w:rPr>
            </w:pPr>
            <w:r>
              <w:rPr>
                <w:rFonts w:hint="default" w:ascii="Times New Roman" w:hAnsi="Times New Roman" w:eastAsia="宋体" w:cs="Times New Roman"/>
                <w:color w:val="000000" w:themeColor="text1"/>
                <w:sz w:val="24"/>
                <w:szCs w:val="24"/>
                <w:lang w:eastAsia="zh-CN" w:bidi="ar"/>
                <w14:textFill>
                  <w14:solidFill>
                    <w14:schemeClr w14:val="tx1"/>
                  </w14:solidFill>
                </w14:textFill>
              </w:rPr>
              <w:t>项目有组织废气产排情况详见下表。</w:t>
            </w:r>
          </w:p>
          <w:p w14:paraId="33DB3A0D">
            <w:pPr>
              <w:pStyle w:val="9"/>
              <w:keepNext w:val="0"/>
              <w:keepLines w:val="0"/>
              <w:pageBreakBefore w:val="0"/>
              <w:kinsoku/>
              <w:wordWrap/>
              <w:overflowPunct/>
              <w:bidi w:val="0"/>
              <w:adjustRightInd/>
              <w:snapToGrid/>
              <w:spacing w:before="0" w:after="0" w:line="360" w:lineRule="auto"/>
              <w:ind w:right="0" w:firstLine="480" w:firstLineChars="200"/>
              <w:rPr>
                <w:rFonts w:hint="default" w:ascii="Times New Roman" w:hAnsi="Times New Roman" w:eastAsia="宋体" w:cs="Times New Roman"/>
                <w:color w:val="0000FF"/>
                <w:sz w:val="24"/>
                <w:szCs w:val="24"/>
                <w:lang w:eastAsia="zh-CN" w:bidi="ar"/>
              </w:rPr>
            </w:pPr>
          </w:p>
          <w:p w14:paraId="548B1A24">
            <w:pPr>
              <w:pStyle w:val="9"/>
              <w:keepNext w:val="0"/>
              <w:keepLines w:val="0"/>
              <w:pageBreakBefore w:val="0"/>
              <w:kinsoku/>
              <w:wordWrap/>
              <w:overflowPunct/>
              <w:bidi w:val="0"/>
              <w:adjustRightInd/>
              <w:snapToGrid/>
              <w:spacing w:before="0" w:after="0" w:line="360" w:lineRule="auto"/>
              <w:ind w:right="0" w:firstLine="480" w:firstLineChars="200"/>
              <w:rPr>
                <w:rFonts w:hint="default" w:ascii="Times New Roman" w:hAnsi="Times New Roman" w:eastAsia="宋体" w:cs="Times New Roman"/>
                <w:color w:val="0000FF"/>
                <w:sz w:val="24"/>
                <w:szCs w:val="24"/>
                <w:lang w:eastAsia="zh-CN" w:bidi="ar"/>
              </w:rPr>
            </w:pPr>
          </w:p>
          <w:p w14:paraId="1F9214FC">
            <w:pPr>
              <w:pStyle w:val="9"/>
              <w:keepNext w:val="0"/>
              <w:keepLines w:val="0"/>
              <w:pageBreakBefore w:val="0"/>
              <w:kinsoku/>
              <w:wordWrap/>
              <w:overflowPunct/>
              <w:bidi w:val="0"/>
              <w:adjustRightInd/>
              <w:snapToGrid/>
              <w:spacing w:before="0" w:after="0" w:line="360" w:lineRule="auto"/>
              <w:ind w:right="0" w:firstLine="480" w:firstLineChars="200"/>
              <w:rPr>
                <w:rFonts w:hint="default" w:ascii="Times New Roman" w:hAnsi="Times New Roman" w:eastAsia="宋体" w:cs="Times New Roman"/>
                <w:color w:val="0000FF"/>
                <w:sz w:val="24"/>
                <w:szCs w:val="24"/>
                <w:lang w:eastAsia="zh-CN" w:bidi="ar"/>
              </w:rPr>
            </w:pPr>
          </w:p>
          <w:p w14:paraId="38EF0134">
            <w:pPr>
              <w:pStyle w:val="9"/>
              <w:keepNext w:val="0"/>
              <w:keepLines w:val="0"/>
              <w:pageBreakBefore w:val="0"/>
              <w:kinsoku/>
              <w:wordWrap/>
              <w:overflowPunct/>
              <w:bidi w:val="0"/>
              <w:adjustRightInd/>
              <w:snapToGrid/>
              <w:spacing w:before="0" w:after="0" w:line="360" w:lineRule="auto"/>
              <w:ind w:right="0" w:firstLine="480" w:firstLineChars="200"/>
              <w:rPr>
                <w:rFonts w:hint="default" w:ascii="Times New Roman" w:hAnsi="Times New Roman" w:eastAsia="宋体" w:cs="Times New Roman"/>
                <w:color w:val="0000FF"/>
                <w:sz w:val="24"/>
                <w:szCs w:val="24"/>
                <w:lang w:eastAsia="zh-CN" w:bidi="ar"/>
              </w:rPr>
            </w:pPr>
          </w:p>
          <w:p w14:paraId="38CE18D0">
            <w:pPr>
              <w:pStyle w:val="9"/>
              <w:keepNext w:val="0"/>
              <w:keepLines w:val="0"/>
              <w:pageBreakBefore w:val="0"/>
              <w:kinsoku/>
              <w:wordWrap/>
              <w:overflowPunct/>
              <w:bidi w:val="0"/>
              <w:adjustRightInd/>
              <w:snapToGrid/>
              <w:spacing w:before="0" w:after="0" w:line="360" w:lineRule="auto"/>
              <w:ind w:right="0" w:firstLine="480" w:firstLineChars="200"/>
              <w:rPr>
                <w:rFonts w:hint="default" w:ascii="Times New Roman" w:hAnsi="Times New Roman" w:eastAsia="宋体" w:cs="Times New Roman"/>
                <w:color w:val="0000FF"/>
                <w:sz w:val="24"/>
                <w:szCs w:val="24"/>
                <w:lang w:eastAsia="zh-CN" w:bidi="ar"/>
              </w:rPr>
            </w:pPr>
          </w:p>
          <w:p w14:paraId="7CD52474">
            <w:pPr>
              <w:pStyle w:val="9"/>
              <w:keepNext w:val="0"/>
              <w:keepLines w:val="0"/>
              <w:pageBreakBefore w:val="0"/>
              <w:kinsoku/>
              <w:wordWrap/>
              <w:overflowPunct/>
              <w:bidi w:val="0"/>
              <w:adjustRightInd/>
              <w:snapToGrid/>
              <w:spacing w:before="0" w:after="0" w:line="360" w:lineRule="auto"/>
              <w:ind w:right="0" w:firstLine="480" w:firstLineChars="200"/>
              <w:rPr>
                <w:rFonts w:hint="default" w:ascii="Times New Roman" w:hAnsi="Times New Roman" w:eastAsia="宋体" w:cs="Times New Roman"/>
                <w:color w:val="0000FF"/>
                <w:sz w:val="24"/>
                <w:szCs w:val="24"/>
                <w:lang w:eastAsia="zh-CN" w:bidi="ar"/>
              </w:rPr>
            </w:pPr>
          </w:p>
          <w:p w14:paraId="1158B11F">
            <w:pPr>
              <w:pStyle w:val="9"/>
              <w:keepNext w:val="0"/>
              <w:keepLines w:val="0"/>
              <w:pageBreakBefore w:val="0"/>
              <w:kinsoku/>
              <w:wordWrap/>
              <w:overflowPunct/>
              <w:bidi w:val="0"/>
              <w:adjustRightInd/>
              <w:snapToGrid/>
              <w:spacing w:before="0" w:after="0" w:line="360" w:lineRule="auto"/>
              <w:ind w:right="0" w:firstLine="480" w:firstLineChars="200"/>
              <w:rPr>
                <w:rFonts w:hint="default" w:ascii="Times New Roman" w:hAnsi="Times New Roman" w:eastAsia="宋体" w:cs="Times New Roman"/>
                <w:color w:val="0000FF"/>
                <w:sz w:val="24"/>
                <w:szCs w:val="24"/>
                <w:lang w:eastAsia="zh-CN" w:bidi="ar"/>
              </w:rPr>
            </w:pPr>
          </w:p>
          <w:p w14:paraId="473E31AE">
            <w:pPr>
              <w:pStyle w:val="9"/>
              <w:keepNext w:val="0"/>
              <w:keepLines w:val="0"/>
              <w:pageBreakBefore w:val="0"/>
              <w:kinsoku/>
              <w:wordWrap/>
              <w:overflowPunct/>
              <w:bidi w:val="0"/>
              <w:adjustRightInd/>
              <w:snapToGrid/>
              <w:spacing w:before="0" w:after="0" w:line="360" w:lineRule="auto"/>
              <w:ind w:right="0" w:firstLine="480" w:firstLineChars="200"/>
              <w:rPr>
                <w:rFonts w:hint="default" w:ascii="Times New Roman" w:hAnsi="Times New Roman" w:eastAsia="宋体" w:cs="Times New Roman"/>
                <w:color w:val="0000FF"/>
                <w:sz w:val="24"/>
                <w:szCs w:val="24"/>
                <w:lang w:eastAsia="zh-CN" w:bidi="ar"/>
              </w:rPr>
            </w:pPr>
          </w:p>
          <w:p w14:paraId="2EE7A9BE">
            <w:pPr>
              <w:pStyle w:val="9"/>
              <w:keepNext w:val="0"/>
              <w:keepLines w:val="0"/>
              <w:pageBreakBefore w:val="0"/>
              <w:kinsoku/>
              <w:wordWrap/>
              <w:overflowPunct/>
              <w:bidi w:val="0"/>
              <w:adjustRightInd/>
              <w:snapToGrid/>
              <w:spacing w:before="0" w:after="0" w:line="360" w:lineRule="auto"/>
              <w:ind w:right="0" w:firstLine="480" w:firstLineChars="200"/>
              <w:rPr>
                <w:rFonts w:hint="default" w:ascii="Times New Roman" w:hAnsi="Times New Roman" w:eastAsia="宋体" w:cs="Times New Roman"/>
                <w:color w:val="0000FF"/>
                <w:sz w:val="24"/>
                <w:szCs w:val="24"/>
                <w:lang w:eastAsia="zh-CN" w:bidi="ar"/>
              </w:rPr>
            </w:pPr>
          </w:p>
          <w:p w14:paraId="1B35D274">
            <w:pPr>
              <w:pStyle w:val="9"/>
              <w:keepNext w:val="0"/>
              <w:keepLines w:val="0"/>
              <w:pageBreakBefore w:val="0"/>
              <w:kinsoku/>
              <w:wordWrap/>
              <w:overflowPunct/>
              <w:bidi w:val="0"/>
              <w:adjustRightInd/>
              <w:snapToGrid/>
              <w:spacing w:before="0" w:after="0" w:line="360" w:lineRule="auto"/>
              <w:ind w:right="0" w:firstLine="440" w:firstLineChars="200"/>
              <w:rPr>
                <w:rFonts w:hint="default" w:ascii="Times New Roman" w:hAnsi="Times New Roman" w:eastAsia="宋体" w:cs="Times New Roman"/>
                <w:bCs/>
                <w:color w:val="0000FF"/>
                <w:spacing w:val="-10"/>
                <w:sz w:val="24"/>
                <w:szCs w:val="24"/>
                <w:lang w:val="en-US" w:eastAsia="zh-CN"/>
              </w:rPr>
            </w:pPr>
          </w:p>
        </w:tc>
      </w:tr>
    </w:tbl>
    <w:p w14:paraId="0744D578">
      <w:pPr>
        <w:rPr>
          <w:rFonts w:hint="default" w:ascii="Times New Roman" w:hAnsi="Times New Roman" w:eastAsia="宋体" w:cs="Times New Roman"/>
          <w:color w:val="0000FF"/>
          <w:lang w:eastAsia="zh-CN"/>
        </w:rPr>
        <w:sectPr>
          <w:footerReference r:id="rId6" w:type="default"/>
          <w:pgSz w:w="11906" w:h="16838"/>
          <w:pgMar w:top="1440" w:right="1800" w:bottom="1440" w:left="1800" w:header="851" w:footer="992" w:gutter="0"/>
          <w:pgNumType w:start="37"/>
          <w:cols w:space="425" w:num="1"/>
          <w:docGrid w:type="lines" w:linePitch="312" w:charSpace="0"/>
        </w:sect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2527"/>
      </w:tblGrid>
      <w:tr w14:paraId="0AC19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6" w:hRule="atLeast"/>
        </w:trPr>
        <w:tc>
          <w:tcPr>
            <w:tcW w:w="701" w:type="dxa"/>
          </w:tcPr>
          <w:p w14:paraId="2B827945">
            <w:pPr>
              <w:pStyle w:val="5"/>
              <w:kinsoku/>
              <w:rPr>
                <w:rFonts w:hint="default" w:ascii="Times New Roman" w:hAnsi="Times New Roman" w:eastAsia="宋体" w:cs="Times New Roman"/>
                <w:color w:val="0000FF"/>
                <w:lang w:eastAsia="zh-CN"/>
              </w:rPr>
            </w:pPr>
          </w:p>
        </w:tc>
        <w:tc>
          <w:tcPr>
            <w:tcW w:w="12527" w:type="dxa"/>
          </w:tcPr>
          <w:p w14:paraId="47731259">
            <w:pPr>
              <w:kinsoku/>
              <w:adjustRightInd/>
              <w:snapToGrid/>
              <w:spacing w:line="360" w:lineRule="auto"/>
              <w:ind w:firstLine="482" w:firstLineChars="200"/>
              <w:rPr>
                <w:rFonts w:hint="default" w:ascii="Times New Roman" w:hAnsi="Times New Roman" w:eastAsia="宋体" w:cs="Times New Roman"/>
                <w:b/>
                <w:bCs/>
                <w:color w:val="auto"/>
                <w:sz w:val="24"/>
                <w:lang w:eastAsia="zh-CN"/>
              </w:rPr>
            </w:pPr>
            <w:r>
              <w:rPr>
                <w:rFonts w:hint="default" w:ascii="Times New Roman" w:hAnsi="Times New Roman" w:eastAsia="宋体" w:cs="Times New Roman"/>
                <w:b/>
                <w:bCs/>
                <w:color w:val="auto"/>
                <w:sz w:val="24"/>
                <w:lang w:eastAsia="zh-CN"/>
              </w:rPr>
              <w:t>项目工程大气污染物产排情况：</w:t>
            </w:r>
          </w:p>
          <w:p w14:paraId="2493C8B6">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auto"/>
                <w:sz w:val="24"/>
                <w:lang w:eastAsia="zh-CN"/>
              </w:rPr>
            </w:pPr>
            <w:r>
              <w:rPr>
                <w:rFonts w:hint="default" w:ascii="Times New Roman" w:hAnsi="Times New Roman" w:eastAsia="宋体" w:cs="Times New Roman"/>
                <w:b/>
                <w:bCs/>
                <w:color w:val="auto"/>
                <w:sz w:val="24"/>
                <w:lang w:eastAsia="zh-CN"/>
              </w:rPr>
              <w:t>表4-</w:t>
            </w:r>
            <w:r>
              <w:rPr>
                <w:rFonts w:hint="default" w:ascii="Times New Roman" w:hAnsi="Times New Roman" w:eastAsia="宋体" w:cs="Times New Roman"/>
                <w:b/>
                <w:bCs/>
                <w:color w:val="auto"/>
                <w:sz w:val="24"/>
                <w:lang w:val="en-US" w:eastAsia="zh-CN"/>
              </w:rPr>
              <w:t>1</w:t>
            </w:r>
            <w:r>
              <w:rPr>
                <w:rFonts w:hint="default" w:ascii="Times New Roman" w:hAnsi="Times New Roman" w:eastAsia="宋体" w:cs="Times New Roman"/>
                <w:b/>
                <w:bCs/>
                <w:color w:val="auto"/>
                <w:sz w:val="24"/>
                <w:lang w:eastAsia="zh-CN"/>
              </w:rPr>
              <w:t>本项目废气产生排放情况</w:t>
            </w:r>
          </w:p>
          <w:tbl>
            <w:tblPr>
              <w:tblStyle w:val="26"/>
              <w:tblW w:w="12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693"/>
              <w:gridCol w:w="771"/>
              <w:gridCol w:w="885"/>
              <w:gridCol w:w="954"/>
              <w:gridCol w:w="754"/>
              <w:gridCol w:w="701"/>
              <w:gridCol w:w="780"/>
              <w:gridCol w:w="1780"/>
              <w:gridCol w:w="566"/>
              <w:gridCol w:w="566"/>
              <w:gridCol w:w="740"/>
              <w:gridCol w:w="692"/>
              <w:gridCol w:w="811"/>
              <w:gridCol w:w="824"/>
            </w:tblGrid>
            <w:tr w14:paraId="384B8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878" w:type="dxa"/>
                  <w:vMerge w:val="restart"/>
                  <w:noWrap w:val="0"/>
                  <w:vAlign w:val="center"/>
                </w:tcPr>
                <w:p w14:paraId="25330ACB">
                  <w:pPr>
                    <w:pStyle w:val="41"/>
                    <w:pageBreakBefore w:val="0"/>
                    <w:kinsoku/>
                    <w:wordWrap/>
                    <w:overflowPunct/>
                    <w:topLinePunct/>
                    <w:autoSpaceDE/>
                    <w:autoSpaceDN/>
                    <w:bidi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污染源</w:t>
                  </w:r>
                </w:p>
              </w:tc>
              <w:tc>
                <w:tcPr>
                  <w:tcW w:w="693" w:type="dxa"/>
                  <w:vMerge w:val="restart"/>
                  <w:noWrap w:val="0"/>
                  <w:vAlign w:val="center"/>
                </w:tcPr>
                <w:p w14:paraId="1E78F138">
                  <w:pPr>
                    <w:pStyle w:val="41"/>
                    <w:pageBreakBefore w:val="0"/>
                    <w:kinsoku/>
                    <w:wordWrap/>
                    <w:overflowPunct/>
                    <w:topLinePunct/>
                    <w:autoSpaceDE/>
                    <w:autoSpaceDN/>
                    <w:bidi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时间h</w:t>
                  </w:r>
                </w:p>
              </w:tc>
              <w:tc>
                <w:tcPr>
                  <w:tcW w:w="771" w:type="dxa"/>
                  <w:vMerge w:val="restart"/>
                  <w:noWrap w:val="0"/>
                  <w:vAlign w:val="center"/>
                </w:tcPr>
                <w:p w14:paraId="0C0933A1">
                  <w:pPr>
                    <w:pStyle w:val="41"/>
                    <w:pageBreakBefore w:val="0"/>
                    <w:kinsoku/>
                    <w:wordWrap/>
                    <w:overflowPunct/>
                    <w:topLinePunct/>
                    <w:autoSpaceDE/>
                    <w:autoSpaceDN/>
                    <w:bidi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风量m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/h</w:t>
                  </w:r>
                </w:p>
              </w:tc>
              <w:tc>
                <w:tcPr>
                  <w:tcW w:w="885" w:type="dxa"/>
                  <w:vMerge w:val="restart"/>
                  <w:noWrap w:val="0"/>
                  <w:vAlign w:val="center"/>
                </w:tcPr>
                <w:p w14:paraId="12641740">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排放</w:t>
                  </w:r>
                </w:p>
                <w:p w14:paraId="1C9F0CC4">
                  <w:pPr>
                    <w:pStyle w:val="41"/>
                    <w:pageBreakBefore w:val="0"/>
                    <w:kinsoku/>
                    <w:wordWrap/>
                    <w:overflowPunct/>
                    <w:topLinePunct/>
                    <w:autoSpaceDE/>
                    <w:autoSpaceDN/>
                    <w:bidi w:val="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形式</w:t>
                  </w:r>
                </w:p>
              </w:tc>
              <w:tc>
                <w:tcPr>
                  <w:tcW w:w="954" w:type="dxa"/>
                  <w:vMerge w:val="restart"/>
                  <w:noWrap w:val="0"/>
                  <w:vAlign w:val="center"/>
                </w:tcPr>
                <w:p w14:paraId="2E034AB7">
                  <w:pPr>
                    <w:pStyle w:val="41"/>
                    <w:pageBreakBefore w:val="0"/>
                    <w:kinsoku/>
                    <w:wordWrap/>
                    <w:overflowPunct/>
                    <w:topLinePunct/>
                    <w:autoSpaceDE/>
                    <w:autoSpaceDN/>
                    <w:bidi w:val="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w:t>
                  </w:r>
                </w:p>
              </w:tc>
              <w:tc>
                <w:tcPr>
                  <w:tcW w:w="2235" w:type="dxa"/>
                  <w:gridSpan w:val="3"/>
                  <w:noWrap w:val="0"/>
                  <w:vAlign w:val="center"/>
                </w:tcPr>
                <w:p w14:paraId="6F429749">
                  <w:pPr>
                    <w:pStyle w:val="41"/>
                    <w:pageBreakBefore w:val="0"/>
                    <w:kinsoku/>
                    <w:wordWrap/>
                    <w:overflowPunct/>
                    <w:topLinePunct/>
                    <w:autoSpaceDE/>
                    <w:autoSpaceDN/>
                    <w:bidi w:val="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产生情况</w:t>
                  </w:r>
                </w:p>
              </w:tc>
              <w:tc>
                <w:tcPr>
                  <w:tcW w:w="1780" w:type="dxa"/>
                  <w:vMerge w:val="restart"/>
                  <w:noWrap w:val="0"/>
                  <w:vAlign w:val="center"/>
                </w:tcPr>
                <w:p w14:paraId="74E0B0A6">
                  <w:pPr>
                    <w:pStyle w:val="41"/>
                    <w:pageBreakBefore w:val="0"/>
                    <w:kinsoku/>
                    <w:wordWrap/>
                    <w:overflowPunct/>
                    <w:topLinePunct/>
                    <w:autoSpaceDE/>
                    <w:autoSpaceDN/>
                    <w:bidi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处理措施</w:t>
                  </w:r>
                </w:p>
              </w:tc>
              <w:tc>
                <w:tcPr>
                  <w:tcW w:w="566" w:type="dxa"/>
                  <w:vMerge w:val="restart"/>
                  <w:noWrap w:val="0"/>
                  <w:vAlign w:val="center"/>
                </w:tcPr>
                <w:p w14:paraId="5030219E">
                  <w:pPr>
                    <w:pStyle w:val="41"/>
                    <w:pageBreakBefore w:val="0"/>
                    <w:kinsoku/>
                    <w:wordWrap/>
                    <w:overflowPunct/>
                    <w:topLinePunct/>
                    <w:autoSpaceDE/>
                    <w:autoSpaceDN/>
                    <w:bidi w:val="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收集效率</w:t>
                  </w:r>
                  <w:r>
                    <w:rPr>
                      <w:rFonts w:hint="default" w:ascii="Times New Roman" w:hAnsi="Times New Roman" w:eastAsia="宋体" w:cs="Times New Roman"/>
                      <w:b/>
                      <w:bCs/>
                      <w:color w:val="auto"/>
                      <w:sz w:val="21"/>
                      <w:szCs w:val="21"/>
                    </w:rPr>
                    <w:t>%</w:t>
                  </w:r>
                </w:p>
              </w:tc>
              <w:tc>
                <w:tcPr>
                  <w:tcW w:w="566" w:type="dxa"/>
                  <w:vMerge w:val="restart"/>
                  <w:noWrap w:val="0"/>
                  <w:vAlign w:val="center"/>
                </w:tcPr>
                <w:p w14:paraId="5FAF5119">
                  <w:pPr>
                    <w:pStyle w:val="41"/>
                    <w:pageBreakBefore w:val="0"/>
                    <w:kinsoku/>
                    <w:wordWrap/>
                    <w:overflowPunct/>
                    <w:topLinePunct/>
                    <w:autoSpaceDE/>
                    <w:autoSpaceDN/>
                    <w:bidi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处理效率%</w:t>
                  </w:r>
                </w:p>
              </w:tc>
              <w:tc>
                <w:tcPr>
                  <w:tcW w:w="3067" w:type="dxa"/>
                  <w:gridSpan w:val="4"/>
                  <w:noWrap w:val="0"/>
                  <w:vAlign w:val="center"/>
                </w:tcPr>
                <w:p w14:paraId="64500CE6">
                  <w:pPr>
                    <w:pStyle w:val="41"/>
                    <w:pageBreakBefore w:val="0"/>
                    <w:kinsoku/>
                    <w:wordWrap/>
                    <w:overflowPunct/>
                    <w:topLinePunct/>
                    <w:autoSpaceDE/>
                    <w:autoSpaceDN/>
                    <w:bidi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排放情况</w:t>
                  </w:r>
                </w:p>
              </w:tc>
            </w:tr>
            <w:tr w14:paraId="5CB08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878" w:type="dxa"/>
                  <w:vMerge w:val="continue"/>
                  <w:noWrap w:val="0"/>
                  <w:vAlign w:val="center"/>
                </w:tcPr>
                <w:p w14:paraId="6CCE011A">
                  <w:pPr>
                    <w:pStyle w:val="41"/>
                    <w:pageBreakBefore w:val="0"/>
                    <w:kinsoku/>
                    <w:wordWrap/>
                    <w:overflowPunct/>
                    <w:topLinePunct/>
                    <w:autoSpaceDE/>
                    <w:autoSpaceDN/>
                    <w:bidi w:val="0"/>
                    <w:jc w:val="center"/>
                    <w:textAlignment w:val="auto"/>
                    <w:rPr>
                      <w:rFonts w:hint="default" w:ascii="Times New Roman" w:hAnsi="Times New Roman" w:eastAsia="宋体" w:cs="Times New Roman"/>
                      <w:b/>
                      <w:bCs/>
                      <w:color w:val="auto"/>
                      <w:sz w:val="21"/>
                      <w:szCs w:val="21"/>
                    </w:rPr>
                  </w:pPr>
                </w:p>
              </w:tc>
              <w:tc>
                <w:tcPr>
                  <w:tcW w:w="693" w:type="dxa"/>
                  <w:vMerge w:val="continue"/>
                  <w:noWrap w:val="0"/>
                  <w:vAlign w:val="center"/>
                </w:tcPr>
                <w:p w14:paraId="5E29FCB3">
                  <w:pPr>
                    <w:pStyle w:val="41"/>
                    <w:pageBreakBefore w:val="0"/>
                    <w:kinsoku/>
                    <w:wordWrap/>
                    <w:overflowPunct/>
                    <w:topLinePunct/>
                    <w:autoSpaceDE/>
                    <w:autoSpaceDN/>
                    <w:bidi w:val="0"/>
                    <w:jc w:val="center"/>
                    <w:textAlignment w:val="auto"/>
                    <w:rPr>
                      <w:rFonts w:hint="default" w:ascii="Times New Roman" w:hAnsi="Times New Roman" w:eastAsia="宋体" w:cs="Times New Roman"/>
                      <w:b/>
                      <w:bCs/>
                      <w:color w:val="auto"/>
                      <w:sz w:val="21"/>
                      <w:szCs w:val="21"/>
                    </w:rPr>
                  </w:pPr>
                </w:p>
              </w:tc>
              <w:tc>
                <w:tcPr>
                  <w:tcW w:w="771" w:type="dxa"/>
                  <w:vMerge w:val="continue"/>
                  <w:noWrap w:val="0"/>
                  <w:vAlign w:val="center"/>
                </w:tcPr>
                <w:p w14:paraId="4B09A5A1">
                  <w:pPr>
                    <w:pStyle w:val="41"/>
                    <w:pageBreakBefore w:val="0"/>
                    <w:kinsoku/>
                    <w:wordWrap/>
                    <w:overflowPunct/>
                    <w:topLinePunct/>
                    <w:autoSpaceDE/>
                    <w:autoSpaceDN/>
                    <w:bidi w:val="0"/>
                    <w:jc w:val="center"/>
                    <w:textAlignment w:val="auto"/>
                    <w:rPr>
                      <w:rFonts w:hint="default" w:ascii="Times New Roman" w:hAnsi="Times New Roman" w:eastAsia="宋体" w:cs="Times New Roman"/>
                      <w:b/>
                      <w:bCs/>
                      <w:color w:val="auto"/>
                      <w:sz w:val="21"/>
                      <w:szCs w:val="21"/>
                    </w:rPr>
                  </w:pPr>
                </w:p>
              </w:tc>
              <w:tc>
                <w:tcPr>
                  <w:tcW w:w="885" w:type="dxa"/>
                  <w:vMerge w:val="continue"/>
                  <w:noWrap w:val="0"/>
                  <w:vAlign w:val="center"/>
                </w:tcPr>
                <w:p w14:paraId="08657EDB">
                  <w:pPr>
                    <w:pStyle w:val="41"/>
                    <w:pageBreakBefore w:val="0"/>
                    <w:kinsoku/>
                    <w:wordWrap/>
                    <w:overflowPunct/>
                    <w:topLinePunct/>
                    <w:autoSpaceDE/>
                    <w:autoSpaceDN/>
                    <w:bidi w:val="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954" w:type="dxa"/>
                  <w:vMerge w:val="continue"/>
                  <w:noWrap w:val="0"/>
                  <w:vAlign w:val="center"/>
                </w:tcPr>
                <w:p w14:paraId="2ED07980">
                  <w:pPr>
                    <w:pStyle w:val="41"/>
                    <w:pageBreakBefore w:val="0"/>
                    <w:kinsoku/>
                    <w:wordWrap/>
                    <w:overflowPunct/>
                    <w:topLinePunct/>
                    <w:autoSpaceDE/>
                    <w:autoSpaceDN/>
                    <w:bidi w:val="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754" w:type="dxa"/>
                  <w:noWrap w:val="0"/>
                  <w:vAlign w:val="center"/>
                </w:tcPr>
                <w:p w14:paraId="53C7FDD0">
                  <w:pPr>
                    <w:pStyle w:val="41"/>
                    <w:pageBreakBefore w:val="0"/>
                    <w:kinsoku/>
                    <w:wordWrap/>
                    <w:overflowPunct/>
                    <w:topLinePunct/>
                    <w:autoSpaceDE/>
                    <w:autoSpaceDN/>
                    <w:bidi w:val="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浓度mg/m</w:t>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3</w:t>
                  </w:r>
                </w:p>
              </w:tc>
              <w:tc>
                <w:tcPr>
                  <w:tcW w:w="701" w:type="dxa"/>
                  <w:noWrap w:val="0"/>
                  <w:vAlign w:val="center"/>
                </w:tcPr>
                <w:p w14:paraId="5D6ECB0D">
                  <w:pPr>
                    <w:pStyle w:val="41"/>
                    <w:pageBreakBefore w:val="0"/>
                    <w:kinsoku/>
                    <w:wordWrap/>
                    <w:overflowPunct/>
                    <w:topLinePunct/>
                    <w:autoSpaceDE/>
                    <w:autoSpaceDN/>
                    <w:bidi w:val="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速率kg/h</w:t>
                  </w:r>
                </w:p>
              </w:tc>
              <w:tc>
                <w:tcPr>
                  <w:tcW w:w="780" w:type="dxa"/>
                  <w:noWrap w:val="0"/>
                  <w:vAlign w:val="center"/>
                </w:tcPr>
                <w:p w14:paraId="43B5334C">
                  <w:pPr>
                    <w:pStyle w:val="41"/>
                    <w:pageBreakBefore w:val="0"/>
                    <w:kinsoku/>
                    <w:wordWrap/>
                    <w:overflowPunct/>
                    <w:topLinePunct/>
                    <w:autoSpaceDE/>
                    <w:autoSpaceDN/>
                    <w:bidi w:val="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产生量t/a</w:t>
                  </w:r>
                </w:p>
              </w:tc>
              <w:tc>
                <w:tcPr>
                  <w:tcW w:w="1780" w:type="dxa"/>
                  <w:vMerge w:val="continue"/>
                  <w:noWrap w:val="0"/>
                  <w:vAlign w:val="center"/>
                </w:tcPr>
                <w:p w14:paraId="5B29EF3E">
                  <w:pPr>
                    <w:pStyle w:val="41"/>
                    <w:pageBreakBefore w:val="0"/>
                    <w:kinsoku/>
                    <w:wordWrap/>
                    <w:overflowPunct/>
                    <w:topLinePunct/>
                    <w:autoSpaceDE/>
                    <w:autoSpaceDN/>
                    <w:bidi w:val="0"/>
                    <w:jc w:val="center"/>
                    <w:textAlignment w:val="auto"/>
                    <w:rPr>
                      <w:rFonts w:hint="default" w:ascii="Times New Roman" w:hAnsi="Times New Roman" w:eastAsia="宋体" w:cs="Times New Roman"/>
                      <w:b/>
                      <w:bCs/>
                      <w:color w:val="auto"/>
                      <w:sz w:val="21"/>
                      <w:szCs w:val="21"/>
                    </w:rPr>
                  </w:pPr>
                </w:p>
              </w:tc>
              <w:tc>
                <w:tcPr>
                  <w:tcW w:w="566" w:type="dxa"/>
                  <w:vMerge w:val="continue"/>
                  <w:noWrap w:val="0"/>
                  <w:vAlign w:val="center"/>
                </w:tcPr>
                <w:p w14:paraId="6F164AA3">
                  <w:pPr>
                    <w:pStyle w:val="41"/>
                    <w:pageBreakBefore w:val="0"/>
                    <w:kinsoku/>
                    <w:wordWrap/>
                    <w:overflowPunct/>
                    <w:topLinePunct/>
                    <w:autoSpaceDE/>
                    <w:autoSpaceDN/>
                    <w:bidi w:val="0"/>
                    <w:jc w:val="center"/>
                    <w:textAlignment w:val="auto"/>
                    <w:rPr>
                      <w:rFonts w:hint="default" w:ascii="Times New Roman" w:hAnsi="Times New Roman" w:eastAsia="宋体" w:cs="Times New Roman"/>
                      <w:b/>
                      <w:bCs/>
                      <w:color w:val="auto"/>
                      <w:sz w:val="21"/>
                      <w:szCs w:val="21"/>
                    </w:rPr>
                  </w:pPr>
                </w:p>
              </w:tc>
              <w:tc>
                <w:tcPr>
                  <w:tcW w:w="566" w:type="dxa"/>
                  <w:vMerge w:val="continue"/>
                  <w:noWrap w:val="0"/>
                  <w:vAlign w:val="center"/>
                </w:tcPr>
                <w:p w14:paraId="25D0D007">
                  <w:pPr>
                    <w:pStyle w:val="41"/>
                    <w:pageBreakBefore w:val="0"/>
                    <w:kinsoku/>
                    <w:wordWrap/>
                    <w:overflowPunct/>
                    <w:topLinePunct/>
                    <w:autoSpaceDE/>
                    <w:autoSpaceDN/>
                    <w:bidi w:val="0"/>
                    <w:jc w:val="center"/>
                    <w:textAlignment w:val="auto"/>
                    <w:rPr>
                      <w:rFonts w:hint="default" w:ascii="Times New Roman" w:hAnsi="Times New Roman" w:eastAsia="宋体" w:cs="Times New Roman"/>
                      <w:b/>
                      <w:bCs/>
                      <w:color w:val="auto"/>
                      <w:sz w:val="21"/>
                      <w:szCs w:val="21"/>
                    </w:rPr>
                  </w:pPr>
                </w:p>
              </w:tc>
              <w:tc>
                <w:tcPr>
                  <w:tcW w:w="740" w:type="dxa"/>
                  <w:noWrap w:val="0"/>
                  <w:vAlign w:val="center"/>
                </w:tcPr>
                <w:p w14:paraId="34989F61">
                  <w:pPr>
                    <w:pStyle w:val="41"/>
                    <w:pageBreakBefore w:val="0"/>
                    <w:kinsoku/>
                    <w:wordWrap/>
                    <w:overflowPunct/>
                    <w:topLinePunct/>
                    <w:autoSpaceDE/>
                    <w:autoSpaceDN/>
                    <w:bidi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浓度mg/m</w:t>
                  </w:r>
                  <w:r>
                    <w:rPr>
                      <w:rFonts w:hint="default" w:ascii="Times New Roman" w:hAnsi="Times New Roman" w:eastAsia="宋体" w:cs="Times New Roman"/>
                      <w:b/>
                      <w:bCs/>
                      <w:color w:val="auto"/>
                      <w:sz w:val="21"/>
                      <w:szCs w:val="21"/>
                      <w:vertAlign w:val="superscript"/>
                    </w:rPr>
                    <w:t>3</w:t>
                  </w:r>
                </w:p>
              </w:tc>
              <w:tc>
                <w:tcPr>
                  <w:tcW w:w="692" w:type="dxa"/>
                  <w:noWrap w:val="0"/>
                  <w:vAlign w:val="center"/>
                </w:tcPr>
                <w:p w14:paraId="66C454CB">
                  <w:pPr>
                    <w:pStyle w:val="41"/>
                    <w:pageBreakBefore w:val="0"/>
                    <w:kinsoku/>
                    <w:wordWrap/>
                    <w:overflowPunct/>
                    <w:topLinePunct/>
                    <w:autoSpaceDE/>
                    <w:autoSpaceDN/>
                    <w:bidi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速率kg/h</w:t>
                  </w:r>
                </w:p>
              </w:tc>
              <w:tc>
                <w:tcPr>
                  <w:tcW w:w="811" w:type="dxa"/>
                  <w:noWrap w:val="0"/>
                  <w:vAlign w:val="center"/>
                </w:tcPr>
                <w:p w14:paraId="0390D0D7">
                  <w:pPr>
                    <w:pStyle w:val="41"/>
                    <w:pageBreakBefore w:val="0"/>
                    <w:kinsoku/>
                    <w:wordWrap/>
                    <w:overflowPunct/>
                    <w:topLinePunct/>
                    <w:autoSpaceDE/>
                    <w:autoSpaceDN/>
                    <w:bidi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排放量t/a</w:t>
                  </w:r>
                </w:p>
              </w:tc>
              <w:tc>
                <w:tcPr>
                  <w:tcW w:w="824" w:type="dxa"/>
                  <w:noWrap w:val="0"/>
                  <w:vAlign w:val="center"/>
                </w:tcPr>
                <w:p w14:paraId="57EBE7E7">
                  <w:pPr>
                    <w:pStyle w:val="41"/>
                    <w:pageBreakBefore w:val="0"/>
                    <w:kinsoku/>
                    <w:wordWrap/>
                    <w:overflowPunct/>
                    <w:topLinePunct/>
                    <w:autoSpaceDE/>
                    <w:autoSpaceDN/>
                    <w:bidi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排气筒</w:t>
                  </w:r>
                </w:p>
              </w:tc>
            </w:tr>
            <w:tr w14:paraId="48AF3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78" w:type="dxa"/>
                  <w:vMerge w:val="restart"/>
                  <w:noWrap w:val="0"/>
                  <w:vAlign w:val="center"/>
                </w:tcPr>
                <w:p w14:paraId="255EEC62">
                  <w:pPr>
                    <w:pStyle w:val="41"/>
                    <w:pageBreakBefore w:val="0"/>
                    <w:kinsoku/>
                    <w:wordWrap/>
                    <w:overflowPunct/>
                    <w:topLinePunct/>
                    <w:autoSpaceDE/>
                    <w:autoSpaceDN/>
                    <w:bidi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涂胶、烘干、复合废气</w:t>
                  </w:r>
                </w:p>
              </w:tc>
              <w:tc>
                <w:tcPr>
                  <w:tcW w:w="693" w:type="dxa"/>
                  <w:vMerge w:val="restart"/>
                  <w:noWrap w:val="0"/>
                  <w:vAlign w:val="center"/>
                </w:tcPr>
                <w:p w14:paraId="3BBED3E6">
                  <w:pPr>
                    <w:pStyle w:val="41"/>
                    <w:pageBreakBefore w:val="0"/>
                    <w:kinsoku/>
                    <w:wordWrap/>
                    <w:overflowPunct/>
                    <w:topLinePunct/>
                    <w:autoSpaceDE/>
                    <w:autoSpaceDN/>
                    <w:bidi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2400</w:t>
                  </w:r>
                </w:p>
              </w:tc>
              <w:tc>
                <w:tcPr>
                  <w:tcW w:w="771" w:type="dxa"/>
                  <w:noWrap w:val="0"/>
                  <w:vAlign w:val="center"/>
                </w:tcPr>
                <w:p w14:paraId="58BA7771">
                  <w:pPr>
                    <w:pStyle w:val="41"/>
                    <w:pageBreakBefore w:val="0"/>
                    <w:kinsoku/>
                    <w:wordWrap/>
                    <w:overflowPunct/>
                    <w:topLinePunct/>
                    <w:autoSpaceDE/>
                    <w:autoSpaceDN/>
                    <w:bidi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34000</w:t>
                  </w:r>
                </w:p>
              </w:tc>
              <w:tc>
                <w:tcPr>
                  <w:tcW w:w="885" w:type="dxa"/>
                  <w:noWrap w:val="0"/>
                  <w:vAlign w:val="center"/>
                </w:tcPr>
                <w:p w14:paraId="7533B06C">
                  <w:pPr>
                    <w:pStyle w:val="41"/>
                    <w:pageBreakBefore w:val="0"/>
                    <w:kinsoku/>
                    <w:wordWrap/>
                    <w:overflowPunct/>
                    <w:topLinePunct/>
                    <w:autoSpaceDE/>
                    <w:autoSpaceDN/>
                    <w:bidi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有组织</w:t>
                  </w:r>
                </w:p>
              </w:tc>
              <w:tc>
                <w:tcPr>
                  <w:tcW w:w="954" w:type="dxa"/>
                  <w:vMerge w:val="restart"/>
                  <w:noWrap w:val="0"/>
                  <w:vAlign w:val="center"/>
                </w:tcPr>
                <w:p w14:paraId="713873E9">
                  <w:pPr>
                    <w:pStyle w:val="41"/>
                    <w:pageBreakBefore w:val="0"/>
                    <w:kinsoku/>
                    <w:wordWrap/>
                    <w:overflowPunct/>
                    <w:topLinePunct/>
                    <w:autoSpaceDE/>
                    <w:autoSpaceDN/>
                    <w:bidi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非甲烷总烃</w:t>
                  </w:r>
                </w:p>
              </w:tc>
              <w:tc>
                <w:tcPr>
                  <w:tcW w:w="754" w:type="dxa"/>
                  <w:noWrap w:val="0"/>
                  <w:vAlign w:val="center"/>
                </w:tcPr>
                <w:p w14:paraId="322B0D16">
                  <w:pPr>
                    <w:pStyle w:val="41"/>
                    <w:pageBreakBefore w:val="0"/>
                    <w:kinsoku/>
                    <w:wordWrap/>
                    <w:overflowPunct/>
                    <w:topLinePunct/>
                    <w:autoSpaceDE/>
                    <w:autoSpaceDN/>
                    <w:bidi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3.578</w:t>
                  </w:r>
                </w:p>
              </w:tc>
              <w:tc>
                <w:tcPr>
                  <w:tcW w:w="701" w:type="dxa"/>
                  <w:noWrap w:val="0"/>
                  <w:vAlign w:val="center"/>
                </w:tcPr>
                <w:p w14:paraId="5A1B6C31">
                  <w:pPr>
                    <w:pStyle w:val="41"/>
                    <w:pageBreakBefore w:val="0"/>
                    <w:kinsoku/>
                    <w:wordWrap/>
                    <w:overflowPunct/>
                    <w:topLinePunct/>
                    <w:autoSpaceDE/>
                    <w:autoSpaceDN/>
                    <w:bidi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0.122</w:t>
                  </w:r>
                </w:p>
              </w:tc>
              <w:tc>
                <w:tcPr>
                  <w:tcW w:w="780" w:type="dxa"/>
                  <w:noWrap w:val="0"/>
                  <w:vAlign w:val="center"/>
                </w:tcPr>
                <w:p w14:paraId="7F7B9BF4">
                  <w:pPr>
                    <w:pStyle w:val="41"/>
                    <w:pageBreakBefore w:val="0"/>
                    <w:kinsoku/>
                    <w:wordWrap/>
                    <w:overflowPunct/>
                    <w:topLinePunct/>
                    <w:autoSpaceDE/>
                    <w:autoSpaceDN/>
                    <w:bidi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0.292</w:t>
                  </w:r>
                </w:p>
              </w:tc>
              <w:tc>
                <w:tcPr>
                  <w:tcW w:w="1780" w:type="dxa"/>
                  <w:vMerge w:val="restart"/>
                  <w:noWrap w:val="0"/>
                  <w:vAlign w:val="center"/>
                </w:tcPr>
                <w:p w14:paraId="3B3A0AA5">
                  <w:pPr>
                    <w:pStyle w:val="41"/>
                    <w:pageBreakBefore w:val="0"/>
                    <w:kinsoku/>
                    <w:wordWrap/>
                    <w:overflowPunct/>
                    <w:topLinePunct/>
                    <w:autoSpaceDE/>
                    <w:autoSpaceDN/>
                    <w:bidi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集气系统+水喷淋+二级活性炭+15m高排气筒(DA003)</w:t>
                  </w:r>
                </w:p>
              </w:tc>
              <w:tc>
                <w:tcPr>
                  <w:tcW w:w="566" w:type="dxa"/>
                  <w:noWrap w:val="0"/>
                  <w:vAlign w:val="center"/>
                </w:tcPr>
                <w:p w14:paraId="2DBB7120">
                  <w:pPr>
                    <w:pStyle w:val="41"/>
                    <w:pageBreakBefore w:val="0"/>
                    <w:kinsoku/>
                    <w:wordWrap/>
                    <w:overflowPunct/>
                    <w:topLinePunct/>
                    <w:autoSpaceDE/>
                    <w:autoSpaceDN/>
                    <w:bidi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w:t>
                  </w:r>
                </w:p>
              </w:tc>
              <w:tc>
                <w:tcPr>
                  <w:tcW w:w="566" w:type="dxa"/>
                  <w:noWrap w:val="0"/>
                  <w:vAlign w:val="center"/>
                </w:tcPr>
                <w:p w14:paraId="39B2D6B1">
                  <w:pPr>
                    <w:pStyle w:val="41"/>
                    <w:pageBreakBefore w:val="0"/>
                    <w:kinsoku/>
                    <w:wordWrap/>
                    <w:overflowPunct/>
                    <w:topLinePunct/>
                    <w:autoSpaceDE/>
                    <w:autoSpaceDN/>
                    <w:bidi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w:t>
                  </w:r>
                </w:p>
              </w:tc>
              <w:tc>
                <w:tcPr>
                  <w:tcW w:w="740" w:type="dxa"/>
                  <w:noWrap w:val="0"/>
                  <w:vAlign w:val="center"/>
                </w:tcPr>
                <w:p w14:paraId="5E01657A">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0.355</w:t>
                  </w:r>
                </w:p>
              </w:tc>
              <w:tc>
                <w:tcPr>
                  <w:tcW w:w="692" w:type="dxa"/>
                  <w:noWrap w:val="0"/>
                  <w:vAlign w:val="center"/>
                </w:tcPr>
                <w:p w14:paraId="4E0D7BE3">
                  <w:pPr>
                    <w:pStyle w:val="41"/>
                    <w:pageBreakBefore w:val="0"/>
                    <w:kinsoku/>
                    <w:wordWrap/>
                    <w:overflowPunct/>
                    <w:topLinePunct/>
                    <w:autoSpaceDE/>
                    <w:autoSpaceDN/>
                    <w:bidi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0.012</w:t>
                  </w:r>
                </w:p>
              </w:tc>
              <w:tc>
                <w:tcPr>
                  <w:tcW w:w="811" w:type="dxa"/>
                  <w:noWrap w:val="0"/>
                  <w:vAlign w:val="center"/>
                </w:tcPr>
                <w:p w14:paraId="3CDD7AF3">
                  <w:pPr>
                    <w:pStyle w:val="41"/>
                    <w:pageBreakBefore w:val="0"/>
                    <w:kinsoku/>
                    <w:wordWrap/>
                    <w:overflowPunct/>
                    <w:topLinePunct/>
                    <w:autoSpaceDE/>
                    <w:autoSpaceDN/>
                    <w:bidi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0.029</w:t>
                  </w:r>
                </w:p>
              </w:tc>
              <w:tc>
                <w:tcPr>
                  <w:tcW w:w="824" w:type="dxa"/>
                  <w:vMerge w:val="restart"/>
                  <w:noWrap w:val="0"/>
                  <w:vAlign w:val="center"/>
                </w:tcPr>
                <w:p w14:paraId="649039C9">
                  <w:pPr>
                    <w:pStyle w:val="41"/>
                    <w:pageBreakBefore w:val="0"/>
                    <w:kinsoku/>
                    <w:wordWrap/>
                    <w:overflowPunct/>
                    <w:topLinePunct/>
                    <w:autoSpaceDE/>
                    <w:autoSpaceDN/>
                    <w:bidi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内径0.6m，高15m</w:t>
                  </w:r>
                </w:p>
              </w:tc>
            </w:tr>
            <w:tr w14:paraId="32087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78" w:type="dxa"/>
                  <w:vMerge w:val="continue"/>
                  <w:noWrap w:val="0"/>
                  <w:vAlign w:val="center"/>
                </w:tcPr>
                <w:p w14:paraId="63A0B28B">
                  <w:pPr>
                    <w:pStyle w:val="41"/>
                    <w:pageBreakBefore w:val="0"/>
                    <w:kinsoku/>
                    <w:wordWrap/>
                    <w:overflowPunct/>
                    <w:topLinePunct/>
                    <w:autoSpaceDE/>
                    <w:autoSpaceDN/>
                    <w:bidi w:val="0"/>
                    <w:jc w:val="center"/>
                    <w:textAlignment w:val="auto"/>
                    <w:rPr>
                      <w:rFonts w:hint="default" w:ascii="Times New Roman" w:hAnsi="Times New Roman" w:eastAsia="宋体" w:cs="Times New Roman"/>
                      <w:color w:val="auto"/>
                      <w:sz w:val="21"/>
                      <w:szCs w:val="21"/>
                      <w:lang w:val="en-US" w:eastAsia="zh-CN"/>
                    </w:rPr>
                  </w:pPr>
                </w:p>
              </w:tc>
              <w:tc>
                <w:tcPr>
                  <w:tcW w:w="693" w:type="dxa"/>
                  <w:vMerge w:val="continue"/>
                  <w:noWrap w:val="0"/>
                  <w:vAlign w:val="center"/>
                </w:tcPr>
                <w:p w14:paraId="62F8F541">
                  <w:pPr>
                    <w:pStyle w:val="41"/>
                    <w:pageBreakBefore w:val="0"/>
                    <w:kinsoku/>
                    <w:wordWrap/>
                    <w:overflowPunct/>
                    <w:topLinePunct/>
                    <w:autoSpaceDE/>
                    <w:autoSpaceDN/>
                    <w:bidi w:val="0"/>
                    <w:jc w:val="center"/>
                    <w:textAlignment w:val="auto"/>
                    <w:rPr>
                      <w:rFonts w:hint="default" w:ascii="Times New Roman" w:hAnsi="Times New Roman" w:eastAsia="宋体" w:cs="Times New Roman"/>
                      <w:color w:val="auto"/>
                      <w:sz w:val="21"/>
                      <w:szCs w:val="21"/>
                      <w:lang w:val="en-US" w:eastAsia="zh-CN"/>
                    </w:rPr>
                  </w:pPr>
                </w:p>
              </w:tc>
              <w:tc>
                <w:tcPr>
                  <w:tcW w:w="771" w:type="dxa"/>
                  <w:noWrap w:val="0"/>
                  <w:vAlign w:val="center"/>
                </w:tcPr>
                <w:p w14:paraId="20578F2E">
                  <w:pPr>
                    <w:pStyle w:val="41"/>
                    <w:pageBreakBefore w:val="0"/>
                    <w:kinsoku/>
                    <w:wordWrap/>
                    <w:overflowPunct/>
                    <w:topLinePunct/>
                    <w:autoSpaceDE/>
                    <w:autoSpaceDN/>
                    <w:bidi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885" w:type="dxa"/>
                  <w:noWrap w:val="0"/>
                  <w:vAlign w:val="center"/>
                </w:tcPr>
                <w:p w14:paraId="7DD64DA8">
                  <w:pPr>
                    <w:pStyle w:val="41"/>
                    <w:pageBreakBefore w:val="0"/>
                    <w:kinsoku/>
                    <w:wordWrap/>
                    <w:overflowPunct/>
                    <w:topLinePunct/>
                    <w:autoSpaceDE/>
                    <w:autoSpaceDN/>
                    <w:bidi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无组织</w:t>
                  </w:r>
                </w:p>
              </w:tc>
              <w:tc>
                <w:tcPr>
                  <w:tcW w:w="954" w:type="dxa"/>
                  <w:vMerge w:val="continue"/>
                  <w:noWrap w:val="0"/>
                  <w:vAlign w:val="center"/>
                </w:tcPr>
                <w:p w14:paraId="77DE772A">
                  <w:pPr>
                    <w:pStyle w:val="41"/>
                    <w:pageBreakBefore w:val="0"/>
                    <w:kinsoku/>
                    <w:wordWrap/>
                    <w:overflowPunct/>
                    <w:topLinePunct/>
                    <w:autoSpaceDE/>
                    <w:autoSpaceDN/>
                    <w:bidi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54" w:type="dxa"/>
                  <w:noWrap w:val="0"/>
                  <w:vAlign w:val="center"/>
                </w:tcPr>
                <w:p w14:paraId="437F0869">
                  <w:pPr>
                    <w:pStyle w:val="41"/>
                    <w:pageBreakBefore w:val="0"/>
                    <w:kinsoku/>
                    <w:wordWrap/>
                    <w:overflowPunct/>
                    <w:topLinePunct/>
                    <w:autoSpaceDE/>
                    <w:autoSpaceDN/>
                    <w:bidi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701" w:type="dxa"/>
                  <w:noWrap w:val="0"/>
                  <w:vAlign w:val="center"/>
                </w:tcPr>
                <w:p w14:paraId="32FC3EAD">
                  <w:pPr>
                    <w:pStyle w:val="41"/>
                    <w:pageBreakBefore w:val="0"/>
                    <w:kinsoku/>
                    <w:wordWrap/>
                    <w:overflowPunct/>
                    <w:topLinePunct/>
                    <w:autoSpaceDE/>
                    <w:autoSpaceDN/>
                    <w:bidi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780" w:type="dxa"/>
                  <w:noWrap w:val="0"/>
                  <w:vAlign w:val="center"/>
                </w:tcPr>
                <w:p w14:paraId="7D499788">
                  <w:pPr>
                    <w:pStyle w:val="41"/>
                    <w:pageBreakBefore w:val="0"/>
                    <w:kinsoku/>
                    <w:wordWrap/>
                    <w:overflowPunct/>
                    <w:topLinePunct/>
                    <w:autoSpaceDE/>
                    <w:autoSpaceDN/>
                    <w:bidi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0.032</w:t>
                  </w:r>
                </w:p>
              </w:tc>
              <w:tc>
                <w:tcPr>
                  <w:tcW w:w="1780" w:type="dxa"/>
                  <w:vMerge w:val="continue"/>
                  <w:noWrap w:val="0"/>
                  <w:vAlign w:val="center"/>
                </w:tcPr>
                <w:p w14:paraId="539BE14B">
                  <w:pPr>
                    <w:pStyle w:val="41"/>
                    <w:pageBreakBefore w:val="0"/>
                    <w:kinsoku/>
                    <w:wordWrap/>
                    <w:overflowPunct/>
                    <w:topLinePunct/>
                    <w:autoSpaceDE/>
                    <w:autoSpaceDN/>
                    <w:bidi w:val="0"/>
                    <w:jc w:val="center"/>
                    <w:textAlignment w:val="auto"/>
                    <w:rPr>
                      <w:rFonts w:hint="default" w:ascii="Times New Roman" w:hAnsi="Times New Roman" w:eastAsia="宋体" w:cs="Times New Roman"/>
                      <w:color w:val="auto"/>
                      <w:sz w:val="21"/>
                      <w:szCs w:val="21"/>
                      <w:lang w:val="en-US" w:eastAsia="zh-CN"/>
                    </w:rPr>
                  </w:pPr>
                </w:p>
              </w:tc>
              <w:tc>
                <w:tcPr>
                  <w:tcW w:w="566" w:type="dxa"/>
                  <w:shd w:val="clear" w:color="auto" w:fill="auto"/>
                  <w:noWrap w:val="0"/>
                  <w:vAlign w:val="center"/>
                </w:tcPr>
                <w:p w14:paraId="6EA5674E">
                  <w:pPr>
                    <w:pStyle w:val="41"/>
                    <w:pageBreakBefore w:val="0"/>
                    <w:kinsoku/>
                    <w:wordWrap/>
                    <w:overflowPunct/>
                    <w:topLinePunct/>
                    <w:autoSpaceDE/>
                    <w:autoSpaceDN/>
                    <w:bidi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66" w:type="dxa"/>
                  <w:shd w:val="clear" w:color="auto" w:fill="auto"/>
                  <w:noWrap w:val="0"/>
                  <w:vAlign w:val="center"/>
                </w:tcPr>
                <w:p w14:paraId="5C11C51D">
                  <w:pPr>
                    <w:pStyle w:val="41"/>
                    <w:pageBreakBefore w:val="0"/>
                    <w:kinsoku/>
                    <w:wordWrap/>
                    <w:overflowPunct/>
                    <w:topLinePunct/>
                    <w:autoSpaceDE/>
                    <w:autoSpaceDN/>
                    <w:bidi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40" w:type="dxa"/>
                  <w:noWrap w:val="0"/>
                  <w:vAlign w:val="center"/>
                </w:tcPr>
                <w:p w14:paraId="79D09765">
                  <w:pPr>
                    <w:pStyle w:val="41"/>
                    <w:pageBreakBefore w:val="0"/>
                    <w:kinsoku/>
                    <w:wordWrap/>
                    <w:overflowPunct/>
                    <w:topLinePunct/>
                    <w:autoSpaceDE/>
                    <w:autoSpaceDN/>
                    <w:bidi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92" w:type="dxa"/>
                  <w:noWrap w:val="0"/>
                  <w:vAlign w:val="center"/>
                </w:tcPr>
                <w:p w14:paraId="2466E122">
                  <w:pPr>
                    <w:pStyle w:val="41"/>
                    <w:pageBreakBefore w:val="0"/>
                    <w:kinsoku/>
                    <w:wordWrap/>
                    <w:overflowPunct/>
                    <w:topLinePunct/>
                    <w:autoSpaceDE/>
                    <w:autoSpaceDN/>
                    <w:bidi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811" w:type="dxa"/>
                  <w:noWrap w:val="0"/>
                  <w:vAlign w:val="center"/>
                </w:tcPr>
                <w:p w14:paraId="515A9BFF">
                  <w:pPr>
                    <w:pStyle w:val="41"/>
                    <w:pageBreakBefore w:val="0"/>
                    <w:kinsoku/>
                    <w:wordWrap/>
                    <w:overflowPunct/>
                    <w:topLinePunct/>
                    <w:autoSpaceDE/>
                    <w:autoSpaceDN/>
                    <w:bidi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0.032</w:t>
                  </w:r>
                </w:p>
              </w:tc>
              <w:tc>
                <w:tcPr>
                  <w:tcW w:w="824" w:type="dxa"/>
                  <w:vMerge w:val="continue"/>
                  <w:noWrap w:val="0"/>
                  <w:vAlign w:val="center"/>
                </w:tcPr>
                <w:p w14:paraId="31211BDA">
                  <w:pPr>
                    <w:pStyle w:val="41"/>
                    <w:pageBreakBefore w:val="0"/>
                    <w:kinsoku/>
                    <w:wordWrap/>
                    <w:overflowPunct/>
                    <w:topLinePunct/>
                    <w:autoSpaceDE/>
                    <w:autoSpaceDN/>
                    <w:bidi w:val="0"/>
                    <w:jc w:val="center"/>
                    <w:textAlignment w:val="auto"/>
                    <w:rPr>
                      <w:rFonts w:hint="default" w:ascii="Times New Roman" w:hAnsi="Times New Roman" w:eastAsia="宋体" w:cs="Times New Roman"/>
                      <w:color w:val="auto"/>
                      <w:sz w:val="21"/>
                      <w:szCs w:val="21"/>
                    </w:rPr>
                  </w:pPr>
                </w:p>
              </w:tc>
            </w:tr>
          </w:tbl>
          <w:p w14:paraId="73A1C438">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auto"/>
                <w:sz w:val="24"/>
                <w:lang w:eastAsia="zh-CN"/>
              </w:rPr>
            </w:pPr>
            <w:r>
              <w:rPr>
                <w:rFonts w:hint="default" w:ascii="Times New Roman" w:hAnsi="Times New Roman" w:eastAsia="宋体" w:cs="Times New Roman"/>
                <w:b/>
                <w:bCs/>
                <w:color w:val="auto"/>
                <w:sz w:val="24"/>
                <w:lang w:eastAsia="zh-CN"/>
              </w:rPr>
              <w:t>表4-</w:t>
            </w:r>
            <w:r>
              <w:rPr>
                <w:rFonts w:hint="default" w:ascii="Times New Roman" w:hAnsi="Times New Roman" w:eastAsia="宋体" w:cs="Times New Roman"/>
                <w:b/>
                <w:bCs/>
                <w:color w:val="auto"/>
                <w:sz w:val="24"/>
                <w:lang w:val="en-US" w:eastAsia="zh-CN"/>
              </w:rPr>
              <w:t>2</w:t>
            </w:r>
            <w:r>
              <w:rPr>
                <w:rFonts w:hint="default" w:ascii="Times New Roman" w:hAnsi="Times New Roman" w:eastAsia="宋体" w:cs="Times New Roman"/>
                <w:b/>
                <w:bCs/>
                <w:color w:val="auto"/>
                <w:sz w:val="24"/>
                <w:lang w:eastAsia="zh-CN"/>
              </w:rPr>
              <w:t xml:space="preserve"> 本项目无组织废气排放情况</w:t>
            </w:r>
          </w:p>
          <w:tbl>
            <w:tblPr>
              <w:tblStyle w:val="26"/>
              <w:tblW w:w="123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2"/>
              <w:gridCol w:w="2121"/>
              <w:gridCol w:w="3554"/>
              <w:gridCol w:w="1776"/>
              <w:gridCol w:w="1767"/>
              <w:gridCol w:w="1767"/>
            </w:tblGrid>
            <w:tr w14:paraId="2562B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69" w:type="pct"/>
                  <w:vMerge w:val="restart"/>
                  <w:vAlign w:val="center"/>
                </w:tcPr>
                <w:p w14:paraId="1FF19208">
                  <w:pPr>
                    <w:pStyle w:val="41"/>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污染物来源</w:t>
                  </w:r>
                </w:p>
              </w:tc>
              <w:tc>
                <w:tcPr>
                  <w:tcW w:w="855" w:type="pct"/>
                  <w:vMerge w:val="restart"/>
                  <w:vAlign w:val="center"/>
                </w:tcPr>
                <w:p w14:paraId="117BEFC9">
                  <w:pPr>
                    <w:pStyle w:val="41"/>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污染物名称</w:t>
                  </w:r>
                </w:p>
              </w:tc>
              <w:tc>
                <w:tcPr>
                  <w:tcW w:w="1433" w:type="pct"/>
                  <w:vAlign w:val="center"/>
                </w:tcPr>
                <w:p w14:paraId="5AAAB24F">
                  <w:pPr>
                    <w:pStyle w:val="41"/>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排放情况</w:t>
                  </w:r>
                </w:p>
              </w:tc>
              <w:tc>
                <w:tcPr>
                  <w:tcW w:w="716" w:type="pct"/>
                  <w:vMerge w:val="restart"/>
                  <w:vAlign w:val="top"/>
                </w:tcPr>
                <w:p w14:paraId="7FC294BA">
                  <w:pPr>
                    <w:pStyle w:val="41"/>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面源宽度</w:t>
                  </w:r>
                </w:p>
                <w:p w14:paraId="1D684DC9">
                  <w:pPr>
                    <w:pStyle w:val="41"/>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（m）</w:t>
                  </w:r>
                </w:p>
              </w:tc>
              <w:tc>
                <w:tcPr>
                  <w:tcW w:w="712" w:type="pct"/>
                  <w:vMerge w:val="restart"/>
                  <w:vAlign w:val="top"/>
                </w:tcPr>
                <w:p w14:paraId="6568C975">
                  <w:pPr>
                    <w:pStyle w:val="41"/>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面源长度</w:t>
                  </w:r>
                </w:p>
                <w:p w14:paraId="0678D145">
                  <w:pPr>
                    <w:pStyle w:val="41"/>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（m）</w:t>
                  </w:r>
                </w:p>
              </w:tc>
              <w:tc>
                <w:tcPr>
                  <w:tcW w:w="712" w:type="pct"/>
                  <w:vMerge w:val="restart"/>
                  <w:vAlign w:val="top"/>
                </w:tcPr>
                <w:p w14:paraId="14705F39">
                  <w:pPr>
                    <w:pStyle w:val="41"/>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面源高度</w:t>
                  </w:r>
                </w:p>
                <w:p w14:paraId="63D1D606">
                  <w:pPr>
                    <w:pStyle w:val="41"/>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（m）</w:t>
                  </w:r>
                </w:p>
              </w:tc>
            </w:tr>
            <w:tr w14:paraId="71049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69" w:type="pct"/>
                  <w:vMerge w:val="continue"/>
                  <w:vAlign w:val="center"/>
                </w:tcPr>
                <w:p w14:paraId="130B607C">
                  <w:pPr>
                    <w:pStyle w:val="41"/>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color w:val="auto"/>
                    </w:rPr>
                  </w:pPr>
                </w:p>
              </w:tc>
              <w:tc>
                <w:tcPr>
                  <w:tcW w:w="855" w:type="pct"/>
                  <w:vMerge w:val="continue"/>
                  <w:vAlign w:val="center"/>
                </w:tcPr>
                <w:p w14:paraId="368120BB">
                  <w:pPr>
                    <w:pStyle w:val="41"/>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color w:val="auto"/>
                    </w:rPr>
                  </w:pPr>
                </w:p>
              </w:tc>
              <w:tc>
                <w:tcPr>
                  <w:tcW w:w="1433" w:type="pct"/>
                  <w:vAlign w:val="center"/>
                </w:tcPr>
                <w:p w14:paraId="09874776">
                  <w:pPr>
                    <w:pStyle w:val="41"/>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color w:val="auto"/>
                    </w:rPr>
                  </w:pPr>
                  <w:r>
                    <w:rPr>
                      <w:rFonts w:hint="default" w:ascii="Times New Roman" w:hAnsi="Times New Roman" w:eastAsia="宋体" w:cs="Times New Roman"/>
                      <w:color w:val="auto"/>
                    </w:rPr>
                    <w:t>产量t/a</w:t>
                  </w:r>
                </w:p>
              </w:tc>
              <w:tc>
                <w:tcPr>
                  <w:tcW w:w="716" w:type="pct"/>
                  <w:vMerge w:val="continue"/>
                  <w:vAlign w:val="center"/>
                </w:tcPr>
                <w:p w14:paraId="25CD2122">
                  <w:pPr>
                    <w:pStyle w:val="41"/>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color w:val="auto"/>
                    </w:rPr>
                  </w:pPr>
                </w:p>
              </w:tc>
              <w:tc>
                <w:tcPr>
                  <w:tcW w:w="712" w:type="pct"/>
                  <w:vMerge w:val="continue"/>
                  <w:vAlign w:val="center"/>
                </w:tcPr>
                <w:p w14:paraId="497CCFB8">
                  <w:pPr>
                    <w:pStyle w:val="41"/>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color w:val="auto"/>
                    </w:rPr>
                  </w:pPr>
                </w:p>
              </w:tc>
              <w:tc>
                <w:tcPr>
                  <w:tcW w:w="712" w:type="pct"/>
                  <w:vMerge w:val="continue"/>
                  <w:vAlign w:val="center"/>
                </w:tcPr>
                <w:p w14:paraId="75951F11">
                  <w:pPr>
                    <w:pStyle w:val="41"/>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color w:val="auto"/>
                    </w:rPr>
                  </w:pPr>
                </w:p>
              </w:tc>
            </w:tr>
            <w:tr w14:paraId="594B6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569" w:type="pct"/>
                  <w:vAlign w:val="center"/>
                </w:tcPr>
                <w:p w14:paraId="448CCD45">
                  <w:pPr>
                    <w:pStyle w:val="41"/>
                    <w:keepNext w:val="0"/>
                    <w:keepLines w:val="0"/>
                    <w:pageBreakBefore w:val="0"/>
                    <w:widowControl/>
                    <w:kinsoku/>
                    <w:wordWrap/>
                    <w:overflowPunct/>
                    <w:topLinePunct w:val="0"/>
                    <w:autoSpaceDE w:val="0"/>
                    <w:autoSpaceDN w:val="0"/>
                    <w:bidi w:val="0"/>
                    <w:adjustRightInd/>
                    <w:snapToGrid/>
                    <w:ind w:firstLine="0" w:firstLineChars="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生产车间</w:t>
                  </w:r>
                </w:p>
              </w:tc>
              <w:tc>
                <w:tcPr>
                  <w:tcW w:w="855" w:type="pct"/>
                  <w:shd w:val="clear" w:color="auto" w:fill="auto"/>
                  <w:vAlign w:val="center"/>
                </w:tcPr>
                <w:p w14:paraId="68AB9A65">
                  <w:pPr>
                    <w:pStyle w:val="41"/>
                    <w:keepNext w:val="0"/>
                    <w:keepLines w:val="0"/>
                    <w:pageBreakBefore w:val="0"/>
                    <w:widowControl/>
                    <w:kinsoku/>
                    <w:wordWrap/>
                    <w:overflowPunct/>
                    <w:topLinePunct w:val="0"/>
                    <w:autoSpaceDE w:val="0"/>
                    <w:autoSpaceDN w:val="0"/>
                    <w:bidi w:val="0"/>
                    <w:adjustRightInd/>
                    <w:snapToGrid/>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非甲烷总烃</w:t>
                  </w:r>
                </w:p>
              </w:tc>
              <w:tc>
                <w:tcPr>
                  <w:tcW w:w="1433" w:type="pct"/>
                  <w:shd w:val="clear" w:color="auto" w:fill="auto"/>
                  <w:vAlign w:val="center"/>
                </w:tcPr>
                <w:p w14:paraId="62359CA9">
                  <w:pPr>
                    <w:pStyle w:val="41"/>
                    <w:keepNext w:val="0"/>
                    <w:keepLines w:val="0"/>
                    <w:pageBreakBefore w:val="0"/>
                    <w:widowControl/>
                    <w:kinsoku/>
                    <w:wordWrap/>
                    <w:overflowPunct/>
                    <w:topLinePunct w:val="0"/>
                    <w:autoSpaceDE w:val="0"/>
                    <w:autoSpaceDN w:val="0"/>
                    <w:bidi w:val="0"/>
                    <w:adjustRightInd/>
                    <w:snapToGrid/>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lang w:val="en-US" w:eastAsia="zh-CN"/>
                    </w:rPr>
                    <w:t>0.032</w:t>
                  </w:r>
                </w:p>
              </w:tc>
              <w:tc>
                <w:tcPr>
                  <w:tcW w:w="716" w:type="pct"/>
                  <w:vAlign w:val="center"/>
                </w:tcPr>
                <w:p w14:paraId="3DC7F329">
                  <w:pPr>
                    <w:pStyle w:val="41"/>
                    <w:keepNext w:val="0"/>
                    <w:keepLines w:val="0"/>
                    <w:pageBreakBefore w:val="0"/>
                    <w:widowControl/>
                    <w:kinsoku/>
                    <w:wordWrap/>
                    <w:overflowPunct/>
                    <w:topLinePunct w:val="0"/>
                    <w:autoSpaceDE w:val="0"/>
                    <w:autoSpaceDN w:val="0"/>
                    <w:bidi w:val="0"/>
                    <w:adjustRightInd/>
                    <w:snapToGrid/>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55.4</w:t>
                  </w:r>
                </w:p>
              </w:tc>
              <w:tc>
                <w:tcPr>
                  <w:tcW w:w="712" w:type="pct"/>
                  <w:vAlign w:val="center"/>
                </w:tcPr>
                <w:p w14:paraId="3AC837B9">
                  <w:pPr>
                    <w:pStyle w:val="41"/>
                    <w:keepNext w:val="0"/>
                    <w:keepLines w:val="0"/>
                    <w:pageBreakBefore w:val="0"/>
                    <w:widowControl/>
                    <w:kinsoku/>
                    <w:wordWrap/>
                    <w:overflowPunct/>
                    <w:topLinePunct w:val="0"/>
                    <w:autoSpaceDE w:val="0"/>
                    <w:autoSpaceDN w:val="0"/>
                    <w:bidi w:val="0"/>
                    <w:adjustRightInd/>
                    <w:snapToGrid/>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60</w:t>
                  </w:r>
                </w:p>
              </w:tc>
              <w:tc>
                <w:tcPr>
                  <w:tcW w:w="712" w:type="pct"/>
                  <w:vAlign w:val="center"/>
                </w:tcPr>
                <w:p w14:paraId="1EE32AC4">
                  <w:pPr>
                    <w:pStyle w:val="41"/>
                    <w:keepNext w:val="0"/>
                    <w:keepLines w:val="0"/>
                    <w:pageBreakBefore w:val="0"/>
                    <w:widowControl/>
                    <w:kinsoku/>
                    <w:wordWrap/>
                    <w:overflowPunct/>
                    <w:topLinePunct w:val="0"/>
                    <w:autoSpaceDE w:val="0"/>
                    <w:autoSpaceDN w:val="0"/>
                    <w:bidi w:val="0"/>
                    <w:adjustRightInd/>
                    <w:snapToGrid/>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9.15</w:t>
                  </w:r>
                </w:p>
              </w:tc>
            </w:tr>
          </w:tbl>
          <w:p w14:paraId="65BB6CF7">
            <w:pPr>
              <w:pStyle w:val="5"/>
              <w:kinsoku/>
              <w:ind w:left="0" w:firstLine="0"/>
              <w:rPr>
                <w:rFonts w:hint="default" w:ascii="Times New Roman" w:hAnsi="Times New Roman" w:eastAsia="宋体" w:cs="Times New Roman"/>
                <w:color w:val="0000FF"/>
                <w:lang w:eastAsia="zh-CN"/>
              </w:rPr>
            </w:pPr>
          </w:p>
          <w:p w14:paraId="5545D2AE">
            <w:pPr>
              <w:pStyle w:val="5"/>
              <w:kinsoku/>
              <w:ind w:left="0" w:firstLine="0"/>
              <w:rPr>
                <w:rFonts w:hint="default" w:ascii="Times New Roman" w:hAnsi="Times New Roman" w:eastAsia="宋体" w:cs="Times New Roman"/>
                <w:color w:val="0000FF"/>
                <w:lang w:eastAsia="zh-CN"/>
              </w:rPr>
            </w:pPr>
          </w:p>
          <w:p w14:paraId="750EDA33">
            <w:pPr>
              <w:pStyle w:val="5"/>
              <w:kinsoku/>
              <w:ind w:left="0" w:firstLine="0"/>
              <w:rPr>
                <w:rFonts w:hint="default" w:ascii="Times New Roman" w:hAnsi="Times New Roman" w:eastAsia="宋体" w:cs="Times New Roman"/>
                <w:color w:val="0000FF"/>
                <w:lang w:eastAsia="zh-CN"/>
              </w:rPr>
            </w:pPr>
          </w:p>
          <w:p w14:paraId="0105CD16">
            <w:pPr>
              <w:pStyle w:val="5"/>
              <w:kinsoku/>
              <w:ind w:left="0" w:firstLine="0"/>
              <w:rPr>
                <w:rFonts w:hint="default" w:ascii="Times New Roman" w:hAnsi="Times New Roman" w:eastAsia="宋体" w:cs="Times New Roman"/>
                <w:color w:val="0000FF"/>
                <w:lang w:eastAsia="zh-CN"/>
              </w:rPr>
            </w:pPr>
          </w:p>
          <w:p w14:paraId="31760E0B">
            <w:pPr>
              <w:pStyle w:val="5"/>
              <w:kinsoku/>
              <w:ind w:left="0" w:firstLine="0"/>
              <w:rPr>
                <w:rFonts w:hint="default" w:ascii="Times New Roman" w:hAnsi="Times New Roman" w:eastAsia="宋体" w:cs="Times New Roman"/>
                <w:color w:val="0000FF"/>
                <w:lang w:eastAsia="zh-CN"/>
              </w:rPr>
            </w:pPr>
          </w:p>
          <w:p w14:paraId="3A291340">
            <w:pPr>
              <w:pStyle w:val="5"/>
              <w:kinsoku/>
              <w:ind w:left="0" w:firstLine="0"/>
              <w:rPr>
                <w:rFonts w:hint="default" w:ascii="Times New Roman" w:hAnsi="Times New Roman" w:eastAsia="宋体" w:cs="Times New Roman"/>
                <w:color w:val="0000FF"/>
                <w:lang w:eastAsia="zh-CN"/>
              </w:rPr>
            </w:pPr>
          </w:p>
          <w:p w14:paraId="3CC9990B">
            <w:pPr>
              <w:pStyle w:val="5"/>
              <w:kinsoku/>
              <w:ind w:left="0" w:firstLine="0"/>
              <w:rPr>
                <w:rFonts w:hint="default" w:ascii="Times New Roman" w:hAnsi="Times New Roman" w:eastAsia="宋体" w:cs="Times New Roman"/>
                <w:color w:val="0000FF"/>
                <w:lang w:eastAsia="zh-CN"/>
              </w:rPr>
            </w:pPr>
          </w:p>
          <w:p w14:paraId="3BDD1659">
            <w:pPr>
              <w:pStyle w:val="5"/>
              <w:kinsoku/>
              <w:ind w:left="0" w:firstLine="0"/>
              <w:rPr>
                <w:rFonts w:hint="default" w:ascii="Times New Roman" w:hAnsi="Times New Roman" w:eastAsia="宋体" w:cs="Times New Roman"/>
                <w:color w:val="0000FF"/>
                <w:lang w:eastAsia="zh-CN"/>
              </w:rPr>
            </w:pPr>
          </w:p>
          <w:p w14:paraId="4357433A">
            <w:pPr>
              <w:pStyle w:val="5"/>
              <w:kinsoku/>
              <w:ind w:left="0" w:firstLine="0"/>
              <w:rPr>
                <w:rFonts w:hint="default" w:ascii="Times New Roman" w:hAnsi="Times New Roman" w:eastAsia="宋体" w:cs="Times New Roman"/>
                <w:color w:val="0000FF"/>
                <w:lang w:eastAsia="zh-CN"/>
              </w:rPr>
            </w:pPr>
          </w:p>
          <w:p w14:paraId="4885D170">
            <w:pPr>
              <w:pStyle w:val="5"/>
              <w:kinsoku/>
              <w:ind w:left="0" w:firstLine="0"/>
              <w:jc w:val="both"/>
              <w:rPr>
                <w:rFonts w:hint="default" w:ascii="Times New Roman" w:hAnsi="Times New Roman" w:eastAsia="宋体" w:cs="Times New Roman"/>
                <w:color w:val="0000FF"/>
                <w:lang w:val="en-US" w:eastAsia="zh-CN"/>
              </w:rPr>
            </w:pPr>
          </w:p>
        </w:tc>
      </w:tr>
    </w:tbl>
    <w:p w14:paraId="2FE3C503">
      <w:pPr>
        <w:rPr>
          <w:rFonts w:hint="default" w:ascii="Times New Roman" w:hAnsi="Times New Roman" w:eastAsia="宋体" w:cs="Times New Roman"/>
          <w:color w:val="0000FF"/>
        </w:rPr>
        <w:sectPr>
          <w:footerReference r:id="rId7" w:type="default"/>
          <w:pgSz w:w="16838" w:h="11906" w:orient="landscape"/>
          <w:pgMar w:top="1531" w:right="1440" w:bottom="1531" w:left="1440" w:header="851" w:footer="992" w:gutter="0"/>
          <w:pgNumType w:start="46"/>
          <w:cols w:space="425" w:num="1"/>
          <w:docGrid w:type="lines" w:linePitch="312" w:charSpace="0"/>
        </w:sect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
        <w:gridCol w:w="8595"/>
      </w:tblGrid>
      <w:tr w14:paraId="5B299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8" w:hRule="atLeast"/>
        </w:trPr>
        <w:tc>
          <w:tcPr>
            <w:tcW w:w="466" w:type="dxa"/>
          </w:tcPr>
          <w:p w14:paraId="6EE00281">
            <w:pPr>
              <w:pStyle w:val="5"/>
              <w:keepNext w:val="0"/>
              <w:keepLines w:val="0"/>
              <w:pageBreakBefore w:val="0"/>
              <w:widowControl/>
              <w:kinsoku/>
              <w:wordWrap/>
              <w:overflowPunct/>
              <w:bidi w:val="0"/>
              <w:rPr>
                <w:rFonts w:hint="default" w:ascii="Times New Roman" w:hAnsi="Times New Roman" w:eastAsia="宋体" w:cs="Times New Roman"/>
                <w:color w:val="0000FF"/>
              </w:rPr>
            </w:pPr>
          </w:p>
        </w:tc>
        <w:tc>
          <w:tcPr>
            <w:tcW w:w="8595" w:type="dxa"/>
          </w:tcPr>
          <w:p w14:paraId="22CD0733">
            <w:pPr>
              <w:keepNext w:val="0"/>
              <w:keepLines w:val="0"/>
              <w:pageBreakBefore w:val="0"/>
              <w:widowControl/>
              <w:kinsoku/>
              <w:wordWrap/>
              <w:overflowPunct/>
              <w:topLinePunct w:val="0"/>
              <w:autoSpaceDE w:val="0"/>
              <w:autoSpaceDN w:val="0"/>
              <w:bidi w:val="0"/>
              <w:adjustRightInd/>
              <w:snapToGrid/>
              <w:spacing w:line="360" w:lineRule="auto"/>
              <w:textAlignment w:val="baseline"/>
              <w:rPr>
                <w:rFonts w:hint="default" w:ascii="Times New Roman" w:hAnsi="Times New Roman" w:eastAsia="宋体" w:cs="Times New Roman"/>
                <w:b/>
                <w:bCs/>
                <w:color w:val="auto"/>
                <w:sz w:val="24"/>
                <w:lang w:eastAsia="zh-CN"/>
              </w:rPr>
            </w:pPr>
            <w:r>
              <w:rPr>
                <w:rFonts w:hint="default" w:ascii="Times New Roman" w:hAnsi="Times New Roman" w:eastAsia="宋体" w:cs="Times New Roman"/>
                <w:b/>
                <w:bCs/>
                <w:color w:val="auto"/>
                <w:sz w:val="24"/>
                <w:lang w:eastAsia="zh-CN"/>
              </w:rPr>
              <w:t>2、排放口信息及自行监测</w:t>
            </w:r>
          </w:p>
          <w:p w14:paraId="2E99FE94">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bCs/>
                <w:color w:val="auto"/>
                <w:sz w:val="24"/>
                <w:szCs w:val="32"/>
                <w:lang w:eastAsia="zh-CN"/>
              </w:rPr>
            </w:pPr>
            <w:r>
              <w:rPr>
                <w:rFonts w:hint="default" w:ascii="Times New Roman" w:hAnsi="Times New Roman" w:eastAsia="宋体" w:cs="Times New Roman"/>
                <w:bCs/>
                <w:color w:val="auto"/>
                <w:sz w:val="24"/>
                <w:szCs w:val="32"/>
                <w:lang w:eastAsia="zh-CN"/>
              </w:rPr>
              <w:t>根据</w:t>
            </w:r>
            <w:r>
              <w:rPr>
                <w:rFonts w:hint="default" w:ascii="Times New Roman" w:hAnsi="Times New Roman" w:eastAsia="宋体" w:cs="Times New Roman"/>
                <w:bCs/>
                <w:color w:val="auto"/>
                <w:sz w:val="24"/>
                <w:szCs w:val="32"/>
                <w:lang w:val="en-US" w:eastAsia="zh-CN"/>
              </w:rPr>
              <w:t>参考</w:t>
            </w:r>
            <w:r>
              <w:rPr>
                <w:rFonts w:hint="default" w:ascii="Times New Roman" w:hAnsi="Times New Roman" w:eastAsia="宋体" w:cs="Times New Roman"/>
                <w:snapToGrid/>
                <w:color w:val="auto"/>
                <w:spacing w:val="0"/>
                <w:kern w:val="0"/>
                <w:position w:val="0"/>
                <w:sz w:val="24"/>
                <w:szCs w:val="24"/>
                <w:lang w:val="en-US" w:eastAsia="zh-CN"/>
              </w:rPr>
              <w:t>《排污单位自行监测技</w:t>
            </w:r>
            <w:r>
              <w:rPr>
                <w:rFonts w:hint="default" w:ascii="Times New Roman" w:hAnsi="Times New Roman" w:eastAsia="宋体" w:cs="Times New Roman"/>
                <w:bCs/>
                <w:color w:val="auto"/>
                <w:sz w:val="24"/>
                <w:szCs w:val="32"/>
                <w:lang w:val="en-US" w:eastAsia="zh-CN"/>
              </w:rPr>
              <w:t>术指南 总则》（HJ819-2017）</w:t>
            </w:r>
            <w:r>
              <w:rPr>
                <w:rFonts w:hint="default" w:ascii="Times New Roman" w:hAnsi="Times New Roman" w:eastAsia="宋体" w:cs="Times New Roman"/>
                <w:bCs/>
                <w:color w:val="auto"/>
                <w:sz w:val="24"/>
                <w:szCs w:val="32"/>
                <w:lang w:eastAsia="zh-CN"/>
              </w:rPr>
              <w:t>中相关要求，项目在投入运行后，需定期对项目污染源开展监测活动，具体如下所示。</w:t>
            </w:r>
          </w:p>
          <w:p w14:paraId="64C83F71">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sz w:val="24"/>
                <w:lang w:eastAsia="zh-CN"/>
              </w:rPr>
              <w:t>表4-</w:t>
            </w:r>
            <w:r>
              <w:rPr>
                <w:rFonts w:hint="default" w:ascii="Times New Roman" w:hAnsi="Times New Roman" w:eastAsia="宋体" w:cs="Times New Roman"/>
                <w:b/>
                <w:bCs/>
                <w:color w:val="auto"/>
                <w:sz w:val="24"/>
                <w:lang w:val="en-US" w:eastAsia="zh-CN"/>
              </w:rPr>
              <w:t>3</w:t>
            </w:r>
            <w:r>
              <w:rPr>
                <w:rFonts w:hint="default" w:ascii="Times New Roman" w:hAnsi="Times New Roman" w:eastAsia="宋体" w:cs="Times New Roman"/>
                <w:b/>
                <w:bCs/>
                <w:color w:val="auto"/>
                <w:sz w:val="24"/>
                <w:lang w:eastAsia="zh-CN"/>
              </w:rPr>
              <w:t>排放口信息及自行监测一览表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1480"/>
              <w:gridCol w:w="856"/>
              <w:gridCol w:w="921"/>
              <w:gridCol w:w="1582"/>
              <w:gridCol w:w="1471"/>
              <w:gridCol w:w="1166"/>
            </w:tblGrid>
            <w:tr w14:paraId="243EB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93" w:type="dxa"/>
                  <w:vMerge w:val="restart"/>
                  <w:tcBorders>
                    <w:top w:val="single" w:color="auto" w:sz="4" w:space="0"/>
                    <w:left w:val="single" w:color="auto" w:sz="4" w:space="0"/>
                    <w:bottom w:val="single" w:color="auto" w:sz="4" w:space="0"/>
                    <w:right w:val="single" w:color="auto" w:sz="4" w:space="0"/>
                  </w:tcBorders>
                  <w:vAlign w:val="center"/>
                </w:tcPr>
                <w:p w14:paraId="7136BD6C">
                  <w:pPr>
                    <w:keepNext w:val="0"/>
                    <w:keepLines w:val="0"/>
                    <w:pageBreakBefore w:val="0"/>
                    <w:widowControl/>
                    <w:kinsoku/>
                    <w:wordWrap/>
                    <w:overflowPunct/>
                    <w:bidi w:val="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排放口编号</w:t>
                  </w:r>
                </w:p>
              </w:tc>
              <w:tc>
                <w:tcPr>
                  <w:tcW w:w="1480" w:type="dxa"/>
                  <w:vMerge w:val="restart"/>
                  <w:tcBorders>
                    <w:top w:val="single" w:color="auto" w:sz="4" w:space="0"/>
                    <w:left w:val="nil"/>
                    <w:bottom w:val="single" w:color="auto" w:sz="4" w:space="0"/>
                    <w:right w:val="single" w:color="auto" w:sz="4" w:space="0"/>
                  </w:tcBorders>
                  <w:vAlign w:val="center"/>
                </w:tcPr>
                <w:p w14:paraId="5C0DBD3C">
                  <w:pPr>
                    <w:keepNext w:val="0"/>
                    <w:keepLines w:val="0"/>
                    <w:pageBreakBefore w:val="0"/>
                    <w:widowControl/>
                    <w:kinsoku/>
                    <w:wordWrap/>
                    <w:overflowPunct/>
                    <w:bidi w:val="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污染物种类</w:t>
                  </w:r>
                </w:p>
              </w:tc>
              <w:tc>
                <w:tcPr>
                  <w:tcW w:w="856" w:type="dxa"/>
                  <w:vMerge w:val="restart"/>
                  <w:tcBorders>
                    <w:top w:val="single" w:color="auto" w:sz="4" w:space="0"/>
                    <w:left w:val="nil"/>
                    <w:bottom w:val="single" w:color="auto" w:sz="4" w:space="0"/>
                    <w:right w:val="single" w:color="auto" w:sz="4" w:space="0"/>
                  </w:tcBorders>
                  <w:vAlign w:val="center"/>
                </w:tcPr>
                <w:p w14:paraId="1621A14F">
                  <w:pPr>
                    <w:keepNext w:val="0"/>
                    <w:keepLines w:val="0"/>
                    <w:pageBreakBefore w:val="0"/>
                    <w:widowControl/>
                    <w:kinsoku/>
                    <w:wordWrap/>
                    <w:overflowPunct/>
                    <w:bidi w:val="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排气筒高度m</w:t>
                  </w:r>
                </w:p>
              </w:tc>
              <w:tc>
                <w:tcPr>
                  <w:tcW w:w="921" w:type="dxa"/>
                  <w:vMerge w:val="restart"/>
                  <w:tcBorders>
                    <w:top w:val="single" w:color="auto" w:sz="4" w:space="0"/>
                    <w:left w:val="nil"/>
                    <w:bottom w:val="single" w:color="auto" w:sz="4" w:space="0"/>
                    <w:right w:val="single" w:color="auto" w:sz="4" w:space="0"/>
                  </w:tcBorders>
                  <w:vAlign w:val="center"/>
                </w:tcPr>
                <w:p w14:paraId="23360681">
                  <w:pPr>
                    <w:keepNext w:val="0"/>
                    <w:keepLines w:val="0"/>
                    <w:pageBreakBefore w:val="0"/>
                    <w:widowControl/>
                    <w:kinsoku/>
                    <w:wordWrap/>
                    <w:overflowPunct/>
                    <w:bidi w:val="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内径m</w:t>
                  </w:r>
                </w:p>
              </w:tc>
              <w:tc>
                <w:tcPr>
                  <w:tcW w:w="3053" w:type="dxa"/>
                  <w:gridSpan w:val="2"/>
                  <w:tcBorders>
                    <w:top w:val="single" w:color="auto" w:sz="4" w:space="0"/>
                    <w:left w:val="nil"/>
                    <w:bottom w:val="single" w:color="auto" w:sz="4" w:space="0"/>
                    <w:right w:val="single" w:color="auto" w:sz="4" w:space="0"/>
                  </w:tcBorders>
                  <w:vAlign w:val="center"/>
                </w:tcPr>
                <w:p w14:paraId="6AA43C2E">
                  <w:pPr>
                    <w:keepNext w:val="0"/>
                    <w:keepLines w:val="0"/>
                    <w:pageBreakBefore w:val="0"/>
                    <w:widowControl/>
                    <w:kinsoku/>
                    <w:wordWrap/>
                    <w:overflowPunct/>
                    <w:bidi w:val="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坐标</w:t>
                  </w:r>
                </w:p>
              </w:tc>
              <w:tc>
                <w:tcPr>
                  <w:tcW w:w="1166" w:type="dxa"/>
                  <w:vMerge w:val="restart"/>
                  <w:tcBorders>
                    <w:top w:val="single" w:color="auto" w:sz="4" w:space="0"/>
                    <w:left w:val="nil"/>
                    <w:right w:val="single" w:color="auto" w:sz="4" w:space="0"/>
                  </w:tcBorders>
                  <w:vAlign w:val="center"/>
                </w:tcPr>
                <w:p w14:paraId="39A5AF31">
                  <w:pPr>
                    <w:keepNext w:val="0"/>
                    <w:keepLines w:val="0"/>
                    <w:pageBreakBefore w:val="0"/>
                    <w:widowControl/>
                    <w:kinsoku/>
                    <w:wordWrap/>
                    <w:overflowPunct/>
                    <w:bidi w:val="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监测频次</w:t>
                  </w:r>
                </w:p>
              </w:tc>
            </w:tr>
            <w:tr w14:paraId="5FDF4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14:paraId="14CBB31E">
                  <w:pPr>
                    <w:keepNext w:val="0"/>
                    <w:keepLines w:val="0"/>
                    <w:pageBreakBefore w:val="0"/>
                    <w:widowControl/>
                    <w:kinsoku/>
                    <w:wordWrap/>
                    <w:overflowPunct/>
                    <w:bidi w:val="0"/>
                    <w:jc w:val="center"/>
                    <w:rPr>
                      <w:rFonts w:hint="default" w:ascii="Times New Roman" w:hAnsi="Times New Roman" w:eastAsia="宋体" w:cs="Times New Roman"/>
                      <w:color w:val="auto"/>
                      <w:lang w:eastAsia="zh-CN"/>
                    </w:rPr>
                  </w:pPr>
                </w:p>
              </w:tc>
              <w:tc>
                <w:tcPr>
                  <w:tcW w:w="1480" w:type="dxa"/>
                  <w:vMerge w:val="continue"/>
                  <w:tcBorders>
                    <w:top w:val="single" w:color="auto" w:sz="4" w:space="0"/>
                    <w:left w:val="nil"/>
                    <w:bottom w:val="single" w:color="auto" w:sz="4" w:space="0"/>
                    <w:right w:val="single" w:color="auto" w:sz="4" w:space="0"/>
                  </w:tcBorders>
                  <w:vAlign w:val="center"/>
                </w:tcPr>
                <w:p w14:paraId="65A34B81">
                  <w:pPr>
                    <w:keepNext w:val="0"/>
                    <w:keepLines w:val="0"/>
                    <w:pageBreakBefore w:val="0"/>
                    <w:widowControl/>
                    <w:kinsoku/>
                    <w:wordWrap/>
                    <w:overflowPunct/>
                    <w:bidi w:val="0"/>
                    <w:jc w:val="center"/>
                    <w:rPr>
                      <w:rFonts w:hint="default" w:ascii="Times New Roman" w:hAnsi="Times New Roman" w:eastAsia="宋体" w:cs="Times New Roman"/>
                      <w:color w:val="auto"/>
                      <w:lang w:eastAsia="zh-CN"/>
                    </w:rPr>
                  </w:pPr>
                </w:p>
              </w:tc>
              <w:tc>
                <w:tcPr>
                  <w:tcW w:w="856" w:type="dxa"/>
                  <w:vMerge w:val="continue"/>
                  <w:tcBorders>
                    <w:top w:val="single" w:color="auto" w:sz="4" w:space="0"/>
                    <w:left w:val="nil"/>
                    <w:bottom w:val="single" w:color="auto" w:sz="4" w:space="0"/>
                    <w:right w:val="single" w:color="auto" w:sz="4" w:space="0"/>
                  </w:tcBorders>
                  <w:vAlign w:val="center"/>
                </w:tcPr>
                <w:p w14:paraId="44948A40">
                  <w:pPr>
                    <w:keepNext w:val="0"/>
                    <w:keepLines w:val="0"/>
                    <w:pageBreakBefore w:val="0"/>
                    <w:widowControl/>
                    <w:kinsoku/>
                    <w:wordWrap/>
                    <w:overflowPunct/>
                    <w:bidi w:val="0"/>
                    <w:jc w:val="center"/>
                    <w:rPr>
                      <w:rFonts w:hint="default" w:ascii="Times New Roman" w:hAnsi="Times New Roman" w:eastAsia="宋体" w:cs="Times New Roman"/>
                      <w:color w:val="auto"/>
                      <w:lang w:eastAsia="zh-CN"/>
                    </w:rPr>
                  </w:pPr>
                </w:p>
              </w:tc>
              <w:tc>
                <w:tcPr>
                  <w:tcW w:w="921" w:type="dxa"/>
                  <w:vMerge w:val="continue"/>
                  <w:tcBorders>
                    <w:top w:val="single" w:color="auto" w:sz="4" w:space="0"/>
                    <w:left w:val="nil"/>
                    <w:bottom w:val="single" w:color="auto" w:sz="4" w:space="0"/>
                    <w:right w:val="single" w:color="auto" w:sz="4" w:space="0"/>
                  </w:tcBorders>
                  <w:vAlign w:val="center"/>
                </w:tcPr>
                <w:p w14:paraId="118892CB">
                  <w:pPr>
                    <w:keepNext w:val="0"/>
                    <w:keepLines w:val="0"/>
                    <w:pageBreakBefore w:val="0"/>
                    <w:widowControl/>
                    <w:kinsoku/>
                    <w:wordWrap/>
                    <w:overflowPunct/>
                    <w:bidi w:val="0"/>
                    <w:jc w:val="center"/>
                    <w:rPr>
                      <w:rFonts w:hint="default" w:ascii="Times New Roman" w:hAnsi="Times New Roman" w:eastAsia="宋体" w:cs="Times New Roman"/>
                      <w:color w:val="auto"/>
                      <w:lang w:eastAsia="zh-CN"/>
                    </w:rPr>
                  </w:pPr>
                </w:p>
              </w:tc>
              <w:tc>
                <w:tcPr>
                  <w:tcW w:w="1582" w:type="dxa"/>
                  <w:tcBorders>
                    <w:top w:val="single" w:color="auto" w:sz="4" w:space="0"/>
                    <w:left w:val="nil"/>
                    <w:bottom w:val="single" w:color="auto" w:sz="4" w:space="0"/>
                    <w:right w:val="single" w:color="auto" w:sz="4" w:space="0"/>
                  </w:tcBorders>
                  <w:vAlign w:val="center"/>
                </w:tcPr>
                <w:p w14:paraId="3F742B8C">
                  <w:pPr>
                    <w:keepNext w:val="0"/>
                    <w:keepLines w:val="0"/>
                    <w:pageBreakBefore w:val="0"/>
                    <w:widowControl/>
                    <w:kinsoku/>
                    <w:wordWrap/>
                    <w:overflowPunct/>
                    <w:bidi w:val="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经度</w:t>
                  </w:r>
                </w:p>
              </w:tc>
              <w:tc>
                <w:tcPr>
                  <w:tcW w:w="1471" w:type="dxa"/>
                  <w:tcBorders>
                    <w:top w:val="single" w:color="auto" w:sz="4" w:space="0"/>
                    <w:left w:val="nil"/>
                    <w:bottom w:val="single" w:color="auto" w:sz="4" w:space="0"/>
                    <w:right w:val="single" w:color="auto" w:sz="4" w:space="0"/>
                  </w:tcBorders>
                  <w:vAlign w:val="center"/>
                </w:tcPr>
                <w:p w14:paraId="66B75D5E">
                  <w:pPr>
                    <w:keepNext w:val="0"/>
                    <w:keepLines w:val="0"/>
                    <w:pageBreakBefore w:val="0"/>
                    <w:widowControl/>
                    <w:kinsoku/>
                    <w:wordWrap/>
                    <w:overflowPunct/>
                    <w:bidi w:val="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纬度</w:t>
                  </w:r>
                </w:p>
              </w:tc>
              <w:tc>
                <w:tcPr>
                  <w:tcW w:w="1166" w:type="dxa"/>
                  <w:vMerge w:val="continue"/>
                  <w:tcBorders>
                    <w:left w:val="nil"/>
                    <w:bottom w:val="single" w:color="auto" w:sz="4" w:space="0"/>
                    <w:right w:val="single" w:color="auto" w:sz="4" w:space="0"/>
                  </w:tcBorders>
                  <w:vAlign w:val="center"/>
                </w:tcPr>
                <w:p w14:paraId="2385D23E">
                  <w:pPr>
                    <w:keepNext w:val="0"/>
                    <w:keepLines w:val="0"/>
                    <w:pageBreakBefore w:val="0"/>
                    <w:widowControl/>
                    <w:kinsoku/>
                    <w:wordWrap/>
                    <w:overflowPunct/>
                    <w:bidi w:val="0"/>
                    <w:jc w:val="center"/>
                    <w:rPr>
                      <w:rFonts w:hint="default" w:ascii="Times New Roman" w:hAnsi="Times New Roman" w:eastAsia="宋体" w:cs="Times New Roman"/>
                      <w:color w:val="auto"/>
                      <w:lang w:eastAsia="zh-CN"/>
                    </w:rPr>
                  </w:pPr>
                </w:p>
              </w:tc>
            </w:tr>
            <w:tr w14:paraId="29835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93" w:type="dxa"/>
                  <w:tcBorders>
                    <w:top w:val="single" w:color="auto" w:sz="4" w:space="0"/>
                    <w:left w:val="single" w:color="auto" w:sz="4" w:space="0"/>
                    <w:right w:val="single" w:color="auto" w:sz="4" w:space="0"/>
                  </w:tcBorders>
                  <w:vAlign w:val="center"/>
                </w:tcPr>
                <w:p w14:paraId="13D9F9AD">
                  <w:pPr>
                    <w:keepNext w:val="0"/>
                    <w:keepLines w:val="0"/>
                    <w:pageBreakBefore w:val="0"/>
                    <w:widowControl/>
                    <w:kinsoku/>
                    <w:wordWrap/>
                    <w:overflowPunct/>
                    <w:bidi w:val="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DA003</w:t>
                  </w:r>
                </w:p>
              </w:tc>
              <w:tc>
                <w:tcPr>
                  <w:tcW w:w="1480" w:type="dxa"/>
                  <w:tcBorders>
                    <w:top w:val="single" w:color="auto" w:sz="4" w:space="0"/>
                    <w:left w:val="nil"/>
                    <w:bottom w:val="single" w:color="auto" w:sz="4" w:space="0"/>
                    <w:right w:val="single" w:color="auto" w:sz="4" w:space="0"/>
                  </w:tcBorders>
                  <w:vAlign w:val="center"/>
                </w:tcPr>
                <w:p w14:paraId="2C4C14E0">
                  <w:pPr>
                    <w:pStyle w:val="41"/>
                    <w:keepNext w:val="0"/>
                    <w:keepLines w:val="0"/>
                    <w:pageBreakBefore w:val="0"/>
                    <w:widowControl/>
                    <w:kinsoku/>
                    <w:wordWrap/>
                    <w:overflowPunct/>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非甲烷总烃</w:t>
                  </w:r>
                </w:p>
              </w:tc>
              <w:tc>
                <w:tcPr>
                  <w:tcW w:w="856" w:type="dxa"/>
                  <w:tcBorders>
                    <w:top w:val="single" w:color="auto" w:sz="4" w:space="0"/>
                    <w:left w:val="nil"/>
                    <w:right w:val="single" w:color="auto" w:sz="4" w:space="0"/>
                  </w:tcBorders>
                  <w:vAlign w:val="center"/>
                </w:tcPr>
                <w:p w14:paraId="7DC9A399">
                  <w:pPr>
                    <w:keepNext w:val="0"/>
                    <w:keepLines w:val="0"/>
                    <w:pageBreakBefore w:val="0"/>
                    <w:widowControl/>
                    <w:kinsoku/>
                    <w:wordWrap/>
                    <w:overflowPunct/>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15</w:t>
                  </w:r>
                </w:p>
              </w:tc>
              <w:tc>
                <w:tcPr>
                  <w:tcW w:w="921" w:type="dxa"/>
                  <w:tcBorders>
                    <w:top w:val="single" w:color="auto" w:sz="4" w:space="0"/>
                    <w:left w:val="nil"/>
                    <w:right w:val="single" w:color="auto" w:sz="4" w:space="0"/>
                  </w:tcBorders>
                  <w:vAlign w:val="center"/>
                </w:tcPr>
                <w:p w14:paraId="3B9616B3">
                  <w:pPr>
                    <w:keepNext w:val="0"/>
                    <w:keepLines w:val="0"/>
                    <w:pageBreakBefore w:val="0"/>
                    <w:widowControl/>
                    <w:kinsoku/>
                    <w:wordWrap/>
                    <w:overflowPunct/>
                    <w:bidi w:val="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0.6</w:t>
                  </w:r>
                </w:p>
              </w:tc>
              <w:tc>
                <w:tcPr>
                  <w:tcW w:w="1582" w:type="dxa"/>
                  <w:tcBorders>
                    <w:top w:val="single" w:color="auto" w:sz="4" w:space="0"/>
                    <w:left w:val="nil"/>
                    <w:right w:val="single" w:color="auto" w:sz="4" w:space="0"/>
                  </w:tcBorders>
                  <w:vAlign w:val="center"/>
                </w:tcPr>
                <w:p w14:paraId="07F19D15">
                  <w:pPr>
                    <w:keepNext w:val="0"/>
                    <w:keepLines w:val="0"/>
                    <w:pageBreakBefore w:val="0"/>
                    <w:widowControl/>
                    <w:kinsoku/>
                    <w:wordWrap/>
                    <w:overflowPunct/>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117°9′34.231″</w:t>
                  </w:r>
                </w:p>
              </w:tc>
              <w:tc>
                <w:tcPr>
                  <w:tcW w:w="1471" w:type="dxa"/>
                  <w:tcBorders>
                    <w:top w:val="single" w:color="auto" w:sz="4" w:space="0"/>
                    <w:left w:val="nil"/>
                    <w:right w:val="single" w:color="auto" w:sz="4" w:space="0"/>
                  </w:tcBorders>
                  <w:vAlign w:val="center"/>
                </w:tcPr>
                <w:p w14:paraId="5B23F01D">
                  <w:pPr>
                    <w:keepNext w:val="0"/>
                    <w:keepLines w:val="0"/>
                    <w:pageBreakBefore w:val="0"/>
                    <w:widowControl/>
                    <w:kinsoku/>
                    <w:wordWrap/>
                    <w:overflowPunct/>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34°4′9.838″</w:t>
                  </w:r>
                </w:p>
              </w:tc>
              <w:tc>
                <w:tcPr>
                  <w:tcW w:w="1166" w:type="dxa"/>
                  <w:tcBorders>
                    <w:top w:val="single" w:color="auto" w:sz="4" w:space="0"/>
                    <w:left w:val="nil"/>
                    <w:right w:val="single" w:color="auto" w:sz="4" w:space="0"/>
                  </w:tcBorders>
                  <w:vAlign w:val="center"/>
                </w:tcPr>
                <w:p w14:paraId="0CBF7F4D">
                  <w:pPr>
                    <w:keepNext w:val="0"/>
                    <w:keepLines w:val="0"/>
                    <w:pageBreakBefore w:val="0"/>
                    <w:widowControl/>
                    <w:kinsoku/>
                    <w:wordWrap/>
                    <w:overflowPunct/>
                    <w:bidi w:val="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1次/年</w:t>
                  </w:r>
                </w:p>
              </w:tc>
            </w:tr>
            <w:tr w14:paraId="5E99E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93" w:type="dxa"/>
                  <w:tcBorders>
                    <w:left w:val="single" w:color="auto" w:sz="4" w:space="0"/>
                    <w:right w:val="single" w:color="auto" w:sz="4" w:space="0"/>
                  </w:tcBorders>
                  <w:vAlign w:val="center"/>
                </w:tcPr>
                <w:p w14:paraId="31FBC75C">
                  <w:pPr>
                    <w:keepNext w:val="0"/>
                    <w:keepLines w:val="0"/>
                    <w:pageBreakBefore w:val="0"/>
                    <w:widowControl/>
                    <w:kinsoku/>
                    <w:wordWrap/>
                    <w:overflowPunct/>
                    <w:bidi w:val="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厂界</w:t>
                  </w:r>
                </w:p>
              </w:tc>
              <w:tc>
                <w:tcPr>
                  <w:tcW w:w="1480" w:type="dxa"/>
                  <w:tcBorders>
                    <w:top w:val="single" w:color="auto" w:sz="4" w:space="0"/>
                    <w:left w:val="nil"/>
                    <w:bottom w:val="single" w:color="auto" w:sz="4" w:space="0"/>
                    <w:right w:val="single" w:color="auto" w:sz="4" w:space="0"/>
                  </w:tcBorders>
                  <w:shd w:val="clear" w:color="auto" w:fill="auto"/>
                  <w:vAlign w:val="center"/>
                </w:tcPr>
                <w:p w14:paraId="231BE100">
                  <w:pPr>
                    <w:pStyle w:val="41"/>
                    <w:keepNext w:val="0"/>
                    <w:keepLines w:val="0"/>
                    <w:pageBreakBefore w:val="0"/>
                    <w:widowControl/>
                    <w:kinsoku/>
                    <w:wordWrap/>
                    <w:overflowPunct/>
                    <w:bidi w:val="0"/>
                    <w:ind w:firstLine="0" w:firstLineChars="0"/>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lang w:eastAsia="zh-CN"/>
                    </w:rPr>
                    <w:t>非甲烷总烃</w:t>
                  </w:r>
                </w:p>
              </w:tc>
              <w:tc>
                <w:tcPr>
                  <w:tcW w:w="856" w:type="dxa"/>
                  <w:tcBorders>
                    <w:left w:val="nil"/>
                    <w:right w:val="single" w:color="auto" w:sz="4" w:space="0"/>
                  </w:tcBorders>
                  <w:shd w:val="clear" w:color="auto" w:fill="auto"/>
                  <w:vAlign w:val="center"/>
                </w:tcPr>
                <w:p w14:paraId="7F9388E6">
                  <w:pPr>
                    <w:keepNext w:val="0"/>
                    <w:keepLines w:val="0"/>
                    <w:pageBreakBefore w:val="0"/>
                    <w:widowControl/>
                    <w:kinsoku/>
                    <w:wordWrap/>
                    <w:overflowPunct/>
                    <w:bidi w:val="0"/>
                    <w:jc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lang w:eastAsia="zh-CN"/>
                    </w:rPr>
                    <w:t>/</w:t>
                  </w:r>
                </w:p>
              </w:tc>
              <w:tc>
                <w:tcPr>
                  <w:tcW w:w="921" w:type="dxa"/>
                  <w:tcBorders>
                    <w:left w:val="nil"/>
                    <w:right w:val="single" w:color="auto" w:sz="4" w:space="0"/>
                  </w:tcBorders>
                  <w:shd w:val="clear" w:color="auto" w:fill="auto"/>
                  <w:vAlign w:val="center"/>
                </w:tcPr>
                <w:p w14:paraId="59F7DFD5">
                  <w:pPr>
                    <w:keepNext w:val="0"/>
                    <w:keepLines w:val="0"/>
                    <w:pageBreakBefore w:val="0"/>
                    <w:widowControl/>
                    <w:kinsoku/>
                    <w:wordWrap/>
                    <w:overflowPunct/>
                    <w:bidi w:val="0"/>
                    <w:jc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lang w:eastAsia="zh-CN"/>
                    </w:rPr>
                    <w:t>/</w:t>
                  </w:r>
                </w:p>
              </w:tc>
              <w:tc>
                <w:tcPr>
                  <w:tcW w:w="1582" w:type="dxa"/>
                  <w:tcBorders>
                    <w:left w:val="nil"/>
                    <w:right w:val="single" w:color="auto" w:sz="4" w:space="0"/>
                  </w:tcBorders>
                  <w:shd w:val="clear" w:color="auto" w:fill="auto"/>
                  <w:vAlign w:val="center"/>
                </w:tcPr>
                <w:p w14:paraId="1552C706">
                  <w:pPr>
                    <w:keepNext w:val="0"/>
                    <w:keepLines w:val="0"/>
                    <w:pageBreakBefore w:val="0"/>
                    <w:widowControl/>
                    <w:kinsoku/>
                    <w:wordWrap/>
                    <w:overflowPunct/>
                    <w:bidi w:val="0"/>
                    <w:jc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lang w:eastAsia="zh-CN"/>
                    </w:rPr>
                    <w:t>/</w:t>
                  </w:r>
                </w:p>
              </w:tc>
              <w:tc>
                <w:tcPr>
                  <w:tcW w:w="1471" w:type="dxa"/>
                  <w:tcBorders>
                    <w:left w:val="nil"/>
                    <w:right w:val="single" w:color="auto" w:sz="4" w:space="0"/>
                  </w:tcBorders>
                  <w:shd w:val="clear" w:color="auto" w:fill="auto"/>
                  <w:vAlign w:val="center"/>
                </w:tcPr>
                <w:p w14:paraId="23A9E016">
                  <w:pPr>
                    <w:keepNext w:val="0"/>
                    <w:keepLines w:val="0"/>
                    <w:pageBreakBefore w:val="0"/>
                    <w:widowControl/>
                    <w:kinsoku/>
                    <w:wordWrap/>
                    <w:overflowPunct/>
                    <w:bidi w:val="0"/>
                    <w:jc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lang w:eastAsia="zh-CN"/>
                    </w:rPr>
                    <w:t>/</w:t>
                  </w:r>
                </w:p>
              </w:tc>
              <w:tc>
                <w:tcPr>
                  <w:tcW w:w="1166" w:type="dxa"/>
                  <w:tcBorders>
                    <w:left w:val="nil"/>
                    <w:right w:val="single" w:color="auto" w:sz="4" w:space="0"/>
                  </w:tcBorders>
                  <w:shd w:val="clear" w:color="auto" w:fill="auto"/>
                  <w:vAlign w:val="center"/>
                </w:tcPr>
                <w:p w14:paraId="47067A98">
                  <w:pPr>
                    <w:keepNext w:val="0"/>
                    <w:keepLines w:val="0"/>
                    <w:pageBreakBefore w:val="0"/>
                    <w:widowControl/>
                    <w:kinsoku/>
                    <w:wordWrap/>
                    <w:overflowPunct/>
                    <w:bidi w:val="0"/>
                    <w:jc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lang w:eastAsia="zh-CN"/>
                    </w:rPr>
                    <w:t>1次/年</w:t>
                  </w:r>
                </w:p>
              </w:tc>
            </w:tr>
            <w:tr w14:paraId="43ADC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93" w:type="dxa"/>
                  <w:tcBorders>
                    <w:left w:val="single" w:color="auto" w:sz="4" w:space="0"/>
                    <w:right w:val="single" w:color="auto" w:sz="4" w:space="0"/>
                  </w:tcBorders>
                  <w:vAlign w:val="center"/>
                </w:tcPr>
                <w:p w14:paraId="6494AFE8">
                  <w:pPr>
                    <w:keepNext w:val="0"/>
                    <w:keepLines w:val="0"/>
                    <w:pageBreakBefore w:val="0"/>
                    <w:widowControl/>
                    <w:kinsoku/>
                    <w:wordWrap/>
                    <w:overflowPunct/>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厂内</w:t>
                  </w:r>
                </w:p>
              </w:tc>
              <w:tc>
                <w:tcPr>
                  <w:tcW w:w="1480" w:type="dxa"/>
                  <w:tcBorders>
                    <w:top w:val="single" w:color="auto" w:sz="4" w:space="0"/>
                    <w:left w:val="nil"/>
                    <w:bottom w:val="single" w:color="auto" w:sz="4" w:space="0"/>
                    <w:right w:val="single" w:color="auto" w:sz="4" w:space="0"/>
                  </w:tcBorders>
                  <w:shd w:val="clear" w:color="auto" w:fill="auto"/>
                  <w:vAlign w:val="center"/>
                </w:tcPr>
                <w:p w14:paraId="66151851">
                  <w:pPr>
                    <w:pStyle w:val="41"/>
                    <w:keepNext w:val="0"/>
                    <w:keepLines w:val="0"/>
                    <w:pageBreakBefore w:val="0"/>
                    <w:widowControl/>
                    <w:kinsoku/>
                    <w:wordWrap/>
                    <w:overflowPunct/>
                    <w:bidi w:val="0"/>
                    <w:ind w:firstLine="0" w:firstLineChars="0"/>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lang w:eastAsia="zh-CN"/>
                    </w:rPr>
                    <w:t>非甲烷总烃</w:t>
                  </w:r>
                </w:p>
              </w:tc>
              <w:tc>
                <w:tcPr>
                  <w:tcW w:w="856" w:type="dxa"/>
                  <w:tcBorders>
                    <w:left w:val="nil"/>
                    <w:right w:val="single" w:color="auto" w:sz="4" w:space="0"/>
                  </w:tcBorders>
                  <w:shd w:val="clear" w:color="auto" w:fill="auto"/>
                  <w:vAlign w:val="center"/>
                </w:tcPr>
                <w:p w14:paraId="5DD6147C">
                  <w:pPr>
                    <w:keepNext w:val="0"/>
                    <w:keepLines w:val="0"/>
                    <w:pageBreakBefore w:val="0"/>
                    <w:widowControl/>
                    <w:kinsoku/>
                    <w:wordWrap/>
                    <w:overflowPunct/>
                    <w:bidi w:val="0"/>
                    <w:jc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lang w:eastAsia="zh-CN"/>
                    </w:rPr>
                    <w:t>/</w:t>
                  </w:r>
                </w:p>
              </w:tc>
              <w:tc>
                <w:tcPr>
                  <w:tcW w:w="921" w:type="dxa"/>
                  <w:tcBorders>
                    <w:left w:val="nil"/>
                    <w:right w:val="single" w:color="auto" w:sz="4" w:space="0"/>
                  </w:tcBorders>
                  <w:shd w:val="clear" w:color="auto" w:fill="auto"/>
                  <w:vAlign w:val="center"/>
                </w:tcPr>
                <w:p w14:paraId="3DFD1DD0">
                  <w:pPr>
                    <w:keepNext w:val="0"/>
                    <w:keepLines w:val="0"/>
                    <w:pageBreakBefore w:val="0"/>
                    <w:widowControl/>
                    <w:kinsoku/>
                    <w:wordWrap/>
                    <w:overflowPunct/>
                    <w:bidi w:val="0"/>
                    <w:jc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lang w:eastAsia="zh-CN"/>
                    </w:rPr>
                    <w:t>/</w:t>
                  </w:r>
                </w:p>
              </w:tc>
              <w:tc>
                <w:tcPr>
                  <w:tcW w:w="1582" w:type="dxa"/>
                  <w:tcBorders>
                    <w:left w:val="nil"/>
                    <w:right w:val="single" w:color="auto" w:sz="4" w:space="0"/>
                  </w:tcBorders>
                  <w:shd w:val="clear" w:color="auto" w:fill="auto"/>
                  <w:vAlign w:val="center"/>
                </w:tcPr>
                <w:p w14:paraId="357B656C">
                  <w:pPr>
                    <w:keepNext w:val="0"/>
                    <w:keepLines w:val="0"/>
                    <w:pageBreakBefore w:val="0"/>
                    <w:widowControl/>
                    <w:kinsoku/>
                    <w:wordWrap/>
                    <w:overflowPunct/>
                    <w:bidi w:val="0"/>
                    <w:jc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lang w:eastAsia="zh-CN"/>
                    </w:rPr>
                    <w:t>/</w:t>
                  </w:r>
                </w:p>
              </w:tc>
              <w:tc>
                <w:tcPr>
                  <w:tcW w:w="1471" w:type="dxa"/>
                  <w:tcBorders>
                    <w:left w:val="nil"/>
                    <w:right w:val="single" w:color="auto" w:sz="4" w:space="0"/>
                  </w:tcBorders>
                  <w:shd w:val="clear" w:color="auto" w:fill="auto"/>
                  <w:vAlign w:val="center"/>
                </w:tcPr>
                <w:p w14:paraId="74CBC4E9">
                  <w:pPr>
                    <w:keepNext w:val="0"/>
                    <w:keepLines w:val="0"/>
                    <w:pageBreakBefore w:val="0"/>
                    <w:widowControl/>
                    <w:kinsoku/>
                    <w:wordWrap/>
                    <w:overflowPunct/>
                    <w:bidi w:val="0"/>
                    <w:jc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lang w:eastAsia="zh-CN"/>
                    </w:rPr>
                    <w:t>/</w:t>
                  </w:r>
                </w:p>
              </w:tc>
              <w:tc>
                <w:tcPr>
                  <w:tcW w:w="1166" w:type="dxa"/>
                  <w:tcBorders>
                    <w:left w:val="nil"/>
                    <w:right w:val="single" w:color="auto" w:sz="4" w:space="0"/>
                  </w:tcBorders>
                  <w:shd w:val="clear" w:color="auto" w:fill="auto"/>
                  <w:vAlign w:val="center"/>
                </w:tcPr>
                <w:p w14:paraId="02B4E315">
                  <w:pPr>
                    <w:keepNext w:val="0"/>
                    <w:keepLines w:val="0"/>
                    <w:pageBreakBefore w:val="0"/>
                    <w:widowControl/>
                    <w:kinsoku/>
                    <w:wordWrap/>
                    <w:overflowPunct/>
                    <w:bidi w:val="0"/>
                    <w:jc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lang w:eastAsia="zh-CN"/>
                    </w:rPr>
                    <w:t>1次/年</w:t>
                  </w:r>
                </w:p>
              </w:tc>
            </w:tr>
          </w:tbl>
          <w:p w14:paraId="2765C411">
            <w:pPr>
              <w:keepNext w:val="0"/>
              <w:keepLines w:val="0"/>
              <w:pageBreakBefore w:val="0"/>
              <w:widowControl/>
              <w:kinsoku/>
              <w:wordWrap/>
              <w:overflowPunct/>
              <w:bidi w:val="0"/>
              <w:adjustRightInd/>
              <w:snapToGrid/>
              <w:spacing w:line="360" w:lineRule="auto"/>
              <w:rPr>
                <w:rFonts w:hint="default" w:ascii="Times New Roman" w:hAnsi="Times New Roman" w:eastAsia="宋体" w:cs="Times New Roman"/>
                <w:b/>
                <w:bCs/>
                <w:color w:val="auto"/>
                <w:sz w:val="24"/>
                <w:lang w:eastAsia="zh-CN"/>
              </w:rPr>
            </w:pPr>
            <w:r>
              <w:rPr>
                <w:rFonts w:hint="default" w:ascii="Times New Roman" w:hAnsi="Times New Roman" w:eastAsia="宋体" w:cs="Times New Roman"/>
                <w:b/>
                <w:bCs/>
                <w:color w:val="auto"/>
                <w:sz w:val="24"/>
                <w:lang w:eastAsia="zh-CN"/>
              </w:rPr>
              <w:t>3、废气处理措施及可行性分析</w:t>
            </w:r>
          </w:p>
          <w:p w14:paraId="55E296DF">
            <w:pPr>
              <w:pStyle w:val="51"/>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参照《排污许可证申请与核发技术规范 总则》（HJ942-2018）对于生产过程中涉及VOCs物料的废气污染治理设施工艺包括有机废气收集治理设施（焚烧、吸附、催化分解、其他）等。</w:t>
            </w:r>
          </w:p>
          <w:p w14:paraId="45E94EF8">
            <w:pPr>
              <w:pStyle w:val="51"/>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color w:val="auto"/>
                <w:sz w:val="24"/>
                <w:lang w:eastAsia="zh-CN"/>
              </w:rPr>
              <w:t>本项目项目涂胶、烘干、复合工序产生的废气经集气罩收集后进入一套集气系统+水喷淋+二级活性炭吸附装置处理后由一根高为15米的排气筒排放</w:t>
            </w:r>
            <w:r>
              <w:rPr>
                <w:rFonts w:hint="default" w:ascii="Times New Roman" w:hAnsi="Times New Roman" w:eastAsia="宋体" w:cs="Times New Roman"/>
                <w:bCs/>
                <w:color w:val="auto"/>
                <w:kern w:val="2"/>
                <w:sz w:val="24"/>
                <w:szCs w:val="24"/>
                <w:lang w:val="en-US" w:eastAsia="zh-CN" w:bidi="ar-SA"/>
              </w:rPr>
              <w:t>。</w:t>
            </w:r>
          </w:p>
          <w:p w14:paraId="03C38FE2">
            <w:pPr>
              <w:pStyle w:val="51"/>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综上所述，工艺为可行处理技术。</w:t>
            </w:r>
          </w:p>
          <w:p w14:paraId="05FC29C0">
            <w:pPr>
              <w:pStyle w:val="36"/>
              <w:keepNext/>
              <w:keepLines/>
              <w:pageBreakBefore w:val="0"/>
              <w:widowControl w:val="0"/>
              <w:numPr>
                <w:ilvl w:val="0"/>
                <w:numId w:val="0"/>
              </w:numPr>
              <w:kinsoku/>
              <w:wordWrap/>
              <w:overflowPunct/>
              <w:topLinePunct w:val="0"/>
              <w:autoSpaceDE w:val="0"/>
              <w:autoSpaceDN w:val="0"/>
              <w:bidi w:val="0"/>
              <w:adjustRightInd/>
              <w:snapToGrid/>
              <w:spacing w:line="360" w:lineRule="auto"/>
              <w:ind w:firstLine="482" w:firstLineChars="200"/>
              <w:textAlignment w:val="baseline"/>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4、无组织废气管控措施</w:t>
            </w:r>
          </w:p>
          <w:p w14:paraId="408BE94B">
            <w:pPr>
              <w:pStyle w:val="51"/>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本项目无组织废气主要为各生产工序未能收集的污染物，为了减小本项目无组织有机废气对周边环境的影响，对照《挥发性有机物无组织排放控制标准》（GB16297-1996）等相关文件规定，项目采取以下防治措施从而减少对周围大气环境的不利影响：</w:t>
            </w:r>
          </w:p>
          <w:p w14:paraId="18FE63BA">
            <w:pPr>
              <w:pStyle w:val="51"/>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bCs/>
                <w:color w:val="auto"/>
                <w:kern w:val="2"/>
                <w:sz w:val="24"/>
                <w:szCs w:val="24"/>
                <w:lang w:val="en-US" w:eastAsia="zh-CN" w:bidi="ar-SA"/>
              </w:rPr>
              <w:t>含VOCs的固</w:t>
            </w:r>
            <w:r>
              <w:rPr>
                <w:rFonts w:hint="default" w:ascii="Times New Roman" w:hAnsi="Times New Roman" w:eastAsia="宋体" w:cs="Times New Roman"/>
                <w:color w:val="auto"/>
                <w:sz w:val="24"/>
                <w:lang w:val="en-US" w:eastAsia="zh-CN"/>
              </w:rPr>
              <w:t>体废物采取加盖、封装等方式进行密闭，使用过程随取随开，用后及时密闭。日常确保贮存含VOCs原辅材料的容器材质结实、耐用、无破损、无泄漏，封闭良好；</w:t>
            </w:r>
          </w:p>
          <w:p w14:paraId="212D1AA8">
            <w:pPr>
              <w:pStyle w:val="51"/>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加强有组织废气的收集措施，项目涂胶、烘干、复合废气设置集气罩收集；废气收集系统的管道应密闭完好，加强废气收集可从源头上有效减少无组织废气的产生量；</w:t>
            </w:r>
          </w:p>
          <w:p w14:paraId="3902D0D0">
            <w:pPr>
              <w:pStyle w:val="51"/>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车间设置通风设备，在符合安全生产、职业卫生相关规定的前提下，加强车间通风，减小车间无组织废气对车间和周围环境的影响；</w:t>
            </w:r>
          </w:p>
          <w:p w14:paraId="1DADCAFE">
            <w:pPr>
              <w:pStyle w:val="51"/>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废气收集处理系统与生产工艺设备同步运行，当废气收集处理系统发生故障或检修时，对应的生产工艺设备应停止运行，检修完毕后同步使用。</w:t>
            </w:r>
          </w:p>
          <w:p w14:paraId="1F2C71AB">
            <w:pPr>
              <w:pStyle w:val="51"/>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植物对大气污染物有一定的净化作用，加强厂区绿化，减少对周围环境的影响</w:t>
            </w:r>
          </w:p>
          <w:p w14:paraId="007373DF">
            <w:pPr>
              <w:keepNext w:val="0"/>
              <w:keepLines w:val="0"/>
              <w:pageBreakBefore w:val="0"/>
              <w:widowControl/>
              <w:kinsoku/>
              <w:wordWrap/>
              <w:overflowPunct/>
              <w:topLinePunct w:val="0"/>
              <w:autoSpaceDE w:val="0"/>
              <w:autoSpaceDN w:val="0"/>
              <w:bidi w:val="0"/>
              <w:adjustRightInd/>
              <w:snapToGrid/>
              <w:spacing w:line="360" w:lineRule="auto"/>
              <w:textAlignment w:val="baseline"/>
              <w:rPr>
                <w:rFonts w:hint="default" w:ascii="Times New Roman" w:hAnsi="Times New Roman" w:eastAsia="宋体" w:cs="Times New Roman"/>
                <w:b/>
                <w:bCs/>
                <w:color w:val="auto"/>
                <w:sz w:val="24"/>
                <w:lang w:eastAsia="zh-CN"/>
              </w:rPr>
            </w:pPr>
            <w:r>
              <w:rPr>
                <w:rFonts w:hint="default" w:ascii="Times New Roman" w:hAnsi="Times New Roman" w:eastAsia="宋体" w:cs="Times New Roman"/>
                <w:b/>
                <w:bCs/>
                <w:color w:val="auto"/>
                <w:sz w:val="24"/>
                <w:lang w:val="en-US" w:eastAsia="zh-CN"/>
              </w:rPr>
              <w:t>5</w:t>
            </w:r>
            <w:r>
              <w:rPr>
                <w:rFonts w:hint="default" w:ascii="Times New Roman" w:hAnsi="Times New Roman" w:eastAsia="宋体" w:cs="Times New Roman"/>
                <w:b/>
                <w:bCs/>
                <w:color w:val="auto"/>
                <w:sz w:val="24"/>
                <w:lang w:eastAsia="zh-CN"/>
              </w:rPr>
              <w:t>、非正常工况</w:t>
            </w:r>
          </w:p>
          <w:p w14:paraId="387EAB76">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b/>
                <w:bCs/>
                <w:color w:val="auto"/>
                <w:sz w:val="24"/>
                <w:lang w:eastAsia="zh-CN"/>
              </w:rPr>
            </w:pPr>
            <w:r>
              <w:rPr>
                <w:rFonts w:hint="default" w:ascii="Times New Roman" w:hAnsi="Times New Roman" w:eastAsia="宋体" w:cs="Times New Roman"/>
                <w:color w:val="auto"/>
                <w:sz w:val="24"/>
                <w:lang w:eastAsia="zh-CN" w:bidi="ar"/>
              </w:rPr>
              <w:t>非正常排放是指生产过程中开停车（工、炉）、设备检修、工艺设备运转异常等非正常工况下的污染物排放，以及污染物排放控制措施达不到应有效率等情况下的排放。项目废气非正常工况排放主要为二级活性炭吸附发生故障时，废气处理效率仅为</w:t>
            </w:r>
            <w:r>
              <w:rPr>
                <w:rFonts w:hint="default" w:ascii="Times New Roman" w:hAnsi="Times New Roman" w:eastAsia="宋体" w:cs="Times New Roman"/>
                <w:color w:val="auto"/>
                <w:sz w:val="24"/>
                <w:lang w:val="en-US" w:eastAsia="zh-CN" w:bidi="ar"/>
              </w:rPr>
              <w:t>0</w:t>
            </w:r>
            <w:r>
              <w:rPr>
                <w:rFonts w:hint="default" w:ascii="Times New Roman" w:hAnsi="Times New Roman" w:eastAsia="宋体" w:cs="Times New Roman"/>
                <w:color w:val="auto"/>
                <w:sz w:val="24"/>
                <w:lang w:eastAsia="zh-CN" w:bidi="ar"/>
              </w:rPr>
              <w:t>%的状态进行估算，但废气收集系统可以正常运行，废气通过排气筒排放等情况。废气处理设施出现故障不能正常运行时，应立即停产进行维修，避免对周围环境造成污染。废气非正常工况源强情况见下表。</w:t>
            </w:r>
          </w:p>
          <w:p w14:paraId="6E84A0BC">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auto"/>
                <w:sz w:val="24"/>
                <w:lang w:eastAsia="zh-CN"/>
              </w:rPr>
            </w:pPr>
            <w:r>
              <w:rPr>
                <w:rFonts w:hint="default" w:ascii="Times New Roman" w:hAnsi="Times New Roman" w:eastAsia="宋体" w:cs="Times New Roman"/>
                <w:b/>
                <w:bCs/>
                <w:color w:val="auto"/>
                <w:sz w:val="24"/>
                <w:lang w:eastAsia="zh-CN"/>
              </w:rPr>
              <w:t>表4-</w:t>
            </w:r>
            <w:r>
              <w:rPr>
                <w:rFonts w:hint="default" w:ascii="Times New Roman" w:hAnsi="Times New Roman" w:eastAsia="宋体" w:cs="Times New Roman"/>
                <w:b/>
                <w:bCs/>
                <w:color w:val="auto"/>
                <w:sz w:val="24"/>
                <w:lang w:val="en-US" w:eastAsia="zh-CN"/>
              </w:rPr>
              <w:t>4</w:t>
            </w:r>
            <w:r>
              <w:rPr>
                <w:rFonts w:hint="default" w:ascii="Times New Roman" w:hAnsi="Times New Roman" w:eastAsia="宋体" w:cs="Times New Roman"/>
                <w:b/>
                <w:bCs/>
                <w:color w:val="auto"/>
                <w:sz w:val="24"/>
                <w:lang w:eastAsia="zh-CN"/>
              </w:rPr>
              <w:t>非正常工况污染物排放情况</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1295"/>
              <w:gridCol w:w="806"/>
              <w:gridCol w:w="1091"/>
              <w:gridCol w:w="870"/>
              <w:gridCol w:w="737"/>
              <w:gridCol w:w="2731"/>
            </w:tblGrid>
            <w:tr w14:paraId="3C681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9" w:type="dxa"/>
                  <w:vMerge w:val="restart"/>
                  <w:vAlign w:val="center"/>
                </w:tcPr>
                <w:p w14:paraId="71174873">
                  <w:pPr>
                    <w:pStyle w:val="41"/>
                    <w:keepNext w:val="0"/>
                    <w:keepLines w:val="0"/>
                    <w:pageBreakBefore w:val="0"/>
                    <w:widowControl/>
                    <w:kinsoku/>
                    <w:wordWrap/>
                    <w:overflowPunct/>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污染源</w:t>
                  </w:r>
                </w:p>
              </w:tc>
              <w:tc>
                <w:tcPr>
                  <w:tcW w:w="1295" w:type="dxa"/>
                  <w:vMerge w:val="restart"/>
                  <w:vAlign w:val="center"/>
                </w:tcPr>
                <w:p w14:paraId="2543633B">
                  <w:pPr>
                    <w:pStyle w:val="41"/>
                    <w:keepNext w:val="0"/>
                    <w:keepLines w:val="0"/>
                    <w:pageBreakBefore w:val="0"/>
                    <w:widowControl/>
                    <w:kinsoku/>
                    <w:wordWrap/>
                    <w:overflowPunct/>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污染物</w:t>
                  </w:r>
                </w:p>
              </w:tc>
              <w:tc>
                <w:tcPr>
                  <w:tcW w:w="1897" w:type="dxa"/>
                  <w:gridSpan w:val="2"/>
                  <w:vAlign w:val="center"/>
                </w:tcPr>
                <w:p w14:paraId="2542A73A">
                  <w:pPr>
                    <w:pStyle w:val="41"/>
                    <w:keepNext w:val="0"/>
                    <w:keepLines w:val="0"/>
                    <w:pageBreakBefore w:val="0"/>
                    <w:widowControl/>
                    <w:kinsoku/>
                    <w:wordWrap/>
                    <w:overflowPunct/>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产生情况</w:t>
                  </w:r>
                </w:p>
              </w:tc>
              <w:tc>
                <w:tcPr>
                  <w:tcW w:w="870" w:type="dxa"/>
                  <w:vMerge w:val="restart"/>
                  <w:vAlign w:val="center"/>
                </w:tcPr>
                <w:p w14:paraId="091618EA">
                  <w:pPr>
                    <w:pStyle w:val="59"/>
                    <w:keepNext w:val="0"/>
                    <w:keepLines w:val="0"/>
                    <w:pageBreakBefore w:val="0"/>
                    <w:widowControl/>
                    <w:kinsoku/>
                    <w:wordWrap/>
                    <w:overflowPunct/>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持续时间h</w:t>
                  </w:r>
                </w:p>
              </w:tc>
              <w:tc>
                <w:tcPr>
                  <w:tcW w:w="737" w:type="dxa"/>
                  <w:vMerge w:val="restart"/>
                  <w:vAlign w:val="center"/>
                </w:tcPr>
                <w:p w14:paraId="2FC68F5E">
                  <w:pPr>
                    <w:pStyle w:val="59"/>
                    <w:keepNext w:val="0"/>
                    <w:keepLines w:val="0"/>
                    <w:pageBreakBefore w:val="0"/>
                    <w:widowControl/>
                    <w:kinsoku/>
                    <w:wordWrap/>
                    <w:overflowPunct/>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发生频次</w:t>
                  </w:r>
                </w:p>
              </w:tc>
              <w:tc>
                <w:tcPr>
                  <w:tcW w:w="2731" w:type="dxa"/>
                  <w:vMerge w:val="restart"/>
                  <w:vAlign w:val="center"/>
                </w:tcPr>
                <w:p w14:paraId="6F76D220">
                  <w:pPr>
                    <w:pStyle w:val="59"/>
                    <w:keepNext w:val="0"/>
                    <w:keepLines w:val="0"/>
                    <w:pageBreakBefore w:val="0"/>
                    <w:widowControl/>
                    <w:kinsoku/>
                    <w:wordWrap/>
                    <w:overflowPunct/>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措施</w:t>
                  </w:r>
                </w:p>
              </w:tc>
            </w:tr>
            <w:tr w14:paraId="53122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9" w:type="dxa"/>
                  <w:vMerge w:val="continue"/>
                  <w:vAlign w:val="center"/>
                </w:tcPr>
                <w:p w14:paraId="7FA17D31">
                  <w:pPr>
                    <w:pStyle w:val="41"/>
                    <w:keepNext w:val="0"/>
                    <w:keepLines w:val="0"/>
                    <w:pageBreakBefore w:val="0"/>
                    <w:widowControl/>
                    <w:kinsoku/>
                    <w:wordWrap/>
                    <w:overflowPunct/>
                    <w:bidi w:val="0"/>
                    <w:rPr>
                      <w:rFonts w:hint="default" w:ascii="Times New Roman" w:hAnsi="Times New Roman" w:eastAsia="宋体" w:cs="Times New Roman"/>
                      <w:color w:val="auto"/>
                    </w:rPr>
                  </w:pPr>
                </w:p>
              </w:tc>
              <w:tc>
                <w:tcPr>
                  <w:tcW w:w="1295" w:type="dxa"/>
                  <w:vMerge w:val="continue"/>
                  <w:vAlign w:val="center"/>
                </w:tcPr>
                <w:p w14:paraId="714CB4C9">
                  <w:pPr>
                    <w:pStyle w:val="41"/>
                    <w:keepNext w:val="0"/>
                    <w:keepLines w:val="0"/>
                    <w:pageBreakBefore w:val="0"/>
                    <w:widowControl/>
                    <w:kinsoku/>
                    <w:wordWrap/>
                    <w:overflowPunct/>
                    <w:bidi w:val="0"/>
                    <w:rPr>
                      <w:rFonts w:hint="default" w:ascii="Times New Roman" w:hAnsi="Times New Roman" w:eastAsia="宋体" w:cs="Times New Roman"/>
                      <w:color w:val="auto"/>
                    </w:rPr>
                  </w:pPr>
                </w:p>
              </w:tc>
              <w:tc>
                <w:tcPr>
                  <w:tcW w:w="806" w:type="dxa"/>
                  <w:vAlign w:val="center"/>
                </w:tcPr>
                <w:p w14:paraId="26C08A1E">
                  <w:pPr>
                    <w:pStyle w:val="41"/>
                    <w:keepNext w:val="0"/>
                    <w:keepLines w:val="0"/>
                    <w:pageBreakBefore w:val="0"/>
                    <w:widowControl/>
                    <w:kinsoku/>
                    <w:wordWrap/>
                    <w:overflowPunct/>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浓度mg/m</w:t>
                  </w:r>
                  <w:r>
                    <w:rPr>
                      <w:rFonts w:hint="default" w:ascii="Times New Roman" w:hAnsi="Times New Roman" w:eastAsia="宋体" w:cs="Times New Roman"/>
                      <w:b/>
                      <w:bCs/>
                      <w:color w:val="auto"/>
                      <w:vertAlign w:val="superscript"/>
                    </w:rPr>
                    <w:t>3</w:t>
                  </w:r>
                </w:p>
              </w:tc>
              <w:tc>
                <w:tcPr>
                  <w:tcW w:w="1091" w:type="dxa"/>
                  <w:vAlign w:val="center"/>
                </w:tcPr>
                <w:p w14:paraId="437F678E">
                  <w:pPr>
                    <w:pStyle w:val="41"/>
                    <w:keepNext w:val="0"/>
                    <w:keepLines w:val="0"/>
                    <w:pageBreakBefore w:val="0"/>
                    <w:widowControl/>
                    <w:kinsoku/>
                    <w:wordWrap/>
                    <w:overflowPunct/>
                    <w:bidi w:val="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rPr>
                    <w:t>排放量kg</w:t>
                  </w:r>
                  <w:r>
                    <w:rPr>
                      <w:rFonts w:hint="default" w:ascii="Times New Roman" w:hAnsi="Times New Roman" w:eastAsia="宋体" w:cs="Times New Roman"/>
                      <w:b/>
                      <w:bCs/>
                      <w:color w:val="auto"/>
                      <w:lang w:val="en-US" w:eastAsia="zh-CN"/>
                    </w:rPr>
                    <w:t>/h</w:t>
                  </w:r>
                </w:p>
              </w:tc>
              <w:tc>
                <w:tcPr>
                  <w:tcW w:w="870" w:type="dxa"/>
                  <w:vMerge w:val="continue"/>
                  <w:vAlign w:val="center"/>
                </w:tcPr>
                <w:p w14:paraId="09B49771">
                  <w:pPr>
                    <w:keepNext w:val="0"/>
                    <w:keepLines w:val="0"/>
                    <w:pageBreakBefore w:val="0"/>
                    <w:widowControl/>
                    <w:kinsoku/>
                    <w:wordWrap/>
                    <w:overflowPunct/>
                    <w:bidi w:val="0"/>
                    <w:jc w:val="center"/>
                    <w:textAlignment w:val="center"/>
                    <w:rPr>
                      <w:rFonts w:hint="default" w:ascii="Times New Roman" w:hAnsi="Times New Roman" w:eastAsia="宋体" w:cs="Times New Roman"/>
                      <w:color w:val="auto"/>
                    </w:rPr>
                  </w:pPr>
                </w:p>
              </w:tc>
              <w:tc>
                <w:tcPr>
                  <w:tcW w:w="737" w:type="dxa"/>
                  <w:vMerge w:val="continue"/>
                  <w:vAlign w:val="center"/>
                </w:tcPr>
                <w:p w14:paraId="70229042">
                  <w:pPr>
                    <w:keepNext w:val="0"/>
                    <w:keepLines w:val="0"/>
                    <w:pageBreakBefore w:val="0"/>
                    <w:widowControl/>
                    <w:kinsoku/>
                    <w:wordWrap/>
                    <w:overflowPunct/>
                    <w:bidi w:val="0"/>
                    <w:jc w:val="center"/>
                    <w:textAlignment w:val="center"/>
                    <w:rPr>
                      <w:rFonts w:hint="default" w:ascii="Times New Roman" w:hAnsi="Times New Roman" w:eastAsia="宋体" w:cs="Times New Roman"/>
                      <w:color w:val="auto"/>
                    </w:rPr>
                  </w:pPr>
                </w:p>
              </w:tc>
              <w:tc>
                <w:tcPr>
                  <w:tcW w:w="2731" w:type="dxa"/>
                  <w:vMerge w:val="continue"/>
                  <w:vAlign w:val="center"/>
                </w:tcPr>
                <w:p w14:paraId="79051561">
                  <w:pPr>
                    <w:keepNext w:val="0"/>
                    <w:keepLines w:val="0"/>
                    <w:pageBreakBefore w:val="0"/>
                    <w:widowControl/>
                    <w:kinsoku/>
                    <w:wordWrap/>
                    <w:overflowPunct/>
                    <w:bidi w:val="0"/>
                    <w:jc w:val="center"/>
                    <w:textAlignment w:val="center"/>
                    <w:rPr>
                      <w:rFonts w:hint="default" w:ascii="Times New Roman" w:hAnsi="Times New Roman" w:eastAsia="宋体" w:cs="Times New Roman"/>
                      <w:color w:val="auto"/>
                    </w:rPr>
                  </w:pPr>
                </w:p>
              </w:tc>
            </w:tr>
            <w:tr w14:paraId="45190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9" w:type="dxa"/>
                  <w:vAlign w:val="center"/>
                </w:tcPr>
                <w:p w14:paraId="7BB67A00">
                  <w:pPr>
                    <w:pStyle w:val="41"/>
                    <w:keepNext w:val="0"/>
                    <w:keepLines w:val="0"/>
                    <w:pageBreakBefore w:val="0"/>
                    <w:widowControl/>
                    <w:kinsoku/>
                    <w:wordWrap/>
                    <w:overflowPunct/>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DA003</w:t>
                  </w:r>
                </w:p>
              </w:tc>
              <w:tc>
                <w:tcPr>
                  <w:tcW w:w="1295" w:type="dxa"/>
                  <w:vAlign w:val="center"/>
                </w:tcPr>
                <w:p w14:paraId="22734D09">
                  <w:pPr>
                    <w:keepNext w:val="0"/>
                    <w:keepLines w:val="0"/>
                    <w:pageBreakBefore w:val="0"/>
                    <w:widowControl/>
                    <w:kinsoku/>
                    <w:wordWrap/>
                    <w:overflowPunct/>
                    <w:bidi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非甲烷总烃</w:t>
                  </w:r>
                </w:p>
              </w:tc>
              <w:tc>
                <w:tcPr>
                  <w:tcW w:w="806" w:type="dxa"/>
                  <w:vAlign w:val="center"/>
                </w:tcPr>
                <w:p w14:paraId="3C5F0FA3">
                  <w:pPr>
                    <w:keepNext w:val="0"/>
                    <w:keepLines w:val="0"/>
                    <w:pageBreakBefore w:val="0"/>
                    <w:widowControl/>
                    <w:kinsoku/>
                    <w:wordWrap/>
                    <w:overflowPunct/>
                    <w:bidi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3.391</w:t>
                  </w:r>
                </w:p>
              </w:tc>
              <w:tc>
                <w:tcPr>
                  <w:tcW w:w="1091" w:type="dxa"/>
                  <w:vAlign w:val="center"/>
                </w:tcPr>
                <w:p w14:paraId="25E7B0FD">
                  <w:pPr>
                    <w:keepNext w:val="0"/>
                    <w:keepLines w:val="0"/>
                    <w:pageBreakBefore w:val="0"/>
                    <w:widowControl/>
                    <w:kinsoku/>
                    <w:wordWrap/>
                    <w:overflowPunct/>
                    <w:bidi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0.175</w:t>
                  </w:r>
                </w:p>
              </w:tc>
              <w:tc>
                <w:tcPr>
                  <w:tcW w:w="870" w:type="dxa"/>
                  <w:vAlign w:val="center"/>
                </w:tcPr>
                <w:p w14:paraId="447DAC68">
                  <w:pPr>
                    <w:keepNext w:val="0"/>
                    <w:keepLines w:val="0"/>
                    <w:pageBreakBefore w:val="0"/>
                    <w:widowControl/>
                    <w:kinsoku/>
                    <w:wordWrap/>
                    <w:overflowPunct/>
                    <w:bidi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737" w:type="dxa"/>
                  <w:vAlign w:val="center"/>
                </w:tcPr>
                <w:p w14:paraId="244BEB19">
                  <w:pPr>
                    <w:keepNext w:val="0"/>
                    <w:keepLines w:val="0"/>
                    <w:pageBreakBefore w:val="0"/>
                    <w:widowControl/>
                    <w:kinsoku/>
                    <w:wordWrap/>
                    <w:overflowPunct/>
                    <w:bidi w:val="0"/>
                    <w:jc w:val="center"/>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rPr>
                    <w:t>1次/年</w:t>
                  </w:r>
                </w:p>
              </w:tc>
              <w:tc>
                <w:tcPr>
                  <w:tcW w:w="2731" w:type="dxa"/>
                  <w:vAlign w:val="center"/>
                </w:tcPr>
                <w:p w14:paraId="0F86E558">
                  <w:pPr>
                    <w:keepNext w:val="0"/>
                    <w:keepLines w:val="0"/>
                    <w:pageBreakBefore w:val="0"/>
                    <w:widowControl/>
                    <w:kinsoku/>
                    <w:wordWrap/>
                    <w:overflowPunct/>
                    <w:bidi w:val="0"/>
                    <w:jc w:val="center"/>
                    <w:textAlignment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定期进行设备维护，当工艺废气处理装置出现故障且不能短时间恢复时停止生产</w:t>
                  </w:r>
                </w:p>
              </w:tc>
            </w:tr>
          </w:tbl>
          <w:p w14:paraId="25EB9818">
            <w:pPr>
              <w:keepNext w:val="0"/>
              <w:keepLines w:val="0"/>
              <w:pageBreakBefore w:val="0"/>
              <w:widowControl/>
              <w:kinsoku/>
              <w:wordWrap/>
              <w:overflowPunct/>
              <w:topLinePunct w:val="0"/>
              <w:autoSpaceDE w:val="0"/>
              <w:autoSpaceDN w:val="0"/>
              <w:bidi w:val="0"/>
              <w:adjustRightInd/>
              <w:snapToGrid/>
              <w:spacing w:line="360" w:lineRule="auto"/>
              <w:textAlignment w:val="baseline"/>
              <w:rPr>
                <w:rFonts w:hint="default" w:ascii="Times New Roman" w:hAnsi="Times New Roman" w:eastAsia="宋体" w:cs="Times New Roman"/>
                <w:b/>
                <w:color w:val="000000" w:themeColor="text1"/>
                <w:sz w:val="24"/>
                <w:lang w:eastAsia="zh-CN"/>
                <w14:textFill>
                  <w14:solidFill>
                    <w14:schemeClr w14:val="tx1"/>
                  </w14:solidFill>
                </w14:textFill>
              </w:rPr>
            </w:pPr>
            <w:r>
              <w:rPr>
                <w:rFonts w:hint="default" w:ascii="Times New Roman" w:hAnsi="Times New Roman" w:eastAsia="宋体" w:cs="Times New Roman"/>
                <w:b/>
                <w:color w:val="000000" w:themeColor="text1"/>
                <w:sz w:val="24"/>
                <w:lang w:eastAsia="zh-CN"/>
                <w14:textFill>
                  <w14:solidFill>
                    <w14:schemeClr w14:val="tx1"/>
                  </w14:solidFill>
                </w14:textFill>
              </w:rPr>
              <w:t>二、水污染</w:t>
            </w:r>
          </w:p>
          <w:p w14:paraId="5A3697D3">
            <w:pPr>
              <w:keepNext w:val="0"/>
              <w:keepLines w:val="0"/>
              <w:pageBreakBefore w:val="0"/>
              <w:widowControl/>
              <w:kinsoku/>
              <w:wordWrap/>
              <w:overflowPunct/>
              <w:topLinePunct w:val="0"/>
              <w:autoSpaceDE w:val="0"/>
              <w:autoSpaceDN w:val="0"/>
              <w:bidi w:val="0"/>
              <w:adjustRightInd/>
              <w:snapToGrid/>
              <w:spacing w:line="360" w:lineRule="auto"/>
              <w:textAlignment w:val="baseline"/>
              <w:rPr>
                <w:rFonts w:hint="default" w:ascii="Times New Roman" w:hAnsi="Times New Roman" w:eastAsia="宋体" w:cs="Times New Roman"/>
                <w:b/>
                <w:bCs/>
                <w:color w:val="000000" w:themeColor="text1"/>
                <w:sz w:val="24"/>
                <w:lang w:eastAsia="zh-CN"/>
                <w14:textFill>
                  <w14:solidFill>
                    <w14:schemeClr w14:val="tx1"/>
                  </w14:solidFill>
                </w14:textFill>
              </w:rPr>
            </w:pPr>
            <w:r>
              <w:rPr>
                <w:rFonts w:hint="default" w:ascii="Times New Roman" w:hAnsi="Times New Roman" w:eastAsia="宋体" w:cs="Times New Roman"/>
                <w:b/>
                <w:bCs/>
                <w:color w:val="000000" w:themeColor="text1"/>
                <w:sz w:val="24"/>
                <w:lang w:eastAsia="zh-CN"/>
                <w14:textFill>
                  <w14:solidFill>
                    <w14:schemeClr w14:val="tx1"/>
                  </w14:solidFill>
                </w14:textFill>
              </w:rPr>
              <w:t>1、扩建项目废水污染源强</w:t>
            </w:r>
          </w:p>
          <w:p w14:paraId="14A32DED">
            <w:pPr>
              <w:pStyle w:val="45"/>
              <w:spacing w:before="183" w:line="346" w:lineRule="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eastAsia="zh-CN"/>
                <w14:textFill>
                  <w14:solidFill>
                    <w14:schemeClr w14:val="tx1"/>
                  </w14:solidFill>
                </w14:textFill>
              </w:rPr>
              <w:t>）项目用水主要是</w:t>
            </w:r>
            <w:r>
              <w:rPr>
                <w:rFonts w:hint="default" w:ascii="Times New Roman" w:hAnsi="Times New Roman" w:eastAsia="宋体" w:cs="Times New Roman"/>
                <w:snapToGrid w:val="0"/>
                <w:color w:val="000000" w:themeColor="text1"/>
                <w:sz w:val="24"/>
                <w:szCs w:val="24"/>
                <w:lang w:val="en-US" w:eastAsia="zh-CN" w:bidi="ar-SA"/>
                <w14:textFill>
                  <w14:solidFill>
                    <w14:schemeClr w14:val="tx1"/>
                  </w14:solidFill>
                </w14:textFill>
              </w:rPr>
              <w:t>新增员工生活污水、</w:t>
            </w:r>
            <w:r>
              <w:rPr>
                <w:rFonts w:hint="default" w:ascii="Times New Roman" w:hAnsi="Times New Roman" w:eastAsia="宋体" w:cs="Times New Roman"/>
                <w:color w:val="000000" w:themeColor="text1"/>
                <w:sz w:val="24"/>
                <w:szCs w:val="24"/>
                <w:lang w:eastAsia="zh-CN"/>
                <w14:textFill>
                  <w14:solidFill>
                    <w14:schemeClr w14:val="tx1"/>
                  </w14:solidFill>
                </w14:textFill>
              </w:rPr>
              <w:t>厂区清洁用水</w:t>
            </w:r>
            <w:r>
              <w:rPr>
                <w:rFonts w:hint="default" w:ascii="Times New Roman" w:hAnsi="Times New Roman" w:eastAsia="宋体" w:cs="Times New Roman"/>
                <w:snapToGrid w:val="0"/>
                <w:color w:val="000000" w:themeColor="text1"/>
                <w:sz w:val="24"/>
                <w:szCs w:val="24"/>
                <w:lang w:val="en-US" w:eastAsia="zh-CN" w:bidi="ar-SA"/>
                <w14:textFill>
                  <w14:solidFill>
                    <w14:schemeClr w14:val="tx1"/>
                  </w14:solidFill>
                </w14:textFill>
              </w:rPr>
              <w:t>以及废气喷淋废水。</w:t>
            </w:r>
          </w:p>
          <w:p w14:paraId="0DAB94D0">
            <w:pPr>
              <w:pStyle w:val="45"/>
              <w:spacing w:before="183" w:line="346" w:lineRule="auto"/>
              <w:ind w:left="139" w:firstLine="457"/>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①生活用水：</w:t>
            </w:r>
          </w:p>
          <w:p w14:paraId="58A8AEA3">
            <w:pPr>
              <w:pStyle w:val="48"/>
              <w:kinsoku/>
              <w:adjustRightInd/>
              <w:snapToGrid/>
              <w:spacing w:line="360" w:lineRule="auto"/>
              <w:ind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现有项目劳动定员50人，项目新增员工20人</w:t>
            </w:r>
            <w:r>
              <w:rPr>
                <w:rFonts w:hint="default" w:ascii="Times New Roman" w:hAnsi="Times New Roman" w:eastAsia="宋体" w:cs="Times New Roman"/>
                <w:color w:val="000000" w:themeColor="text1"/>
                <w:sz w:val="24"/>
                <w:szCs w:val="24"/>
                <w:lang w:eastAsia="zh-CN"/>
                <w14:textFill>
                  <w14:solidFill>
                    <w14:schemeClr w14:val="tx1"/>
                  </w14:solidFill>
                </w14:textFill>
              </w:rPr>
              <w:t>，用水标准参考《宿州市城市行业用水定额》（DB3413/T0001-2020），人均用水量按</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70</w:t>
            </w:r>
            <w:r>
              <w:rPr>
                <w:rFonts w:hint="default" w:ascii="Times New Roman" w:hAnsi="Times New Roman" w:eastAsia="宋体" w:cs="Times New Roman"/>
                <w:color w:val="000000" w:themeColor="text1"/>
                <w:sz w:val="24"/>
                <w:szCs w:val="24"/>
                <w:lang w:eastAsia="zh-CN"/>
                <w14:textFill>
                  <w14:solidFill>
                    <w14:schemeClr w14:val="tx1"/>
                  </w14:solidFill>
                </w14:textFill>
              </w:rPr>
              <w:t>L/d计，年工作300d，则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扩建项目</w:t>
            </w:r>
            <w:r>
              <w:rPr>
                <w:rFonts w:hint="default" w:ascii="Times New Roman" w:hAnsi="Times New Roman" w:eastAsia="宋体" w:cs="Times New Roman"/>
                <w:color w:val="000000" w:themeColor="text1"/>
                <w:sz w:val="24"/>
                <w:szCs w:val="24"/>
                <w:lang w:eastAsia="zh-CN"/>
                <w14:textFill>
                  <w14:solidFill>
                    <w14:schemeClr w14:val="tx1"/>
                  </w14:solidFill>
                </w14:textFill>
              </w:rPr>
              <w:t>用水量为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1.4m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d</w:t>
            </w:r>
            <w:r>
              <w:rPr>
                <w:rFonts w:hint="default" w:ascii="Times New Roman" w:hAnsi="Times New Roman" w:eastAsia="宋体" w:cs="Times New Roman"/>
                <w:color w:val="000000" w:themeColor="text1"/>
                <w:sz w:val="24"/>
                <w:szCs w:val="24"/>
                <w:lang w:eastAsia="zh-CN"/>
                <w14:textFill>
                  <w14:solidFill>
                    <w14:schemeClr w14:val="tx1"/>
                  </w14:solidFill>
                </w14:textFill>
              </w:rPr>
              <w:t>，年用水量为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420m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/a，废水产生系数取0.8，则废水产生量为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1.12m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d</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336m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/a。</w:t>
            </w:r>
          </w:p>
          <w:p w14:paraId="6E5375AA">
            <w:pPr>
              <w:kinsoku/>
              <w:adjustRightInd/>
              <w:snapToGrid/>
              <w:spacing w:line="360" w:lineRule="auto"/>
              <w:ind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eastAsia="zh-CN"/>
                <w14:textFill>
                  <w14:solidFill>
                    <w14:schemeClr w14:val="tx1"/>
                  </w14:solidFill>
                </w14:textFill>
              </w:rPr>
              <w:instrText xml:space="preserve"> = 2 \* GB3 \* MERGEFORMAT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eastAsia="zh-CN"/>
                <w14:textFill>
                  <w14:solidFill>
                    <w14:schemeClr w14:val="tx1"/>
                  </w14:solidFill>
                </w14:textFill>
              </w:rPr>
              <w:t>②</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eastAsia="zh-CN"/>
                <w14:textFill>
                  <w14:solidFill>
                    <w14:schemeClr w14:val="tx1"/>
                  </w14:solidFill>
                </w14:textFill>
              </w:rPr>
              <w:t>厂区清洁用水：项目厂区需定期清洁，其中厂区内使用扫地机清洁，则用水量为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0.5m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d</w:t>
            </w:r>
            <w:r>
              <w:rPr>
                <w:rFonts w:hint="default" w:ascii="Times New Roman" w:hAnsi="Times New Roman" w:eastAsia="宋体" w:cs="Times New Roman"/>
                <w:color w:val="000000" w:themeColor="text1"/>
                <w:sz w:val="24"/>
                <w:szCs w:val="24"/>
                <w:lang w:eastAsia="zh-CN"/>
                <w14:textFill>
                  <w14:solidFill>
                    <w14:schemeClr w14:val="tx1"/>
                  </w14:solidFill>
                </w14:textFill>
              </w:rPr>
              <w:t>，年用水量约</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150m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/a，均蒸发损耗。</w:t>
            </w:r>
          </w:p>
          <w:p w14:paraId="1960016B">
            <w:pPr>
              <w:pStyle w:val="48"/>
              <w:kinsoku/>
              <w:adjustRightInd/>
              <w:snapToGrid/>
              <w:spacing w:line="360" w:lineRule="auto"/>
              <w:ind w:firstLine="480" w:firstLineChars="200"/>
              <w:rPr>
                <w:rFonts w:hint="default" w:ascii="Times New Roman" w:hAnsi="Times New Roman" w:eastAsia="宋体" w:cs="Times New Roman"/>
                <w:color w:val="000000" w:themeColor="text1"/>
                <w:spacing w:val="-1"/>
                <w:sz w:val="24"/>
                <w:szCs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③喷淋废水：项目涂胶、烘干、复合废气采用一套水喷淋+集气系统+二级活性炭吸附装置进行收集处理后通过15m排气筒排放（DA003），水喷淋清水循环使用，定期补充。用水量为2.275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/a，废水蒸发损耗0.2，定期补充0.455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/a，喷淋废水一年更换一次，</w:t>
            </w:r>
            <w:r>
              <w:rPr>
                <w:rFonts w:hint="default" w:ascii="Times New Roman" w:hAnsi="Times New Roman" w:eastAsia="宋体" w:cs="Times New Roman"/>
                <w:color w:val="000000" w:themeColor="text1"/>
                <w:sz w:val="24"/>
                <w:szCs w:val="24"/>
                <w:lang w:eastAsia="zh-CN"/>
                <w14:textFill>
                  <w14:solidFill>
                    <w14:schemeClr w14:val="tx1"/>
                  </w14:solidFill>
                </w14:textFill>
              </w:rPr>
              <w:t>则废水产生量为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1.82m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/a，</w:t>
            </w:r>
            <w:r>
              <w:rPr>
                <w:rFonts w:hint="default" w:ascii="Times New Roman" w:hAnsi="Times New Roman" w:eastAsia="宋体" w:cs="Times New Roman"/>
                <w:color w:val="000000" w:themeColor="text1"/>
                <w:sz w:val="24"/>
                <w:lang w:val="en-US" w:eastAsia="zh-CN"/>
                <w14:textFill>
                  <w14:solidFill>
                    <w14:schemeClr w14:val="tx1"/>
                  </w14:solidFill>
                </w14:textFill>
              </w:rPr>
              <w:t>更换后</w:t>
            </w:r>
            <w:r>
              <w:rPr>
                <w:rFonts w:hint="default" w:ascii="Times New Roman" w:hAnsi="Times New Roman" w:eastAsia="宋体" w:cs="Times New Roman"/>
                <w:color w:val="000000" w:themeColor="text1"/>
                <w:spacing w:val="-1"/>
                <w:sz w:val="24"/>
                <w:szCs w:val="24"/>
                <w14:textFill>
                  <w14:solidFill>
                    <w14:schemeClr w14:val="tx1"/>
                  </w14:solidFill>
                </w14:textFill>
              </w:rPr>
              <w:t>作为危险废物交由有资质单位处理。</w:t>
            </w:r>
          </w:p>
          <w:p w14:paraId="7E4D533E">
            <w:pPr>
              <w:pStyle w:val="48"/>
              <w:kinsoku/>
              <w:adjustRightInd/>
              <w:snapToGrid/>
              <w:spacing w:line="360" w:lineRule="auto"/>
              <w:ind w:firstLine="480" w:firstLineChars="200"/>
              <w:rPr>
                <w:rFonts w:hint="default" w:ascii="Times New Roman" w:hAnsi="Times New Roman" w:eastAsia="宋体" w:cs="Times New Roman"/>
                <w:color w:val="000000" w:themeColor="text1"/>
                <w:spacing w:val="-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drawing>
                <wp:inline distT="0" distB="0" distL="114300" distR="114300">
                  <wp:extent cx="4722495" cy="4000500"/>
                  <wp:effectExtent l="0" t="0" r="0" b="0"/>
                  <wp:docPr id="10" name="ECB019B1-382A-4266-B25C-5B523AA43C14-6" descr="C:/Users/lenlovolel/AppData/Local/Temp/wps.mOQMS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B019B1-382A-4266-B25C-5B523AA43C14-6" descr="C:/Users/lenlovolel/AppData/Local/Temp/wps.mOQMSRwps"/>
                          <pic:cNvPicPr>
                            <a:picLocks noChangeAspect="1"/>
                          </pic:cNvPicPr>
                        </pic:nvPicPr>
                        <pic:blipFill>
                          <a:blip r:embed="rId13"/>
                          <a:stretch>
                            <a:fillRect/>
                          </a:stretch>
                        </pic:blipFill>
                        <pic:spPr>
                          <a:xfrm>
                            <a:off x="0" y="0"/>
                            <a:ext cx="4722495" cy="4000500"/>
                          </a:xfrm>
                          <a:prstGeom prst="rect">
                            <a:avLst/>
                          </a:prstGeom>
                        </pic:spPr>
                      </pic:pic>
                    </a:graphicData>
                  </a:graphic>
                </wp:inline>
              </w:drawing>
            </w:r>
          </w:p>
          <w:p w14:paraId="5989452A">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eastAsia="zh-CN"/>
                <w14:textFill>
                  <w14:solidFill>
                    <w14:schemeClr w14:val="tx1"/>
                  </w14:solidFill>
                </w14:textFill>
              </w:rPr>
              <w:t>图</w:t>
            </w:r>
            <w:r>
              <w:rPr>
                <w:rFonts w:hint="eastAsia" w:ascii="Times New Roman" w:hAnsi="Times New Roman" w:eastAsia="宋体" w:cs="Times New Roman"/>
                <w:b/>
                <w:bCs/>
                <w:color w:val="000000" w:themeColor="text1"/>
                <w:sz w:val="24"/>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lang w:val="en-US" w:eastAsia="zh-CN"/>
                <w14:textFill>
                  <w14:solidFill>
                    <w14:schemeClr w14:val="tx1"/>
                  </w14:solidFill>
                </w14:textFill>
              </w:rPr>
              <w:t>-</w:t>
            </w:r>
            <w:r>
              <w:rPr>
                <w:rFonts w:hint="eastAsia" w:ascii="Times New Roman" w:hAnsi="Times New Roman" w:eastAsia="宋体" w:cs="Times New Roman"/>
                <w:b/>
                <w:bCs/>
                <w:color w:val="000000" w:themeColor="text1"/>
                <w:sz w:val="24"/>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lang w:val="en-US" w:eastAsia="zh-CN"/>
                <w14:textFill>
                  <w14:solidFill>
                    <w14:schemeClr w14:val="tx1"/>
                  </w14:solidFill>
                </w14:textFill>
              </w:rPr>
              <w:t>扩建项目水平衡图t/d</w:t>
            </w:r>
          </w:p>
          <w:p w14:paraId="3595C48A">
            <w:pPr>
              <w:pStyle w:val="12"/>
              <w:ind w:left="0" w:leftChars="0" w:firstLine="0" w:firstLineChars="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drawing>
                <wp:inline distT="0" distB="0" distL="114300" distR="114300">
                  <wp:extent cx="4722495" cy="2596515"/>
                  <wp:effectExtent l="0" t="0" r="0" b="0"/>
                  <wp:docPr id="13" name="ECB019B1-382A-4266-B25C-5B523AA43C14-7" descr="C:/Users/lenlovolel/AppData/Local/Temp/wps.kvEqZM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CB019B1-382A-4266-B25C-5B523AA43C14-7" descr="C:/Users/lenlovolel/AppData/Local/Temp/wps.kvEqZMwps"/>
                          <pic:cNvPicPr>
                            <a:picLocks noChangeAspect="1"/>
                          </pic:cNvPicPr>
                        </pic:nvPicPr>
                        <pic:blipFill>
                          <a:blip r:embed="rId20"/>
                          <a:stretch>
                            <a:fillRect/>
                          </a:stretch>
                        </pic:blipFill>
                        <pic:spPr>
                          <a:xfrm>
                            <a:off x="0" y="0"/>
                            <a:ext cx="4722495" cy="2596515"/>
                          </a:xfrm>
                          <a:prstGeom prst="rect">
                            <a:avLst/>
                          </a:prstGeom>
                        </pic:spPr>
                      </pic:pic>
                    </a:graphicData>
                  </a:graphic>
                </wp:inline>
              </w:drawing>
            </w:r>
          </w:p>
          <w:p w14:paraId="5F40D36E">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FF0000"/>
                <w:sz w:val="24"/>
                <w:lang w:val="en-US" w:eastAsia="zh-CN"/>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图</w:t>
            </w:r>
            <w:r>
              <w:rPr>
                <w:rFonts w:hint="eastAsia" w:ascii="Times New Roman" w:hAnsi="Times New Roman" w:eastAsia="宋体" w:cs="Times New Roman"/>
                <w:b/>
                <w:bCs/>
                <w:color w:val="000000" w:themeColor="text1"/>
                <w:sz w:val="24"/>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lang w:val="en-US" w:eastAsia="zh-CN"/>
                <w14:textFill>
                  <w14:solidFill>
                    <w14:schemeClr w14:val="tx1"/>
                  </w14:solidFill>
                </w14:textFill>
              </w:rPr>
              <w:t>-</w:t>
            </w:r>
            <w:r>
              <w:rPr>
                <w:rFonts w:hint="eastAsia" w:ascii="Times New Roman" w:hAnsi="Times New Roman" w:eastAsia="宋体" w:cs="Times New Roman"/>
                <w:b/>
                <w:bCs/>
                <w:color w:val="000000" w:themeColor="text1"/>
                <w:sz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lang w:val="en-US" w:eastAsia="zh-CN"/>
                <w14:textFill>
                  <w14:solidFill>
                    <w14:schemeClr w14:val="tx1"/>
                  </w14:solidFill>
                </w14:textFill>
              </w:rPr>
              <w:t xml:space="preserve">   全厂水平衡图 t/d</w:t>
            </w:r>
          </w:p>
          <w:p w14:paraId="4DE5A411">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sz w:val="24"/>
                <w:lang w:eastAsia="zh-CN"/>
                <w14:textFill>
                  <w14:solidFill>
                    <w14:schemeClr w14:val="tx1"/>
                  </w14:solidFill>
                </w14:textFill>
              </w:rPr>
              <w:t>表4-</w:t>
            </w:r>
            <w:r>
              <w:rPr>
                <w:rFonts w:hint="default" w:ascii="Times New Roman" w:hAnsi="Times New Roman" w:eastAsia="宋体" w:cs="Times New Roman"/>
                <w:b/>
                <w:bCs/>
                <w:color w:val="000000" w:themeColor="text1"/>
                <w:sz w:val="24"/>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lang w:eastAsia="zh-CN"/>
                <w14:textFill>
                  <w14:solidFill>
                    <w14:schemeClr w14:val="tx1"/>
                  </w14:solidFill>
                </w14:textFill>
              </w:rPr>
              <w:t>废水类别、污染物种类、排放方式及污染治理设施一览表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226"/>
              <w:gridCol w:w="1192"/>
              <w:gridCol w:w="1098"/>
              <w:gridCol w:w="1365"/>
              <w:gridCol w:w="983"/>
              <w:gridCol w:w="957"/>
              <w:gridCol w:w="854"/>
            </w:tblGrid>
            <w:tr w14:paraId="007AB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94" w:type="dxa"/>
                  <w:vMerge w:val="restart"/>
                  <w:vAlign w:val="center"/>
                </w:tcPr>
                <w:p w14:paraId="7DD3F2AB">
                  <w:pPr>
                    <w:keepNext w:val="0"/>
                    <w:keepLines w:val="0"/>
                    <w:pageBreakBefore w:val="0"/>
                    <w:widowControl/>
                    <w:kinsoku/>
                    <w:wordWrap/>
                    <w:overflowPunct/>
                    <w:bidi w:val="0"/>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废水类别</w:t>
                  </w:r>
                </w:p>
              </w:tc>
              <w:tc>
                <w:tcPr>
                  <w:tcW w:w="1226" w:type="dxa"/>
                  <w:vMerge w:val="restart"/>
                  <w:vAlign w:val="center"/>
                </w:tcPr>
                <w:p w14:paraId="471189CC">
                  <w:pPr>
                    <w:keepNext w:val="0"/>
                    <w:keepLines w:val="0"/>
                    <w:pageBreakBefore w:val="0"/>
                    <w:widowControl/>
                    <w:kinsoku/>
                    <w:wordWrap/>
                    <w:overflowPunct/>
                    <w:bidi w:val="0"/>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污染物种类</w:t>
                  </w:r>
                </w:p>
              </w:tc>
              <w:tc>
                <w:tcPr>
                  <w:tcW w:w="2290" w:type="dxa"/>
                  <w:gridSpan w:val="2"/>
                  <w:vAlign w:val="center"/>
                </w:tcPr>
                <w:p w14:paraId="06E044BC">
                  <w:pPr>
                    <w:keepNext w:val="0"/>
                    <w:keepLines w:val="0"/>
                    <w:pageBreakBefore w:val="0"/>
                    <w:widowControl/>
                    <w:kinsoku/>
                    <w:wordWrap/>
                    <w:overflowPunct/>
                    <w:bidi w:val="0"/>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污染治理工艺</w:t>
                  </w:r>
                </w:p>
              </w:tc>
              <w:tc>
                <w:tcPr>
                  <w:tcW w:w="1365" w:type="dxa"/>
                  <w:vMerge w:val="restart"/>
                  <w:vAlign w:val="center"/>
                </w:tcPr>
                <w:p w14:paraId="64B989CE">
                  <w:pPr>
                    <w:keepNext w:val="0"/>
                    <w:keepLines w:val="0"/>
                    <w:pageBreakBefore w:val="0"/>
                    <w:widowControl/>
                    <w:kinsoku/>
                    <w:wordWrap/>
                    <w:overflowPunct/>
                    <w:bidi w:val="0"/>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排放去向</w:t>
                  </w:r>
                </w:p>
              </w:tc>
              <w:tc>
                <w:tcPr>
                  <w:tcW w:w="983" w:type="dxa"/>
                  <w:vMerge w:val="restart"/>
                  <w:vAlign w:val="center"/>
                </w:tcPr>
                <w:p w14:paraId="3CE895CD">
                  <w:pPr>
                    <w:keepNext w:val="0"/>
                    <w:keepLines w:val="0"/>
                    <w:pageBreakBefore w:val="0"/>
                    <w:widowControl/>
                    <w:kinsoku/>
                    <w:wordWrap/>
                    <w:overflowPunct/>
                    <w:bidi w:val="0"/>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排放方式</w:t>
                  </w:r>
                </w:p>
              </w:tc>
              <w:tc>
                <w:tcPr>
                  <w:tcW w:w="957" w:type="dxa"/>
                  <w:vMerge w:val="restart"/>
                  <w:vAlign w:val="center"/>
                </w:tcPr>
                <w:p w14:paraId="41C7BDE0">
                  <w:pPr>
                    <w:keepNext w:val="0"/>
                    <w:keepLines w:val="0"/>
                    <w:pageBreakBefore w:val="0"/>
                    <w:widowControl/>
                    <w:kinsoku/>
                    <w:wordWrap/>
                    <w:overflowPunct/>
                    <w:bidi w:val="0"/>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排放口编号</w:t>
                  </w:r>
                </w:p>
              </w:tc>
              <w:tc>
                <w:tcPr>
                  <w:tcW w:w="854" w:type="dxa"/>
                  <w:vMerge w:val="restart"/>
                  <w:vAlign w:val="center"/>
                </w:tcPr>
                <w:p w14:paraId="26CC2380">
                  <w:pPr>
                    <w:keepNext w:val="0"/>
                    <w:keepLines w:val="0"/>
                    <w:pageBreakBefore w:val="0"/>
                    <w:widowControl/>
                    <w:kinsoku/>
                    <w:wordWrap/>
                    <w:overflowPunct/>
                    <w:bidi w:val="0"/>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排放口类型</w:t>
                  </w:r>
                </w:p>
              </w:tc>
            </w:tr>
            <w:tr w14:paraId="16964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694" w:type="dxa"/>
                  <w:vMerge w:val="continue"/>
                  <w:vAlign w:val="center"/>
                </w:tcPr>
                <w:p w14:paraId="7F2268C0">
                  <w:pPr>
                    <w:keepNext w:val="0"/>
                    <w:keepLines w:val="0"/>
                    <w:pageBreakBefore w:val="0"/>
                    <w:widowControl/>
                    <w:kinsoku/>
                    <w:wordWrap/>
                    <w:overflowPunct/>
                    <w:bidi w:val="0"/>
                    <w:jc w:val="center"/>
                    <w:rPr>
                      <w:rFonts w:hint="default" w:ascii="Times New Roman" w:hAnsi="Times New Roman" w:eastAsia="宋体" w:cs="Times New Roman"/>
                      <w:color w:val="000000" w:themeColor="text1"/>
                      <w14:textFill>
                        <w14:solidFill>
                          <w14:schemeClr w14:val="tx1"/>
                        </w14:solidFill>
                      </w14:textFill>
                    </w:rPr>
                  </w:pPr>
                </w:p>
              </w:tc>
              <w:tc>
                <w:tcPr>
                  <w:tcW w:w="1226" w:type="dxa"/>
                  <w:vMerge w:val="continue"/>
                  <w:vAlign w:val="center"/>
                </w:tcPr>
                <w:p w14:paraId="6619820A">
                  <w:pPr>
                    <w:keepNext w:val="0"/>
                    <w:keepLines w:val="0"/>
                    <w:pageBreakBefore w:val="0"/>
                    <w:widowControl/>
                    <w:kinsoku/>
                    <w:wordWrap/>
                    <w:overflowPunct/>
                    <w:bidi w:val="0"/>
                    <w:jc w:val="center"/>
                    <w:rPr>
                      <w:rFonts w:hint="default" w:ascii="Times New Roman" w:hAnsi="Times New Roman" w:eastAsia="宋体" w:cs="Times New Roman"/>
                      <w:color w:val="000000" w:themeColor="text1"/>
                      <w14:textFill>
                        <w14:solidFill>
                          <w14:schemeClr w14:val="tx1"/>
                        </w14:solidFill>
                      </w14:textFill>
                    </w:rPr>
                  </w:pPr>
                </w:p>
              </w:tc>
              <w:tc>
                <w:tcPr>
                  <w:tcW w:w="1192" w:type="dxa"/>
                  <w:vAlign w:val="center"/>
                </w:tcPr>
                <w:p w14:paraId="7B9E9B69">
                  <w:pPr>
                    <w:keepNext w:val="0"/>
                    <w:keepLines w:val="0"/>
                    <w:pageBreakBefore w:val="0"/>
                    <w:widowControl/>
                    <w:kinsoku/>
                    <w:wordWrap/>
                    <w:overflowPunct/>
                    <w:bidi w:val="0"/>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治理工艺</w:t>
                  </w:r>
                </w:p>
              </w:tc>
              <w:tc>
                <w:tcPr>
                  <w:tcW w:w="1098" w:type="dxa"/>
                  <w:vAlign w:val="center"/>
                </w:tcPr>
                <w:p w14:paraId="0EBD0CEC">
                  <w:pPr>
                    <w:keepNext w:val="0"/>
                    <w:keepLines w:val="0"/>
                    <w:pageBreakBefore w:val="0"/>
                    <w:widowControl/>
                    <w:kinsoku/>
                    <w:wordWrap/>
                    <w:overflowPunct/>
                    <w:bidi w:val="0"/>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是否可行</w:t>
                  </w:r>
                </w:p>
              </w:tc>
              <w:tc>
                <w:tcPr>
                  <w:tcW w:w="1365" w:type="dxa"/>
                  <w:vMerge w:val="continue"/>
                  <w:vAlign w:val="center"/>
                </w:tcPr>
                <w:p w14:paraId="05A5844B">
                  <w:pPr>
                    <w:keepNext w:val="0"/>
                    <w:keepLines w:val="0"/>
                    <w:pageBreakBefore w:val="0"/>
                    <w:widowControl/>
                    <w:kinsoku/>
                    <w:wordWrap/>
                    <w:overflowPunct/>
                    <w:bidi w:val="0"/>
                    <w:jc w:val="center"/>
                    <w:rPr>
                      <w:rFonts w:hint="default" w:ascii="Times New Roman" w:hAnsi="Times New Roman" w:eastAsia="宋体" w:cs="Times New Roman"/>
                      <w:color w:val="000000" w:themeColor="text1"/>
                      <w14:textFill>
                        <w14:solidFill>
                          <w14:schemeClr w14:val="tx1"/>
                        </w14:solidFill>
                      </w14:textFill>
                    </w:rPr>
                  </w:pPr>
                </w:p>
              </w:tc>
              <w:tc>
                <w:tcPr>
                  <w:tcW w:w="983" w:type="dxa"/>
                  <w:vMerge w:val="continue"/>
                  <w:vAlign w:val="center"/>
                </w:tcPr>
                <w:p w14:paraId="39D0DA75">
                  <w:pPr>
                    <w:keepNext w:val="0"/>
                    <w:keepLines w:val="0"/>
                    <w:pageBreakBefore w:val="0"/>
                    <w:widowControl/>
                    <w:kinsoku/>
                    <w:wordWrap/>
                    <w:overflowPunct/>
                    <w:bidi w:val="0"/>
                    <w:jc w:val="center"/>
                    <w:rPr>
                      <w:rFonts w:hint="default" w:ascii="Times New Roman" w:hAnsi="Times New Roman" w:eastAsia="宋体" w:cs="Times New Roman"/>
                      <w:color w:val="000000" w:themeColor="text1"/>
                      <w14:textFill>
                        <w14:solidFill>
                          <w14:schemeClr w14:val="tx1"/>
                        </w14:solidFill>
                      </w14:textFill>
                    </w:rPr>
                  </w:pPr>
                </w:p>
              </w:tc>
              <w:tc>
                <w:tcPr>
                  <w:tcW w:w="957" w:type="dxa"/>
                  <w:vMerge w:val="continue"/>
                  <w:vAlign w:val="center"/>
                </w:tcPr>
                <w:p w14:paraId="1C599099">
                  <w:pPr>
                    <w:keepNext w:val="0"/>
                    <w:keepLines w:val="0"/>
                    <w:pageBreakBefore w:val="0"/>
                    <w:widowControl/>
                    <w:kinsoku/>
                    <w:wordWrap/>
                    <w:overflowPunct/>
                    <w:bidi w:val="0"/>
                    <w:jc w:val="center"/>
                    <w:rPr>
                      <w:rFonts w:hint="default" w:ascii="Times New Roman" w:hAnsi="Times New Roman" w:eastAsia="宋体" w:cs="Times New Roman"/>
                      <w:color w:val="000000" w:themeColor="text1"/>
                      <w14:textFill>
                        <w14:solidFill>
                          <w14:schemeClr w14:val="tx1"/>
                        </w14:solidFill>
                      </w14:textFill>
                    </w:rPr>
                  </w:pPr>
                </w:p>
              </w:tc>
              <w:tc>
                <w:tcPr>
                  <w:tcW w:w="854" w:type="dxa"/>
                  <w:vMerge w:val="continue"/>
                  <w:vAlign w:val="center"/>
                </w:tcPr>
                <w:p w14:paraId="330D0C1C">
                  <w:pPr>
                    <w:keepNext w:val="0"/>
                    <w:keepLines w:val="0"/>
                    <w:pageBreakBefore w:val="0"/>
                    <w:widowControl/>
                    <w:kinsoku/>
                    <w:wordWrap/>
                    <w:overflowPunct/>
                    <w:bidi w:val="0"/>
                    <w:jc w:val="center"/>
                    <w:rPr>
                      <w:rFonts w:hint="default" w:ascii="Times New Roman" w:hAnsi="Times New Roman" w:eastAsia="宋体" w:cs="Times New Roman"/>
                      <w:color w:val="000000" w:themeColor="text1"/>
                      <w14:textFill>
                        <w14:solidFill>
                          <w14:schemeClr w14:val="tx1"/>
                        </w14:solidFill>
                      </w14:textFill>
                    </w:rPr>
                  </w:pPr>
                </w:p>
              </w:tc>
            </w:tr>
            <w:tr w14:paraId="1A419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94" w:type="dxa"/>
                  <w:vAlign w:val="center"/>
                </w:tcPr>
                <w:p w14:paraId="1F72372F">
                  <w:pPr>
                    <w:keepNext w:val="0"/>
                    <w:keepLines w:val="0"/>
                    <w:pageBreakBefore w:val="0"/>
                    <w:widowControl/>
                    <w:kinsoku/>
                    <w:wordWrap/>
                    <w:overflowPunct/>
                    <w:bidi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生活污水</w:t>
                  </w:r>
                </w:p>
              </w:tc>
              <w:tc>
                <w:tcPr>
                  <w:tcW w:w="1226" w:type="dxa"/>
                  <w:vAlign w:val="center"/>
                </w:tcPr>
                <w:p w14:paraId="7BBBC217">
                  <w:pPr>
                    <w:keepNext w:val="0"/>
                    <w:keepLines w:val="0"/>
                    <w:pageBreakBefore w:val="0"/>
                    <w:widowControl/>
                    <w:kinsoku/>
                    <w:wordWrap/>
                    <w:overflowPunct/>
                    <w:bidi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pH、COD、BOD</w:t>
                  </w:r>
                  <w:r>
                    <w:rPr>
                      <w:rFonts w:hint="default" w:ascii="Times New Roman" w:hAnsi="Times New Roman" w:eastAsia="宋体" w:cs="Times New Roman"/>
                      <w:color w:val="000000" w:themeColor="text1"/>
                      <w:vertAlign w:val="subscript"/>
                      <w14:textFill>
                        <w14:solidFill>
                          <w14:schemeClr w14:val="tx1"/>
                        </w14:solidFill>
                      </w14:textFill>
                    </w:rPr>
                    <w:t>5</w:t>
                  </w:r>
                  <w:r>
                    <w:rPr>
                      <w:rFonts w:hint="default" w:ascii="Times New Roman" w:hAnsi="Times New Roman" w:eastAsia="宋体" w:cs="Times New Roman"/>
                      <w:color w:val="000000" w:themeColor="text1"/>
                      <w14:textFill>
                        <w14:solidFill>
                          <w14:schemeClr w14:val="tx1"/>
                        </w14:solidFill>
                      </w14:textFill>
                    </w:rPr>
                    <w:t>、SS、NH</w:t>
                  </w:r>
                  <w:r>
                    <w:rPr>
                      <w:rFonts w:hint="default" w:ascii="Times New Roman" w:hAnsi="Times New Roman" w:eastAsia="宋体" w:cs="Times New Roman"/>
                      <w:color w:val="000000" w:themeColor="text1"/>
                      <w:vertAlign w:val="sub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-N</w:t>
                  </w:r>
                </w:p>
              </w:tc>
              <w:tc>
                <w:tcPr>
                  <w:tcW w:w="1192" w:type="dxa"/>
                  <w:vAlign w:val="center"/>
                </w:tcPr>
                <w:p w14:paraId="6D11D926">
                  <w:pPr>
                    <w:keepNext w:val="0"/>
                    <w:keepLines w:val="0"/>
                    <w:pageBreakBefore w:val="0"/>
                    <w:widowControl/>
                    <w:kinsoku/>
                    <w:wordWrap/>
                    <w:overflowPunct/>
                    <w:bidi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隔油池+</w:t>
                  </w:r>
                  <w:r>
                    <w:rPr>
                      <w:rFonts w:hint="default" w:ascii="Times New Roman" w:hAnsi="Times New Roman" w:eastAsia="宋体" w:cs="Times New Roman"/>
                      <w:color w:val="000000" w:themeColor="text1"/>
                      <w14:textFill>
                        <w14:solidFill>
                          <w14:schemeClr w14:val="tx1"/>
                        </w14:solidFill>
                      </w14:textFill>
                    </w:rPr>
                    <w:t>化粪池</w:t>
                  </w:r>
                </w:p>
              </w:tc>
              <w:tc>
                <w:tcPr>
                  <w:tcW w:w="1098" w:type="dxa"/>
                  <w:vAlign w:val="center"/>
                </w:tcPr>
                <w:p w14:paraId="60C47D1D">
                  <w:pPr>
                    <w:keepNext w:val="0"/>
                    <w:keepLines w:val="0"/>
                    <w:pageBreakBefore w:val="0"/>
                    <w:widowControl/>
                    <w:kinsoku/>
                    <w:wordWrap/>
                    <w:overflowPunct/>
                    <w:bidi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是</w:t>
                  </w:r>
                </w:p>
              </w:tc>
              <w:tc>
                <w:tcPr>
                  <w:tcW w:w="1365" w:type="dxa"/>
                  <w:vAlign w:val="center"/>
                </w:tcPr>
                <w:p w14:paraId="6D00BA8B">
                  <w:pPr>
                    <w:keepNext w:val="0"/>
                    <w:keepLines w:val="0"/>
                    <w:pageBreakBefore w:val="0"/>
                    <w:widowControl/>
                    <w:kinsoku/>
                    <w:wordWrap/>
                    <w:overflowPunct/>
                    <w:bidi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埇桥区经济开发区污水处理厂</w:t>
                  </w:r>
                </w:p>
              </w:tc>
              <w:tc>
                <w:tcPr>
                  <w:tcW w:w="983" w:type="dxa"/>
                  <w:vAlign w:val="center"/>
                </w:tcPr>
                <w:p w14:paraId="50014DBF">
                  <w:pPr>
                    <w:keepNext w:val="0"/>
                    <w:keepLines w:val="0"/>
                    <w:pageBreakBefore w:val="0"/>
                    <w:widowControl/>
                    <w:kinsoku/>
                    <w:wordWrap/>
                    <w:overflowPunct/>
                    <w:bidi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间接排放</w:t>
                  </w:r>
                </w:p>
              </w:tc>
              <w:tc>
                <w:tcPr>
                  <w:tcW w:w="957" w:type="dxa"/>
                  <w:vAlign w:val="center"/>
                </w:tcPr>
                <w:p w14:paraId="5D107DEA">
                  <w:pPr>
                    <w:keepNext w:val="0"/>
                    <w:keepLines w:val="0"/>
                    <w:pageBreakBefore w:val="0"/>
                    <w:widowControl/>
                    <w:kinsoku/>
                    <w:wordWrap/>
                    <w:overflowPunct/>
                    <w:bidi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DW001</w:t>
                  </w:r>
                </w:p>
              </w:tc>
              <w:tc>
                <w:tcPr>
                  <w:tcW w:w="854" w:type="dxa"/>
                  <w:vAlign w:val="center"/>
                </w:tcPr>
                <w:p w14:paraId="5CBB5891">
                  <w:pPr>
                    <w:keepNext w:val="0"/>
                    <w:keepLines w:val="0"/>
                    <w:pageBreakBefore w:val="0"/>
                    <w:widowControl/>
                    <w:kinsoku/>
                    <w:wordWrap/>
                    <w:overflowPunct/>
                    <w:bidi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一般排放口</w:t>
                  </w:r>
                </w:p>
              </w:tc>
            </w:tr>
          </w:tbl>
          <w:p w14:paraId="03CD1639">
            <w:pPr>
              <w:keepNext w:val="0"/>
              <w:keepLines w:val="0"/>
              <w:pageBreakBefore w:val="0"/>
              <w:widowControl/>
              <w:kinsoku/>
              <w:wordWrap/>
              <w:overflowPunct/>
              <w:topLinePunct w:val="0"/>
              <w:autoSpaceDE w:val="0"/>
              <w:autoSpaceDN w:val="0"/>
              <w:bidi w:val="0"/>
              <w:adjustRightInd/>
              <w:snapToGrid/>
              <w:spacing w:before="157" w:beforeLines="50"/>
              <w:jc w:val="center"/>
              <w:textAlignment w:val="baseline"/>
              <w:rPr>
                <w:rFonts w:hint="default" w:ascii="Times New Roman" w:hAnsi="Times New Roman" w:eastAsia="宋体" w:cs="Times New Roman"/>
                <w:b/>
                <w:bCs/>
                <w:color w:val="0000FF"/>
                <w:sz w:val="24"/>
                <w:lang w:eastAsia="zh-CN"/>
              </w:rPr>
            </w:pPr>
          </w:p>
          <w:p w14:paraId="610BA65D">
            <w:pPr>
              <w:keepNext w:val="0"/>
              <w:keepLines w:val="0"/>
              <w:pageBreakBefore w:val="0"/>
              <w:widowControl/>
              <w:kinsoku/>
              <w:wordWrap/>
              <w:overflowPunct/>
              <w:topLinePunct w:val="0"/>
              <w:autoSpaceDE w:val="0"/>
              <w:autoSpaceDN w:val="0"/>
              <w:bidi w:val="0"/>
              <w:adjustRightInd/>
              <w:snapToGrid/>
              <w:spacing w:before="157" w:beforeLines="50"/>
              <w:jc w:val="center"/>
              <w:textAlignment w:val="baseline"/>
              <w:rPr>
                <w:rFonts w:hint="default" w:ascii="Times New Roman" w:hAnsi="Times New Roman" w:eastAsia="宋体" w:cs="Times New Roman"/>
                <w:b/>
                <w:bCs/>
                <w:color w:val="000000" w:themeColor="text1"/>
                <w:sz w:val="24"/>
                <w:lang w:eastAsia="zh-CN"/>
                <w14:textFill>
                  <w14:solidFill>
                    <w14:schemeClr w14:val="tx1"/>
                  </w14:solidFill>
                </w14:textFill>
              </w:rPr>
            </w:pPr>
            <w:r>
              <w:rPr>
                <w:rFonts w:hint="default" w:ascii="Times New Roman" w:hAnsi="Times New Roman" w:eastAsia="宋体" w:cs="Times New Roman"/>
                <w:b/>
                <w:bCs/>
                <w:color w:val="000000" w:themeColor="text1"/>
                <w:sz w:val="24"/>
                <w:lang w:eastAsia="zh-CN"/>
                <w14:textFill>
                  <w14:solidFill>
                    <w14:schemeClr w14:val="tx1"/>
                  </w14:solidFill>
                </w14:textFill>
              </w:rPr>
              <w:t>表4-</w:t>
            </w:r>
            <w:r>
              <w:rPr>
                <w:rFonts w:hint="default" w:ascii="Times New Roman" w:hAnsi="Times New Roman" w:eastAsia="宋体" w:cs="Times New Roman"/>
                <w:b/>
                <w:bCs/>
                <w:color w:val="000000" w:themeColor="text1"/>
                <w:sz w:val="24"/>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lang w:eastAsia="zh-CN"/>
                <w14:textFill>
                  <w14:solidFill>
                    <w14:schemeClr w14:val="tx1"/>
                  </w14:solidFill>
                </w14:textFill>
              </w:rPr>
              <w:t>项目用水及排水情况一览表单位：t/a</w:t>
            </w:r>
          </w:p>
          <w:tbl>
            <w:tblPr>
              <w:tblStyle w:val="26"/>
              <w:tblW w:w="49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572"/>
              <w:gridCol w:w="624"/>
              <w:gridCol w:w="806"/>
              <w:gridCol w:w="907"/>
              <w:gridCol w:w="636"/>
              <w:gridCol w:w="507"/>
              <w:gridCol w:w="881"/>
              <w:gridCol w:w="790"/>
              <w:gridCol w:w="985"/>
              <w:gridCol w:w="595"/>
              <w:gridCol w:w="607"/>
            </w:tblGrid>
            <w:tr w14:paraId="31F1D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25" w:type="dxa"/>
                  <w:vMerge w:val="restart"/>
                  <w:noWrap w:val="0"/>
                  <w:vAlign w:val="center"/>
                </w:tcPr>
                <w:p w14:paraId="47B004D9">
                  <w:pPr>
                    <w:pStyle w:val="77"/>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产排污环节</w:t>
                  </w:r>
                </w:p>
              </w:tc>
              <w:tc>
                <w:tcPr>
                  <w:tcW w:w="572" w:type="dxa"/>
                  <w:vMerge w:val="restart"/>
                  <w:noWrap w:val="0"/>
                  <w:vAlign w:val="center"/>
                </w:tcPr>
                <w:p w14:paraId="25427204">
                  <w:pPr>
                    <w:pStyle w:val="77"/>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废水类别</w:t>
                  </w:r>
                </w:p>
              </w:tc>
              <w:tc>
                <w:tcPr>
                  <w:tcW w:w="624" w:type="dxa"/>
                  <w:vMerge w:val="restart"/>
                  <w:noWrap w:val="0"/>
                  <w:vAlign w:val="center"/>
                </w:tcPr>
                <w:p w14:paraId="7DA738EF">
                  <w:pPr>
                    <w:pStyle w:val="77"/>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排放量（t/a）</w:t>
                  </w:r>
                </w:p>
              </w:tc>
              <w:tc>
                <w:tcPr>
                  <w:tcW w:w="806" w:type="dxa"/>
                  <w:vMerge w:val="restart"/>
                  <w:noWrap w:val="0"/>
                  <w:vAlign w:val="center"/>
                </w:tcPr>
                <w:p w14:paraId="1891E9AA">
                  <w:pPr>
                    <w:pStyle w:val="77"/>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污染物种类</w:t>
                  </w:r>
                </w:p>
              </w:tc>
              <w:tc>
                <w:tcPr>
                  <w:tcW w:w="1543" w:type="dxa"/>
                  <w:gridSpan w:val="2"/>
                  <w:noWrap w:val="0"/>
                  <w:vAlign w:val="center"/>
                </w:tcPr>
                <w:p w14:paraId="23CA85B8">
                  <w:pPr>
                    <w:pStyle w:val="77"/>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污染物产生情况</w:t>
                  </w:r>
                </w:p>
              </w:tc>
              <w:tc>
                <w:tcPr>
                  <w:tcW w:w="1388" w:type="dxa"/>
                  <w:gridSpan w:val="2"/>
                  <w:noWrap w:val="0"/>
                  <w:vAlign w:val="center"/>
                </w:tcPr>
                <w:p w14:paraId="4B6F0CA7">
                  <w:pPr>
                    <w:pStyle w:val="77"/>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治理设施</w:t>
                  </w:r>
                </w:p>
              </w:tc>
              <w:tc>
                <w:tcPr>
                  <w:tcW w:w="1775" w:type="dxa"/>
                  <w:gridSpan w:val="2"/>
                  <w:noWrap w:val="0"/>
                  <w:vAlign w:val="center"/>
                </w:tcPr>
                <w:p w14:paraId="78E0582D">
                  <w:pPr>
                    <w:pStyle w:val="77"/>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污染物排放情况</w:t>
                  </w:r>
                </w:p>
              </w:tc>
              <w:tc>
                <w:tcPr>
                  <w:tcW w:w="595" w:type="dxa"/>
                  <w:vMerge w:val="restart"/>
                  <w:noWrap w:val="0"/>
                  <w:vAlign w:val="center"/>
                </w:tcPr>
                <w:p w14:paraId="16ED5F14">
                  <w:pPr>
                    <w:pStyle w:val="77"/>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排放方式</w:t>
                  </w:r>
                </w:p>
              </w:tc>
              <w:tc>
                <w:tcPr>
                  <w:tcW w:w="607" w:type="dxa"/>
                  <w:vMerge w:val="restart"/>
                  <w:noWrap w:val="0"/>
                  <w:vAlign w:val="center"/>
                </w:tcPr>
                <w:p w14:paraId="5E88664E">
                  <w:pPr>
                    <w:pStyle w:val="77"/>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执行标准</w:t>
                  </w:r>
                </w:p>
              </w:tc>
            </w:tr>
            <w:tr w14:paraId="0E34D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425" w:type="dxa"/>
                  <w:vMerge w:val="continue"/>
                  <w:noWrap w:val="0"/>
                  <w:vAlign w:val="center"/>
                </w:tcPr>
                <w:p w14:paraId="781B6399">
                  <w:pPr>
                    <w:pStyle w:val="77"/>
                    <w:rPr>
                      <w:rFonts w:hint="default" w:ascii="Times New Roman" w:hAnsi="Times New Roman" w:eastAsia="宋体" w:cs="Times New Roman"/>
                      <w:color w:val="000000" w:themeColor="text1"/>
                      <w14:textFill>
                        <w14:solidFill>
                          <w14:schemeClr w14:val="tx1"/>
                        </w14:solidFill>
                      </w14:textFill>
                    </w:rPr>
                  </w:pPr>
                </w:p>
              </w:tc>
              <w:tc>
                <w:tcPr>
                  <w:tcW w:w="572" w:type="dxa"/>
                  <w:vMerge w:val="continue"/>
                  <w:noWrap w:val="0"/>
                  <w:vAlign w:val="center"/>
                </w:tcPr>
                <w:p w14:paraId="6DAF2B92">
                  <w:pPr>
                    <w:pStyle w:val="77"/>
                    <w:rPr>
                      <w:rFonts w:hint="default" w:ascii="Times New Roman" w:hAnsi="Times New Roman" w:eastAsia="宋体" w:cs="Times New Roman"/>
                      <w:color w:val="000000" w:themeColor="text1"/>
                      <w14:textFill>
                        <w14:solidFill>
                          <w14:schemeClr w14:val="tx1"/>
                        </w14:solidFill>
                      </w14:textFill>
                    </w:rPr>
                  </w:pPr>
                </w:p>
              </w:tc>
              <w:tc>
                <w:tcPr>
                  <w:tcW w:w="624" w:type="dxa"/>
                  <w:vMerge w:val="continue"/>
                  <w:noWrap w:val="0"/>
                  <w:vAlign w:val="center"/>
                </w:tcPr>
                <w:p w14:paraId="1CF47B3B">
                  <w:pPr>
                    <w:pStyle w:val="77"/>
                    <w:rPr>
                      <w:rFonts w:hint="default" w:ascii="Times New Roman" w:hAnsi="Times New Roman" w:eastAsia="宋体" w:cs="Times New Roman"/>
                      <w:color w:val="000000" w:themeColor="text1"/>
                      <w14:textFill>
                        <w14:solidFill>
                          <w14:schemeClr w14:val="tx1"/>
                        </w14:solidFill>
                      </w14:textFill>
                    </w:rPr>
                  </w:pPr>
                </w:p>
              </w:tc>
              <w:tc>
                <w:tcPr>
                  <w:tcW w:w="806" w:type="dxa"/>
                  <w:vMerge w:val="continue"/>
                  <w:noWrap w:val="0"/>
                  <w:vAlign w:val="center"/>
                </w:tcPr>
                <w:p w14:paraId="36D06104">
                  <w:pPr>
                    <w:pStyle w:val="77"/>
                    <w:rPr>
                      <w:rFonts w:hint="default" w:ascii="Times New Roman" w:hAnsi="Times New Roman" w:eastAsia="宋体" w:cs="Times New Roman"/>
                      <w:color w:val="000000" w:themeColor="text1"/>
                      <w14:textFill>
                        <w14:solidFill>
                          <w14:schemeClr w14:val="tx1"/>
                        </w14:solidFill>
                      </w14:textFill>
                    </w:rPr>
                  </w:pPr>
                </w:p>
              </w:tc>
              <w:tc>
                <w:tcPr>
                  <w:tcW w:w="907" w:type="dxa"/>
                  <w:noWrap w:val="0"/>
                  <w:vAlign w:val="center"/>
                </w:tcPr>
                <w:p w14:paraId="1BFA7B8E">
                  <w:pPr>
                    <w:pStyle w:val="77"/>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产生量t/a</w:t>
                  </w:r>
                </w:p>
              </w:tc>
              <w:tc>
                <w:tcPr>
                  <w:tcW w:w="636" w:type="dxa"/>
                  <w:noWrap w:val="0"/>
                  <w:vAlign w:val="center"/>
                </w:tcPr>
                <w:p w14:paraId="2BCDD799">
                  <w:pPr>
                    <w:pStyle w:val="77"/>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浓度mg/L</w:t>
                  </w:r>
                </w:p>
              </w:tc>
              <w:tc>
                <w:tcPr>
                  <w:tcW w:w="507" w:type="dxa"/>
                  <w:noWrap w:val="0"/>
                  <w:vAlign w:val="center"/>
                </w:tcPr>
                <w:p w14:paraId="1F27983A">
                  <w:pPr>
                    <w:pStyle w:val="77"/>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工艺</w:t>
                  </w:r>
                </w:p>
              </w:tc>
              <w:tc>
                <w:tcPr>
                  <w:tcW w:w="881" w:type="dxa"/>
                  <w:noWrap w:val="0"/>
                  <w:vAlign w:val="center"/>
                </w:tcPr>
                <w:p w14:paraId="6969127A">
                  <w:pPr>
                    <w:pStyle w:val="77"/>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是否为可行技术</w:t>
                  </w:r>
                </w:p>
              </w:tc>
              <w:tc>
                <w:tcPr>
                  <w:tcW w:w="790" w:type="dxa"/>
                  <w:noWrap w:val="0"/>
                  <w:vAlign w:val="center"/>
                </w:tcPr>
                <w:p w14:paraId="43C6B944">
                  <w:pPr>
                    <w:pStyle w:val="77"/>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排放量t/a</w:t>
                  </w:r>
                </w:p>
              </w:tc>
              <w:tc>
                <w:tcPr>
                  <w:tcW w:w="985" w:type="dxa"/>
                  <w:noWrap w:val="0"/>
                  <w:vAlign w:val="center"/>
                </w:tcPr>
                <w:p w14:paraId="7A6499CC">
                  <w:pPr>
                    <w:pStyle w:val="77"/>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排放浓度mg/L</w:t>
                  </w:r>
                </w:p>
              </w:tc>
              <w:tc>
                <w:tcPr>
                  <w:tcW w:w="595" w:type="dxa"/>
                  <w:vMerge w:val="continue"/>
                  <w:noWrap w:val="0"/>
                  <w:vAlign w:val="center"/>
                </w:tcPr>
                <w:p w14:paraId="665B6BA3">
                  <w:pPr>
                    <w:pStyle w:val="77"/>
                    <w:rPr>
                      <w:rFonts w:hint="default" w:ascii="Times New Roman" w:hAnsi="Times New Roman" w:eastAsia="宋体" w:cs="Times New Roman"/>
                      <w:color w:val="000000" w:themeColor="text1"/>
                      <w14:textFill>
                        <w14:solidFill>
                          <w14:schemeClr w14:val="tx1"/>
                        </w14:solidFill>
                      </w14:textFill>
                    </w:rPr>
                  </w:pPr>
                </w:p>
              </w:tc>
              <w:tc>
                <w:tcPr>
                  <w:tcW w:w="607" w:type="dxa"/>
                  <w:vMerge w:val="continue"/>
                  <w:noWrap w:val="0"/>
                  <w:vAlign w:val="center"/>
                </w:tcPr>
                <w:p w14:paraId="6955DF6A">
                  <w:pPr>
                    <w:pStyle w:val="77"/>
                    <w:rPr>
                      <w:rFonts w:hint="default" w:ascii="Times New Roman" w:hAnsi="Times New Roman" w:eastAsia="宋体" w:cs="Times New Roman"/>
                      <w:color w:val="000000" w:themeColor="text1"/>
                      <w14:textFill>
                        <w14:solidFill>
                          <w14:schemeClr w14:val="tx1"/>
                        </w14:solidFill>
                      </w14:textFill>
                    </w:rPr>
                  </w:pPr>
                </w:p>
              </w:tc>
            </w:tr>
            <w:tr w14:paraId="669EB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6" w:hRule="atLeast"/>
                <w:jc w:val="center"/>
              </w:trPr>
              <w:tc>
                <w:tcPr>
                  <w:tcW w:w="425" w:type="dxa"/>
                  <w:vMerge w:val="restart"/>
                  <w:noWrap w:val="0"/>
                  <w:vAlign w:val="center"/>
                </w:tcPr>
                <w:p w14:paraId="05CD4648">
                  <w:pPr>
                    <w:keepNext w:val="0"/>
                    <w:keepLines w:val="0"/>
                    <w:pageBreakBefore w:val="0"/>
                    <w:widowControl/>
                    <w:kinsoku/>
                    <w:wordWrap/>
                    <w:overflowPunct/>
                    <w:bidi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职工</w:t>
                  </w:r>
                </w:p>
                <w:p w14:paraId="03D06E30">
                  <w:pPr>
                    <w:keepNext w:val="0"/>
                    <w:keepLines w:val="0"/>
                    <w:pageBreakBefore w:val="0"/>
                    <w:widowControl/>
                    <w:kinsoku/>
                    <w:wordWrap/>
                    <w:overflowPunct/>
                    <w:bidi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生活</w:t>
                  </w:r>
                </w:p>
              </w:tc>
              <w:tc>
                <w:tcPr>
                  <w:tcW w:w="572" w:type="dxa"/>
                  <w:vMerge w:val="restart"/>
                  <w:noWrap w:val="0"/>
                  <w:vAlign w:val="center"/>
                </w:tcPr>
                <w:p w14:paraId="6052B775">
                  <w:pPr>
                    <w:keepNext w:val="0"/>
                    <w:keepLines w:val="0"/>
                    <w:pageBreakBefore w:val="0"/>
                    <w:widowControl/>
                    <w:kinsoku/>
                    <w:wordWrap/>
                    <w:overflowPunct/>
                    <w:bidi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生活</w:t>
                  </w:r>
                </w:p>
                <w:p w14:paraId="0EEB29EA">
                  <w:pPr>
                    <w:keepNext w:val="0"/>
                    <w:keepLines w:val="0"/>
                    <w:pageBreakBefore w:val="0"/>
                    <w:widowControl/>
                    <w:kinsoku/>
                    <w:wordWrap/>
                    <w:overflowPunct/>
                    <w:bidi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污水</w:t>
                  </w:r>
                </w:p>
              </w:tc>
              <w:tc>
                <w:tcPr>
                  <w:tcW w:w="624" w:type="dxa"/>
                  <w:vMerge w:val="restart"/>
                  <w:noWrap w:val="0"/>
                  <w:vAlign w:val="center"/>
                </w:tcPr>
                <w:p w14:paraId="3D836562">
                  <w:pPr>
                    <w:keepNext w:val="0"/>
                    <w:keepLines w:val="0"/>
                    <w:pageBreakBefore w:val="0"/>
                    <w:widowControl/>
                    <w:kinsoku/>
                    <w:wordWrap/>
                    <w:overflowPunct/>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1470</w:t>
                  </w:r>
                </w:p>
              </w:tc>
              <w:tc>
                <w:tcPr>
                  <w:tcW w:w="806" w:type="dxa"/>
                  <w:noWrap w:val="0"/>
                  <w:vAlign w:val="center"/>
                </w:tcPr>
                <w:p w14:paraId="5B7DCF3E">
                  <w:pPr>
                    <w:keepNext w:val="0"/>
                    <w:keepLines w:val="0"/>
                    <w:pageBreakBefore w:val="0"/>
                    <w:widowControl/>
                    <w:kinsoku/>
                    <w:wordWrap/>
                    <w:overflowPunct/>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COD</w:t>
                  </w:r>
                </w:p>
              </w:tc>
              <w:tc>
                <w:tcPr>
                  <w:tcW w:w="907" w:type="dxa"/>
                  <w:noWrap w:val="0"/>
                  <w:vAlign w:val="center"/>
                </w:tcPr>
                <w:p w14:paraId="42898686">
                  <w:pPr>
                    <w:keepNext w:val="0"/>
                    <w:keepLines w:val="0"/>
                    <w:pageBreakBefore w:val="0"/>
                    <w:widowControl/>
                    <w:kinsoku/>
                    <w:wordWrap/>
                    <w:overflowPunct/>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0.441</w:t>
                  </w:r>
                </w:p>
              </w:tc>
              <w:tc>
                <w:tcPr>
                  <w:tcW w:w="636" w:type="dxa"/>
                  <w:noWrap w:val="0"/>
                  <w:vAlign w:val="center"/>
                </w:tcPr>
                <w:p w14:paraId="1A37BE0C">
                  <w:pPr>
                    <w:keepNext w:val="0"/>
                    <w:keepLines w:val="0"/>
                    <w:pageBreakBefore w:val="0"/>
                    <w:widowControl/>
                    <w:kinsoku/>
                    <w:wordWrap/>
                    <w:overflowPunct/>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300</w:t>
                  </w:r>
                </w:p>
              </w:tc>
              <w:tc>
                <w:tcPr>
                  <w:tcW w:w="507" w:type="dxa"/>
                  <w:vMerge w:val="restart"/>
                  <w:noWrap w:val="0"/>
                  <w:vAlign w:val="center"/>
                </w:tcPr>
                <w:p w14:paraId="10CC3BB1">
                  <w:pPr>
                    <w:keepNext w:val="0"/>
                    <w:keepLines w:val="0"/>
                    <w:pageBreakBefore w:val="0"/>
                    <w:widowControl/>
                    <w:kinsoku/>
                    <w:wordWrap/>
                    <w:overflowPunct/>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隔油池+化粪池</w:t>
                  </w:r>
                </w:p>
              </w:tc>
              <w:tc>
                <w:tcPr>
                  <w:tcW w:w="881" w:type="dxa"/>
                  <w:vMerge w:val="restart"/>
                  <w:noWrap w:val="0"/>
                  <w:vAlign w:val="center"/>
                </w:tcPr>
                <w:p w14:paraId="194737ED">
                  <w:pPr>
                    <w:keepNext w:val="0"/>
                    <w:keepLines w:val="0"/>
                    <w:pageBreakBefore w:val="0"/>
                    <w:widowControl/>
                    <w:kinsoku/>
                    <w:wordWrap/>
                    <w:overflowPunct/>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是</w:t>
                  </w:r>
                </w:p>
              </w:tc>
              <w:tc>
                <w:tcPr>
                  <w:tcW w:w="790" w:type="dxa"/>
                  <w:noWrap w:val="0"/>
                  <w:vAlign w:val="center"/>
                </w:tcPr>
                <w:p w14:paraId="49440B53">
                  <w:pPr>
                    <w:keepNext w:val="0"/>
                    <w:keepLines w:val="0"/>
                    <w:pageBreakBefore w:val="0"/>
                    <w:widowControl/>
                    <w:kinsoku/>
                    <w:wordWrap/>
                    <w:overflowPunct/>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0.375</w:t>
                  </w:r>
                </w:p>
              </w:tc>
              <w:tc>
                <w:tcPr>
                  <w:tcW w:w="985" w:type="dxa"/>
                  <w:noWrap w:val="0"/>
                  <w:vAlign w:val="center"/>
                </w:tcPr>
                <w:p w14:paraId="14317334">
                  <w:pPr>
                    <w:keepNext w:val="0"/>
                    <w:keepLines w:val="0"/>
                    <w:pageBreakBefore w:val="0"/>
                    <w:widowControl/>
                    <w:kinsoku/>
                    <w:wordWrap/>
                    <w:overflowPunct/>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255</w:t>
                  </w:r>
                </w:p>
              </w:tc>
              <w:tc>
                <w:tcPr>
                  <w:tcW w:w="595" w:type="dxa"/>
                  <w:vMerge w:val="restart"/>
                  <w:noWrap w:val="0"/>
                  <w:vAlign w:val="center"/>
                </w:tcPr>
                <w:p w14:paraId="4737A066">
                  <w:pPr>
                    <w:keepNext w:val="0"/>
                    <w:keepLines w:val="0"/>
                    <w:pageBreakBefore w:val="0"/>
                    <w:widowControl/>
                    <w:kinsoku/>
                    <w:wordWrap/>
                    <w:overflowPunct/>
                    <w:bidi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间接</w:t>
                  </w:r>
                </w:p>
                <w:p w14:paraId="7A1757EC">
                  <w:pPr>
                    <w:keepNext w:val="0"/>
                    <w:keepLines w:val="0"/>
                    <w:pageBreakBefore w:val="0"/>
                    <w:widowControl/>
                    <w:kinsoku/>
                    <w:wordWrap/>
                    <w:overflowPunct/>
                    <w:bidi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排放</w:t>
                  </w:r>
                </w:p>
              </w:tc>
              <w:tc>
                <w:tcPr>
                  <w:tcW w:w="607" w:type="dxa"/>
                  <w:noWrap w:val="0"/>
                  <w:vAlign w:val="center"/>
                </w:tcPr>
                <w:p w14:paraId="4F7D3268">
                  <w:pPr>
                    <w:keepNext w:val="0"/>
                    <w:keepLines w:val="0"/>
                    <w:pageBreakBefore w:val="0"/>
                    <w:widowControl/>
                    <w:kinsoku/>
                    <w:wordWrap/>
                    <w:overflowPunct/>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500</w:t>
                  </w:r>
                </w:p>
              </w:tc>
            </w:tr>
            <w:tr w14:paraId="211BD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425" w:type="dxa"/>
                  <w:vMerge w:val="continue"/>
                  <w:noWrap w:val="0"/>
                  <w:vAlign w:val="center"/>
                </w:tcPr>
                <w:p w14:paraId="22C2D293">
                  <w:pPr>
                    <w:pStyle w:val="77"/>
                    <w:rPr>
                      <w:rFonts w:hint="default" w:ascii="Times New Roman" w:hAnsi="Times New Roman" w:eastAsia="宋体" w:cs="Times New Roman"/>
                      <w:color w:val="000000" w:themeColor="text1"/>
                      <w14:textFill>
                        <w14:solidFill>
                          <w14:schemeClr w14:val="tx1"/>
                        </w14:solidFill>
                      </w14:textFill>
                    </w:rPr>
                  </w:pPr>
                </w:p>
              </w:tc>
              <w:tc>
                <w:tcPr>
                  <w:tcW w:w="572" w:type="dxa"/>
                  <w:vMerge w:val="continue"/>
                  <w:noWrap w:val="0"/>
                  <w:vAlign w:val="center"/>
                </w:tcPr>
                <w:p w14:paraId="558B4EE5">
                  <w:pPr>
                    <w:pStyle w:val="77"/>
                    <w:rPr>
                      <w:rFonts w:hint="default" w:ascii="Times New Roman" w:hAnsi="Times New Roman" w:eastAsia="宋体" w:cs="Times New Roman"/>
                      <w:color w:val="000000" w:themeColor="text1"/>
                      <w14:textFill>
                        <w14:solidFill>
                          <w14:schemeClr w14:val="tx1"/>
                        </w14:solidFill>
                      </w14:textFill>
                    </w:rPr>
                  </w:pPr>
                </w:p>
              </w:tc>
              <w:tc>
                <w:tcPr>
                  <w:tcW w:w="624" w:type="dxa"/>
                  <w:vMerge w:val="continue"/>
                  <w:noWrap w:val="0"/>
                  <w:vAlign w:val="center"/>
                </w:tcPr>
                <w:p w14:paraId="53E5DE3C">
                  <w:pPr>
                    <w:keepNext w:val="0"/>
                    <w:keepLines w:val="0"/>
                    <w:pageBreakBefore w:val="0"/>
                    <w:widowControl/>
                    <w:kinsoku/>
                    <w:wordWrap/>
                    <w:overflowPunct/>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806" w:type="dxa"/>
                  <w:noWrap w:val="0"/>
                  <w:vAlign w:val="center"/>
                </w:tcPr>
                <w:p w14:paraId="784A2108">
                  <w:pPr>
                    <w:keepNext w:val="0"/>
                    <w:keepLines w:val="0"/>
                    <w:pageBreakBefore w:val="0"/>
                    <w:widowControl/>
                    <w:kinsoku/>
                    <w:wordWrap/>
                    <w:overflowPunct/>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SS</w:t>
                  </w:r>
                </w:p>
              </w:tc>
              <w:tc>
                <w:tcPr>
                  <w:tcW w:w="907" w:type="dxa"/>
                  <w:noWrap w:val="0"/>
                  <w:vAlign w:val="center"/>
                </w:tcPr>
                <w:p w14:paraId="4956040E">
                  <w:pPr>
                    <w:keepNext w:val="0"/>
                    <w:keepLines w:val="0"/>
                    <w:pageBreakBefore w:val="0"/>
                    <w:widowControl/>
                    <w:kinsoku/>
                    <w:wordWrap/>
                    <w:overflowPunct/>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0.294</w:t>
                  </w:r>
                </w:p>
              </w:tc>
              <w:tc>
                <w:tcPr>
                  <w:tcW w:w="636" w:type="dxa"/>
                  <w:noWrap w:val="0"/>
                  <w:vAlign w:val="center"/>
                </w:tcPr>
                <w:p w14:paraId="0176CF1F">
                  <w:pPr>
                    <w:keepNext w:val="0"/>
                    <w:keepLines w:val="0"/>
                    <w:pageBreakBefore w:val="0"/>
                    <w:widowControl/>
                    <w:kinsoku/>
                    <w:wordWrap/>
                    <w:overflowPunct/>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200</w:t>
                  </w:r>
                </w:p>
              </w:tc>
              <w:tc>
                <w:tcPr>
                  <w:tcW w:w="507" w:type="dxa"/>
                  <w:vMerge w:val="continue"/>
                  <w:noWrap w:val="0"/>
                  <w:vAlign w:val="center"/>
                </w:tcPr>
                <w:p w14:paraId="26A4D09E">
                  <w:pPr>
                    <w:keepNext w:val="0"/>
                    <w:keepLines w:val="0"/>
                    <w:pageBreakBefore w:val="0"/>
                    <w:widowControl/>
                    <w:kinsoku/>
                    <w:wordWrap/>
                    <w:overflowPunct/>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881" w:type="dxa"/>
                  <w:vMerge w:val="continue"/>
                  <w:noWrap w:val="0"/>
                  <w:vAlign w:val="center"/>
                </w:tcPr>
                <w:p w14:paraId="3CF63473">
                  <w:pPr>
                    <w:keepNext w:val="0"/>
                    <w:keepLines w:val="0"/>
                    <w:pageBreakBefore w:val="0"/>
                    <w:widowControl/>
                    <w:kinsoku/>
                    <w:wordWrap/>
                    <w:overflowPunct/>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790" w:type="dxa"/>
                  <w:noWrap w:val="0"/>
                  <w:vAlign w:val="center"/>
                </w:tcPr>
                <w:p w14:paraId="7E588226">
                  <w:pPr>
                    <w:keepNext w:val="0"/>
                    <w:keepLines w:val="0"/>
                    <w:pageBreakBefore w:val="0"/>
                    <w:widowControl/>
                    <w:kinsoku/>
                    <w:wordWrap/>
                    <w:overflowPunct/>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0.206</w:t>
                  </w:r>
                </w:p>
              </w:tc>
              <w:tc>
                <w:tcPr>
                  <w:tcW w:w="985" w:type="dxa"/>
                  <w:noWrap w:val="0"/>
                  <w:vAlign w:val="center"/>
                </w:tcPr>
                <w:p w14:paraId="57A4F38F">
                  <w:pPr>
                    <w:keepNext w:val="0"/>
                    <w:keepLines w:val="0"/>
                    <w:pageBreakBefore w:val="0"/>
                    <w:widowControl/>
                    <w:kinsoku/>
                    <w:wordWrap/>
                    <w:overflowPunct/>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140</w:t>
                  </w:r>
                </w:p>
              </w:tc>
              <w:tc>
                <w:tcPr>
                  <w:tcW w:w="595" w:type="dxa"/>
                  <w:vMerge w:val="continue"/>
                  <w:noWrap w:val="0"/>
                  <w:vAlign w:val="center"/>
                </w:tcPr>
                <w:p w14:paraId="5DB6DCD4">
                  <w:pPr>
                    <w:pStyle w:val="77"/>
                    <w:rPr>
                      <w:rFonts w:hint="default" w:ascii="Times New Roman" w:hAnsi="Times New Roman" w:eastAsia="宋体" w:cs="Times New Roman"/>
                      <w:color w:val="000000" w:themeColor="text1"/>
                      <w14:textFill>
                        <w14:solidFill>
                          <w14:schemeClr w14:val="tx1"/>
                        </w14:solidFill>
                      </w14:textFill>
                    </w:rPr>
                  </w:pPr>
                </w:p>
              </w:tc>
              <w:tc>
                <w:tcPr>
                  <w:tcW w:w="607" w:type="dxa"/>
                  <w:noWrap w:val="0"/>
                  <w:vAlign w:val="center"/>
                </w:tcPr>
                <w:p w14:paraId="3E788673">
                  <w:pPr>
                    <w:keepNext w:val="0"/>
                    <w:keepLines w:val="0"/>
                    <w:pageBreakBefore w:val="0"/>
                    <w:widowControl/>
                    <w:kinsoku/>
                    <w:wordWrap/>
                    <w:overflowPunct/>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250</w:t>
                  </w:r>
                </w:p>
              </w:tc>
            </w:tr>
            <w:tr w14:paraId="5934F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425" w:type="dxa"/>
                  <w:vMerge w:val="continue"/>
                  <w:noWrap w:val="0"/>
                  <w:vAlign w:val="center"/>
                </w:tcPr>
                <w:p w14:paraId="55F0D9AF">
                  <w:pPr>
                    <w:pStyle w:val="77"/>
                    <w:rPr>
                      <w:rFonts w:hint="default" w:ascii="Times New Roman" w:hAnsi="Times New Roman" w:eastAsia="宋体" w:cs="Times New Roman"/>
                      <w:color w:val="000000" w:themeColor="text1"/>
                      <w14:textFill>
                        <w14:solidFill>
                          <w14:schemeClr w14:val="tx1"/>
                        </w14:solidFill>
                      </w14:textFill>
                    </w:rPr>
                  </w:pPr>
                </w:p>
              </w:tc>
              <w:tc>
                <w:tcPr>
                  <w:tcW w:w="572" w:type="dxa"/>
                  <w:vMerge w:val="continue"/>
                  <w:noWrap w:val="0"/>
                  <w:vAlign w:val="center"/>
                </w:tcPr>
                <w:p w14:paraId="114A4B8C">
                  <w:pPr>
                    <w:pStyle w:val="77"/>
                    <w:rPr>
                      <w:rFonts w:hint="default" w:ascii="Times New Roman" w:hAnsi="Times New Roman" w:eastAsia="宋体" w:cs="Times New Roman"/>
                      <w:color w:val="000000" w:themeColor="text1"/>
                      <w14:textFill>
                        <w14:solidFill>
                          <w14:schemeClr w14:val="tx1"/>
                        </w14:solidFill>
                      </w14:textFill>
                    </w:rPr>
                  </w:pPr>
                </w:p>
              </w:tc>
              <w:tc>
                <w:tcPr>
                  <w:tcW w:w="624" w:type="dxa"/>
                  <w:vMerge w:val="continue"/>
                  <w:noWrap w:val="0"/>
                  <w:vAlign w:val="center"/>
                </w:tcPr>
                <w:p w14:paraId="56450EA7">
                  <w:pPr>
                    <w:keepNext w:val="0"/>
                    <w:keepLines w:val="0"/>
                    <w:pageBreakBefore w:val="0"/>
                    <w:widowControl/>
                    <w:kinsoku/>
                    <w:wordWrap/>
                    <w:overflowPunct/>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806" w:type="dxa"/>
                  <w:noWrap w:val="0"/>
                  <w:vAlign w:val="center"/>
                </w:tcPr>
                <w:p w14:paraId="4DF5CD8B">
                  <w:pPr>
                    <w:keepNext w:val="0"/>
                    <w:keepLines w:val="0"/>
                    <w:pageBreakBefore w:val="0"/>
                    <w:widowControl/>
                    <w:kinsoku/>
                    <w:wordWrap/>
                    <w:overflowPunct/>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BOD5</w:t>
                  </w:r>
                </w:p>
              </w:tc>
              <w:tc>
                <w:tcPr>
                  <w:tcW w:w="907" w:type="dxa"/>
                  <w:noWrap w:val="0"/>
                  <w:vAlign w:val="center"/>
                </w:tcPr>
                <w:p w14:paraId="1B4F1C08">
                  <w:pPr>
                    <w:keepNext w:val="0"/>
                    <w:keepLines w:val="0"/>
                    <w:pageBreakBefore w:val="0"/>
                    <w:widowControl/>
                    <w:kinsoku/>
                    <w:wordWrap/>
                    <w:overflowPunct/>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0.265</w:t>
                  </w:r>
                </w:p>
              </w:tc>
              <w:tc>
                <w:tcPr>
                  <w:tcW w:w="636" w:type="dxa"/>
                  <w:noWrap w:val="0"/>
                  <w:vAlign w:val="center"/>
                </w:tcPr>
                <w:p w14:paraId="3B079B93">
                  <w:pPr>
                    <w:keepNext w:val="0"/>
                    <w:keepLines w:val="0"/>
                    <w:pageBreakBefore w:val="0"/>
                    <w:widowControl/>
                    <w:kinsoku/>
                    <w:wordWrap/>
                    <w:overflowPunct/>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180</w:t>
                  </w:r>
                </w:p>
              </w:tc>
              <w:tc>
                <w:tcPr>
                  <w:tcW w:w="507" w:type="dxa"/>
                  <w:vMerge w:val="continue"/>
                  <w:noWrap w:val="0"/>
                  <w:vAlign w:val="center"/>
                </w:tcPr>
                <w:p w14:paraId="49459A49">
                  <w:pPr>
                    <w:keepNext w:val="0"/>
                    <w:keepLines w:val="0"/>
                    <w:pageBreakBefore w:val="0"/>
                    <w:widowControl/>
                    <w:kinsoku/>
                    <w:wordWrap/>
                    <w:overflowPunct/>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881" w:type="dxa"/>
                  <w:vMerge w:val="continue"/>
                  <w:noWrap w:val="0"/>
                  <w:vAlign w:val="center"/>
                </w:tcPr>
                <w:p w14:paraId="706227E3">
                  <w:pPr>
                    <w:keepNext w:val="0"/>
                    <w:keepLines w:val="0"/>
                    <w:pageBreakBefore w:val="0"/>
                    <w:widowControl/>
                    <w:kinsoku/>
                    <w:wordWrap/>
                    <w:overflowPunct/>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790" w:type="dxa"/>
                  <w:noWrap w:val="0"/>
                  <w:vAlign w:val="center"/>
                </w:tcPr>
                <w:p w14:paraId="79500A73">
                  <w:pPr>
                    <w:keepNext w:val="0"/>
                    <w:keepLines w:val="0"/>
                    <w:pageBreakBefore w:val="0"/>
                    <w:widowControl/>
                    <w:kinsoku/>
                    <w:wordWrap/>
                    <w:overflowPunct/>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0.212</w:t>
                  </w:r>
                </w:p>
              </w:tc>
              <w:tc>
                <w:tcPr>
                  <w:tcW w:w="985" w:type="dxa"/>
                  <w:noWrap w:val="0"/>
                  <w:vAlign w:val="center"/>
                </w:tcPr>
                <w:p w14:paraId="786CA38E">
                  <w:pPr>
                    <w:keepNext w:val="0"/>
                    <w:keepLines w:val="0"/>
                    <w:pageBreakBefore w:val="0"/>
                    <w:widowControl/>
                    <w:kinsoku/>
                    <w:wordWrap/>
                    <w:overflowPunct/>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144</w:t>
                  </w:r>
                </w:p>
              </w:tc>
              <w:tc>
                <w:tcPr>
                  <w:tcW w:w="595" w:type="dxa"/>
                  <w:vMerge w:val="continue"/>
                  <w:noWrap w:val="0"/>
                  <w:vAlign w:val="center"/>
                </w:tcPr>
                <w:p w14:paraId="7CF6A958">
                  <w:pPr>
                    <w:pStyle w:val="77"/>
                    <w:rPr>
                      <w:rFonts w:hint="default" w:ascii="Times New Roman" w:hAnsi="Times New Roman" w:eastAsia="宋体" w:cs="Times New Roman"/>
                      <w:color w:val="000000" w:themeColor="text1"/>
                      <w14:textFill>
                        <w14:solidFill>
                          <w14:schemeClr w14:val="tx1"/>
                        </w14:solidFill>
                      </w14:textFill>
                    </w:rPr>
                  </w:pPr>
                </w:p>
              </w:tc>
              <w:tc>
                <w:tcPr>
                  <w:tcW w:w="607" w:type="dxa"/>
                  <w:noWrap w:val="0"/>
                  <w:vAlign w:val="center"/>
                </w:tcPr>
                <w:p w14:paraId="40FFD831">
                  <w:pPr>
                    <w:keepNext w:val="0"/>
                    <w:keepLines w:val="0"/>
                    <w:pageBreakBefore w:val="0"/>
                    <w:widowControl/>
                    <w:kinsoku/>
                    <w:wordWrap/>
                    <w:overflowPunct/>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150</w:t>
                  </w:r>
                </w:p>
              </w:tc>
            </w:tr>
            <w:tr w14:paraId="7EDFC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425" w:type="dxa"/>
                  <w:vMerge w:val="continue"/>
                  <w:noWrap w:val="0"/>
                  <w:vAlign w:val="center"/>
                </w:tcPr>
                <w:p w14:paraId="3E8CC81D">
                  <w:pPr>
                    <w:pStyle w:val="77"/>
                    <w:rPr>
                      <w:rFonts w:hint="default" w:ascii="Times New Roman" w:hAnsi="Times New Roman" w:eastAsia="宋体" w:cs="Times New Roman"/>
                      <w:color w:val="000000" w:themeColor="text1"/>
                      <w14:textFill>
                        <w14:solidFill>
                          <w14:schemeClr w14:val="tx1"/>
                        </w14:solidFill>
                      </w14:textFill>
                    </w:rPr>
                  </w:pPr>
                </w:p>
              </w:tc>
              <w:tc>
                <w:tcPr>
                  <w:tcW w:w="572" w:type="dxa"/>
                  <w:vMerge w:val="continue"/>
                  <w:noWrap w:val="0"/>
                  <w:vAlign w:val="center"/>
                </w:tcPr>
                <w:p w14:paraId="292FA93E">
                  <w:pPr>
                    <w:pStyle w:val="77"/>
                    <w:rPr>
                      <w:rFonts w:hint="default" w:ascii="Times New Roman" w:hAnsi="Times New Roman" w:eastAsia="宋体" w:cs="Times New Roman"/>
                      <w:color w:val="000000" w:themeColor="text1"/>
                      <w14:textFill>
                        <w14:solidFill>
                          <w14:schemeClr w14:val="tx1"/>
                        </w14:solidFill>
                      </w14:textFill>
                    </w:rPr>
                  </w:pPr>
                </w:p>
              </w:tc>
              <w:tc>
                <w:tcPr>
                  <w:tcW w:w="624" w:type="dxa"/>
                  <w:vMerge w:val="continue"/>
                  <w:noWrap w:val="0"/>
                  <w:vAlign w:val="center"/>
                </w:tcPr>
                <w:p w14:paraId="360F2FCE">
                  <w:pPr>
                    <w:keepNext w:val="0"/>
                    <w:keepLines w:val="0"/>
                    <w:pageBreakBefore w:val="0"/>
                    <w:widowControl/>
                    <w:kinsoku/>
                    <w:wordWrap/>
                    <w:overflowPunct/>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806" w:type="dxa"/>
                  <w:noWrap w:val="0"/>
                  <w:vAlign w:val="center"/>
                </w:tcPr>
                <w:p w14:paraId="504F503B">
                  <w:pPr>
                    <w:keepNext w:val="0"/>
                    <w:keepLines w:val="0"/>
                    <w:pageBreakBefore w:val="0"/>
                    <w:widowControl/>
                    <w:kinsoku/>
                    <w:wordWrap/>
                    <w:overflowPunct/>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NH3-N</w:t>
                  </w:r>
                </w:p>
              </w:tc>
              <w:tc>
                <w:tcPr>
                  <w:tcW w:w="907" w:type="dxa"/>
                  <w:noWrap w:val="0"/>
                  <w:vAlign w:val="center"/>
                </w:tcPr>
                <w:p w14:paraId="1BA19AE9">
                  <w:pPr>
                    <w:keepNext w:val="0"/>
                    <w:keepLines w:val="0"/>
                    <w:pageBreakBefore w:val="0"/>
                    <w:widowControl/>
                    <w:kinsoku/>
                    <w:wordWrap/>
                    <w:overflowPunct/>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0.044</w:t>
                  </w:r>
                </w:p>
              </w:tc>
              <w:tc>
                <w:tcPr>
                  <w:tcW w:w="636" w:type="dxa"/>
                  <w:noWrap w:val="0"/>
                  <w:vAlign w:val="center"/>
                </w:tcPr>
                <w:p w14:paraId="357A841F">
                  <w:pPr>
                    <w:keepNext w:val="0"/>
                    <w:keepLines w:val="0"/>
                    <w:pageBreakBefore w:val="0"/>
                    <w:widowControl/>
                    <w:kinsoku/>
                    <w:wordWrap/>
                    <w:overflowPunct/>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30</w:t>
                  </w:r>
                </w:p>
              </w:tc>
              <w:tc>
                <w:tcPr>
                  <w:tcW w:w="507" w:type="dxa"/>
                  <w:vMerge w:val="continue"/>
                  <w:noWrap w:val="0"/>
                  <w:vAlign w:val="center"/>
                </w:tcPr>
                <w:p w14:paraId="34A3D571">
                  <w:pPr>
                    <w:keepNext w:val="0"/>
                    <w:keepLines w:val="0"/>
                    <w:pageBreakBefore w:val="0"/>
                    <w:widowControl/>
                    <w:kinsoku/>
                    <w:wordWrap/>
                    <w:overflowPunct/>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881" w:type="dxa"/>
                  <w:vMerge w:val="continue"/>
                  <w:noWrap w:val="0"/>
                  <w:vAlign w:val="center"/>
                </w:tcPr>
                <w:p w14:paraId="449AB5CF">
                  <w:pPr>
                    <w:keepNext w:val="0"/>
                    <w:keepLines w:val="0"/>
                    <w:pageBreakBefore w:val="0"/>
                    <w:widowControl/>
                    <w:kinsoku/>
                    <w:wordWrap/>
                    <w:overflowPunct/>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790" w:type="dxa"/>
                  <w:noWrap w:val="0"/>
                  <w:vAlign w:val="center"/>
                </w:tcPr>
                <w:p w14:paraId="19808128">
                  <w:pPr>
                    <w:keepNext w:val="0"/>
                    <w:keepLines w:val="0"/>
                    <w:pageBreakBefore w:val="0"/>
                    <w:widowControl/>
                    <w:kinsoku/>
                    <w:wordWrap/>
                    <w:overflowPunct/>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0.043</w:t>
                  </w:r>
                </w:p>
              </w:tc>
              <w:tc>
                <w:tcPr>
                  <w:tcW w:w="985" w:type="dxa"/>
                  <w:noWrap w:val="0"/>
                  <w:vAlign w:val="center"/>
                </w:tcPr>
                <w:p w14:paraId="549EDCD8">
                  <w:pPr>
                    <w:keepNext w:val="0"/>
                    <w:keepLines w:val="0"/>
                    <w:pageBreakBefore w:val="0"/>
                    <w:widowControl/>
                    <w:kinsoku/>
                    <w:wordWrap/>
                    <w:overflowPunct/>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29</w:t>
                  </w:r>
                </w:p>
              </w:tc>
              <w:tc>
                <w:tcPr>
                  <w:tcW w:w="595" w:type="dxa"/>
                  <w:vMerge w:val="continue"/>
                  <w:noWrap w:val="0"/>
                  <w:vAlign w:val="center"/>
                </w:tcPr>
                <w:p w14:paraId="78ACDBE2">
                  <w:pPr>
                    <w:pStyle w:val="77"/>
                    <w:rPr>
                      <w:rFonts w:hint="default" w:ascii="Times New Roman" w:hAnsi="Times New Roman" w:eastAsia="宋体" w:cs="Times New Roman"/>
                      <w:color w:val="000000" w:themeColor="text1"/>
                      <w14:textFill>
                        <w14:solidFill>
                          <w14:schemeClr w14:val="tx1"/>
                        </w14:solidFill>
                      </w14:textFill>
                    </w:rPr>
                  </w:pPr>
                </w:p>
              </w:tc>
              <w:tc>
                <w:tcPr>
                  <w:tcW w:w="607" w:type="dxa"/>
                  <w:noWrap w:val="0"/>
                  <w:vAlign w:val="center"/>
                </w:tcPr>
                <w:p w14:paraId="7EA1D0FE">
                  <w:pPr>
                    <w:keepNext w:val="0"/>
                    <w:keepLines w:val="0"/>
                    <w:pageBreakBefore w:val="0"/>
                    <w:widowControl/>
                    <w:kinsoku/>
                    <w:wordWrap/>
                    <w:overflowPunct/>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30</w:t>
                  </w:r>
                </w:p>
              </w:tc>
            </w:tr>
          </w:tbl>
          <w:p w14:paraId="4CF07CF2">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2、排放口设置及监测计划</w:t>
            </w:r>
          </w:p>
          <w:p w14:paraId="40F620E9">
            <w:pPr>
              <w:pStyle w:val="36"/>
              <w:keepNext w:val="0"/>
              <w:keepLines w:val="0"/>
              <w:pageBreakBefore w:val="0"/>
              <w:widowControl/>
              <w:numPr>
                <w:ilvl w:val="1"/>
                <w:numId w:val="0"/>
              </w:numPr>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b w:val="0"/>
                <w:color w:val="000000" w:themeColor="text1"/>
                <w:sz w:val="24"/>
                <w:szCs w:val="24"/>
                <w:lang w:eastAsia="zh-CN"/>
                <w14:textFill>
                  <w14:solidFill>
                    <w14:schemeClr w14:val="tx1"/>
                  </w14:solidFill>
                </w14:textFill>
              </w:rPr>
            </w:pPr>
            <w:r>
              <w:rPr>
                <w:rFonts w:hint="default" w:ascii="Times New Roman" w:hAnsi="Times New Roman" w:eastAsia="宋体" w:cs="Times New Roman"/>
                <w:b w:val="0"/>
                <w:color w:val="000000" w:themeColor="text1"/>
                <w:sz w:val="24"/>
                <w:szCs w:val="24"/>
                <w:lang w:eastAsia="zh-CN"/>
                <w14:textFill>
                  <w14:solidFill>
                    <w14:schemeClr w14:val="tx1"/>
                  </w14:solidFill>
                </w14:textFill>
              </w:rPr>
              <w:t>根据《固定污染源排污许可分类管理名录（2019年版）》，本项目监测计划根据《排污单位自行监测技术指南 总则》（HJ819-2017）中相关要求，项目在投入运行后，仅产生少量生活废水且先由</w:t>
            </w:r>
            <w:r>
              <w:rPr>
                <w:rFonts w:hint="default" w:ascii="Times New Roman" w:hAnsi="Times New Roman" w:eastAsia="宋体" w:cs="Times New Roman"/>
                <w:b w:val="0"/>
                <w:color w:val="000000" w:themeColor="text1"/>
                <w:sz w:val="24"/>
                <w:szCs w:val="24"/>
                <w:lang w:val="en-US" w:eastAsia="zh-CN"/>
                <w14:textFill>
                  <w14:solidFill>
                    <w14:schemeClr w14:val="tx1"/>
                  </w14:solidFill>
                </w14:textFill>
              </w:rPr>
              <w:t>隔油池+</w:t>
            </w:r>
            <w:r>
              <w:rPr>
                <w:rFonts w:hint="default" w:ascii="Times New Roman" w:hAnsi="Times New Roman" w:eastAsia="宋体" w:cs="Times New Roman"/>
                <w:b w:val="0"/>
                <w:color w:val="000000" w:themeColor="text1"/>
                <w:sz w:val="24"/>
                <w:szCs w:val="24"/>
                <w:lang w:eastAsia="zh-CN"/>
                <w14:textFill>
                  <w14:solidFill>
                    <w14:schemeClr w14:val="tx1"/>
                  </w14:solidFill>
                </w14:textFill>
              </w:rPr>
              <w:t>化粪池处理后排入污水处理厂，不直接排入外部水体中，不需对项目污染源开展监测活动。</w:t>
            </w:r>
          </w:p>
          <w:p w14:paraId="3D59720C">
            <w:pPr>
              <w:pStyle w:val="36"/>
              <w:keepNext w:val="0"/>
              <w:keepLines w:val="0"/>
              <w:pageBreakBefore w:val="0"/>
              <w:widowControl/>
              <w:numPr>
                <w:ilvl w:val="1"/>
                <w:numId w:val="0"/>
              </w:numPr>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b w:val="0"/>
                <w:color w:val="000000" w:themeColor="text1"/>
                <w:sz w:val="24"/>
                <w:szCs w:val="24"/>
                <w:lang w:eastAsia="zh-CN"/>
                <w14:textFill>
                  <w14:solidFill>
                    <w14:schemeClr w14:val="tx1"/>
                  </w14:solidFill>
                </w14:textFill>
              </w:rPr>
            </w:pPr>
            <w:r>
              <w:rPr>
                <w:rFonts w:hint="default" w:ascii="Times New Roman" w:hAnsi="Times New Roman" w:eastAsia="宋体" w:cs="Times New Roman"/>
                <w:b w:val="0"/>
                <w:color w:val="000000" w:themeColor="text1"/>
                <w:sz w:val="24"/>
                <w:szCs w:val="24"/>
                <w:lang w:eastAsia="zh-CN"/>
                <w14:textFill>
                  <w14:solidFill>
                    <w14:schemeClr w14:val="tx1"/>
                  </w14:solidFill>
                </w14:textFill>
              </w:rPr>
              <w:t>项目废水处理措施可行性分析：本项目废水为生活污水，水质简单，经化粪池处理后能满足《污水综合排放标准》（GB8978-1996）中的三级排放标准并满足污水处理厂接管要求，因此废水处理措施可行。</w:t>
            </w:r>
          </w:p>
          <w:p w14:paraId="2B790350">
            <w:pPr>
              <w:pStyle w:val="36"/>
              <w:keepNext w:val="0"/>
              <w:keepLines w:val="0"/>
              <w:pageBreakBefore w:val="0"/>
              <w:widowControl/>
              <w:numPr>
                <w:ilvl w:val="1"/>
                <w:numId w:val="0"/>
              </w:numPr>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b w:val="0"/>
                <w:color w:val="000000" w:themeColor="text1"/>
                <w:sz w:val="24"/>
                <w:szCs w:val="24"/>
                <w:lang w:eastAsia="zh-CN"/>
                <w14:textFill>
                  <w14:solidFill>
                    <w14:schemeClr w14:val="tx1"/>
                  </w14:solidFill>
                </w14:textFill>
              </w:rPr>
            </w:pPr>
            <w:r>
              <w:rPr>
                <w:rFonts w:hint="default" w:ascii="Times New Roman" w:hAnsi="Times New Roman" w:eastAsia="宋体" w:cs="Times New Roman"/>
                <w:b w:val="0"/>
                <w:color w:val="000000" w:themeColor="text1"/>
                <w:sz w:val="24"/>
                <w:szCs w:val="24"/>
                <w:lang w:eastAsia="zh-CN"/>
                <w14:textFill>
                  <w14:solidFill>
                    <w14:schemeClr w14:val="tx1"/>
                  </w14:solidFill>
                </w14:textFill>
              </w:rPr>
              <w:t>3、废水接管可行性分析</w:t>
            </w:r>
          </w:p>
          <w:p w14:paraId="790C1546">
            <w:pPr>
              <w:pStyle w:val="36"/>
              <w:keepNext w:val="0"/>
              <w:keepLines w:val="0"/>
              <w:pageBreakBefore w:val="0"/>
              <w:widowControl/>
              <w:numPr>
                <w:ilvl w:val="0"/>
                <w:numId w:val="0"/>
              </w:numPr>
              <w:kinsoku/>
              <w:wordWrap/>
              <w:overflowPunct/>
              <w:topLinePunct w:val="0"/>
              <w:autoSpaceDE w:val="0"/>
              <w:autoSpaceDN w:val="0"/>
              <w:bidi w:val="0"/>
              <w:adjustRightInd/>
              <w:snapToGrid/>
              <w:spacing w:line="360" w:lineRule="auto"/>
              <w:ind w:left="0" w:leftChars="0" w:firstLine="482" w:firstLineChars="200"/>
              <w:textAlignment w:val="baseline"/>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废水进入埇桥区经济开发区污水处理厂的可行性分析：</w:t>
            </w:r>
          </w:p>
          <w:p w14:paraId="7AF782F7">
            <w:pPr>
              <w:pStyle w:val="36"/>
              <w:keepNext w:val="0"/>
              <w:keepLines w:val="0"/>
              <w:pageBreakBefore w:val="0"/>
              <w:widowControl/>
              <w:numPr>
                <w:ilvl w:val="0"/>
                <w:numId w:val="0"/>
              </w:numPr>
              <w:kinsoku/>
              <w:wordWrap/>
              <w:overflowPunct/>
              <w:topLinePunct w:val="0"/>
              <w:autoSpaceDE w:val="0"/>
              <w:autoSpaceDN w:val="0"/>
              <w:bidi w:val="0"/>
              <w:adjustRightInd/>
              <w:snapToGrid/>
              <w:spacing w:line="360" w:lineRule="auto"/>
              <w:ind w:left="0" w:leftChars="0" w:firstLine="480" w:firstLineChars="200"/>
              <w:textAlignment w:val="baseline"/>
              <w:rPr>
                <w:rFonts w:hint="default" w:ascii="Times New Roman" w:hAnsi="Times New Roman" w:eastAsia="宋体" w:cs="Times New Roman"/>
                <w:b w:val="0"/>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val="0"/>
                <w:color w:val="000000" w:themeColor="text1"/>
                <w:sz w:val="24"/>
                <w:szCs w:val="24"/>
                <w:lang w:eastAsia="zh-CN"/>
                <w14:textFill>
                  <w14:solidFill>
                    <w14:schemeClr w14:val="tx1"/>
                  </w14:solidFill>
                </w14:textFill>
              </w:rPr>
              <w:t>污水处理厂简介：</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埇桥区经济开发区污水处理厂</w:t>
            </w:r>
            <w:r>
              <w:rPr>
                <w:rFonts w:hint="default" w:ascii="Times New Roman" w:hAnsi="Times New Roman" w:eastAsia="宋体" w:cs="Times New Roman"/>
                <w:b w:val="0"/>
                <w:bCs/>
                <w:color w:val="000000" w:themeColor="text1"/>
                <w:sz w:val="24"/>
                <w:szCs w:val="24"/>
                <w14:textFill>
                  <w14:solidFill>
                    <w14:schemeClr w14:val="tx1"/>
                  </w14:solidFill>
                </w14:textFill>
              </w:rPr>
              <w:t>设计规模为10.0×10</w:t>
            </w:r>
            <w:r>
              <w:rPr>
                <w:rFonts w:hint="default" w:ascii="Times New Roman" w:hAnsi="Times New Roman" w:eastAsia="宋体" w:cs="Times New Roman"/>
                <w:b w:val="0"/>
                <w:bCs/>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sz w:val="24"/>
                <w:szCs w:val="24"/>
                <w14:textFill>
                  <w14:solidFill>
                    <w14:schemeClr w14:val="tx1"/>
                  </w14:solidFill>
                </w14:textFill>
              </w:rPr>
              <w:t>m</w:t>
            </w:r>
            <w:r>
              <w:rPr>
                <w:rFonts w:hint="default" w:ascii="Times New Roman" w:hAnsi="Times New Roman" w:eastAsia="宋体" w:cs="Times New Roman"/>
                <w:b w:val="0"/>
                <w:bCs/>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14:textFill>
                  <w14:solidFill>
                    <w14:schemeClr w14:val="tx1"/>
                  </w14:solidFill>
                </w14:textFill>
              </w:rPr>
              <w:t>/d，主要为接管范围内工业及生活污水，采用较为先进的污水处理工艺改良A</w:t>
            </w:r>
            <w:r>
              <w:rPr>
                <w:rFonts w:hint="default" w:ascii="Times New Roman" w:hAnsi="Times New Roman" w:eastAsia="宋体" w:cs="Times New Roman"/>
                <w:b w:val="0"/>
                <w:bCs/>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b w:val="0"/>
                <w:bCs/>
                <w:color w:val="000000" w:themeColor="text1"/>
                <w:sz w:val="24"/>
                <w:szCs w:val="24"/>
                <w14:textFill>
                  <w14:solidFill>
                    <w14:schemeClr w14:val="tx1"/>
                  </w14:solidFill>
                </w14:textFill>
              </w:rPr>
              <w:t>/O，经处理后的污水水质排放标准为《城镇污水处理厂污染物排放标准》（GB18918-2002）一级A标准，尾水排入淝河。目前污水处理厂正常运行，处理达标可行。</w:t>
            </w:r>
          </w:p>
          <w:p w14:paraId="44D823C3">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val="0"/>
                <w:color w:val="000000" w:themeColor="text1"/>
                <w:sz w:val="24"/>
                <w:szCs w:val="24"/>
                <w:lang w:eastAsia="zh-CN"/>
                <w14:textFill>
                  <w14:solidFill>
                    <w14:schemeClr w14:val="tx1"/>
                  </w14:solidFill>
                </w14:textFill>
              </w:rPr>
              <w:t>水质水量：</w:t>
            </w:r>
            <w:r>
              <w:rPr>
                <w:rFonts w:hint="default" w:ascii="Times New Roman" w:hAnsi="Times New Roman" w:eastAsia="宋体" w:cs="Times New Roman"/>
                <w:color w:val="000000" w:themeColor="text1"/>
                <w:sz w:val="24"/>
                <w:szCs w:val="24"/>
                <w:lang w:eastAsia="zh-CN"/>
                <w14:textFill>
                  <w14:solidFill>
                    <w14:schemeClr w14:val="tx1"/>
                  </w14:solidFill>
                </w14:textFill>
              </w:rPr>
              <w:t>埇桥区经济开发区污水处理厂</w:t>
            </w:r>
            <w:r>
              <w:rPr>
                <w:rFonts w:hint="default" w:ascii="Times New Roman" w:hAnsi="Times New Roman" w:eastAsia="宋体" w:cs="Times New Roman"/>
                <w:color w:val="000000" w:themeColor="text1"/>
                <w:sz w:val="24"/>
                <w:szCs w:val="24"/>
                <w14:textFill>
                  <w14:solidFill>
                    <w14:schemeClr w14:val="tx1"/>
                  </w14:solidFill>
                </w14:textFill>
              </w:rPr>
              <w:t>设计规模为10.0×10</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m³/d，本项目日产生废水量为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5.908</w:t>
            </w:r>
            <w:r>
              <w:rPr>
                <w:rFonts w:hint="default" w:ascii="Times New Roman" w:hAnsi="Times New Roman" w:eastAsia="宋体" w:cs="Times New Roman"/>
                <w:color w:val="000000" w:themeColor="text1"/>
                <w:sz w:val="24"/>
                <w:szCs w:val="24"/>
                <w14:textFill>
                  <w14:solidFill>
                    <w14:schemeClr w14:val="tx1"/>
                  </w14:solidFill>
                </w14:textFill>
              </w:rPr>
              <w:t>t，仅占其处理规模总量的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0.014</w:t>
            </w:r>
            <w:r>
              <w:rPr>
                <w:rFonts w:hint="default" w:ascii="Times New Roman" w:hAnsi="Times New Roman" w:eastAsia="宋体" w:cs="Times New Roman"/>
                <w:color w:val="000000" w:themeColor="text1"/>
                <w:sz w:val="24"/>
                <w:szCs w:val="24"/>
                <w14:textFill>
                  <w14:solidFill>
                    <w14:schemeClr w14:val="tx1"/>
                  </w14:solidFill>
                </w14:textFill>
              </w:rPr>
              <w:t>%。且目前污水处理厂收水量</w:t>
            </w:r>
            <w:r>
              <w:rPr>
                <w:rFonts w:hint="default" w:ascii="Times New Roman" w:hAnsi="Times New Roman" w:eastAsia="宋体" w:cs="Times New Roman"/>
                <w:color w:val="000000" w:themeColor="text1"/>
                <w:lang w:eastAsia="zh-CN"/>
                <w14:textFill>
                  <w14:solidFill>
                    <w14:schemeClr w14:val="tx1"/>
                  </w14:solidFill>
                </w14:textFill>
              </w:rPr>
              <w:t>约为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3500t/d，</w:t>
            </w:r>
            <w:r>
              <w:rPr>
                <w:rFonts w:hint="default" w:ascii="Times New Roman" w:hAnsi="Times New Roman" w:eastAsia="宋体" w:cs="Times New Roman"/>
                <w:color w:val="000000" w:themeColor="text1"/>
                <w:sz w:val="24"/>
                <w:szCs w:val="24"/>
                <w14:textFill>
                  <w14:solidFill>
                    <w14:schemeClr w14:val="tx1"/>
                  </w14:solidFill>
                </w14:textFill>
              </w:rPr>
              <w:t>远小于设计规模，项目污水为生活污水，水质较简单，污染物含量浓度较低，且废水中各污染因子浓度均满足</w:t>
            </w:r>
            <w:r>
              <w:rPr>
                <w:rFonts w:hint="default" w:ascii="Times New Roman" w:hAnsi="Times New Roman" w:eastAsia="宋体" w:cs="Times New Roman"/>
                <w:color w:val="000000" w:themeColor="text1"/>
                <w:sz w:val="24"/>
                <w:szCs w:val="24"/>
                <w:lang w:eastAsia="zh-CN"/>
                <w14:textFill>
                  <w14:solidFill>
                    <w14:schemeClr w14:val="tx1"/>
                  </w14:solidFill>
                </w14:textFill>
              </w:rPr>
              <w:t>埇桥区经济开发区污水处理厂</w:t>
            </w:r>
            <w:r>
              <w:rPr>
                <w:rFonts w:hint="default" w:ascii="Times New Roman" w:hAnsi="Times New Roman" w:eastAsia="宋体" w:cs="Times New Roman"/>
                <w:color w:val="000000" w:themeColor="text1"/>
                <w:sz w:val="24"/>
                <w:szCs w:val="24"/>
                <w14:textFill>
                  <w14:solidFill>
                    <w14:schemeClr w14:val="tx1"/>
                  </w14:solidFill>
                </w14:textFill>
              </w:rPr>
              <w:t>接管要求，因此本项目废水进入污水处理厂处理对污水处理厂不造成冲击。</w:t>
            </w:r>
          </w:p>
          <w:p w14:paraId="154D7416">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val="0"/>
                <w:color w:val="000000" w:themeColor="text1"/>
                <w:sz w:val="24"/>
                <w:szCs w:val="24"/>
                <w:lang w:eastAsia="zh-CN"/>
                <w14:textFill>
                  <w14:solidFill>
                    <w14:schemeClr w14:val="tx1"/>
                  </w14:solidFill>
                </w14:textFill>
              </w:rPr>
              <w:t>服务范围：</w:t>
            </w:r>
            <w:r>
              <w:rPr>
                <w:rFonts w:hint="default" w:ascii="Times New Roman" w:hAnsi="Times New Roman" w:eastAsia="宋体" w:cs="Times New Roman"/>
                <w:color w:val="000000" w:themeColor="text1"/>
                <w:sz w:val="24"/>
                <w:szCs w:val="24"/>
                <w14:textFill>
                  <w14:solidFill>
                    <w14:schemeClr w14:val="tx1"/>
                  </w14:solidFill>
                </w14:textFill>
              </w:rPr>
              <w:t>本项目位于</w:t>
            </w:r>
            <w:r>
              <w:rPr>
                <w:rFonts w:hint="default" w:ascii="Times New Roman" w:hAnsi="Times New Roman" w:eastAsia="宋体" w:cs="Times New Roman"/>
                <w:color w:val="000000" w:themeColor="text1"/>
                <w:sz w:val="24"/>
                <w:szCs w:val="24"/>
                <w:lang w:eastAsia="zh-CN"/>
                <w14:textFill>
                  <w14:solidFill>
                    <w14:schemeClr w14:val="tx1"/>
                  </w14:solidFill>
                </w14:textFill>
              </w:rPr>
              <w:t>埇桥区经济开发区污水处理厂</w:t>
            </w:r>
            <w:r>
              <w:rPr>
                <w:rFonts w:hint="default" w:ascii="Times New Roman" w:hAnsi="Times New Roman" w:eastAsia="宋体" w:cs="Times New Roman"/>
                <w:color w:val="000000" w:themeColor="text1"/>
                <w:sz w:val="24"/>
                <w:szCs w:val="24"/>
                <w14:textFill>
                  <w14:solidFill>
                    <w14:schemeClr w14:val="tx1"/>
                  </w14:solidFill>
                </w14:textFill>
              </w:rPr>
              <w:t>收水范围内，项目所在地管网已铺设完毕，外排废水水质、水量均满足污水处理厂接管要求，不会对污水处理厂造成冲击</w:t>
            </w:r>
            <w:r>
              <w:rPr>
                <w:rFonts w:hint="default" w:ascii="Times New Roman" w:hAnsi="Times New Roman" w:eastAsia="宋体" w:cs="Times New Roman"/>
                <w:color w:val="000000" w:themeColor="text1"/>
                <w:sz w:val="24"/>
                <w:szCs w:val="24"/>
                <w:lang w:val="zh-CN"/>
                <w14:textFill>
                  <w14:solidFill>
                    <w14:schemeClr w14:val="tx1"/>
                  </w14:solidFill>
                </w14:textFill>
              </w:rPr>
              <w:t>负荷。因此本项目污水进入</w:t>
            </w:r>
            <w:r>
              <w:rPr>
                <w:rFonts w:hint="default" w:ascii="Times New Roman" w:hAnsi="Times New Roman" w:eastAsia="宋体" w:cs="Times New Roman"/>
                <w:color w:val="000000" w:themeColor="text1"/>
                <w:sz w:val="24"/>
                <w:szCs w:val="24"/>
                <w:lang w:eastAsia="zh-CN"/>
                <w14:textFill>
                  <w14:solidFill>
                    <w14:schemeClr w14:val="tx1"/>
                  </w14:solidFill>
                </w14:textFill>
              </w:rPr>
              <w:t>埇桥区经济开发区污水处理厂</w:t>
            </w:r>
            <w:r>
              <w:rPr>
                <w:rFonts w:hint="default" w:ascii="Times New Roman" w:hAnsi="Times New Roman" w:eastAsia="宋体" w:cs="Times New Roman"/>
                <w:color w:val="000000" w:themeColor="text1"/>
                <w:sz w:val="24"/>
                <w:szCs w:val="24"/>
                <w:lang w:val="zh-CN"/>
                <w14:textFill>
                  <w14:solidFill>
                    <w14:schemeClr w14:val="tx1"/>
                  </w14:solidFill>
                </w14:textFill>
              </w:rPr>
              <w:t>处理是可行的。</w:t>
            </w:r>
          </w:p>
          <w:p w14:paraId="477E59DE">
            <w:pPr>
              <w:pStyle w:val="36"/>
              <w:keepNext w:val="0"/>
              <w:keepLines w:val="0"/>
              <w:pageBreakBefore w:val="0"/>
              <w:widowControl/>
              <w:numPr>
                <w:ilvl w:val="1"/>
                <w:numId w:val="0"/>
              </w:numPr>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pPr>
            <w:r>
              <w:rPr>
                <w:rFonts w:hint="default" w:ascii="Times New Roman" w:hAnsi="Times New Roman" w:eastAsia="宋体" w:cs="Times New Roman"/>
                <w:b w:val="0"/>
                <w:color w:val="000000" w:themeColor="text1"/>
                <w:sz w:val="24"/>
                <w:szCs w:val="24"/>
                <w:lang w:eastAsia="zh-CN"/>
                <w14:textFill>
                  <w14:solidFill>
                    <w14:schemeClr w14:val="tx1"/>
                  </w14:solidFill>
                </w14:textFill>
              </w:rPr>
              <w:t>综上分析，</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本项目废水进入</w:t>
            </w:r>
            <w:r>
              <w:rPr>
                <w:rFonts w:hint="default" w:ascii="Times New Roman" w:hAnsi="Times New Roman" w:eastAsia="宋体" w:cs="Times New Roman"/>
                <w:b w:val="0"/>
                <w:bCs w:val="0"/>
                <w:color w:val="000000" w:themeColor="text1"/>
                <w:sz w:val="24"/>
                <w:szCs w:val="24"/>
                <w14:textFill>
                  <w14:solidFill>
                    <w14:schemeClr w14:val="tx1"/>
                  </w14:solidFill>
                </w14:textFill>
              </w:rPr>
              <w:t>埇桥区经济开发区污水处理厂</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处理是可行的。</w:t>
            </w:r>
          </w:p>
          <w:p w14:paraId="554A7450">
            <w:pPr>
              <w:pStyle w:val="60"/>
              <w:keepNext w:val="0"/>
              <w:keepLines w:val="0"/>
              <w:pageBreakBefore w:val="0"/>
              <w:widowControl/>
              <w:kinsoku/>
              <w:wordWrap/>
              <w:overflowPunct/>
              <w:topLinePunct w:val="0"/>
              <w:autoSpaceDE w:val="0"/>
              <w:autoSpaceDN w:val="0"/>
              <w:bidi w:val="0"/>
              <w:adjustRightInd/>
              <w:snapToGrid/>
              <w:spacing w:before="0" w:line="360" w:lineRule="auto"/>
              <w:ind w:firstLine="0"/>
              <w:textAlignment w:val="baseline"/>
              <w:rPr>
                <w:rFonts w:hint="default" w:ascii="Times New Roman" w:hAnsi="Times New Roman" w:eastAsia="宋体" w:cs="Times New Roman"/>
                <w:b/>
                <w:bCs/>
                <w:color w:val="000000" w:themeColor="text1"/>
                <w:kern w:val="2"/>
                <w:sz w:val="24"/>
                <w:lang w:eastAsia="zh-CN"/>
                <w14:textFill>
                  <w14:solidFill>
                    <w14:schemeClr w14:val="tx1"/>
                  </w14:solidFill>
                </w14:textFill>
              </w:rPr>
            </w:pPr>
            <w:r>
              <w:rPr>
                <w:rFonts w:hint="default" w:ascii="Times New Roman" w:hAnsi="Times New Roman" w:eastAsia="宋体" w:cs="Times New Roman"/>
                <w:b/>
                <w:bCs/>
                <w:color w:val="000000" w:themeColor="text1"/>
                <w:kern w:val="2"/>
                <w:sz w:val="24"/>
                <w:lang w:eastAsia="zh-CN"/>
                <w14:textFill>
                  <w14:solidFill>
                    <w14:schemeClr w14:val="tx1"/>
                  </w14:solidFill>
                </w14:textFill>
              </w:rPr>
              <w:t>三、噪声污染</w:t>
            </w:r>
          </w:p>
          <w:p w14:paraId="1CD60FD1">
            <w:pPr>
              <w:pStyle w:val="60"/>
              <w:keepNext w:val="0"/>
              <w:keepLines w:val="0"/>
              <w:pageBreakBefore w:val="0"/>
              <w:widowControl/>
              <w:kinsoku/>
              <w:wordWrap/>
              <w:overflowPunct/>
              <w:topLinePunct w:val="0"/>
              <w:autoSpaceDE w:val="0"/>
              <w:autoSpaceDN w:val="0"/>
              <w:bidi w:val="0"/>
              <w:adjustRightInd/>
              <w:snapToGrid/>
              <w:spacing w:before="0" w:line="360" w:lineRule="auto"/>
              <w:ind w:firstLine="0"/>
              <w:textAlignment w:val="baseline"/>
              <w:rPr>
                <w:rFonts w:hint="default" w:ascii="Times New Roman" w:hAnsi="Times New Roman" w:eastAsia="宋体" w:cs="Times New Roman"/>
                <w:color w:val="000000" w:themeColor="text1"/>
                <w:kern w:val="2"/>
                <w:sz w:val="24"/>
                <w:lang w:eastAsia="zh-CN"/>
                <w14:textFill>
                  <w14:solidFill>
                    <w14:schemeClr w14:val="tx1"/>
                  </w14:solidFill>
                </w14:textFill>
              </w:rPr>
            </w:pPr>
            <w:r>
              <w:rPr>
                <w:rFonts w:hint="default" w:ascii="Times New Roman" w:hAnsi="Times New Roman" w:eastAsia="宋体" w:cs="Times New Roman"/>
                <w:color w:val="000000" w:themeColor="text1"/>
                <w:kern w:val="2"/>
                <w:sz w:val="24"/>
                <w:lang w:eastAsia="zh-CN"/>
                <w14:textFill>
                  <w14:solidFill>
                    <w14:schemeClr w14:val="tx1"/>
                  </w14:solidFill>
                </w14:textFill>
              </w:rPr>
              <w:t>1、噪声源强</w:t>
            </w:r>
          </w:p>
          <w:p w14:paraId="7FCDA12B">
            <w:pPr>
              <w:pStyle w:val="36"/>
              <w:keepNext w:val="0"/>
              <w:keepLines w:val="0"/>
              <w:pageBreakBefore w:val="0"/>
              <w:widowControl/>
              <w:numPr>
                <w:ilvl w:val="1"/>
                <w:numId w:val="0"/>
              </w:numPr>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FF"/>
                <w:kern w:val="2"/>
                <w:sz w:val="24"/>
                <w:lang w:eastAsia="zh-CN"/>
              </w:rPr>
            </w:pP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项目营运期主要噪声来源于设备运行产生的噪声，噪声源强约</w:t>
            </w:r>
            <w:r>
              <w:rPr>
                <w:rFonts w:hint="default" w:ascii="Times New Roman" w:hAnsi="Times New Roman" w:eastAsia="宋体" w:cs="Times New Roman"/>
                <w:b w:val="0"/>
                <w:bCs w:val="0"/>
                <w:color w:val="auto"/>
                <w:sz w:val="24"/>
                <w:szCs w:val="24"/>
                <w:lang w:eastAsia="zh-CN"/>
              </w:rPr>
              <w:t>为70~85dB（A）之间，本项目对噪声较大的设备采取降噪减振措施，使厂界噪声达到《工业企业厂界环境噪声排放标准》（GB12348-2008）中</w:t>
            </w:r>
            <w:r>
              <w:rPr>
                <w:rFonts w:hint="default" w:ascii="Times New Roman" w:hAnsi="Times New Roman" w:eastAsia="宋体"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lang w:eastAsia="zh-CN"/>
              </w:rPr>
              <w:t>类标准详见下表</w:t>
            </w:r>
          </w:p>
        </w:tc>
      </w:tr>
    </w:tbl>
    <w:p w14:paraId="1925C3C5">
      <w:pPr>
        <w:rPr>
          <w:rFonts w:hint="default" w:ascii="Times New Roman" w:hAnsi="Times New Roman" w:eastAsia="宋体" w:cs="Times New Roman"/>
          <w:color w:val="0000FF"/>
          <w:lang w:eastAsia="zh-CN"/>
        </w:rPr>
        <w:sectPr>
          <w:footerReference r:id="rId8" w:type="default"/>
          <w:pgSz w:w="11906" w:h="16838"/>
          <w:pgMar w:top="1440" w:right="1531" w:bottom="1440" w:left="1531" w:header="851" w:footer="992" w:gutter="0"/>
          <w:pgNumType w:start="48"/>
          <w:cols w:space="425" w:num="1"/>
          <w:docGrid w:type="lines" w:linePitch="312" w:charSpace="0"/>
        </w:sectPr>
      </w:pPr>
    </w:p>
    <w:tbl>
      <w:tblPr>
        <w:tblStyle w:val="26"/>
        <w:tblW w:w="14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
        <w:gridCol w:w="14563"/>
      </w:tblGrid>
      <w:tr w14:paraId="46EEC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2" w:hRule="atLeast"/>
          <w:jc w:val="center"/>
        </w:trPr>
        <w:tc>
          <w:tcPr>
            <w:tcW w:w="236" w:type="dxa"/>
          </w:tcPr>
          <w:p w14:paraId="58738BB2">
            <w:pPr>
              <w:kinsoku/>
              <w:rPr>
                <w:rFonts w:hint="default" w:ascii="Times New Roman" w:hAnsi="Times New Roman" w:eastAsia="宋体" w:cs="Times New Roman"/>
                <w:color w:val="0000FF"/>
                <w:lang w:eastAsia="zh-CN"/>
              </w:rPr>
            </w:pPr>
          </w:p>
        </w:tc>
        <w:tc>
          <w:tcPr>
            <w:tcW w:w="14563" w:type="dxa"/>
          </w:tcPr>
          <w:p w14:paraId="63C32126">
            <w:pPr>
              <w:keepNext w:val="0"/>
              <w:keepLines w:val="0"/>
              <w:pageBreakBefore w:val="0"/>
              <w:widowControl/>
              <w:kinsoku/>
              <w:wordWrap/>
              <w:overflowPunct/>
              <w:topLinePunct w:val="0"/>
              <w:autoSpaceDE w:val="0"/>
              <w:autoSpaceDN w:val="0"/>
              <w:bidi w:val="0"/>
              <w:adjustRightInd/>
              <w:snapToGrid/>
              <w:spacing w:line="360" w:lineRule="auto"/>
              <w:textAlignment w:val="baseline"/>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项目主要噪声源的源强分布情况见表4-</w:t>
            </w:r>
            <w:r>
              <w:rPr>
                <w:rFonts w:hint="default" w:ascii="Times New Roman" w:hAnsi="Times New Roman" w:eastAsia="宋体" w:cs="Times New Roman"/>
                <w:color w:val="auto"/>
                <w:sz w:val="24"/>
                <w:lang w:val="en-US" w:eastAsia="zh-CN"/>
              </w:rPr>
              <w:t>7</w:t>
            </w:r>
            <w:r>
              <w:rPr>
                <w:rFonts w:hint="default" w:ascii="Times New Roman" w:hAnsi="Times New Roman" w:eastAsia="宋体" w:cs="Times New Roman"/>
                <w:color w:val="auto"/>
                <w:sz w:val="24"/>
                <w:lang w:eastAsia="zh-CN"/>
              </w:rPr>
              <w:t>、表4-</w:t>
            </w:r>
            <w:r>
              <w:rPr>
                <w:rFonts w:hint="default"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lang w:eastAsia="zh-CN"/>
              </w:rPr>
              <w:t>。</w:t>
            </w:r>
          </w:p>
          <w:p w14:paraId="4FDBA7D0">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表4-</w:t>
            </w:r>
            <w:r>
              <w:rPr>
                <w:rFonts w:hint="default"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lang w:eastAsia="zh-CN"/>
              </w:rPr>
              <w:t>本项目主要产噪设备及其源强（室外声源） 单位：dB（A）</w:t>
            </w:r>
          </w:p>
          <w:tbl>
            <w:tblPr>
              <w:tblStyle w:val="26"/>
              <w:tblW w:w="47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03"/>
              <w:gridCol w:w="2502"/>
              <w:gridCol w:w="1672"/>
              <w:gridCol w:w="1246"/>
              <w:gridCol w:w="1393"/>
              <w:gridCol w:w="1136"/>
              <w:gridCol w:w="1823"/>
              <w:gridCol w:w="1641"/>
              <w:gridCol w:w="1387"/>
            </w:tblGrid>
            <w:tr w14:paraId="74D04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6" w:hRule="atLeast"/>
                <w:jc w:val="center"/>
              </w:trPr>
              <w:tc>
                <w:tcPr>
                  <w:tcW w:w="803" w:type="dxa"/>
                  <w:vMerge w:val="restart"/>
                  <w:vAlign w:val="center"/>
                </w:tcPr>
                <w:p w14:paraId="38C1BDD0">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序号</w:t>
                  </w:r>
                </w:p>
              </w:tc>
              <w:tc>
                <w:tcPr>
                  <w:tcW w:w="2502" w:type="dxa"/>
                  <w:vMerge w:val="restart"/>
                  <w:vAlign w:val="center"/>
                </w:tcPr>
                <w:p w14:paraId="7B9BB9F0">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声源名称</w:t>
                  </w:r>
                </w:p>
              </w:tc>
              <w:tc>
                <w:tcPr>
                  <w:tcW w:w="1672" w:type="dxa"/>
                  <w:vMerge w:val="restart"/>
                  <w:vAlign w:val="center"/>
                </w:tcPr>
                <w:p w14:paraId="13FC6185">
                  <w:pPr>
                    <w:kinsoku/>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型号</w:t>
                  </w:r>
                </w:p>
              </w:tc>
              <w:tc>
                <w:tcPr>
                  <w:tcW w:w="3775" w:type="dxa"/>
                  <w:gridSpan w:val="3"/>
                  <w:vAlign w:val="center"/>
                </w:tcPr>
                <w:p w14:paraId="2039232D">
                  <w:pPr>
                    <w:kinsoku/>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空间相对位置</w:t>
                  </w:r>
                  <w:r>
                    <w:rPr>
                      <w:rFonts w:hint="default" w:ascii="Times New Roman" w:hAnsi="Times New Roman" w:eastAsia="宋体" w:cs="Times New Roman"/>
                      <w:color w:val="auto"/>
                      <w:lang w:val="en-US" w:eastAsia="zh-CN"/>
                    </w:rPr>
                    <w:t>/m</w:t>
                  </w:r>
                </w:p>
              </w:tc>
              <w:tc>
                <w:tcPr>
                  <w:tcW w:w="1823" w:type="dxa"/>
                  <w:vMerge w:val="restart"/>
                  <w:vAlign w:val="center"/>
                </w:tcPr>
                <w:p w14:paraId="4B0739E8">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声功率级dB（A/）</w:t>
                  </w:r>
                </w:p>
              </w:tc>
              <w:tc>
                <w:tcPr>
                  <w:tcW w:w="1641" w:type="dxa"/>
                  <w:vMerge w:val="restart"/>
                  <w:vAlign w:val="center"/>
                </w:tcPr>
                <w:p w14:paraId="6F455AD6">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声源控制措施</w:t>
                  </w:r>
                </w:p>
              </w:tc>
              <w:tc>
                <w:tcPr>
                  <w:tcW w:w="1387" w:type="dxa"/>
                  <w:vMerge w:val="restart"/>
                  <w:vAlign w:val="center"/>
                </w:tcPr>
                <w:p w14:paraId="35AE6F12">
                  <w:pPr>
                    <w:kinsoku/>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运行时段</w:t>
                  </w:r>
                </w:p>
              </w:tc>
            </w:tr>
            <w:tr w14:paraId="00F67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6" w:hRule="atLeast"/>
                <w:jc w:val="center"/>
              </w:trPr>
              <w:tc>
                <w:tcPr>
                  <w:tcW w:w="803" w:type="dxa"/>
                  <w:vMerge w:val="continue"/>
                  <w:vAlign w:val="center"/>
                </w:tcPr>
                <w:p w14:paraId="5F164E06">
                  <w:pPr>
                    <w:kinsoku/>
                    <w:jc w:val="center"/>
                    <w:rPr>
                      <w:rFonts w:hint="default" w:ascii="Times New Roman" w:hAnsi="Times New Roman" w:eastAsia="宋体" w:cs="Times New Roman"/>
                      <w:color w:val="auto"/>
                    </w:rPr>
                  </w:pPr>
                </w:p>
              </w:tc>
              <w:tc>
                <w:tcPr>
                  <w:tcW w:w="2502" w:type="dxa"/>
                  <w:vMerge w:val="continue"/>
                  <w:vAlign w:val="center"/>
                </w:tcPr>
                <w:p w14:paraId="75BC37F5">
                  <w:pPr>
                    <w:kinsoku/>
                    <w:jc w:val="center"/>
                    <w:rPr>
                      <w:rFonts w:hint="default" w:ascii="Times New Roman" w:hAnsi="Times New Roman" w:eastAsia="宋体" w:cs="Times New Roman"/>
                      <w:color w:val="auto"/>
                    </w:rPr>
                  </w:pPr>
                </w:p>
              </w:tc>
              <w:tc>
                <w:tcPr>
                  <w:tcW w:w="1672" w:type="dxa"/>
                  <w:vMerge w:val="continue"/>
                  <w:vAlign w:val="center"/>
                </w:tcPr>
                <w:p w14:paraId="2A2D017B">
                  <w:pPr>
                    <w:kinsoku/>
                    <w:jc w:val="center"/>
                    <w:rPr>
                      <w:rFonts w:hint="default" w:ascii="Times New Roman" w:hAnsi="Times New Roman" w:eastAsia="宋体" w:cs="Times New Roman"/>
                      <w:color w:val="auto"/>
                    </w:rPr>
                  </w:pPr>
                </w:p>
              </w:tc>
              <w:tc>
                <w:tcPr>
                  <w:tcW w:w="1246" w:type="dxa"/>
                  <w:vAlign w:val="center"/>
                </w:tcPr>
                <w:p w14:paraId="50BBB4E7">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X</w:t>
                  </w:r>
                </w:p>
              </w:tc>
              <w:tc>
                <w:tcPr>
                  <w:tcW w:w="1393" w:type="dxa"/>
                  <w:vAlign w:val="center"/>
                </w:tcPr>
                <w:p w14:paraId="4C17E858">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Y</w:t>
                  </w:r>
                </w:p>
              </w:tc>
              <w:tc>
                <w:tcPr>
                  <w:tcW w:w="1136" w:type="dxa"/>
                  <w:vAlign w:val="center"/>
                </w:tcPr>
                <w:p w14:paraId="4C395D6C">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Z</w:t>
                  </w:r>
                </w:p>
              </w:tc>
              <w:tc>
                <w:tcPr>
                  <w:tcW w:w="1823" w:type="dxa"/>
                  <w:vMerge w:val="continue"/>
                  <w:vAlign w:val="center"/>
                </w:tcPr>
                <w:p w14:paraId="4FC1CFD3">
                  <w:pPr>
                    <w:kinsoku/>
                    <w:jc w:val="center"/>
                    <w:rPr>
                      <w:rFonts w:hint="default" w:ascii="Times New Roman" w:hAnsi="Times New Roman" w:eastAsia="宋体" w:cs="Times New Roman"/>
                      <w:color w:val="auto"/>
                    </w:rPr>
                  </w:pPr>
                </w:p>
              </w:tc>
              <w:tc>
                <w:tcPr>
                  <w:tcW w:w="1641" w:type="dxa"/>
                  <w:vMerge w:val="continue"/>
                  <w:vAlign w:val="center"/>
                </w:tcPr>
                <w:p w14:paraId="594EB874">
                  <w:pPr>
                    <w:kinsoku/>
                    <w:jc w:val="center"/>
                    <w:rPr>
                      <w:rFonts w:hint="default" w:ascii="Times New Roman" w:hAnsi="Times New Roman" w:eastAsia="宋体" w:cs="Times New Roman"/>
                      <w:color w:val="auto"/>
                    </w:rPr>
                  </w:pPr>
                </w:p>
              </w:tc>
              <w:tc>
                <w:tcPr>
                  <w:tcW w:w="1387" w:type="dxa"/>
                  <w:vMerge w:val="continue"/>
                  <w:vAlign w:val="center"/>
                </w:tcPr>
                <w:p w14:paraId="3DFA1835">
                  <w:pPr>
                    <w:kinsoku/>
                    <w:jc w:val="center"/>
                    <w:rPr>
                      <w:rFonts w:hint="default" w:ascii="Times New Roman" w:hAnsi="Times New Roman" w:eastAsia="宋体" w:cs="Times New Roman"/>
                      <w:color w:val="auto"/>
                    </w:rPr>
                  </w:pPr>
                </w:p>
              </w:tc>
            </w:tr>
            <w:tr w14:paraId="68232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2" w:hRule="atLeast"/>
                <w:jc w:val="center"/>
              </w:trPr>
              <w:tc>
                <w:tcPr>
                  <w:tcW w:w="803" w:type="dxa"/>
                  <w:vAlign w:val="center"/>
                </w:tcPr>
                <w:p w14:paraId="77CCC7E3">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2502" w:type="dxa"/>
                  <w:vAlign w:val="center"/>
                </w:tcPr>
                <w:p w14:paraId="061D3825">
                  <w:pPr>
                    <w:kinsoku/>
                    <w:jc w:val="center"/>
                    <w:rPr>
                      <w:rFonts w:hint="default" w:ascii="Times New Roman" w:hAnsi="Times New Roman" w:eastAsia="宋体" w:cs="Times New Roman"/>
                      <w:color w:val="auto"/>
                    </w:rPr>
                  </w:pPr>
                  <w:r>
                    <w:rPr>
                      <w:rFonts w:hint="default" w:ascii="Times New Roman" w:hAnsi="Times New Roman" w:eastAsia="宋体" w:cs="Times New Roman"/>
                      <w:color w:val="auto"/>
                    </w:rPr>
                    <w:t>DA00</w:t>
                  </w:r>
                  <w:r>
                    <w:rPr>
                      <w:rFonts w:hint="default" w:ascii="Times New Roman" w:hAnsi="Times New Roman" w:eastAsia="宋体" w:cs="Times New Roman"/>
                      <w:color w:val="auto"/>
                      <w:lang w:eastAsia="zh-CN"/>
                    </w:rPr>
                    <w:t>1</w:t>
                  </w:r>
                  <w:r>
                    <w:rPr>
                      <w:rFonts w:hint="default" w:ascii="Times New Roman" w:hAnsi="Times New Roman" w:eastAsia="宋体" w:cs="Times New Roman"/>
                      <w:color w:val="auto"/>
                    </w:rPr>
                    <w:t>风机</w:t>
                  </w:r>
                </w:p>
              </w:tc>
              <w:tc>
                <w:tcPr>
                  <w:tcW w:w="1672" w:type="dxa"/>
                  <w:vAlign w:val="center"/>
                </w:tcPr>
                <w:p w14:paraId="6768341F">
                  <w:pPr>
                    <w:kinsoku/>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1246" w:type="dxa"/>
                  <w:vAlign w:val="center"/>
                </w:tcPr>
                <w:p w14:paraId="29FF8D7A">
                  <w:pPr>
                    <w:kinsoku/>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30</w:t>
                  </w:r>
                </w:p>
              </w:tc>
              <w:tc>
                <w:tcPr>
                  <w:tcW w:w="1393" w:type="dxa"/>
                  <w:vAlign w:val="center"/>
                </w:tcPr>
                <w:p w14:paraId="4BE35756">
                  <w:pPr>
                    <w:kinsoku/>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12</w:t>
                  </w:r>
                </w:p>
              </w:tc>
              <w:tc>
                <w:tcPr>
                  <w:tcW w:w="1136" w:type="dxa"/>
                  <w:vAlign w:val="center"/>
                </w:tcPr>
                <w:p w14:paraId="6B9A6C29">
                  <w:pPr>
                    <w:kinsoku/>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1.2</w:t>
                  </w:r>
                </w:p>
              </w:tc>
              <w:tc>
                <w:tcPr>
                  <w:tcW w:w="1823" w:type="dxa"/>
                  <w:vAlign w:val="center"/>
                </w:tcPr>
                <w:p w14:paraId="1E344CA5">
                  <w:pPr>
                    <w:kinsoku/>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85</w:t>
                  </w:r>
                </w:p>
              </w:tc>
              <w:tc>
                <w:tcPr>
                  <w:tcW w:w="1641" w:type="dxa"/>
                  <w:vAlign w:val="center"/>
                </w:tcPr>
                <w:p w14:paraId="576D1135">
                  <w:pPr>
                    <w:kinsoku/>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基础减振</w:t>
                  </w:r>
                  <w:r>
                    <w:rPr>
                      <w:rFonts w:hint="default" w:ascii="Times New Roman" w:hAnsi="Times New Roman" w:eastAsia="宋体" w:cs="Times New Roman"/>
                      <w:color w:val="auto"/>
                      <w:lang w:eastAsia="zh-CN"/>
                    </w:rPr>
                    <w:t>、隔声罩</w:t>
                  </w:r>
                </w:p>
              </w:tc>
              <w:tc>
                <w:tcPr>
                  <w:tcW w:w="1387" w:type="dxa"/>
                  <w:vAlign w:val="center"/>
                </w:tcPr>
                <w:p w14:paraId="3FE5E707">
                  <w:pPr>
                    <w:kinsoku/>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8：00-18：00</w:t>
                  </w:r>
                </w:p>
              </w:tc>
            </w:tr>
            <w:tr w14:paraId="3F33F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3603" w:type="dxa"/>
                  <w:gridSpan w:val="9"/>
                  <w:vAlign w:val="center"/>
                </w:tcPr>
                <w:p w14:paraId="2774063C">
                  <w:pPr>
                    <w:kinsoku/>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注：室外声源以生产车间中心为原点。</w:t>
                  </w:r>
                </w:p>
              </w:tc>
            </w:tr>
          </w:tbl>
          <w:p w14:paraId="1BCC1A26">
            <w:pPr>
              <w:keepNext w:val="0"/>
              <w:keepLines w:val="0"/>
              <w:pageBreakBefore w:val="0"/>
              <w:widowControl/>
              <w:kinsoku/>
              <w:wordWrap/>
              <w:overflowPunct/>
              <w:topLinePunct w:val="0"/>
              <w:autoSpaceDE w:val="0"/>
              <w:autoSpaceDN w:val="0"/>
              <w:bidi w:val="0"/>
              <w:adjustRightInd/>
              <w:snapToGrid/>
              <w:spacing w:before="157" w:beforeLines="50"/>
              <w:jc w:val="center"/>
              <w:textAlignment w:val="baseline"/>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表4-</w:t>
            </w:r>
            <w:r>
              <w:rPr>
                <w:rFonts w:hint="default" w:ascii="Times New Roman" w:hAnsi="Times New Roman" w:eastAsia="宋体" w:cs="Times New Roman"/>
                <w:b/>
                <w:bCs/>
                <w:color w:val="auto"/>
                <w:sz w:val="24"/>
                <w:szCs w:val="24"/>
                <w:lang w:val="en-US" w:eastAsia="zh-CN"/>
              </w:rPr>
              <w:t>8</w:t>
            </w:r>
            <w:r>
              <w:rPr>
                <w:rFonts w:hint="default" w:ascii="Times New Roman" w:hAnsi="Times New Roman" w:eastAsia="宋体" w:cs="Times New Roman"/>
                <w:b/>
                <w:bCs/>
                <w:color w:val="auto"/>
                <w:sz w:val="24"/>
                <w:szCs w:val="24"/>
                <w:lang w:eastAsia="zh-CN"/>
              </w:rPr>
              <w:t>本项目高噪声设备噪声源强一览表（室内声源） 单位：dB（A）</w:t>
            </w:r>
          </w:p>
          <w:tbl>
            <w:tblPr>
              <w:tblStyle w:val="27"/>
              <w:tblW w:w="1425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1"/>
              <w:gridCol w:w="471"/>
              <w:gridCol w:w="893"/>
              <w:gridCol w:w="622"/>
              <w:gridCol w:w="478"/>
              <w:gridCol w:w="560"/>
              <w:gridCol w:w="504"/>
              <w:gridCol w:w="361"/>
              <w:gridCol w:w="615"/>
              <w:gridCol w:w="519"/>
              <w:gridCol w:w="601"/>
              <w:gridCol w:w="464"/>
              <w:gridCol w:w="729"/>
              <w:gridCol w:w="807"/>
              <w:gridCol w:w="874"/>
              <w:gridCol w:w="795"/>
              <w:gridCol w:w="1388"/>
              <w:gridCol w:w="515"/>
              <w:gridCol w:w="632"/>
              <w:gridCol w:w="721"/>
              <w:gridCol w:w="588"/>
              <w:gridCol w:w="648"/>
            </w:tblGrid>
            <w:tr w14:paraId="57F5C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0" w:hRule="atLeast"/>
              </w:trPr>
              <w:tc>
                <w:tcPr>
                  <w:tcW w:w="471" w:type="dxa"/>
                  <w:vMerge w:val="restart"/>
                  <w:tcBorders>
                    <w:tl2br w:val="nil"/>
                    <w:tr2bl w:val="nil"/>
                  </w:tcBorders>
                  <w:noWrap w:val="0"/>
                  <w:vAlign w:val="center"/>
                </w:tcPr>
                <w:p w14:paraId="73FE4747">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序号</w:t>
                  </w:r>
                </w:p>
              </w:tc>
              <w:tc>
                <w:tcPr>
                  <w:tcW w:w="471" w:type="dxa"/>
                  <w:vMerge w:val="restart"/>
                  <w:tcBorders>
                    <w:tl2br w:val="nil"/>
                    <w:tr2bl w:val="nil"/>
                  </w:tcBorders>
                  <w:noWrap w:val="0"/>
                  <w:vAlign w:val="center"/>
                </w:tcPr>
                <w:p w14:paraId="42C1F1EA">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建筑物名称</w:t>
                  </w:r>
                </w:p>
              </w:tc>
              <w:tc>
                <w:tcPr>
                  <w:tcW w:w="893" w:type="dxa"/>
                  <w:vMerge w:val="restart"/>
                  <w:tcBorders>
                    <w:tl2br w:val="nil"/>
                    <w:tr2bl w:val="nil"/>
                  </w:tcBorders>
                  <w:noWrap w:val="0"/>
                  <w:vAlign w:val="center"/>
                </w:tcPr>
                <w:p w14:paraId="60516618">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声源名称</w:t>
                  </w:r>
                </w:p>
              </w:tc>
              <w:tc>
                <w:tcPr>
                  <w:tcW w:w="622" w:type="dxa"/>
                  <w:tcBorders>
                    <w:tl2br w:val="nil"/>
                    <w:tr2bl w:val="nil"/>
                  </w:tcBorders>
                  <w:noWrap w:val="0"/>
                  <w:vAlign w:val="center"/>
                </w:tcPr>
                <w:p w14:paraId="2CAD654E">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声源源强dB（A）</w:t>
                  </w:r>
                </w:p>
              </w:tc>
              <w:tc>
                <w:tcPr>
                  <w:tcW w:w="478" w:type="dxa"/>
                  <w:vMerge w:val="restart"/>
                  <w:tcBorders>
                    <w:tl2br w:val="nil"/>
                    <w:tr2bl w:val="nil"/>
                  </w:tcBorders>
                  <w:noWrap w:val="0"/>
                  <w:vAlign w:val="center"/>
                </w:tcPr>
                <w:p w14:paraId="0D49664E">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声源控制措施</w:t>
                  </w:r>
                </w:p>
              </w:tc>
              <w:tc>
                <w:tcPr>
                  <w:tcW w:w="1425" w:type="dxa"/>
                  <w:gridSpan w:val="3"/>
                  <w:tcBorders>
                    <w:tl2br w:val="nil"/>
                    <w:tr2bl w:val="nil"/>
                  </w:tcBorders>
                  <w:noWrap w:val="0"/>
                  <w:vAlign w:val="center"/>
                </w:tcPr>
                <w:p w14:paraId="0BB1DD24">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空间相对位置m</w:t>
                  </w:r>
                </w:p>
              </w:tc>
              <w:tc>
                <w:tcPr>
                  <w:tcW w:w="2199" w:type="dxa"/>
                  <w:gridSpan w:val="4"/>
                  <w:tcBorders>
                    <w:tl2br w:val="nil"/>
                    <w:tr2bl w:val="nil"/>
                  </w:tcBorders>
                  <w:noWrap w:val="0"/>
                  <w:vAlign w:val="center"/>
                </w:tcPr>
                <w:p w14:paraId="3AE0E4DE">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距离室内边界距离m</w:t>
                  </w:r>
                </w:p>
              </w:tc>
              <w:tc>
                <w:tcPr>
                  <w:tcW w:w="3205" w:type="dxa"/>
                  <w:gridSpan w:val="4"/>
                  <w:tcBorders>
                    <w:tl2br w:val="nil"/>
                    <w:tr2bl w:val="nil"/>
                  </w:tcBorders>
                  <w:noWrap w:val="0"/>
                  <w:vAlign w:val="center"/>
                </w:tcPr>
                <w:p w14:paraId="36AFE34D">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室内边界声压级（dB(A)）</w:t>
                  </w:r>
                </w:p>
              </w:tc>
              <w:tc>
                <w:tcPr>
                  <w:tcW w:w="1388" w:type="dxa"/>
                  <w:vMerge w:val="restart"/>
                  <w:tcBorders>
                    <w:tl2br w:val="nil"/>
                    <w:tr2bl w:val="nil"/>
                  </w:tcBorders>
                  <w:noWrap w:val="0"/>
                  <w:vAlign w:val="center"/>
                </w:tcPr>
                <w:p w14:paraId="065877F1">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运行时段</w:t>
                  </w:r>
                </w:p>
              </w:tc>
              <w:tc>
                <w:tcPr>
                  <w:tcW w:w="515" w:type="dxa"/>
                  <w:vMerge w:val="restart"/>
                  <w:tcBorders>
                    <w:tl2br w:val="nil"/>
                    <w:tr2bl w:val="nil"/>
                  </w:tcBorders>
                  <w:noWrap w:val="0"/>
                  <w:vAlign w:val="center"/>
                </w:tcPr>
                <w:p w14:paraId="535D0D81">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建筑物插入损失dB（A）</w:t>
                  </w:r>
                </w:p>
              </w:tc>
              <w:tc>
                <w:tcPr>
                  <w:tcW w:w="2589" w:type="dxa"/>
                  <w:gridSpan w:val="4"/>
                  <w:tcBorders>
                    <w:tl2br w:val="nil"/>
                    <w:tr2bl w:val="nil"/>
                  </w:tcBorders>
                  <w:noWrap w:val="0"/>
                  <w:vAlign w:val="center"/>
                </w:tcPr>
                <w:p w14:paraId="0E6FB8B0">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i w:val="0"/>
                      <w:iCs w:val="0"/>
                      <w:color w:val="auto"/>
                      <w:kern w:val="0"/>
                      <w:sz w:val="22"/>
                      <w:szCs w:val="22"/>
                      <w:u w:val="none"/>
                      <w:lang w:val="en-US" w:eastAsia="zh-CN" w:bidi="ar"/>
                    </w:rPr>
                    <w:t>建筑外噪声声压级（dB(A)）</w:t>
                  </w:r>
                </w:p>
              </w:tc>
            </w:tr>
            <w:tr w14:paraId="181CC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471" w:type="dxa"/>
                  <w:vMerge w:val="continue"/>
                  <w:tcBorders>
                    <w:tl2br w:val="nil"/>
                    <w:tr2bl w:val="nil"/>
                  </w:tcBorders>
                  <w:noWrap w:val="0"/>
                  <w:vAlign w:val="center"/>
                </w:tcPr>
                <w:p w14:paraId="1FA7AEBF">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val="en-US" w:eastAsia="zh-CN" w:bidi="ar"/>
                    </w:rPr>
                  </w:pPr>
                </w:p>
              </w:tc>
              <w:tc>
                <w:tcPr>
                  <w:tcW w:w="471" w:type="dxa"/>
                  <w:vMerge w:val="continue"/>
                  <w:tcBorders>
                    <w:tl2br w:val="nil"/>
                    <w:tr2bl w:val="nil"/>
                  </w:tcBorders>
                  <w:noWrap w:val="0"/>
                  <w:vAlign w:val="center"/>
                </w:tcPr>
                <w:p w14:paraId="55FD8C9F">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val="en-US" w:eastAsia="zh-CN" w:bidi="ar"/>
                    </w:rPr>
                  </w:pPr>
                </w:p>
              </w:tc>
              <w:tc>
                <w:tcPr>
                  <w:tcW w:w="893" w:type="dxa"/>
                  <w:vMerge w:val="continue"/>
                  <w:tcBorders>
                    <w:tl2br w:val="nil"/>
                    <w:tr2bl w:val="nil"/>
                  </w:tcBorders>
                  <w:noWrap w:val="0"/>
                  <w:vAlign w:val="center"/>
                </w:tcPr>
                <w:p w14:paraId="75E5D238">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val="en-US" w:eastAsia="zh-CN" w:bidi="ar"/>
                    </w:rPr>
                  </w:pPr>
                </w:p>
              </w:tc>
              <w:tc>
                <w:tcPr>
                  <w:tcW w:w="622" w:type="dxa"/>
                  <w:tcBorders>
                    <w:tl2br w:val="nil"/>
                    <w:tr2bl w:val="nil"/>
                  </w:tcBorders>
                  <w:noWrap w:val="0"/>
                  <w:vAlign w:val="center"/>
                </w:tcPr>
                <w:p w14:paraId="135F84C0">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声功率级</w:t>
                  </w:r>
                </w:p>
              </w:tc>
              <w:tc>
                <w:tcPr>
                  <w:tcW w:w="478" w:type="dxa"/>
                  <w:vMerge w:val="continue"/>
                  <w:tcBorders>
                    <w:tl2br w:val="nil"/>
                    <w:tr2bl w:val="nil"/>
                  </w:tcBorders>
                  <w:noWrap w:val="0"/>
                  <w:vAlign w:val="center"/>
                </w:tcPr>
                <w:p w14:paraId="4A0118D1">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val="en-US" w:eastAsia="zh-CN" w:bidi="ar"/>
                    </w:rPr>
                  </w:pPr>
                </w:p>
              </w:tc>
              <w:tc>
                <w:tcPr>
                  <w:tcW w:w="560" w:type="dxa"/>
                  <w:tcBorders>
                    <w:tl2br w:val="nil"/>
                    <w:tr2bl w:val="nil"/>
                  </w:tcBorders>
                  <w:noWrap w:val="0"/>
                  <w:vAlign w:val="center"/>
                </w:tcPr>
                <w:p w14:paraId="7B919B4C">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X</w:t>
                  </w:r>
                </w:p>
              </w:tc>
              <w:tc>
                <w:tcPr>
                  <w:tcW w:w="504" w:type="dxa"/>
                  <w:tcBorders>
                    <w:tl2br w:val="nil"/>
                    <w:tr2bl w:val="nil"/>
                  </w:tcBorders>
                  <w:noWrap w:val="0"/>
                  <w:vAlign w:val="center"/>
                </w:tcPr>
                <w:p w14:paraId="1ED898C0">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Y</w:t>
                  </w:r>
                </w:p>
              </w:tc>
              <w:tc>
                <w:tcPr>
                  <w:tcW w:w="361" w:type="dxa"/>
                  <w:tcBorders>
                    <w:tl2br w:val="nil"/>
                    <w:tr2bl w:val="nil"/>
                  </w:tcBorders>
                  <w:noWrap w:val="0"/>
                  <w:vAlign w:val="center"/>
                </w:tcPr>
                <w:p w14:paraId="6FA4CC2B">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Z</w:t>
                  </w:r>
                </w:p>
              </w:tc>
              <w:tc>
                <w:tcPr>
                  <w:tcW w:w="615" w:type="dxa"/>
                  <w:tcBorders>
                    <w:tl2br w:val="nil"/>
                    <w:tr2bl w:val="nil"/>
                  </w:tcBorders>
                  <w:noWrap w:val="0"/>
                  <w:vAlign w:val="center"/>
                </w:tcPr>
                <w:p w14:paraId="4A32C819">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E</w:t>
                  </w:r>
                </w:p>
              </w:tc>
              <w:tc>
                <w:tcPr>
                  <w:tcW w:w="519" w:type="dxa"/>
                  <w:tcBorders>
                    <w:tl2br w:val="nil"/>
                    <w:tr2bl w:val="nil"/>
                  </w:tcBorders>
                  <w:noWrap w:val="0"/>
                  <w:vAlign w:val="center"/>
                </w:tcPr>
                <w:p w14:paraId="40D3C475">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S</w:t>
                  </w:r>
                </w:p>
              </w:tc>
              <w:tc>
                <w:tcPr>
                  <w:tcW w:w="601" w:type="dxa"/>
                  <w:tcBorders>
                    <w:tl2br w:val="nil"/>
                    <w:tr2bl w:val="nil"/>
                  </w:tcBorders>
                  <w:noWrap w:val="0"/>
                  <w:vAlign w:val="center"/>
                </w:tcPr>
                <w:p w14:paraId="38AB3C8B">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W</w:t>
                  </w:r>
                </w:p>
              </w:tc>
              <w:tc>
                <w:tcPr>
                  <w:tcW w:w="464" w:type="dxa"/>
                  <w:tcBorders>
                    <w:tl2br w:val="nil"/>
                    <w:tr2bl w:val="nil"/>
                  </w:tcBorders>
                  <w:noWrap w:val="0"/>
                  <w:vAlign w:val="center"/>
                </w:tcPr>
                <w:p w14:paraId="755AF1D8">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N</w:t>
                  </w:r>
                </w:p>
              </w:tc>
              <w:tc>
                <w:tcPr>
                  <w:tcW w:w="729" w:type="dxa"/>
                  <w:tcBorders>
                    <w:tl2br w:val="nil"/>
                    <w:tr2bl w:val="nil"/>
                  </w:tcBorders>
                  <w:noWrap w:val="0"/>
                  <w:vAlign w:val="center"/>
                </w:tcPr>
                <w:p w14:paraId="38C9DED5">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E</w:t>
                  </w:r>
                </w:p>
              </w:tc>
              <w:tc>
                <w:tcPr>
                  <w:tcW w:w="807" w:type="dxa"/>
                  <w:tcBorders>
                    <w:tl2br w:val="nil"/>
                    <w:tr2bl w:val="nil"/>
                  </w:tcBorders>
                  <w:noWrap w:val="0"/>
                  <w:vAlign w:val="center"/>
                </w:tcPr>
                <w:p w14:paraId="463E699F">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S</w:t>
                  </w:r>
                </w:p>
              </w:tc>
              <w:tc>
                <w:tcPr>
                  <w:tcW w:w="874" w:type="dxa"/>
                  <w:tcBorders>
                    <w:tl2br w:val="nil"/>
                    <w:tr2bl w:val="nil"/>
                  </w:tcBorders>
                  <w:noWrap w:val="0"/>
                  <w:vAlign w:val="center"/>
                </w:tcPr>
                <w:p w14:paraId="59B018FB">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W</w:t>
                  </w:r>
                </w:p>
              </w:tc>
              <w:tc>
                <w:tcPr>
                  <w:tcW w:w="795" w:type="dxa"/>
                  <w:tcBorders>
                    <w:tl2br w:val="nil"/>
                    <w:tr2bl w:val="nil"/>
                  </w:tcBorders>
                  <w:noWrap w:val="0"/>
                  <w:vAlign w:val="center"/>
                </w:tcPr>
                <w:p w14:paraId="33CB5117">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N</w:t>
                  </w:r>
                </w:p>
              </w:tc>
              <w:tc>
                <w:tcPr>
                  <w:tcW w:w="1388" w:type="dxa"/>
                  <w:vMerge w:val="continue"/>
                  <w:tcBorders>
                    <w:tl2br w:val="nil"/>
                    <w:tr2bl w:val="nil"/>
                  </w:tcBorders>
                  <w:noWrap w:val="0"/>
                  <w:vAlign w:val="center"/>
                </w:tcPr>
                <w:p w14:paraId="01AB0D0E">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val="en-US" w:eastAsia="zh-CN" w:bidi="ar"/>
                    </w:rPr>
                  </w:pPr>
                </w:p>
              </w:tc>
              <w:tc>
                <w:tcPr>
                  <w:tcW w:w="515" w:type="dxa"/>
                  <w:vMerge w:val="continue"/>
                  <w:tcBorders>
                    <w:tl2br w:val="nil"/>
                    <w:tr2bl w:val="nil"/>
                  </w:tcBorders>
                  <w:noWrap w:val="0"/>
                  <w:vAlign w:val="center"/>
                </w:tcPr>
                <w:p w14:paraId="6FD037FE">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val="en-US" w:eastAsia="zh-CN" w:bidi="ar"/>
                    </w:rPr>
                  </w:pPr>
                </w:p>
              </w:tc>
              <w:tc>
                <w:tcPr>
                  <w:tcW w:w="632" w:type="dxa"/>
                  <w:tcBorders>
                    <w:tl2br w:val="nil"/>
                    <w:tr2bl w:val="nil"/>
                  </w:tcBorders>
                  <w:noWrap w:val="0"/>
                  <w:vAlign w:val="center"/>
                </w:tcPr>
                <w:p w14:paraId="46155CA6">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室外东</w:t>
                  </w:r>
                </w:p>
              </w:tc>
              <w:tc>
                <w:tcPr>
                  <w:tcW w:w="721" w:type="dxa"/>
                  <w:tcBorders>
                    <w:tl2br w:val="nil"/>
                    <w:tr2bl w:val="nil"/>
                  </w:tcBorders>
                  <w:noWrap w:val="0"/>
                  <w:vAlign w:val="center"/>
                </w:tcPr>
                <w:p w14:paraId="09063329">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室外南</w:t>
                  </w:r>
                </w:p>
              </w:tc>
              <w:tc>
                <w:tcPr>
                  <w:tcW w:w="588" w:type="dxa"/>
                  <w:tcBorders>
                    <w:tl2br w:val="nil"/>
                    <w:tr2bl w:val="nil"/>
                  </w:tcBorders>
                  <w:noWrap w:val="0"/>
                  <w:vAlign w:val="center"/>
                </w:tcPr>
                <w:p w14:paraId="5A9C7034">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室外西</w:t>
                  </w:r>
                </w:p>
              </w:tc>
              <w:tc>
                <w:tcPr>
                  <w:tcW w:w="648" w:type="dxa"/>
                  <w:tcBorders>
                    <w:tl2br w:val="nil"/>
                    <w:tr2bl w:val="nil"/>
                  </w:tcBorders>
                  <w:noWrap w:val="0"/>
                  <w:vAlign w:val="center"/>
                </w:tcPr>
                <w:p w14:paraId="699AB02B">
                  <w:pPr>
                    <w:widowControl/>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室外北</w:t>
                  </w:r>
                </w:p>
              </w:tc>
            </w:tr>
            <w:tr w14:paraId="12BDE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trPr>
              <w:tc>
                <w:tcPr>
                  <w:tcW w:w="471" w:type="dxa"/>
                  <w:tcBorders>
                    <w:tl2br w:val="nil"/>
                    <w:tr2bl w:val="nil"/>
                  </w:tcBorders>
                  <w:noWrap w:val="0"/>
                  <w:vAlign w:val="center"/>
                </w:tcPr>
                <w:p w14:paraId="2FDFEEA0">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471" w:type="dxa"/>
                  <w:vMerge w:val="restart"/>
                  <w:tcBorders>
                    <w:tl2br w:val="nil"/>
                    <w:tr2bl w:val="nil"/>
                  </w:tcBorders>
                  <w:noWrap w:val="0"/>
                  <w:vAlign w:val="center"/>
                </w:tcPr>
                <w:p w14:paraId="1ADB07EA">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p w14:paraId="5847E40A">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p w14:paraId="2C9981EB">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p w14:paraId="3820CEA3">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p w14:paraId="0A1FC0EB">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p w14:paraId="4BB4C40D">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p w14:paraId="425EA0B2">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p w14:paraId="434957B6">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p w14:paraId="541A4B48">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p w14:paraId="2D950893">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p w14:paraId="302242DD">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生产车间</w:t>
                  </w:r>
                </w:p>
              </w:tc>
              <w:tc>
                <w:tcPr>
                  <w:tcW w:w="893" w:type="dxa"/>
                  <w:tcBorders>
                    <w:tl2br w:val="nil"/>
                    <w:tr2bl w:val="nil"/>
                  </w:tcBorders>
                  <w:shd w:val="clear" w:color="auto" w:fill="FFFFFF"/>
                  <w:noWrap w:val="0"/>
                  <w:vAlign w:val="center"/>
                </w:tcPr>
                <w:p w14:paraId="75842962">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auto"/>
                      <w:sz w:val="21"/>
                      <w:szCs w:val="21"/>
                      <w:shd w:val="clear" w:color="auto" w:fill="auto"/>
                      <w:lang w:val="en-US" w:eastAsia="zh-CN" w:bidi="ar-SA"/>
                    </w:rPr>
                  </w:pPr>
                  <w:r>
                    <w:rPr>
                      <w:rFonts w:hint="default" w:ascii="Times New Roman" w:hAnsi="Times New Roman" w:eastAsia="宋体" w:cs="Times New Roman"/>
                      <w:color w:val="auto"/>
                      <w:sz w:val="21"/>
                      <w:szCs w:val="21"/>
                      <w:lang w:val="en-US" w:eastAsia="zh-CN"/>
                    </w:rPr>
                    <w:t>铝箔玻纤布多功能复合机</w:t>
                  </w:r>
                </w:p>
              </w:tc>
              <w:tc>
                <w:tcPr>
                  <w:tcW w:w="622" w:type="dxa"/>
                  <w:tcBorders>
                    <w:tl2br w:val="nil"/>
                    <w:tr2bl w:val="nil"/>
                  </w:tcBorders>
                  <w:noWrap w:val="0"/>
                  <w:vAlign w:val="center"/>
                </w:tcPr>
                <w:p w14:paraId="20E6363D">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80</w:t>
                  </w:r>
                </w:p>
              </w:tc>
              <w:tc>
                <w:tcPr>
                  <w:tcW w:w="478" w:type="dxa"/>
                  <w:vMerge w:val="restart"/>
                  <w:tcBorders>
                    <w:tl2br w:val="nil"/>
                    <w:tr2bl w:val="nil"/>
                  </w:tcBorders>
                  <w:noWrap w:val="0"/>
                  <w:vAlign w:val="center"/>
                </w:tcPr>
                <w:p w14:paraId="592E5958">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p w14:paraId="0C5248FD">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p w14:paraId="756A037E">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p w14:paraId="69AB4B7A">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p w14:paraId="7D0FC5B9">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p w14:paraId="05BF49A9">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p w14:paraId="106F44DE">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选用低噪声设备、加设减振基础、厂房隔声、距离衰减</w:t>
                  </w:r>
                </w:p>
              </w:tc>
              <w:tc>
                <w:tcPr>
                  <w:tcW w:w="560" w:type="dxa"/>
                  <w:tcBorders>
                    <w:tl2br w:val="nil"/>
                    <w:tr2bl w:val="nil"/>
                  </w:tcBorders>
                  <w:shd w:val="clear" w:color="auto" w:fill="auto"/>
                  <w:noWrap w:val="0"/>
                  <w:vAlign w:val="center"/>
                </w:tcPr>
                <w:p w14:paraId="6570C30C">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w:t>
                  </w:r>
                </w:p>
              </w:tc>
              <w:tc>
                <w:tcPr>
                  <w:tcW w:w="504" w:type="dxa"/>
                  <w:tcBorders>
                    <w:tl2br w:val="nil"/>
                    <w:tr2bl w:val="nil"/>
                  </w:tcBorders>
                  <w:shd w:val="clear" w:color="auto" w:fill="auto"/>
                  <w:noWrap w:val="0"/>
                  <w:vAlign w:val="center"/>
                </w:tcPr>
                <w:p w14:paraId="63A06DFD">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w:t>
                  </w:r>
                </w:p>
              </w:tc>
              <w:tc>
                <w:tcPr>
                  <w:tcW w:w="361" w:type="dxa"/>
                  <w:tcBorders>
                    <w:tl2br w:val="nil"/>
                    <w:tr2bl w:val="nil"/>
                  </w:tcBorders>
                  <w:shd w:val="clear" w:color="auto" w:fill="auto"/>
                  <w:noWrap w:val="0"/>
                  <w:vAlign w:val="center"/>
                </w:tcPr>
                <w:p w14:paraId="4D7BD63B">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615" w:type="dxa"/>
                  <w:tcBorders>
                    <w:tl2br w:val="nil"/>
                    <w:tr2bl w:val="nil"/>
                  </w:tcBorders>
                  <w:shd w:val="clear" w:color="auto" w:fill="auto"/>
                  <w:noWrap w:val="0"/>
                  <w:vAlign w:val="center"/>
                </w:tcPr>
                <w:p w14:paraId="11B54379">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47.4</w:t>
                  </w:r>
                </w:p>
              </w:tc>
              <w:tc>
                <w:tcPr>
                  <w:tcW w:w="519" w:type="dxa"/>
                  <w:tcBorders>
                    <w:tl2br w:val="nil"/>
                    <w:tr2bl w:val="nil"/>
                  </w:tcBorders>
                  <w:shd w:val="clear" w:color="auto" w:fill="auto"/>
                  <w:noWrap w:val="0"/>
                  <w:vAlign w:val="center"/>
                </w:tcPr>
                <w:p w14:paraId="3C18C8B2">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53</w:t>
                  </w:r>
                </w:p>
              </w:tc>
              <w:tc>
                <w:tcPr>
                  <w:tcW w:w="601" w:type="dxa"/>
                  <w:tcBorders>
                    <w:tl2br w:val="nil"/>
                    <w:tr2bl w:val="nil"/>
                  </w:tcBorders>
                  <w:shd w:val="clear" w:color="auto" w:fill="auto"/>
                  <w:noWrap w:val="0"/>
                  <w:vAlign w:val="center"/>
                </w:tcPr>
                <w:p w14:paraId="03FA0B96">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w:t>
                  </w:r>
                </w:p>
              </w:tc>
              <w:tc>
                <w:tcPr>
                  <w:tcW w:w="464" w:type="dxa"/>
                  <w:tcBorders>
                    <w:tl2br w:val="nil"/>
                    <w:tr2bl w:val="nil"/>
                  </w:tcBorders>
                  <w:shd w:val="clear" w:color="auto" w:fill="auto"/>
                  <w:noWrap w:val="0"/>
                  <w:vAlign w:val="center"/>
                </w:tcPr>
                <w:p w14:paraId="0295D7EF">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7</w:t>
                  </w:r>
                </w:p>
              </w:tc>
              <w:tc>
                <w:tcPr>
                  <w:tcW w:w="729" w:type="dxa"/>
                  <w:tcBorders>
                    <w:tl2br w:val="nil"/>
                    <w:tr2bl w:val="nil"/>
                  </w:tcBorders>
                  <w:shd w:val="clear" w:color="auto" w:fill="auto"/>
                  <w:noWrap w:val="0"/>
                  <w:vAlign w:val="center"/>
                </w:tcPr>
                <w:p w14:paraId="1CA579A8">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58.59</w:t>
                  </w:r>
                </w:p>
              </w:tc>
              <w:tc>
                <w:tcPr>
                  <w:tcW w:w="807" w:type="dxa"/>
                  <w:tcBorders>
                    <w:tl2br w:val="nil"/>
                    <w:tr2bl w:val="nil"/>
                  </w:tcBorders>
                  <w:shd w:val="clear" w:color="auto" w:fill="auto"/>
                  <w:noWrap w:val="0"/>
                  <w:vAlign w:val="center"/>
                </w:tcPr>
                <w:p w14:paraId="75101E24">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58.58 </w:t>
                  </w:r>
                </w:p>
              </w:tc>
              <w:tc>
                <w:tcPr>
                  <w:tcW w:w="874" w:type="dxa"/>
                  <w:tcBorders>
                    <w:tl2br w:val="nil"/>
                    <w:tr2bl w:val="nil"/>
                  </w:tcBorders>
                  <w:shd w:val="clear" w:color="auto" w:fill="auto"/>
                  <w:noWrap w:val="0"/>
                  <w:vAlign w:val="center"/>
                </w:tcPr>
                <w:p w14:paraId="4BDED247">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59.84 </w:t>
                  </w:r>
                </w:p>
              </w:tc>
              <w:tc>
                <w:tcPr>
                  <w:tcW w:w="795" w:type="dxa"/>
                  <w:tcBorders>
                    <w:tl2br w:val="nil"/>
                    <w:tr2bl w:val="nil"/>
                  </w:tcBorders>
                  <w:shd w:val="clear" w:color="auto" w:fill="auto"/>
                  <w:noWrap w:val="0"/>
                  <w:vAlign w:val="center"/>
                </w:tcPr>
                <w:p w14:paraId="2A38344B">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60.17 </w:t>
                  </w:r>
                </w:p>
              </w:tc>
              <w:tc>
                <w:tcPr>
                  <w:tcW w:w="1388" w:type="dxa"/>
                  <w:tcBorders>
                    <w:tl2br w:val="nil"/>
                    <w:tr2bl w:val="nil"/>
                  </w:tcBorders>
                  <w:shd w:val="clear" w:color="auto" w:fill="auto"/>
                  <w:noWrap w:val="0"/>
                  <w:vAlign w:val="center"/>
                </w:tcPr>
                <w:p w14:paraId="5F13007E">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color w:val="auto"/>
                      <w:lang w:val="en-US" w:eastAsia="zh-CN"/>
                    </w:rPr>
                    <w:t>8：00-18：00</w:t>
                  </w:r>
                </w:p>
              </w:tc>
              <w:tc>
                <w:tcPr>
                  <w:tcW w:w="515" w:type="dxa"/>
                  <w:tcBorders>
                    <w:tl2br w:val="nil"/>
                    <w:tr2bl w:val="nil"/>
                  </w:tcBorders>
                  <w:shd w:val="clear" w:color="auto" w:fill="auto"/>
                  <w:noWrap w:val="0"/>
                  <w:vAlign w:val="center"/>
                </w:tcPr>
                <w:p w14:paraId="52250460">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w:t>
                  </w:r>
                </w:p>
              </w:tc>
              <w:tc>
                <w:tcPr>
                  <w:tcW w:w="632" w:type="dxa"/>
                  <w:vMerge w:val="restart"/>
                  <w:tcBorders>
                    <w:tl2br w:val="nil"/>
                    <w:tr2bl w:val="nil"/>
                  </w:tcBorders>
                  <w:shd w:val="clear" w:color="auto" w:fill="auto"/>
                  <w:noWrap w:val="0"/>
                  <w:vAlign w:val="center"/>
                </w:tcPr>
                <w:p w14:paraId="0472C8D6">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45.52</w:t>
                  </w:r>
                </w:p>
              </w:tc>
              <w:tc>
                <w:tcPr>
                  <w:tcW w:w="721" w:type="dxa"/>
                  <w:vMerge w:val="restart"/>
                  <w:tcBorders>
                    <w:tl2br w:val="nil"/>
                    <w:tr2bl w:val="nil"/>
                  </w:tcBorders>
                  <w:shd w:val="clear" w:color="auto" w:fill="auto"/>
                  <w:noWrap w:val="0"/>
                  <w:vAlign w:val="center"/>
                </w:tcPr>
                <w:p w14:paraId="344BDD76">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45.55</w:t>
                  </w:r>
                </w:p>
              </w:tc>
              <w:tc>
                <w:tcPr>
                  <w:tcW w:w="588" w:type="dxa"/>
                  <w:vMerge w:val="restart"/>
                  <w:tcBorders>
                    <w:tl2br w:val="nil"/>
                    <w:tr2bl w:val="nil"/>
                  </w:tcBorders>
                  <w:shd w:val="clear" w:color="auto" w:fill="auto"/>
                  <w:noWrap w:val="0"/>
                  <w:vAlign w:val="center"/>
                </w:tcPr>
                <w:p w14:paraId="3D1F2A6C">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46.63</w:t>
                  </w:r>
                </w:p>
              </w:tc>
              <w:tc>
                <w:tcPr>
                  <w:tcW w:w="648" w:type="dxa"/>
                  <w:vMerge w:val="restart"/>
                  <w:tcBorders>
                    <w:tl2br w:val="nil"/>
                    <w:tr2bl w:val="nil"/>
                  </w:tcBorders>
                  <w:shd w:val="clear" w:color="auto" w:fill="auto"/>
                  <w:noWrap w:val="0"/>
                  <w:vAlign w:val="center"/>
                </w:tcPr>
                <w:p w14:paraId="15ABD46A">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45.86</w:t>
                  </w:r>
                </w:p>
              </w:tc>
            </w:tr>
            <w:tr w14:paraId="66D16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trPr>
              <w:tc>
                <w:tcPr>
                  <w:tcW w:w="471" w:type="dxa"/>
                  <w:tcBorders>
                    <w:tl2br w:val="nil"/>
                    <w:tr2bl w:val="nil"/>
                  </w:tcBorders>
                  <w:noWrap w:val="0"/>
                  <w:vAlign w:val="center"/>
                </w:tcPr>
                <w:p w14:paraId="2A078938">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w:t>
                  </w:r>
                </w:p>
              </w:tc>
              <w:tc>
                <w:tcPr>
                  <w:tcW w:w="471" w:type="dxa"/>
                  <w:vMerge w:val="continue"/>
                  <w:tcBorders>
                    <w:tl2br w:val="nil"/>
                    <w:tr2bl w:val="nil"/>
                  </w:tcBorders>
                  <w:noWrap w:val="0"/>
                  <w:vAlign w:val="center"/>
                </w:tcPr>
                <w:p w14:paraId="3271B9B5">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893" w:type="dxa"/>
                  <w:tcBorders>
                    <w:tl2br w:val="nil"/>
                    <w:tr2bl w:val="nil"/>
                  </w:tcBorders>
                  <w:shd w:val="clear" w:color="auto" w:fill="FFFFFF"/>
                  <w:noWrap w:val="0"/>
                  <w:vAlign w:val="center"/>
                </w:tcPr>
                <w:p w14:paraId="2BB432D9">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auto"/>
                      <w:sz w:val="21"/>
                      <w:szCs w:val="21"/>
                      <w:shd w:val="clear" w:color="auto" w:fill="auto"/>
                      <w:lang w:val="en-US" w:eastAsia="zh-CN" w:bidi="ar-SA"/>
                    </w:rPr>
                  </w:pPr>
                  <w:r>
                    <w:rPr>
                      <w:rFonts w:hint="default" w:ascii="Times New Roman" w:hAnsi="Times New Roman" w:eastAsia="宋体" w:cs="Times New Roman"/>
                      <w:color w:val="auto"/>
                      <w:sz w:val="21"/>
                      <w:szCs w:val="21"/>
                      <w:lang w:val="en-US" w:eastAsia="zh-CN"/>
                    </w:rPr>
                    <w:t>铝箔玻纤布多功能复合机</w:t>
                  </w:r>
                </w:p>
              </w:tc>
              <w:tc>
                <w:tcPr>
                  <w:tcW w:w="622" w:type="dxa"/>
                  <w:tcBorders>
                    <w:tl2br w:val="nil"/>
                    <w:tr2bl w:val="nil"/>
                  </w:tcBorders>
                  <w:noWrap w:val="0"/>
                  <w:vAlign w:val="center"/>
                </w:tcPr>
                <w:p w14:paraId="636ACB97">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80</w:t>
                  </w:r>
                </w:p>
              </w:tc>
              <w:tc>
                <w:tcPr>
                  <w:tcW w:w="478" w:type="dxa"/>
                  <w:vMerge w:val="continue"/>
                  <w:tcBorders>
                    <w:tl2br w:val="nil"/>
                    <w:tr2bl w:val="nil"/>
                  </w:tcBorders>
                  <w:noWrap w:val="0"/>
                  <w:vAlign w:val="center"/>
                </w:tcPr>
                <w:p w14:paraId="68E6AD34">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560" w:type="dxa"/>
                  <w:tcBorders>
                    <w:tl2br w:val="nil"/>
                    <w:tr2bl w:val="nil"/>
                  </w:tcBorders>
                  <w:noWrap w:val="0"/>
                  <w:vAlign w:val="center"/>
                </w:tcPr>
                <w:p w14:paraId="4C0E94A2">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w:t>
                  </w:r>
                </w:p>
              </w:tc>
              <w:tc>
                <w:tcPr>
                  <w:tcW w:w="504" w:type="dxa"/>
                  <w:tcBorders>
                    <w:tl2br w:val="nil"/>
                    <w:tr2bl w:val="nil"/>
                  </w:tcBorders>
                  <w:noWrap w:val="0"/>
                  <w:vAlign w:val="center"/>
                </w:tcPr>
                <w:p w14:paraId="4F43F24C">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17</w:t>
                  </w:r>
                </w:p>
              </w:tc>
              <w:tc>
                <w:tcPr>
                  <w:tcW w:w="361" w:type="dxa"/>
                  <w:tcBorders>
                    <w:tl2br w:val="nil"/>
                    <w:tr2bl w:val="nil"/>
                  </w:tcBorders>
                  <w:noWrap w:val="0"/>
                  <w:vAlign w:val="center"/>
                </w:tcPr>
                <w:p w14:paraId="22F3B99C">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615" w:type="dxa"/>
                  <w:tcBorders>
                    <w:tl2br w:val="nil"/>
                    <w:tr2bl w:val="nil"/>
                  </w:tcBorders>
                  <w:shd w:val="clear" w:color="auto" w:fill="auto"/>
                  <w:noWrap w:val="0"/>
                  <w:vAlign w:val="center"/>
                </w:tcPr>
                <w:p w14:paraId="25EEB88B">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47.4</w:t>
                  </w:r>
                </w:p>
              </w:tc>
              <w:tc>
                <w:tcPr>
                  <w:tcW w:w="519" w:type="dxa"/>
                  <w:tcBorders>
                    <w:tl2br w:val="nil"/>
                    <w:tr2bl w:val="nil"/>
                  </w:tcBorders>
                  <w:shd w:val="clear" w:color="auto" w:fill="auto"/>
                  <w:noWrap w:val="0"/>
                  <w:vAlign w:val="center"/>
                </w:tcPr>
                <w:p w14:paraId="67264710">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50</w:t>
                  </w:r>
                </w:p>
              </w:tc>
              <w:tc>
                <w:tcPr>
                  <w:tcW w:w="601" w:type="dxa"/>
                  <w:tcBorders>
                    <w:tl2br w:val="nil"/>
                    <w:tr2bl w:val="nil"/>
                  </w:tcBorders>
                  <w:shd w:val="clear" w:color="auto" w:fill="auto"/>
                  <w:noWrap w:val="0"/>
                  <w:vAlign w:val="center"/>
                </w:tcPr>
                <w:p w14:paraId="499C9CCB">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w:t>
                  </w:r>
                </w:p>
              </w:tc>
              <w:tc>
                <w:tcPr>
                  <w:tcW w:w="464" w:type="dxa"/>
                  <w:tcBorders>
                    <w:tl2br w:val="nil"/>
                    <w:tr2bl w:val="nil"/>
                  </w:tcBorders>
                  <w:shd w:val="clear" w:color="auto" w:fill="auto"/>
                  <w:noWrap w:val="0"/>
                  <w:vAlign w:val="center"/>
                </w:tcPr>
                <w:p w14:paraId="583906A9">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10</w:t>
                  </w:r>
                </w:p>
              </w:tc>
              <w:tc>
                <w:tcPr>
                  <w:tcW w:w="729" w:type="dxa"/>
                  <w:tcBorders>
                    <w:tl2br w:val="nil"/>
                    <w:tr2bl w:val="nil"/>
                  </w:tcBorders>
                  <w:shd w:val="clear" w:color="auto" w:fill="auto"/>
                  <w:noWrap w:val="0"/>
                  <w:vAlign w:val="center"/>
                </w:tcPr>
                <w:p w14:paraId="598C4FA3">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58.59</w:t>
                  </w:r>
                </w:p>
              </w:tc>
              <w:tc>
                <w:tcPr>
                  <w:tcW w:w="807" w:type="dxa"/>
                  <w:tcBorders>
                    <w:tl2br w:val="nil"/>
                    <w:tr2bl w:val="nil"/>
                  </w:tcBorders>
                  <w:shd w:val="clear" w:color="auto" w:fill="auto"/>
                  <w:noWrap w:val="0"/>
                  <w:vAlign w:val="center"/>
                </w:tcPr>
                <w:p w14:paraId="69466799">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58.58 </w:t>
                  </w:r>
                </w:p>
              </w:tc>
              <w:tc>
                <w:tcPr>
                  <w:tcW w:w="874" w:type="dxa"/>
                  <w:tcBorders>
                    <w:tl2br w:val="nil"/>
                    <w:tr2bl w:val="nil"/>
                  </w:tcBorders>
                  <w:shd w:val="clear" w:color="auto" w:fill="auto"/>
                  <w:noWrap w:val="0"/>
                  <w:vAlign w:val="center"/>
                </w:tcPr>
                <w:p w14:paraId="7BB6188A">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59.84 </w:t>
                  </w:r>
                </w:p>
              </w:tc>
              <w:tc>
                <w:tcPr>
                  <w:tcW w:w="795" w:type="dxa"/>
                  <w:tcBorders>
                    <w:tl2br w:val="nil"/>
                    <w:tr2bl w:val="nil"/>
                  </w:tcBorders>
                  <w:shd w:val="clear" w:color="auto" w:fill="auto"/>
                  <w:noWrap w:val="0"/>
                  <w:vAlign w:val="center"/>
                </w:tcPr>
                <w:p w14:paraId="211E085F">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59.42 </w:t>
                  </w:r>
                </w:p>
              </w:tc>
              <w:tc>
                <w:tcPr>
                  <w:tcW w:w="1388" w:type="dxa"/>
                  <w:tcBorders>
                    <w:tl2br w:val="nil"/>
                    <w:tr2bl w:val="nil"/>
                  </w:tcBorders>
                  <w:shd w:val="clear" w:color="auto" w:fill="auto"/>
                  <w:noWrap w:val="0"/>
                  <w:vAlign w:val="center"/>
                </w:tcPr>
                <w:p w14:paraId="4E0A9549">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color w:val="auto"/>
                      <w:lang w:val="en-US" w:eastAsia="zh-CN"/>
                    </w:rPr>
                    <w:t>8：00-18：00</w:t>
                  </w:r>
                </w:p>
              </w:tc>
              <w:tc>
                <w:tcPr>
                  <w:tcW w:w="515" w:type="dxa"/>
                  <w:tcBorders>
                    <w:tl2br w:val="nil"/>
                    <w:tr2bl w:val="nil"/>
                  </w:tcBorders>
                  <w:noWrap w:val="0"/>
                  <w:vAlign w:val="center"/>
                </w:tcPr>
                <w:p w14:paraId="63B7416F">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w:t>
                  </w:r>
                </w:p>
              </w:tc>
              <w:tc>
                <w:tcPr>
                  <w:tcW w:w="632" w:type="dxa"/>
                  <w:vMerge w:val="continue"/>
                  <w:tcBorders>
                    <w:tl2br w:val="nil"/>
                    <w:tr2bl w:val="nil"/>
                  </w:tcBorders>
                  <w:noWrap w:val="0"/>
                  <w:vAlign w:val="center"/>
                </w:tcPr>
                <w:p w14:paraId="6379A76B">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721" w:type="dxa"/>
                  <w:vMerge w:val="continue"/>
                  <w:tcBorders>
                    <w:tl2br w:val="nil"/>
                    <w:tr2bl w:val="nil"/>
                  </w:tcBorders>
                  <w:noWrap w:val="0"/>
                  <w:vAlign w:val="center"/>
                </w:tcPr>
                <w:p w14:paraId="26C565B2">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588" w:type="dxa"/>
                  <w:vMerge w:val="continue"/>
                  <w:tcBorders>
                    <w:tl2br w:val="nil"/>
                    <w:tr2bl w:val="nil"/>
                  </w:tcBorders>
                  <w:noWrap w:val="0"/>
                  <w:vAlign w:val="center"/>
                </w:tcPr>
                <w:p w14:paraId="31829318">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648" w:type="dxa"/>
                  <w:vMerge w:val="continue"/>
                  <w:tcBorders>
                    <w:tl2br w:val="nil"/>
                    <w:tr2bl w:val="nil"/>
                  </w:tcBorders>
                  <w:noWrap w:val="0"/>
                  <w:vAlign w:val="center"/>
                </w:tcPr>
                <w:p w14:paraId="6B60BAA0">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r>
            <w:tr w14:paraId="72C24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trPr>
              <w:tc>
                <w:tcPr>
                  <w:tcW w:w="471" w:type="dxa"/>
                  <w:tcBorders>
                    <w:tl2br w:val="nil"/>
                    <w:tr2bl w:val="nil"/>
                  </w:tcBorders>
                  <w:shd w:val="clear" w:color="auto" w:fill="auto"/>
                  <w:noWrap w:val="0"/>
                  <w:vAlign w:val="center"/>
                </w:tcPr>
                <w:p w14:paraId="54D377C9">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w:t>
                  </w:r>
                </w:p>
              </w:tc>
              <w:tc>
                <w:tcPr>
                  <w:tcW w:w="471" w:type="dxa"/>
                  <w:vMerge w:val="continue"/>
                  <w:tcBorders>
                    <w:tl2br w:val="nil"/>
                    <w:tr2bl w:val="nil"/>
                  </w:tcBorders>
                  <w:noWrap w:val="0"/>
                  <w:vAlign w:val="center"/>
                </w:tcPr>
                <w:p w14:paraId="5C72131B">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893" w:type="dxa"/>
                  <w:tcBorders>
                    <w:tl2br w:val="nil"/>
                    <w:tr2bl w:val="nil"/>
                  </w:tcBorders>
                  <w:shd w:val="clear" w:color="auto" w:fill="FFFFFF"/>
                  <w:noWrap w:val="0"/>
                  <w:vAlign w:val="center"/>
                </w:tcPr>
                <w:p w14:paraId="282FF891">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auto"/>
                      <w:sz w:val="21"/>
                      <w:szCs w:val="21"/>
                      <w:shd w:val="clear" w:color="auto" w:fill="auto"/>
                      <w:lang w:val="en-US" w:eastAsia="zh-CN" w:bidi="ar-SA"/>
                    </w:rPr>
                  </w:pPr>
                  <w:r>
                    <w:rPr>
                      <w:rFonts w:hint="default" w:ascii="Times New Roman" w:hAnsi="Times New Roman" w:eastAsia="宋体" w:cs="Times New Roman"/>
                      <w:color w:val="auto"/>
                      <w:sz w:val="21"/>
                      <w:szCs w:val="21"/>
                      <w:lang w:val="en-US" w:eastAsia="zh-CN"/>
                    </w:rPr>
                    <w:t>铝箔玻纤布多功能复合机</w:t>
                  </w:r>
                </w:p>
              </w:tc>
              <w:tc>
                <w:tcPr>
                  <w:tcW w:w="622" w:type="dxa"/>
                  <w:tcBorders>
                    <w:tl2br w:val="nil"/>
                    <w:tr2bl w:val="nil"/>
                  </w:tcBorders>
                  <w:noWrap w:val="0"/>
                  <w:vAlign w:val="center"/>
                </w:tcPr>
                <w:p w14:paraId="6718FE81">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80</w:t>
                  </w:r>
                </w:p>
              </w:tc>
              <w:tc>
                <w:tcPr>
                  <w:tcW w:w="478" w:type="dxa"/>
                  <w:vMerge w:val="continue"/>
                  <w:tcBorders>
                    <w:tl2br w:val="nil"/>
                    <w:tr2bl w:val="nil"/>
                  </w:tcBorders>
                  <w:noWrap w:val="0"/>
                  <w:vAlign w:val="center"/>
                </w:tcPr>
                <w:p w14:paraId="219C3164">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560" w:type="dxa"/>
                  <w:tcBorders>
                    <w:tl2br w:val="nil"/>
                    <w:tr2bl w:val="nil"/>
                  </w:tcBorders>
                  <w:noWrap w:val="0"/>
                  <w:vAlign w:val="center"/>
                </w:tcPr>
                <w:p w14:paraId="1ADA0406">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w:t>
                  </w:r>
                </w:p>
              </w:tc>
              <w:tc>
                <w:tcPr>
                  <w:tcW w:w="504" w:type="dxa"/>
                  <w:tcBorders>
                    <w:tl2br w:val="nil"/>
                    <w:tr2bl w:val="nil"/>
                  </w:tcBorders>
                  <w:noWrap w:val="0"/>
                  <w:vAlign w:val="center"/>
                </w:tcPr>
                <w:p w14:paraId="107F57C9">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14</w:t>
                  </w:r>
                </w:p>
              </w:tc>
              <w:tc>
                <w:tcPr>
                  <w:tcW w:w="361" w:type="dxa"/>
                  <w:tcBorders>
                    <w:tl2br w:val="nil"/>
                    <w:tr2bl w:val="nil"/>
                  </w:tcBorders>
                  <w:noWrap w:val="0"/>
                  <w:vAlign w:val="center"/>
                </w:tcPr>
                <w:p w14:paraId="12CB658C">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615" w:type="dxa"/>
                  <w:tcBorders>
                    <w:tl2br w:val="nil"/>
                    <w:tr2bl w:val="nil"/>
                  </w:tcBorders>
                  <w:shd w:val="clear" w:color="auto" w:fill="auto"/>
                  <w:noWrap w:val="0"/>
                  <w:vAlign w:val="center"/>
                </w:tcPr>
                <w:p w14:paraId="081A8A90">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47.4</w:t>
                  </w:r>
                </w:p>
              </w:tc>
              <w:tc>
                <w:tcPr>
                  <w:tcW w:w="519" w:type="dxa"/>
                  <w:tcBorders>
                    <w:tl2br w:val="nil"/>
                    <w:tr2bl w:val="nil"/>
                  </w:tcBorders>
                  <w:shd w:val="clear" w:color="auto" w:fill="auto"/>
                  <w:noWrap w:val="0"/>
                  <w:vAlign w:val="center"/>
                </w:tcPr>
                <w:p w14:paraId="0D91069E">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47</w:t>
                  </w:r>
                </w:p>
              </w:tc>
              <w:tc>
                <w:tcPr>
                  <w:tcW w:w="601" w:type="dxa"/>
                  <w:tcBorders>
                    <w:tl2br w:val="nil"/>
                    <w:tr2bl w:val="nil"/>
                  </w:tcBorders>
                  <w:shd w:val="clear" w:color="auto" w:fill="auto"/>
                  <w:noWrap w:val="0"/>
                  <w:vAlign w:val="center"/>
                </w:tcPr>
                <w:p w14:paraId="266806F3">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w:t>
                  </w:r>
                </w:p>
              </w:tc>
              <w:tc>
                <w:tcPr>
                  <w:tcW w:w="464" w:type="dxa"/>
                  <w:tcBorders>
                    <w:tl2br w:val="nil"/>
                    <w:tr2bl w:val="nil"/>
                  </w:tcBorders>
                  <w:shd w:val="clear" w:color="auto" w:fill="auto"/>
                  <w:noWrap w:val="0"/>
                  <w:vAlign w:val="center"/>
                </w:tcPr>
                <w:p w14:paraId="35AFE21D">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13</w:t>
                  </w:r>
                </w:p>
              </w:tc>
              <w:tc>
                <w:tcPr>
                  <w:tcW w:w="729" w:type="dxa"/>
                  <w:tcBorders>
                    <w:tl2br w:val="nil"/>
                    <w:tr2bl w:val="nil"/>
                  </w:tcBorders>
                  <w:shd w:val="clear" w:color="auto" w:fill="auto"/>
                  <w:noWrap w:val="0"/>
                  <w:vAlign w:val="center"/>
                </w:tcPr>
                <w:p w14:paraId="2FC511C1">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58.59 </w:t>
                  </w:r>
                </w:p>
              </w:tc>
              <w:tc>
                <w:tcPr>
                  <w:tcW w:w="807" w:type="dxa"/>
                  <w:tcBorders>
                    <w:tl2br w:val="nil"/>
                    <w:tr2bl w:val="nil"/>
                  </w:tcBorders>
                  <w:shd w:val="clear" w:color="auto" w:fill="auto"/>
                  <w:noWrap w:val="0"/>
                  <w:vAlign w:val="center"/>
                </w:tcPr>
                <w:p w14:paraId="67EAA91B">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58.59 </w:t>
                  </w:r>
                </w:p>
              </w:tc>
              <w:tc>
                <w:tcPr>
                  <w:tcW w:w="874" w:type="dxa"/>
                  <w:tcBorders>
                    <w:tl2br w:val="nil"/>
                    <w:tr2bl w:val="nil"/>
                  </w:tcBorders>
                  <w:shd w:val="clear" w:color="auto" w:fill="auto"/>
                  <w:noWrap w:val="0"/>
                  <w:vAlign w:val="center"/>
                </w:tcPr>
                <w:p w14:paraId="7DFFD413">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59.84 </w:t>
                  </w:r>
                </w:p>
              </w:tc>
              <w:tc>
                <w:tcPr>
                  <w:tcW w:w="795" w:type="dxa"/>
                  <w:tcBorders>
                    <w:tl2br w:val="nil"/>
                    <w:tr2bl w:val="nil"/>
                  </w:tcBorders>
                  <w:shd w:val="clear" w:color="auto" w:fill="auto"/>
                  <w:noWrap w:val="0"/>
                  <w:vAlign w:val="center"/>
                </w:tcPr>
                <w:p w14:paraId="0A03FA5B">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59.08 </w:t>
                  </w:r>
                </w:p>
              </w:tc>
              <w:tc>
                <w:tcPr>
                  <w:tcW w:w="1388" w:type="dxa"/>
                  <w:tcBorders>
                    <w:tl2br w:val="nil"/>
                    <w:tr2bl w:val="nil"/>
                  </w:tcBorders>
                  <w:shd w:val="clear" w:color="auto" w:fill="auto"/>
                  <w:noWrap w:val="0"/>
                  <w:vAlign w:val="center"/>
                </w:tcPr>
                <w:p w14:paraId="0279AFE5">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color w:val="auto"/>
                      <w:lang w:val="en-US" w:eastAsia="zh-CN"/>
                    </w:rPr>
                    <w:t>8：00-18：00</w:t>
                  </w:r>
                </w:p>
              </w:tc>
              <w:tc>
                <w:tcPr>
                  <w:tcW w:w="515" w:type="dxa"/>
                  <w:tcBorders>
                    <w:tl2br w:val="nil"/>
                    <w:tr2bl w:val="nil"/>
                  </w:tcBorders>
                  <w:noWrap w:val="0"/>
                  <w:vAlign w:val="center"/>
                </w:tcPr>
                <w:p w14:paraId="5FE55ED8">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w:t>
                  </w:r>
                </w:p>
              </w:tc>
              <w:tc>
                <w:tcPr>
                  <w:tcW w:w="632" w:type="dxa"/>
                  <w:vMerge w:val="continue"/>
                  <w:tcBorders>
                    <w:tl2br w:val="nil"/>
                    <w:tr2bl w:val="nil"/>
                  </w:tcBorders>
                  <w:noWrap w:val="0"/>
                  <w:vAlign w:val="center"/>
                </w:tcPr>
                <w:p w14:paraId="1AE320A5">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721" w:type="dxa"/>
                  <w:vMerge w:val="continue"/>
                  <w:tcBorders>
                    <w:tl2br w:val="nil"/>
                    <w:tr2bl w:val="nil"/>
                  </w:tcBorders>
                  <w:noWrap w:val="0"/>
                  <w:vAlign w:val="center"/>
                </w:tcPr>
                <w:p w14:paraId="54A7A3E4">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588" w:type="dxa"/>
                  <w:vMerge w:val="continue"/>
                  <w:tcBorders>
                    <w:tl2br w:val="nil"/>
                    <w:tr2bl w:val="nil"/>
                  </w:tcBorders>
                  <w:noWrap w:val="0"/>
                  <w:vAlign w:val="center"/>
                </w:tcPr>
                <w:p w14:paraId="2E9F1411">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648" w:type="dxa"/>
                  <w:vMerge w:val="continue"/>
                  <w:tcBorders>
                    <w:tl2br w:val="nil"/>
                    <w:tr2bl w:val="nil"/>
                  </w:tcBorders>
                  <w:noWrap w:val="0"/>
                  <w:vAlign w:val="center"/>
                </w:tcPr>
                <w:p w14:paraId="05F79362">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r>
            <w:tr w14:paraId="1F26C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471" w:type="dxa"/>
                  <w:tcBorders>
                    <w:tl2br w:val="nil"/>
                    <w:tr2bl w:val="nil"/>
                  </w:tcBorders>
                  <w:shd w:val="clear" w:color="auto" w:fill="auto"/>
                  <w:noWrap w:val="0"/>
                  <w:vAlign w:val="center"/>
                </w:tcPr>
                <w:p w14:paraId="7BA5AA60">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w:t>
                  </w:r>
                </w:p>
              </w:tc>
              <w:tc>
                <w:tcPr>
                  <w:tcW w:w="471" w:type="dxa"/>
                  <w:vMerge w:val="continue"/>
                  <w:tcBorders>
                    <w:tl2br w:val="nil"/>
                    <w:tr2bl w:val="nil"/>
                  </w:tcBorders>
                  <w:noWrap w:val="0"/>
                  <w:vAlign w:val="center"/>
                </w:tcPr>
                <w:p w14:paraId="7A2CAA42">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893" w:type="dxa"/>
                  <w:tcBorders>
                    <w:tl2br w:val="nil"/>
                    <w:tr2bl w:val="nil"/>
                  </w:tcBorders>
                  <w:shd w:val="clear" w:color="auto" w:fill="FFFFFF"/>
                  <w:noWrap w:val="0"/>
                  <w:vAlign w:val="center"/>
                </w:tcPr>
                <w:p w14:paraId="297C8870">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auto"/>
                      <w:sz w:val="21"/>
                      <w:szCs w:val="21"/>
                      <w:shd w:val="clear" w:color="auto" w:fill="auto"/>
                      <w:lang w:val="en-US" w:eastAsia="zh-CN" w:bidi="ar-SA"/>
                    </w:rPr>
                  </w:pPr>
                  <w:r>
                    <w:rPr>
                      <w:rFonts w:hint="default" w:ascii="Times New Roman" w:hAnsi="Times New Roman" w:eastAsia="宋体" w:cs="Times New Roman"/>
                      <w:color w:val="auto"/>
                      <w:sz w:val="21"/>
                      <w:szCs w:val="21"/>
                      <w:lang w:val="en-US" w:eastAsia="zh-CN"/>
                    </w:rPr>
                    <w:t>铝箔玻纤布多功能复合机</w:t>
                  </w:r>
                </w:p>
              </w:tc>
              <w:tc>
                <w:tcPr>
                  <w:tcW w:w="622" w:type="dxa"/>
                  <w:tcBorders>
                    <w:tl2br w:val="nil"/>
                    <w:tr2bl w:val="nil"/>
                  </w:tcBorders>
                  <w:noWrap w:val="0"/>
                  <w:vAlign w:val="center"/>
                </w:tcPr>
                <w:p w14:paraId="7ADB2D16">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80</w:t>
                  </w:r>
                </w:p>
              </w:tc>
              <w:tc>
                <w:tcPr>
                  <w:tcW w:w="478" w:type="dxa"/>
                  <w:vMerge w:val="continue"/>
                  <w:tcBorders>
                    <w:tl2br w:val="nil"/>
                    <w:tr2bl w:val="nil"/>
                  </w:tcBorders>
                  <w:noWrap w:val="0"/>
                  <w:vAlign w:val="center"/>
                </w:tcPr>
                <w:p w14:paraId="469BC0E5">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560" w:type="dxa"/>
                  <w:tcBorders>
                    <w:tl2br w:val="nil"/>
                    <w:tr2bl w:val="nil"/>
                  </w:tcBorders>
                  <w:noWrap w:val="0"/>
                  <w:vAlign w:val="center"/>
                </w:tcPr>
                <w:p w14:paraId="6C79B645">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w:t>
                  </w:r>
                </w:p>
              </w:tc>
              <w:tc>
                <w:tcPr>
                  <w:tcW w:w="504" w:type="dxa"/>
                  <w:tcBorders>
                    <w:tl2br w:val="nil"/>
                    <w:tr2bl w:val="nil"/>
                  </w:tcBorders>
                  <w:noWrap w:val="0"/>
                  <w:vAlign w:val="center"/>
                </w:tcPr>
                <w:p w14:paraId="74342BB5">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11</w:t>
                  </w:r>
                </w:p>
              </w:tc>
              <w:tc>
                <w:tcPr>
                  <w:tcW w:w="361" w:type="dxa"/>
                  <w:tcBorders>
                    <w:tl2br w:val="nil"/>
                    <w:tr2bl w:val="nil"/>
                  </w:tcBorders>
                  <w:noWrap w:val="0"/>
                  <w:vAlign w:val="center"/>
                </w:tcPr>
                <w:p w14:paraId="00E7B983">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615" w:type="dxa"/>
                  <w:tcBorders>
                    <w:tl2br w:val="nil"/>
                    <w:tr2bl w:val="nil"/>
                  </w:tcBorders>
                  <w:shd w:val="clear" w:color="auto" w:fill="auto"/>
                  <w:noWrap w:val="0"/>
                  <w:vAlign w:val="center"/>
                </w:tcPr>
                <w:p w14:paraId="63C9EFF7">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47.4</w:t>
                  </w:r>
                </w:p>
              </w:tc>
              <w:tc>
                <w:tcPr>
                  <w:tcW w:w="519" w:type="dxa"/>
                  <w:tcBorders>
                    <w:tl2br w:val="nil"/>
                    <w:tr2bl w:val="nil"/>
                  </w:tcBorders>
                  <w:shd w:val="clear" w:color="auto" w:fill="auto"/>
                  <w:noWrap w:val="0"/>
                  <w:vAlign w:val="center"/>
                </w:tcPr>
                <w:p w14:paraId="0E0B1499">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44</w:t>
                  </w:r>
                </w:p>
              </w:tc>
              <w:tc>
                <w:tcPr>
                  <w:tcW w:w="601" w:type="dxa"/>
                  <w:tcBorders>
                    <w:tl2br w:val="nil"/>
                    <w:tr2bl w:val="nil"/>
                  </w:tcBorders>
                  <w:shd w:val="clear" w:color="auto" w:fill="auto"/>
                  <w:noWrap w:val="0"/>
                  <w:vAlign w:val="center"/>
                </w:tcPr>
                <w:p w14:paraId="3EDC5BFA">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w:t>
                  </w:r>
                </w:p>
              </w:tc>
              <w:tc>
                <w:tcPr>
                  <w:tcW w:w="464" w:type="dxa"/>
                  <w:tcBorders>
                    <w:tl2br w:val="nil"/>
                    <w:tr2bl w:val="nil"/>
                  </w:tcBorders>
                  <w:shd w:val="clear" w:color="auto" w:fill="auto"/>
                  <w:noWrap w:val="0"/>
                  <w:vAlign w:val="center"/>
                </w:tcPr>
                <w:p w14:paraId="37BA9B82">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16</w:t>
                  </w:r>
                </w:p>
              </w:tc>
              <w:tc>
                <w:tcPr>
                  <w:tcW w:w="729" w:type="dxa"/>
                  <w:tcBorders>
                    <w:tl2br w:val="nil"/>
                    <w:tr2bl w:val="nil"/>
                  </w:tcBorders>
                  <w:shd w:val="clear" w:color="auto" w:fill="auto"/>
                  <w:noWrap w:val="0"/>
                  <w:vAlign w:val="center"/>
                </w:tcPr>
                <w:p w14:paraId="03D7673C">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58.59 </w:t>
                  </w:r>
                </w:p>
              </w:tc>
              <w:tc>
                <w:tcPr>
                  <w:tcW w:w="807" w:type="dxa"/>
                  <w:tcBorders>
                    <w:tl2br w:val="nil"/>
                    <w:tr2bl w:val="nil"/>
                  </w:tcBorders>
                  <w:shd w:val="clear" w:color="auto" w:fill="auto"/>
                  <w:noWrap w:val="0"/>
                  <w:vAlign w:val="center"/>
                </w:tcPr>
                <w:p w14:paraId="5118BE65">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58.60 </w:t>
                  </w:r>
                </w:p>
              </w:tc>
              <w:tc>
                <w:tcPr>
                  <w:tcW w:w="874" w:type="dxa"/>
                  <w:tcBorders>
                    <w:tl2br w:val="nil"/>
                    <w:tr2bl w:val="nil"/>
                  </w:tcBorders>
                  <w:shd w:val="clear" w:color="auto" w:fill="auto"/>
                  <w:noWrap w:val="0"/>
                  <w:vAlign w:val="center"/>
                </w:tcPr>
                <w:p w14:paraId="155E22B4">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59.84 </w:t>
                  </w:r>
                </w:p>
              </w:tc>
              <w:tc>
                <w:tcPr>
                  <w:tcW w:w="795" w:type="dxa"/>
                  <w:tcBorders>
                    <w:tl2br w:val="nil"/>
                    <w:tr2bl w:val="nil"/>
                  </w:tcBorders>
                  <w:shd w:val="clear" w:color="auto" w:fill="auto"/>
                  <w:noWrap w:val="0"/>
                  <w:vAlign w:val="center"/>
                </w:tcPr>
                <w:p w14:paraId="2EE5A4E5">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58.91 </w:t>
                  </w:r>
                </w:p>
              </w:tc>
              <w:tc>
                <w:tcPr>
                  <w:tcW w:w="1388" w:type="dxa"/>
                  <w:tcBorders>
                    <w:tl2br w:val="nil"/>
                    <w:tr2bl w:val="nil"/>
                  </w:tcBorders>
                  <w:shd w:val="clear" w:color="auto" w:fill="auto"/>
                  <w:noWrap w:val="0"/>
                  <w:vAlign w:val="center"/>
                </w:tcPr>
                <w:p w14:paraId="32879549">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color w:val="auto"/>
                      <w:lang w:val="en-US" w:eastAsia="zh-CN"/>
                    </w:rPr>
                    <w:t>8：00-18：00</w:t>
                  </w:r>
                </w:p>
              </w:tc>
              <w:tc>
                <w:tcPr>
                  <w:tcW w:w="515" w:type="dxa"/>
                  <w:tcBorders>
                    <w:tl2br w:val="nil"/>
                    <w:tr2bl w:val="nil"/>
                  </w:tcBorders>
                  <w:noWrap w:val="0"/>
                  <w:vAlign w:val="center"/>
                </w:tcPr>
                <w:p w14:paraId="65BCA31A">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w:t>
                  </w:r>
                </w:p>
              </w:tc>
              <w:tc>
                <w:tcPr>
                  <w:tcW w:w="632" w:type="dxa"/>
                  <w:vMerge w:val="continue"/>
                  <w:tcBorders>
                    <w:tl2br w:val="nil"/>
                    <w:tr2bl w:val="nil"/>
                  </w:tcBorders>
                  <w:noWrap w:val="0"/>
                  <w:vAlign w:val="center"/>
                </w:tcPr>
                <w:p w14:paraId="1C503221">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721" w:type="dxa"/>
                  <w:vMerge w:val="continue"/>
                  <w:tcBorders>
                    <w:tl2br w:val="nil"/>
                    <w:tr2bl w:val="nil"/>
                  </w:tcBorders>
                  <w:noWrap w:val="0"/>
                  <w:vAlign w:val="center"/>
                </w:tcPr>
                <w:p w14:paraId="531F6CB7">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588" w:type="dxa"/>
                  <w:vMerge w:val="continue"/>
                  <w:tcBorders>
                    <w:tl2br w:val="nil"/>
                    <w:tr2bl w:val="nil"/>
                  </w:tcBorders>
                  <w:noWrap w:val="0"/>
                  <w:vAlign w:val="center"/>
                </w:tcPr>
                <w:p w14:paraId="08798850">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648" w:type="dxa"/>
                  <w:vMerge w:val="continue"/>
                  <w:tcBorders>
                    <w:tl2br w:val="nil"/>
                    <w:tr2bl w:val="nil"/>
                  </w:tcBorders>
                  <w:noWrap w:val="0"/>
                  <w:vAlign w:val="center"/>
                </w:tcPr>
                <w:p w14:paraId="1C84B422">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r>
            <w:tr w14:paraId="3957C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trPr>
              <w:tc>
                <w:tcPr>
                  <w:tcW w:w="471" w:type="dxa"/>
                  <w:tcBorders>
                    <w:tl2br w:val="nil"/>
                    <w:tr2bl w:val="nil"/>
                  </w:tcBorders>
                  <w:shd w:val="clear" w:color="auto" w:fill="auto"/>
                  <w:noWrap w:val="0"/>
                  <w:vAlign w:val="center"/>
                </w:tcPr>
                <w:p w14:paraId="58287B40">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w:t>
                  </w:r>
                </w:p>
              </w:tc>
              <w:tc>
                <w:tcPr>
                  <w:tcW w:w="471" w:type="dxa"/>
                  <w:vMerge w:val="continue"/>
                  <w:tcBorders>
                    <w:tl2br w:val="nil"/>
                    <w:tr2bl w:val="nil"/>
                  </w:tcBorders>
                  <w:noWrap w:val="0"/>
                  <w:vAlign w:val="center"/>
                </w:tcPr>
                <w:p w14:paraId="113E5C27">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893" w:type="dxa"/>
                  <w:tcBorders>
                    <w:tl2br w:val="nil"/>
                    <w:tr2bl w:val="nil"/>
                  </w:tcBorders>
                  <w:shd w:val="clear" w:color="auto" w:fill="FFFFFF"/>
                  <w:noWrap w:val="0"/>
                  <w:vAlign w:val="center"/>
                </w:tcPr>
                <w:p w14:paraId="2D4C0DEB">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auto"/>
                      <w:sz w:val="21"/>
                      <w:szCs w:val="21"/>
                      <w:shd w:val="clear" w:color="auto" w:fill="auto"/>
                      <w:lang w:val="en-US" w:eastAsia="zh-CN" w:bidi="ar-SA"/>
                    </w:rPr>
                  </w:pPr>
                  <w:r>
                    <w:rPr>
                      <w:rFonts w:hint="default" w:ascii="Times New Roman" w:hAnsi="Times New Roman" w:eastAsia="宋体" w:cs="Times New Roman"/>
                      <w:color w:val="auto"/>
                      <w:sz w:val="21"/>
                      <w:szCs w:val="21"/>
                      <w:lang w:val="en-US" w:eastAsia="zh-CN"/>
                    </w:rPr>
                    <w:t>铝箔玻纤布多功能复合机</w:t>
                  </w:r>
                </w:p>
              </w:tc>
              <w:tc>
                <w:tcPr>
                  <w:tcW w:w="622" w:type="dxa"/>
                  <w:tcBorders>
                    <w:tl2br w:val="nil"/>
                    <w:tr2bl w:val="nil"/>
                  </w:tcBorders>
                  <w:noWrap w:val="0"/>
                  <w:vAlign w:val="center"/>
                </w:tcPr>
                <w:p w14:paraId="570261CA">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80</w:t>
                  </w:r>
                </w:p>
              </w:tc>
              <w:tc>
                <w:tcPr>
                  <w:tcW w:w="478" w:type="dxa"/>
                  <w:vMerge w:val="continue"/>
                  <w:tcBorders>
                    <w:tl2br w:val="nil"/>
                    <w:tr2bl w:val="nil"/>
                  </w:tcBorders>
                  <w:noWrap w:val="0"/>
                  <w:vAlign w:val="center"/>
                </w:tcPr>
                <w:p w14:paraId="46D14240">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560" w:type="dxa"/>
                  <w:tcBorders>
                    <w:tl2br w:val="nil"/>
                    <w:tr2bl w:val="nil"/>
                  </w:tcBorders>
                  <w:noWrap w:val="0"/>
                  <w:vAlign w:val="center"/>
                </w:tcPr>
                <w:p w14:paraId="0DE49265">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w:t>
                  </w:r>
                </w:p>
              </w:tc>
              <w:tc>
                <w:tcPr>
                  <w:tcW w:w="504" w:type="dxa"/>
                  <w:tcBorders>
                    <w:tl2br w:val="nil"/>
                    <w:tr2bl w:val="nil"/>
                  </w:tcBorders>
                  <w:noWrap w:val="0"/>
                  <w:vAlign w:val="center"/>
                </w:tcPr>
                <w:p w14:paraId="0EE54AC3">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w:t>
                  </w:r>
                </w:p>
              </w:tc>
              <w:tc>
                <w:tcPr>
                  <w:tcW w:w="361" w:type="dxa"/>
                  <w:tcBorders>
                    <w:tl2br w:val="nil"/>
                    <w:tr2bl w:val="nil"/>
                  </w:tcBorders>
                  <w:noWrap w:val="0"/>
                  <w:vAlign w:val="center"/>
                </w:tcPr>
                <w:p w14:paraId="2FC81686">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615" w:type="dxa"/>
                  <w:tcBorders>
                    <w:tl2br w:val="nil"/>
                    <w:tr2bl w:val="nil"/>
                  </w:tcBorders>
                  <w:shd w:val="clear" w:color="auto" w:fill="auto"/>
                  <w:noWrap w:val="0"/>
                  <w:vAlign w:val="center"/>
                </w:tcPr>
                <w:p w14:paraId="059F937E">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47.4</w:t>
                  </w:r>
                </w:p>
              </w:tc>
              <w:tc>
                <w:tcPr>
                  <w:tcW w:w="519" w:type="dxa"/>
                  <w:tcBorders>
                    <w:tl2br w:val="nil"/>
                    <w:tr2bl w:val="nil"/>
                  </w:tcBorders>
                  <w:shd w:val="clear" w:color="auto" w:fill="auto"/>
                  <w:noWrap w:val="0"/>
                  <w:vAlign w:val="center"/>
                </w:tcPr>
                <w:p w14:paraId="6AC2F966">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41</w:t>
                  </w:r>
                </w:p>
              </w:tc>
              <w:tc>
                <w:tcPr>
                  <w:tcW w:w="601" w:type="dxa"/>
                  <w:tcBorders>
                    <w:tl2br w:val="nil"/>
                    <w:tr2bl w:val="nil"/>
                  </w:tcBorders>
                  <w:shd w:val="clear" w:color="auto" w:fill="auto"/>
                  <w:noWrap w:val="0"/>
                  <w:vAlign w:val="center"/>
                </w:tcPr>
                <w:p w14:paraId="2426729A">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w:t>
                  </w:r>
                </w:p>
              </w:tc>
              <w:tc>
                <w:tcPr>
                  <w:tcW w:w="464" w:type="dxa"/>
                  <w:tcBorders>
                    <w:tl2br w:val="nil"/>
                    <w:tr2bl w:val="nil"/>
                  </w:tcBorders>
                  <w:shd w:val="clear" w:color="auto" w:fill="auto"/>
                  <w:noWrap w:val="0"/>
                  <w:vAlign w:val="center"/>
                </w:tcPr>
                <w:p w14:paraId="1481E874">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19</w:t>
                  </w:r>
                </w:p>
              </w:tc>
              <w:tc>
                <w:tcPr>
                  <w:tcW w:w="729" w:type="dxa"/>
                  <w:tcBorders>
                    <w:tl2br w:val="nil"/>
                    <w:tr2bl w:val="nil"/>
                  </w:tcBorders>
                  <w:shd w:val="clear" w:color="auto" w:fill="auto"/>
                  <w:noWrap w:val="0"/>
                  <w:vAlign w:val="center"/>
                </w:tcPr>
                <w:p w14:paraId="7D8221E2">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58.59 </w:t>
                  </w:r>
                </w:p>
              </w:tc>
              <w:tc>
                <w:tcPr>
                  <w:tcW w:w="807" w:type="dxa"/>
                  <w:tcBorders>
                    <w:tl2br w:val="nil"/>
                    <w:tr2bl w:val="nil"/>
                  </w:tcBorders>
                  <w:shd w:val="clear" w:color="auto" w:fill="auto"/>
                  <w:noWrap w:val="0"/>
                  <w:vAlign w:val="center"/>
                </w:tcPr>
                <w:p w14:paraId="3B2112D4">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58.60 </w:t>
                  </w:r>
                </w:p>
              </w:tc>
              <w:tc>
                <w:tcPr>
                  <w:tcW w:w="874" w:type="dxa"/>
                  <w:tcBorders>
                    <w:tl2br w:val="nil"/>
                    <w:tr2bl w:val="nil"/>
                  </w:tcBorders>
                  <w:shd w:val="clear" w:color="auto" w:fill="auto"/>
                  <w:noWrap w:val="0"/>
                  <w:vAlign w:val="center"/>
                </w:tcPr>
                <w:p w14:paraId="56510A02">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59.84 </w:t>
                  </w:r>
                </w:p>
              </w:tc>
              <w:tc>
                <w:tcPr>
                  <w:tcW w:w="795" w:type="dxa"/>
                  <w:tcBorders>
                    <w:tl2br w:val="nil"/>
                    <w:tr2bl w:val="nil"/>
                  </w:tcBorders>
                  <w:shd w:val="clear" w:color="auto" w:fill="auto"/>
                  <w:noWrap w:val="0"/>
                  <w:vAlign w:val="center"/>
                </w:tcPr>
                <w:p w14:paraId="643BB259">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58.81 </w:t>
                  </w:r>
                </w:p>
              </w:tc>
              <w:tc>
                <w:tcPr>
                  <w:tcW w:w="1388" w:type="dxa"/>
                  <w:tcBorders>
                    <w:tl2br w:val="nil"/>
                    <w:tr2bl w:val="nil"/>
                  </w:tcBorders>
                  <w:shd w:val="clear" w:color="auto" w:fill="auto"/>
                  <w:noWrap w:val="0"/>
                  <w:vAlign w:val="center"/>
                </w:tcPr>
                <w:p w14:paraId="62028F4A">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color w:val="auto"/>
                      <w:lang w:val="en-US" w:eastAsia="zh-CN"/>
                    </w:rPr>
                    <w:t>8：00-18：00</w:t>
                  </w:r>
                </w:p>
              </w:tc>
              <w:tc>
                <w:tcPr>
                  <w:tcW w:w="515" w:type="dxa"/>
                  <w:tcBorders>
                    <w:tl2br w:val="nil"/>
                    <w:tr2bl w:val="nil"/>
                  </w:tcBorders>
                  <w:noWrap w:val="0"/>
                  <w:vAlign w:val="center"/>
                </w:tcPr>
                <w:p w14:paraId="0F512937">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w:t>
                  </w:r>
                </w:p>
              </w:tc>
              <w:tc>
                <w:tcPr>
                  <w:tcW w:w="632" w:type="dxa"/>
                  <w:vMerge w:val="continue"/>
                  <w:tcBorders>
                    <w:tl2br w:val="nil"/>
                    <w:tr2bl w:val="nil"/>
                  </w:tcBorders>
                  <w:noWrap w:val="0"/>
                  <w:vAlign w:val="center"/>
                </w:tcPr>
                <w:p w14:paraId="14F4A6E2">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721" w:type="dxa"/>
                  <w:vMerge w:val="continue"/>
                  <w:tcBorders>
                    <w:tl2br w:val="nil"/>
                    <w:tr2bl w:val="nil"/>
                  </w:tcBorders>
                  <w:noWrap w:val="0"/>
                  <w:vAlign w:val="center"/>
                </w:tcPr>
                <w:p w14:paraId="68030D9A">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588" w:type="dxa"/>
                  <w:vMerge w:val="continue"/>
                  <w:tcBorders>
                    <w:tl2br w:val="nil"/>
                    <w:tr2bl w:val="nil"/>
                  </w:tcBorders>
                  <w:noWrap w:val="0"/>
                  <w:vAlign w:val="center"/>
                </w:tcPr>
                <w:p w14:paraId="6710C8BB">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648" w:type="dxa"/>
                  <w:vMerge w:val="continue"/>
                  <w:tcBorders>
                    <w:tl2br w:val="nil"/>
                    <w:tr2bl w:val="nil"/>
                  </w:tcBorders>
                  <w:noWrap w:val="0"/>
                  <w:vAlign w:val="center"/>
                </w:tcPr>
                <w:p w14:paraId="06B6A806">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r>
            <w:tr w14:paraId="2E2A3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trPr>
              <w:tc>
                <w:tcPr>
                  <w:tcW w:w="471" w:type="dxa"/>
                  <w:tcBorders>
                    <w:tl2br w:val="nil"/>
                    <w:tr2bl w:val="nil"/>
                  </w:tcBorders>
                  <w:shd w:val="clear" w:color="auto" w:fill="auto"/>
                  <w:noWrap w:val="0"/>
                  <w:vAlign w:val="center"/>
                </w:tcPr>
                <w:p w14:paraId="533F9480">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w:t>
                  </w:r>
                </w:p>
              </w:tc>
              <w:tc>
                <w:tcPr>
                  <w:tcW w:w="471" w:type="dxa"/>
                  <w:vMerge w:val="continue"/>
                  <w:tcBorders>
                    <w:tl2br w:val="nil"/>
                    <w:tr2bl w:val="nil"/>
                  </w:tcBorders>
                  <w:noWrap w:val="0"/>
                  <w:vAlign w:val="center"/>
                </w:tcPr>
                <w:p w14:paraId="4FEC9229">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893" w:type="dxa"/>
                  <w:tcBorders>
                    <w:tl2br w:val="nil"/>
                    <w:tr2bl w:val="nil"/>
                  </w:tcBorders>
                  <w:shd w:val="clear" w:color="auto" w:fill="FFFFFF"/>
                  <w:noWrap w:val="0"/>
                  <w:vAlign w:val="center"/>
                </w:tcPr>
                <w:p w14:paraId="2C644142">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auto"/>
                      <w:sz w:val="21"/>
                      <w:szCs w:val="21"/>
                      <w:shd w:val="clear" w:color="auto" w:fill="auto"/>
                      <w:lang w:val="en-US" w:eastAsia="zh-CN" w:bidi="ar-SA"/>
                    </w:rPr>
                  </w:pPr>
                  <w:r>
                    <w:rPr>
                      <w:rFonts w:hint="default" w:ascii="Times New Roman" w:hAnsi="Times New Roman" w:eastAsia="宋体" w:cs="Times New Roman"/>
                      <w:color w:val="auto"/>
                      <w:sz w:val="21"/>
                      <w:szCs w:val="21"/>
                      <w:lang w:val="en-US" w:eastAsia="zh-CN"/>
                    </w:rPr>
                    <w:t>铝箔玻纤布多功能复合机</w:t>
                  </w:r>
                </w:p>
              </w:tc>
              <w:tc>
                <w:tcPr>
                  <w:tcW w:w="622" w:type="dxa"/>
                  <w:tcBorders>
                    <w:tl2br w:val="nil"/>
                    <w:tr2bl w:val="nil"/>
                  </w:tcBorders>
                  <w:noWrap w:val="0"/>
                  <w:vAlign w:val="center"/>
                </w:tcPr>
                <w:p w14:paraId="21A29723">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80</w:t>
                  </w:r>
                </w:p>
              </w:tc>
              <w:tc>
                <w:tcPr>
                  <w:tcW w:w="478" w:type="dxa"/>
                  <w:vMerge w:val="continue"/>
                  <w:tcBorders>
                    <w:tl2br w:val="nil"/>
                    <w:tr2bl w:val="nil"/>
                  </w:tcBorders>
                  <w:noWrap w:val="0"/>
                  <w:vAlign w:val="center"/>
                </w:tcPr>
                <w:p w14:paraId="5113CBC7">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560" w:type="dxa"/>
                  <w:tcBorders>
                    <w:tl2br w:val="nil"/>
                    <w:tr2bl w:val="nil"/>
                  </w:tcBorders>
                  <w:noWrap w:val="0"/>
                  <w:vAlign w:val="center"/>
                </w:tcPr>
                <w:p w14:paraId="7A0F6B1F">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w:t>
                  </w:r>
                </w:p>
              </w:tc>
              <w:tc>
                <w:tcPr>
                  <w:tcW w:w="504" w:type="dxa"/>
                  <w:tcBorders>
                    <w:tl2br w:val="nil"/>
                    <w:tr2bl w:val="nil"/>
                  </w:tcBorders>
                  <w:noWrap w:val="0"/>
                  <w:vAlign w:val="center"/>
                </w:tcPr>
                <w:p w14:paraId="211411AD">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w:t>
                  </w:r>
                </w:p>
              </w:tc>
              <w:tc>
                <w:tcPr>
                  <w:tcW w:w="361" w:type="dxa"/>
                  <w:tcBorders>
                    <w:tl2br w:val="nil"/>
                    <w:tr2bl w:val="nil"/>
                  </w:tcBorders>
                  <w:noWrap w:val="0"/>
                  <w:vAlign w:val="center"/>
                </w:tcPr>
                <w:p w14:paraId="18A1C19A">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615" w:type="dxa"/>
                  <w:tcBorders>
                    <w:tl2br w:val="nil"/>
                    <w:tr2bl w:val="nil"/>
                  </w:tcBorders>
                  <w:shd w:val="clear" w:color="auto" w:fill="auto"/>
                  <w:noWrap w:val="0"/>
                  <w:vAlign w:val="center"/>
                </w:tcPr>
                <w:p w14:paraId="60533941">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47.4</w:t>
                  </w:r>
                </w:p>
              </w:tc>
              <w:tc>
                <w:tcPr>
                  <w:tcW w:w="519" w:type="dxa"/>
                  <w:tcBorders>
                    <w:tl2br w:val="nil"/>
                    <w:tr2bl w:val="nil"/>
                  </w:tcBorders>
                  <w:shd w:val="clear" w:color="auto" w:fill="auto"/>
                  <w:noWrap w:val="0"/>
                  <w:vAlign w:val="center"/>
                </w:tcPr>
                <w:p w14:paraId="506BCD6C">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38</w:t>
                  </w:r>
                </w:p>
              </w:tc>
              <w:tc>
                <w:tcPr>
                  <w:tcW w:w="601" w:type="dxa"/>
                  <w:tcBorders>
                    <w:tl2br w:val="nil"/>
                    <w:tr2bl w:val="nil"/>
                  </w:tcBorders>
                  <w:shd w:val="clear" w:color="auto" w:fill="auto"/>
                  <w:noWrap w:val="0"/>
                  <w:vAlign w:val="center"/>
                </w:tcPr>
                <w:p w14:paraId="3E895278">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w:t>
                  </w:r>
                </w:p>
              </w:tc>
              <w:tc>
                <w:tcPr>
                  <w:tcW w:w="464" w:type="dxa"/>
                  <w:tcBorders>
                    <w:tl2br w:val="nil"/>
                    <w:tr2bl w:val="nil"/>
                  </w:tcBorders>
                  <w:shd w:val="clear" w:color="auto" w:fill="auto"/>
                  <w:noWrap w:val="0"/>
                  <w:vAlign w:val="center"/>
                </w:tcPr>
                <w:p w14:paraId="13C15068">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22</w:t>
                  </w:r>
                </w:p>
              </w:tc>
              <w:tc>
                <w:tcPr>
                  <w:tcW w:w="729" w:type="dxa"/>
                  <w:tcBorders>
                    <w:tl2br w:val="nil"/>
                    <w:tr2bl w:val="nil"/>
                  </w:tcBorders>
                  <w:shd w:val="clear" w:color="auto" w:fill="auto"/>
                  <w:noWrap w:val="0"/>
                  <w:vAlign w:val="center"/>
                </w:tcPr>
                <w:p w14:paraId="2C192FD0">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58.59 </w:t>
                  </w:r>
                </w:p>
              </w:tc>
              <w:tc>
                <w:tcPr>
                  <w:tcW w:w="807" w:type="dxa"/>
                  <w:tcBorders>
                    <w:tl2br w:val="nil"/>
                    <w:tr2bl w:val="nil"/>
                  </w:tcBorders>
                  <w:shd w:val="clear" w:color="auto" w:fill="auto"/>
                  <w:noWrap w:val="0"/>
                  <w:vAlign w:val="center"/>
                </w:tcPr>
                <w:p w14:paraId="18A60558">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58.61 </w:t>
                  </w:r>
                </w:p>
              </w:tc>
              <w:tc>
                <w:tcPr>
                  <w:tcW w:w="874" w:type="dxa"/>
                  <w:tcBorders>
                    <w:tl2br w:val="nil"/>
                    <w:tr2bl w:val="nil"/>
                  </w:tcBorders>
                  <w:shd w:val="clear" w:color="auto" w:fill="auto"/>
                  <w:noWrap w:val="0"/>
                  <w:vAlign w:val="center"/>
                </w:tcPr>
                <w:p w14:paraId="7087442D">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59.84 </w:t>
                  </w:r>
                </w:p>
              </w:tc>
              <w:tc>
                <w:tcPr>
                  <w:tcW w:w="795" w:type="dxa"/>
                  <w:tcBorders>
                    <w:tl2br w:val="nil"/>
                    <w:tr2bl w:val="nil"/>
                  </w:tcBorders>
                  <w:shd w:val="clear" w:color="auto" w:fill="auto"/>
                  <w:noWrap w:val="0"/>
                  <w:vAlign w:val="center"/>
                </w:tcPr>
                <w:p w14:paraId="5BC1DD87">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58.74 </w:t>
                  </w:r>
                </w:p>
              </w:tc>
              <w:tc>
                <w:tcPr>
                  <w:tcW w:w="1388" w:type="dxa"/>
                  <w:tcBorders>
                    <w:tl2br w:val="nil"/>
                    <w:tr2bl w:val="nil"/>
                  </w:tcBorders>
                  <w:shd w:val="clear" w:color="auto" w:fill="auto"/>
                  <w:noWrap w:val="0"/>
                  <w:vAlign w:val="center"/>
                </w:tcPr>
                <w:p w14:paraId="6845D541">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color w:val="auto"/>
                      <w:lang w:val="en-US" w:eastAsia="zh-CN"/>
                    </w:rPr>
                    <w:t>8：00-18：00</w:t>
                  </w:r>
                </w:p>
              </w:tc>
              <w:tc>
                <w:tcPr>
                  <w:tcW w:w="515" w:type="dxa"/>
                  <w:tcBorders>
                    <w:tl2br w:val="nil"/>
                    <w:tr2bl w:val="nil"/>
                  </w:tcBorders>
                  <w:noWrap w:val="0"/>
                  <w:vAlign w:val="center"/>
                </w:tcPr>
                <w:p w14:paraId="7C4649D3">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w:t>
                  </w:r>
                </w:p>
              </w:tc>
              <w:tc>
                <w:tcPr>
                  <w:tcW w:w="632" w:type="dxa"/>
                  <w:vMerge w:val="continue"/>
                  <w:tcBorders>
                    <w:tl2br w:val="nil"/>
                    <w:tr2bl w:val="nil"/>
                  </w:tcBorders>
                  <w:noWrap w:val="0"/>
                  <w:vAlign w:val="center"/>
                </w:tcPr>
                <w:p w14:paraId="083822A0">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721" w:type="dxa"/>
                  <w:vMerge w:val="continue"/>
                  <w:tcBorders>
                    <w:tl2br w:val="nil"/>
                    <w:tr2bl w:val="nil"/>
                  </w:tcBorders>
                  <w:noWrap w:val="0"/>
                  <w:vAlign w:val="center"/>
                </w:tcPr>
                <w:p w14:paraId="6D66C8CC">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588" w:type="dxa"/>
                  <w:vMerge w:val="continue"/>
                  <w:tcBorders>
                    <w:tl2br w:val="nil"/>
                    <w:tr2bl w:val="nil"/>
                  </w:tcBorders>
                  <w:noWrap w:val="0"/>
                  <w:vAlign w:val="center"/>
                </w:tcPr>
                <w:p w14:paraId="619EB752">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648" w:type="dxa"/>
                  <w:vMerge w:val="continue"/>
                  <w:tcBorders>
                    <w:tl2br w:val="nil"/>
                    <w:tr2bl w:val="nil"/>
                  </w:tcBorders>
                  <w:noWrap w:val="0"/>
                  <w:vAlign w:val="center"/>
                </w:tcPr>
                <w:p w14:paraId="0311E31D">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r>
            <w:tr w14:paraId="1D4AF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trPr>
              <w:tc>
                <w:tcPr>
                  <w:tcW w:w="471" w:type="dxa"/>
                  <w:tcBorders>
                    <w:tl2br w:val="nil"/>
                    <w:tr2bl w:val="nil"/>
                  </w:tcBorders>
                  <w:shd w:val="clear" w:color="auto" w:fill="auto"/>
                  <w:noWrap w:val="0"/>
                  <w:vAlign w:val="center"/>
                </w:tcPr>
                <w:p w14:paraId="0022A813">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7</w:t>
                  </w:r>
                </w:p>
              </w:tc>
              <w:tc>
                <w:tcPr>
                  <w:tcW w:w="471" w:type="dxa"/>
                  <w:vMerge w:val="continue"/>
                  <w:tcBorders>
                    <w:tl2br w:val="nil"/>
                    <w:tr2bl w:val="nil"/>
                  </w:tcBorders>
                  <w:noWrap w:val="0"/>
                  <w:vAlign w:val="center"/>
                </w:tcPr>
                <w:p w14:paraId="447FC831">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893" w:type="dxa"/>
                  <w:tcBorders>
                    <w:tl2br w:val="nil"/>
                    <w:tr2bl w:val="nil"/>
                  </w:tcBorders>
                  <w:shd w:val="clear" w:color="auto" w:fill="FFFFFF"/>
                  <w:noWrap w:val="0"/>
                  <w:vAlign w:val="center"/>
                </w:tcPr>
                <w:p w14:paraId="6D932DA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auto"/>
                      <w:sz w:val="21"/>
                      <w:szCs w:val="21"/>
                      <w:shd w:val="clear" w:color="auto" w:fill="auto"/>
                      <w:lang w:val="en-US" w:eastAsia="zh-CN" w:bidi="ar-SA"/>
                    </w:rPr>
                  </w:pPr>
                  <w:r>
                    <w:rPr>
                      <w:rFonts w:hint="default" w:ascii="Times New Roman" w:hAnsi="Times New Roman" w:eastAsia="宋体" w:cs="Times New Roman"/>
                      <w:color w:val="auto"/>
                      <w:sz w:val="21"/>
                      <w:szCs w:val="21"/>
                      <w:lang w:val="en-US" w:eastAsia="zh-CN"/>
                    </w:rPr>
                    <w:t>铝箔玻纤布多功能复合机</w:t>
                  </w:r>
                </w:p>
              </w:tc>
              <w:tc>
                <w:tcPr>
                  <w:tcW w:w="622" w:type="dxa"/>
                  <w:tcBorders>
                    <w:tl2br w:val="nil"/>
                    <w:tr2bl w:val="nil"/>
                  </w:tcBorders>
                  <w:noWrap w:val="0"/>
                  <w:vAlign w:val="center"/>
                </w:tcPr>
                <w:p w14:paraId="7B0FCC13">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80</w:t>
                  </w:r>
                </w:p>
              </w:tc>
              <w:tc>
                <w:tcPr>
                  <w:tcW w:w="478" w:type="dxa"/>
                  <w:vMerge w:val="continue"/>
                  <w:tcBorders>
                    <w:tl2br w:val="nil"/>
                    <w:tr2bl w:val="nil"/>
                  </w:tcBorders>
                  <w:noWrap w:val="0"/>
                  <w:vAlign w:val="center"/>
                </w:tcPr>
                <w:p w14:paraId="090E4F41">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560" w:type="dxa"/>
                  <w:tcBorders>
                    <w:tl2br w:val="nil"/>
                    <w:tr2bl w:val="nil"/>
                  </w:tcBorders>
                  <w:noWrap w:val="0"/>
                  <w:vAlign w:val="center"/>
                </w:tcPr>
                <w:p w14:paraId="1042A09F">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w:t>
                  </w:r>
                </w:p>
              </w:tc>
              <w:tc>
                <w:tcPr>
                  <w:tcW w:w="504" w:type="dxa"/>
                  <w:tcBorders>
                    <w:tl2br w:val="nil"/>
                    <w:tr2bl w:val="nil"/>
                  </w:tcBorders>
                  <w:noWrap w:val="0"/>
                  <w:vAlign w:val="center"/>
                </w:tcPr>
                <w:p w14:paraId="6F204227">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w:t>
                  </w:r>
                </w:p>
              </w:tc>
              <w:tc>
                <w:tcPr>
                  <w:tcW w:w="361" w:type="dxa"/>
                  <w:tcBorders>
                    <w:tl2br w:val="nil"/>
                    <w:tr2bl w:val="nil"/>
                  </w:tcBorders>
                  <w:noWrap w:val="0"/>
                  <w:vAlign w:val="center"/>
                </w:tcPr>
                <w:p w14:paraId="016581E9">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615" w:type="dxa"/>
                  <w:tcBorders>
                    <w:tl2br w:val="nil"/>
                    <w:tr2bl w:val="nil"/>
                  </w:tcBorders>
                  <w:shd w:val="clear" w:color="auto" w:fill="auto"/>
                  <w:noWrap w:val="0"/>
                  <w:vAlign w:val="center"/>
                </w:tcPr>
                <w:p w14:paraId="34F4B9A7">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47.4</w:t>
                  </w:r>
                </w:p>
              </w:tc>
              <w:tc>
                <w:tcPr>
                  <w:tcW w:w="519" w:type="dxa"/>
                  <w:tcBorders>
                    <w:tl2br w:val="nil"/>
                    <w:tr2bl w:val="nil"/>
                  </w:tcBorders>
                  <w:shd w:val="clear" w:color="auto" w:fill="auto"/>
                  <w:noWrap w:val="0"/>
                  <w:vAlign w:val="center"/>
                </w:tcPr>
                <w:p w14:paraId="5A33804C">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32</w:t>
                  </w:r>
                </w:p>
              </w:tc>
              <w:tc>
                <w:tcPr>
                  <w:tcW w:w="601" w:type="dxa"/>
                  <w:tcBorders>
                    <w:tl2br w:val="nil"/>
                    <w:tr2bl w:val="nil"/>
                  </w:tcBorders>
                  <w:shd w:val="clear" w:color="auto" w:fill="auto"/>
                  <w:noWrap w:val="0"/>
                  <w:vAlign w:val="center"/>
                </w:tcPr>
                <w:p w14:paraId="1D79DB70">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w:t>
                  </w:r>
                </w:p>
              </w:tc>
              <w:tc>
                <w:tcPr>
                  <w:tcW w:w="464" w:type="dxa"/>
                  <w:tcBorders>
                    <w:tl2br w:val="nil"/>
                    <w:tr2bl w:val="nil"/>
                  </w:tcBorders>
                  <w:shd w:val="clear" w:color="auto" w:fill="auto"/>
                  <w:noWrap w:val="0"/>
                  <w:vAlign w:val="center"/>
                </w:tcPr>
                <w:p w14:paraId="128E492B">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26</w:t>
                  </w:r>
                </w:p>
              </w:tc>
              <w:tc>
                <w:tcPr>
                  <w:tcW w:w="729" w:type="dxa"/>
                  <w:tcBorders>
                    <w:tl2br w:val="nil"/>
                    <w:tr2bl w:val="nil"/>
                  </w:tcBorders>
                  <w:shd w:val="clear" w:color="auto" w:fill="auto"/>
                  <w:noWrap w:val="0"/>
                  <w:vAlign w:val="center"/>
                </w:tcPr>
                <w:p w14:paraId="650F8086">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58.59 </w:t>
                  </w:r>
                </w:p>
              </w:tc>
              <w:tc>
                <w:tcPr>
                  <w:tcW w:w="807" w:type="dxa"/>
                  <w:tcBorders>
                    <w:tl2br w:val="nil"/>
                    <w:tr2bl w:val="nil"/>
                  </w:tcBorders>
                  <w:shd w:val="clear" w:color="auto" w:fill="auto"/>
                  <w:noWrap w:val="0"/>
                  <w:vAlign w:val="center"/>
                </w:tcPr>
                <w:p w14:paraId="26ED6746">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58.64 </w:t>
                  </w:r>
                </w:p>
              </w:tc>
              <w:tc>
                <w:tcPr>
                  <w:tcW w:w="874" w:type="dxa"/>
                  <w:tcBorders>
                    <w:tl2br w:val="nil"/>
                    <w:tr2bl w:val="nil"/>
                  </w:tcBorders>
                  <w:shd w:val="clear" w:color="auto" w:fill="auto"/>
                  <w:noWrap w:val="0"/>
                  <w:vAlign w:val="center"/>
                </w:tcPr>
                <w:p w14:paraId="326628DB">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59.84 </w:t>
                  </w:r>
                </w:p>
              </w:tc>
              <w:tc>
                <w:tcPr>
                  <w:tcW w:w="795" w:type="dxa"/>
                  <w:tcBorders>
                    <w:tl2br w:val="nil"/>
                    <w:tr2bl w:val="nil"/>
                  </w:tcBorders>
                  <w:shd w:val="clear" w:color="auto" w:fill="auto"/>
                  <w:noWrap w:val="0"/>
                  <w:vAlign w:val="center"/>
                </w:tcPr>
                <w:p w14:paraId="793A50EA">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58.69 </w:t>
                  </w:r>
                </w:p>
              </w:tc>
              <w:tc>
                <w:tcPr>
                  <w:tcW w:w="1388" w:type="dxa"/>
                  <w:tcBorders>
                    <w:tl2br w:val="nil"/>
                    <w:tr2bl w:val="nil"/>
                  </w:tcBorders>
                  <w:shd w:val="clear" w:color="auto" w:fill="auto"/>
                  <w:noWrap w:val="0"/>
                  <w:vAlign w:val="center"/>
                </w:tcPr>
                <w:p w14:paraId="1D72BCB9">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color w:val="auto"/>
                      <w:lang w:val="en-US" w:eastAsia="zh-CN"/>
                    </w:rPr>
                    <w:t>8：00-18：00</w:t>
                  </w:r>
                </w:p>
              </w:tc>
              <w:tc>
                <w:tcPr>
                  <w:tcW w:w="515" w:type="dxa"/>
                  <w:tcBorders>
                    <w:tl2br w:val="nil"/>
                    <w:tr2bl w:val="nil"/>
                  </w:tcBorders>
                  <w:noWrap w:val="0"/>
                  <w:vAlign w:val="center"/>
                </w:tcPr>
                <w:p w14:paraId="70D50C0F">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w:t>
                  </w:r>
                </w:p>
              </w:tc>
              <w:tc>
                <w:tcPr>
                  <w:tcW w:w="632" w:type="dxa"/>
                  <w:vMerge w:val="continue"/>
                  <w:tcBorders>
                    <w:tl2br w:val="nil"/>
                    <w:tr2bl w:val="nil"/>
                  </w:tcBorders>
                  <w:noWrap w:val="0"/>
                  <w:vAlign w:val="center"/>
                </w:tcPr>
                <w:p w14:paraId="37B064FD">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721" w:type="dxa"/>
                  <w:vMerge w:val="continue"/>
                  <w:tcBorders>
                    <w:tl2br w:val="nil"/>
                    <w:tr2bl w:val="nil"/>
                  </w:tcBorders>
                  <w:noWrap w:val="0"/>
                  <w:vAlign w:val="center"/>
                </w:tcPr>
                <w:p w14:paraId="6A2163ED">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588" w:type="dxa"/>
                  <w:vMerge w:val="continue"/>
                  <w:tcBorders>
                    <w:tl2br w:val="nil"/>
                    <w:tr2bl w:val="nil"/>
                  </w:tcBorders>
                  <w:noWrap w:val="0"/>
                  <w:vAlign w:val="center"/>
                </w:tcPr>
                <w:p w14:paraId="619E2715">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648" w:type="dxa"/>
                  <w:vMerge w:val="continue"/>
                  <w:tcBorders>
                    <w:tl2br w:val="nil"/>
                    <w:tr2bl w:val="nil"/>
                  </w:tcBorders>
                  <w:noWrap w:val="0"/>
                  <w:vAlign w:val="center"/>
                </w:tcPr>
                <w:p w14:paraId="7B6625D3">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r>
            <w:tr w14:paraId="45575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trPr>
              <w:tc>
                <w:tcPr>
                  <w:tcW w:w="471" w:type="dxa"/>
                  <w:tcBorders>
                    <w:tl2br w:val="nil"/>
                    <w:tr2bl w:val="nil"/>
                  </w:tcBorders>
                  <w:shd w:val="clear" w:color="auto" w:fill="auto"/>
                  <w:noWrap w:val="0"/>
                  <w:vAlign w:val="center"/>
                </w:tcPr>
                <w:p w14:paraId="35E75C82">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w:t>
                  </w:r>
                </w:p>
              </w:tc>
              <w:tc>
                <w:tcPr>
                  <w:tcW w:w="471" w:type="dxa"/>
                  <w:vMerge w:val="continue"/>
                  <w:tcBorders>
                    <w:tl2br w:val="nil"/>
                    <w:tr2bl w:val="nil"/>
                  </w:tcBorders>
                  <w:noWrap w:val="0"/>
                  <w:vAlign w:val="center"/>
                </w:tcPr>
                <w:p w14:paraId="6A8CF806">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893" w:type="dxa"/>
                  <w:tcBorders>
                    <w:tl2br w:val="nil"/>
                    <w:tr2bl w:val="nil"/>
                  </w:tcBorders>
                  <w:shd w:val="clear" w:color="auto" w:fill="FFFFFF"/>
                  <w:noWrap w:val="0"/>
                  <w:vAlign w:val="center"/>
                </w:tcPr>
                <w:p w14:paraId="33FF4C2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auto"/>
                      <w:sz w:val="21"/>
                      <w:szCs w:val="21"/>
                      <w:shd w:val="clear" w:color="auto" w:fill="auto"/>
                      <w:lang w:val="en-US" w:eastAsia="zh-CN" w:bidi="ar-SA"/>
                    </w:rPr>
                  </w:pPr>
                  <w:r>
                    <w:rPr>
                      <w:rFonts w:hint="default" w:ascii="Times New Roman" w:hAnsi="Times New Roman" w:eastAsia="宋体" w:cs="Times New Roman"/>
                      <w:color w:val="auto"/>
                      <w:sz w:val="21"/>
                      <w:szCs w:val="21"/>
                      <w:lang w:val="en-US" w:eastAsia="zh-CN"/>
                    </w:rPr>
                    <w:t>铝箔玻纤布多功能复合机</w:t>
                  </w:r>
                </w:p>
              </w:tc>
              <w:tc>
                <w:tcPr>
                  <w:tcW w:w="622" w:type="dxa"/>
                  <w:tcBorders>
                    <w:tl2br w:val="nil"/>
                    <w:tr2bl w:val="nil"/>
                  </w:tcBorders>
                  <w:noWrap w:val="0"/>
                  <w:vAlign w:val="center"/>
                </w:tcPr>
                <w:p w14:paraId="0180FBF8">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80</w:t>
                  </w:r>
                </w:p>
              </w:tc>
              <w:tc>
                <w:tcPr>
                  <w:tcW w:w="478" w:type="dxa"/>
                  <w:vMerge w:val="continue"/>
                  <w:tcBorders>
                    <w:tl2br w:val="nil"/>
                    <w:tr2bl w:val="nil"/>
                  </w:tcBorders>
                  <w:noWrap w:val="0"/>
                  <w:vAlign w:val="center"/>
                </w:tcPr>
                <w:p w14:paraId="3CE770B4">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560" w:type="dxa"/>
                  <w:tcBorders>
                    <w:tl2br w:val="nil"/>
                    <w:tr2bl w:val="nil"/>
                  </w:tcBorders>
                  <w:noWrap w:val="0"/>
                  <w:vAlign w:val="center"/>
                </w:tcPr>
                <w:p w14:paraId="17215353">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w:t>
                  </w:r>
                </w:p>
              </w:tc>
              <w:tc>
                <w:tcPr>
                  <w:tcW w:w="504" w:type="dxa"/>
                  <w:tcBorders>
                    <w:tl2br w:val="nil"/>
                    <w:tr2bl w:val="nil"/>
                  </w:tcBorders>
                  <w:noWrap w:val="0"/>
                  <w:vAlign w:val="center"/>
                </w:tcPr>
                <w:p w14:paraId="13D474DF">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361" w:type="dxa"/>
                  <w:tcBorders>
                    <w:tl2br w:val="nil"/>
                    <w:tr2bl w:val="nil"/>
                  </w:tcBorders>
                  <w:noWrap w:val="0"/>
                  <w:vAlign w:val="center"/>
                </w:tcPr>
                <w:p w14:paraId="4EF247DA">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615" w:type="dxa"/>
                  <w:tcBorders>
                    <w:tl2br w:val="nil"/>
                    <w:tr2bl w:val="nil"/>
                  </w:tcBorders>
                  <w:shd w:val="clear" w:color="auto" w:fill="auto"/>
                  <w:noWrap w:val="0"/>
                  <w:vAlign w:val="center"/>
                </w:tcPr>
                <w:p w14:paraId="4FE8D6D3">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47.4</w:t>
                  </w:r>
                </w:p>
              </w:tc>
              <w:tc>
                <w:tcPr>
                  <w:tcW w:w="519" w:type="dxa"/>
                  <w:tcBorders>
                    <w:tl2br w:val="nil"/>
                    <w:tr2bl w:val="nil"/>
                  </w:tcBorders>
                  <w:shd w:val="clear" w:color="auto" w:fill="auto"/>
                  <w:noWrap w:val="0"/>
                  <w:vAlign w:val="center"/>
                </w:tcPr>
                <w:p w14:paraId="698DFFA2">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31</w:t>
                  </w:r>
                </w:p>
              </w:tc>
              <w:tc>
                <w:tcPr>
                  <w:tcW w:w="601" w:type="dxa"/>
                  <w:tcBorders>
                    <w:tl2br w:val="nil"/>
                    <w:tr2bl w:val="nil"/>
                  </w:tcBorders>
                  <w:shd w:val="clear" w:color="auto" w:fill="auto"/>
                  <w:noWrap w:val="0"/>
                  <w:vAlign w:val="center"/>
                </w:tcPr>
                <w:p w14:paraId="4364B83E">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w:t>
                  </w:r>
                </w:p>
              </w:tc>
              <w:tc>
                <w:tcPr>
                  <w:tcW w:w="464" w:type="dxa"/>
                  <w:tcBorders>
                    <w:tl2br w:val="nil"/>
                    <w:tr2bl w:val="nil"/>
                  </w:tcBorders>
                  <w:shd w:val="clear" w:color="auto" w:fill="auto"/>
                  <w:noWrap w:val="0"/>
                  <w:vAlign w:val="center"/>
                </w:tcPr>
                <w:p w14:paraId="773AF6DF">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29</w:t>
                  </w:r>
                </w:p>
              </w:tc>
              <w:tc>
                <w:tcPr>
                  <w:tcW w:w="729" w:type="dxa"/>
                  <w:tcBorders>
                    <w:tl2br w:val="nil"/>
                    <w:tr2bl w:val="nil"/>
                  </w:tcBorders>
                  <w:shd w:val="clear" w:color="auto" w:fill="auto"/>
                  <w:noWrap w:val="0"/>
                  <w:vAlign w:val="center"/>
                </w:tcPr>
                <w:p w14:paraId="322202C1">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58.59 </w:t>
                  </w:r>
                </w:p>
              </w:tc>
              <w:tc>
                <w:tcPr>
                  <w:tcW w:w="807" w:type="dxa"/>
                  <w:tcBorders>
                    <w:tl2br w:val="nil"/>
                    <w:tr2bl w:val="nil"/>
                  </w:tcBorders>
                  <w:shd w:val="clear" w:color="auto" w:fill="auto"/>
                  <w:noWrap w:val="0"/>
                  <w:vAlign w:val="center"/>
                </w:tcPr>
                <w:p w14:paraId="46DB50B1">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58.64 </w:t>
                  </w:r>
                </w:p>
              </w:tc>
              <w:tc>
                <w:tcPr>
                  <w:tcW w:w="874" w:type="dxa"/>
                  <w:tcBorders>
                    <w:tl2br w:val="nil"/>
                    <w:tr2bl w:val="nil"/>
                  </w:tcBorders>
                  <w:shd w:val="clear" w:color="auto" w:fill="auto"/>
                  <w:noWrap w:val="0"/>
                  <w:vAlign w:val="center"/>
                </w:tcPr>
                <w:p w14:paraId="2E0CF058">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59.84 </w:t>
                  </w:r>
                </w:p>
              </w:tc>
              <w:tc>
                <w:tcPr>
                  <w:tcW w:w="795" w:type="dxa"/>
                  <w:tcBorders>
                    <w:tl2br w:val="nil"/>
                    <w:tr2bl w:val="nil"/>
                  </w:tcBorders>
                  <w:shd w:val="clear" w:color="auto" w:fill="auto"/>
                  <w:noWrap w:val="0"/>
                  <w:vAlign w:val="center"/>
                </w:tcPr>
                <w:p w14:paraId="6EB486ED">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58.66 </w:t>
                  </w:r>
                </w:p>
              </w:tc>
              <w:tc>
                <w:tcPr>
                  <w:tcW w:w="1388" w:type="dxa"/>
                  <w:tcBorders>
                    <w:tl2br w:val="nil"/>
                    <w:tr2bl w:val="nil"/>
                  </w:tcBorders>
                  <w:shd w:val="clear" w:color="auto" w:fill="auto"/>
                  <w:noWrap w:val="0"/>
                  <w:vAlign w:val="center"/>
                </w:tcPr>
                <w:p w14:paraId="58DF0095">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color w:val="auto"/>
                      <w:lang w:val="en-US" w:eastAsia="zh-CN"/>
                    </w:rPr>
                    <w:t>8：00-18：00</w:t>
                  </w:r>
                </w:p>
              </w:tc>
              <w:tc>
                <w:tcPr>
                  <w:tcW w:w="515" w:type="dxa"/>
                  <w:tcBorders>
                    <w:tl2br w:val="nil"/>
                    <w:tr2bl w:val="nil"/>
                  </w:tcBorders>
                  <w:noWrap w:val="0"/>
                  <w:vAlign w:val="center"/>
                </w:tcPr>
                <w:p w14:paraId="0AD63585">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w:t>
                  </w:r>
                </w:p>
              </w:tc>
              <w:tc>
                <w:tcPr>
                  <w:tcW w:w="632" w:type="dxa"/>
                  <w:vMerge w:val="continue"/>
                  <w:tcBorders>
                    <w:tl2br w:val="nil"/>
                    <w:tr2bl w:val="nil"/>
                  </w:tcBorders>
                  <w:noWrap w:val="0"/>
                  <w:vAlign w:val="center"/>
                </w:tcPr>
                <w:p w14:paraId="53B06992">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721" w:type="dxa"/>
                  <w:vMerge w:val="continue"/>
                  <w:tcBorders>
                    <w:tl2br w:val="nil"/>
                    <w:tr2bl w:val="nil"/>
                  </w:tcBorders>
                  <w:noWrap w:val="0"/>
                  <w:vAlign w:val="center"/>
                </w:tcPr>
                <w:p w14:paraId="734C1241">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588" w:type="dxa"/>
                  <w:vMerge w:val="continue"/>
                  <w:tcBorders>
                    <w:tl2br w:val="nil"/>
                    <w:tr2bl w:val="nil"/>
                  </w:tcBorders>
                  <w:noWrap w:val="0"/>
                  <w:vAlign w:val="center"/>
                </w:tcPr>
                <w:p w14:paraId="33D3A81E">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648" w:type="dxa"/>
                  <w:vMerge w:val="continue"/>
                  <w:tcBorders>
                    <w:tl2br w:val="nil"/>
                    <w:tr2bl w:val="nil"/>
                  </w:tcBorders>
                  <w:noWrap w:val="0"/>
                  <w:vAlign w:val="center"/>
                </w:tcPr>
                <w:p w14:paraId="77C5ACFD">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r>
            <w:tr w14:paraId="6A34F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trPr>
              <w:tc>
                <w:tcPr>
                  <w:tcW w:w="471" w:type="dxa"/>
                  <w:tcBorders>
                    <w:tl2br w:val="nil"/>
                    <w:tr2bl w:val="nil"/>
                  </w:tcBorders>
                  <w:shd w:val="clear" w:color="auto" w:fill="auto"/>
                  <w:noWrap w:val="0"/>
                  <w:vAlign w:val="center"/>
                </w:tcPr>
                <w:p w14:paraId="6F26A4B0">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9</w:t>
                  </w:r>
                </w:p>
              </w:tc>
              <w:tc>
                <w:tcPr>
                  <w:tcW w:w="471" w:type="dxa"/>
                  <w:vMerge w:val="continue"/>
                  <w:tcBorders>
                    <w:tl2br w:val="nil"/>
                    <w:tr2bl w:val="nil"/>
                  </w:tcBorders>
                  <w:noWrap w:val="0"/>
                  <w:vAlign w:val="center"/>
                </w:tcPr>
                <w:p w14:paraId="5B4878D0">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893" w:type="dxa"/>
                  <w:tcBorders>
                    <w:tl2br w:val="nil"/>
                    <w:tr2bl w:val="nil"/>
                  </w:tcBorders>
                  <w:shd w:val="clear" w:color="auto" w:fill="auto"/>
                  <w:noWrap w:val="0"/>
                  <w:vAlign w:val="center"/>
                </w:tcPr>
                <w:p w14:paraId="40BBE4A0">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sz w:val="21"/>
                      <w:szCs w:val="21"/>
                      <w:lang w:val="en-US" w:eastAsia="zh-CN"/>
                    </w:rPr>
                    <w:t>铝箔复合膜贴面高速干复机</w:t>
                  </w:r>
                </w:p>
              </w:tc>
              <w:tc>
                <w:tcPr>
                  <w:tcW w:w="622" w:type="dxa"/>
                  <w:tcBorders>
                    <w:tl2br w:val="nil"/>
                    <w:tr2bl w:val="nil"/>
                  </w:tcBorders>
                  <w:noWrap w:val="0"/>
                  <w:vAlign w:val="center"/>
                </w:tcPr>
                <w:p w14:paraId="3D1A9443">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80</w:t>
                  </w:r>
                </w:p>
              </w:tc>
              <w:tc>
                <w:tcPr>
                  <w:tcW w:w="478" w:type="dxa"/>
                  <w:vMerge w:val="continue"/>
                  <w:tcBorders>
                    <w:tl2br w:val="nil"/>
                    <w:tr2bl w:val="nil"/>
                  </w:tcBorders>
                  <w:noWrap w:val="0"/>
                  <w:vAlign w:val="center"/>
                </w:tcPr>
                <w:p w14:paraId="56952E3B">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560" w:type="dxa"/>
                  <w:tcBorders>
                    <w:tl2br w:val="nil"/>
                    <w:tr2bl w:val="nil"/>
                  </w:tcBorders>
                  <w:noWrap w:val="0"/>
                  <w:vAlign w:val="center"/>
                </w:tcPr>
                <w:p w14:paraId="4F6EEF6B">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10</w:t>
                  </w:r>
                </w:p>
              </w:tc>
              <w:tc>
                <w:tcPr>
                  <w:tcW w:w="504" w:type="dxa"/>
                  <w:tcBorders>
                    <w:tl2br w:val="nil"/>
                    <w:tr2bl w:val="nil"/>
                  </w:tcBorders>
                  <w:noWrap w:val="0"/>
                  <w:vAlign w:val="center"/>
                </w:tcPr>
                <w:p w14:paraId="06CE21B5">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22</w:t>
                  </w:r>
                </w:p>
              </w:tc>
              <w:tc>
                <w:tcPr>
                  <w:tcW w:w="361" w:type="dxa"/>
                  <w:tcBorders>
                    <w:tl2br w:val="nil"/>
                    <w:tr2bl w:val="nil"/>
                  </w:tcBorders>
                  <w:noWrap w:val="0"/>
                  <w:vAlign w:val="center"/>
                </w:tcPr>
                <w:p w14:paraId="026BD9A1">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615" w:type="dxa"/>
                  <w:tcBorders>
                    <w:tl2br w:val="nil"/>
                    <w:tr2bl w:val="nil"/>
                  </w:tcBorders>
                  <w:shd w:val="clear" w:color="auto" w:fill="auto"/>
                  <w:noWrap w:val="0"/>
                  <w:vAlign w:val="center"/>
                </w:tcPr>
                <w:p w14:paraId="76CDDEF1">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16</w:t>
                  </w:r>
                </w:p>
              </w:tc>
              <w:tc>
                <w:tcPr>
                  <w:tcW w:w="519" w:type="dxa"/>
                  <w:tcBorders>
                    <w:tl2br w:val="nil"/>
                    <w:tr2bl w:val="nil"/>
                  </w:tcBorders>
                  <w:shd w:val="clear" w:color="auto" w:fill="auto"/>
                  <w:noWrap w:val="0"/>
                  <w:vAlign w:val="center"/>
                </w:tcPr>
                <w:p w14:paraId="17457365">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53</w:t>
                  </w:r>
                </w:p>
              </w:tc>
              <w:tc>
                <w:tcPr>
                  <w:tcW w:w="601" w:type="dxa"/>
                  <w:tcBorders>
                    <w:tl2br w:val="nil"/>
                    <w:tr2bl w:val="nil"/>
                  </w:tcBorders>
                  <w:shd w:val="clear" w:color="auto" w:fill="auto"/>
                  <w:noWrap w:val="0"/>
                  <w:vAlign w:val="center"/>
                </w:tcPr>
                <w:p w14:paraId="07EAFD16">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39.4</w:t>
                  </w:r>
                </w:p>
              </w:tc>
              <w:tc>
                <w:tcPr>
                  <w:tcW w:w="464" w:type="dxa"/>
                  <w:tcBorders>
                    <w:tl2br w:val="nil"/>
                    <w:tr2bl w:val="nil"/>
                  </w:tcBorders>
                  <w:shd w:val="clear" w:color="auto" w:fill="auto"/>
                  <w:noWrap w:val="0"/>
                  <w:vAlign w:val="center"/>
                </w:tcPr>
                <w:p w14:paraId="1BD7A1C6">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7</w:t>
                  </w:r>
                </w:p>
              </w:tc>
              <w:tc>
                <w:tcPr>
                  <w:tcW w:w="729" w:type="dxa"/>
                  <w:tcBorders>
                    <w:tl2br w:val="nil"/>
                    <w:tr2bl w:val="nil"/>
                  </w:tcBorders>
                  <w:shd w:val="clear" w:color="auto" w:fill="auto"/>
                  <w:noWrap w:val="0"/>
                  <w:vAlign w:val="center"/>
                </w:tcPr>
                <w:p w14:paraId="7FE5EF89">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58.91 </w:t>
                  </w:r>
                </w:p>
              </w:tc>
              <w:tc>
                <w:tcPr>
                  <w:tcW w:w="807" w:type="dxa"/>
                  <w:tcBorders>
                    <w:tl2br w:val="nil"/>
                    <w:tr2bl w:val="nil"/>
                  </w:tcBorders>
                  <w:shd w:val="clear" w:color="auto" w:fill="auto"/>
                  <w:noWrap w:val="0"/>
                  <w:vAlign w:val="center"/>
                </w:tcPr>
                <w:p w14:paraId="3DE9F9CB">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58.58 </w:t>
                  </w:r>
                </w:p>
              </w:tc>
              <w:tc>
                <w:tcPr>
                  <w:tcW w:w="874" w:type="dxa"/>
                  <w:tcBorders>
                    <w:tl2br w:val="nil"/>
                    <w:tr2bl w:val="nil"/>
                  </w:tcBorders>
                  <w:shd w:val="clear" w:color="auto" w:fill="auto"/>
                  <w:noWrap w:val="0"/>
                  <w:vAlign w:val="center"/>
                </w:tcPr>
                <w:p w14:paraId="2AC5E327">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58.61 </w:t>
                  </w:r>
                </w:p>
              </w:tc>
              <w:tc>
                <w:tcPr>
                  <w:tcW w:w="795" w:type="dxa"/>
                  <w:tcBorders>
                    <w:tl2br w:val="nil"/>
                    <w:tr2bl w:val="nil"/>
                  </w:tcBorders>
                  <w:shd w:val="clear" w:color="auto" w:fill="auto"/>
                  <w:noWrap w:val="0"/>
                  <w:vAlign w:val="center"/>
                </w:tcPr>
                <w:p w14:paraId="393C8A3B">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60.17 </w:t>
                  </w:r>
                </w:p>
              </w:tc>
              <w:tc>
                <w:tcPr>
                  <w:tcW w:w="1388" w:type="dxa"/>
                  <w:tcBorders>
                    <w:tl2br w:val="nil"/>
                    <w:tr2bl w:val="nil"/>
                  </w:tcBorders>
                  <w:shd w:val="clear" w:color="auto" w:fill="auto"/>
                  <w:noWrap w:val="0"/>
                  <w:vAlign w:val="center"/>
                </w:tcPr>
                <w:p w14:paraId="76956F72">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color w:val="auto"/>
                      <w:lang w:val="en-US" w:eastAsia="zh-CN"/>
                    </w:rPr>
                    <w:t>8：00-18：00</w:t>
                  </w:r>
                </w:p>
              </w:tc>
              <w:tc>
                <w:tcPr>
                  <w:tcW w:w="515" w:type="dxa"/>
                  <w:tcBorders>
                    <w:tl2br w:val="nil"/>
                    <w:tr2bl w:val="nil"/>
                  </w:tcBorders>
                  <w:noWrap w:val="0"/>
                  <w:vAlign w:val="center"/>
                </w:tcPr>
                <w:p w14:paraId="7262D0D1">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w:t>
                  </w:r>
                </w:p>
              </w:tc>
              <w:tc>
                <w:tcPr>
                  <w:tcW w:w="632" w:type="dxa"/>
                  <w:vMerge w:val="continue"/>
                  <w:tcBorders>
                    <w:tl2br w:val="nil"/>
                    <w:tr2bl w:val="nil"/>
                  </w:tcBorders>
                  <w:noWrap w:val="0"/>
                  <w:vAlign w:val="center"/>
                </w:tcPr>
                <w:p w14:paraId="775ED1D0">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721" w:type="dxa"/>
                  <w:vMerge w:val="continue"/>
                  <w:tcBorders>
                    <w:tl2br w:val="nil"/>
                    <w:tr2bl w:val="nil"/>
                  </w:tcBorders>
                  <w:noWrap w:val="0"/>
                  <w:vAlign w:val="center"/>
                </w:tcPr>
                <w:p w14:paraId="6C91B36C">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588" w:type="dxa"/>
                  <w:vMerge w:val="continue"/>
                  <w:tcBorders>
                    <w:tl2br w:val="nil"/>
                    <w:tr2bl w:val="nil"/>
                  </w:tcBorders>
                  <w:noWrap w:val="0"/>
                  <w:vAlign w:val="center"/>
                </w:tcPr>
                <w:p w14:paraId="18017C2C">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648" w:type="dxa"/>
                  <w:vMerge w:val="continue"/>
                  <w:tcBorders>
                    <w:tl2br w:val="nil"/>
                    <w:tr2bl w:val="nil"/>
                  </w:tcBorders>
                  <w:noWrap w:val="0"/>
                  <w:vAlign w:val="center"/>
                </w:tcPr>
                <w:p w14:paraId="05293EB8">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r>
            <w:tr w14:paraId="16B7E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trPr>
              <w:tc>
                <w:tcPr>
                  <w:tcW w:w="471" w:type="dxa"/>
                  <w:tcBorders>
                    <w:tl2br w:val="nil"/>
                    <w:tr2bl w:val="nil"/>
                  </w:tcBorders>
                  <w:shd w:val="clear" w:color="auto" w:fill="auto"/>
                  <w:noWrap w:val="0"/>
                  <w:vAlign w:val="center"/>
                </w:tcPr>
                <w:p w14:paraId="493EF941">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10</w:t>
                  </w:r>
                </w:p>
              </w:tc>
              <w:tc>
                <w:tcPr>
                  <w:tcW w:w="471" w:type="dxa"/>
                  <w:vMerge w:val="continue"/>
                  <w:tcBorders>
                    <w:tl2br w:val="nil"/>
                    <w:tr2bl w:val="nil"/>
                  </w:tcBorders>
                  <w:noWrap w:val="0"/>
                  <w:vAlign w:val="center"/>
                </w:tcPr>
                <w:p w14:paraId="52FBB15D">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893" w:type="dxa"/>
                  <w:tcBorders>
                    <w:tl2br w:val="nil"/>
                    <w:tr2bl w:val="nil"/>
                  </w:tcBorders>
                  <w:shd w:val="clear" w:color="auto" w:fill="auto"/>
                  <w:noWrap w:val="0"/>
                  <w:vAlign w:val="center"/>
                </w:tcPr>
                <w:p w14:paraId="1C70AAE4">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sz w:val="21"/>
                      <w:szCs w:val="21"/>
                      <w:lang w:val="en-US" w:eastAsia="zh-CN"/>
                    </w:rPr>
                    <w:t>铝塑复合膜贴面高速干复机</w:t>
                  </w:r>
                </w:p>
              </w:tc>
              <w:tc>
                <w:tcPr>
                  <w:tcW w:w="622" w:type="dxa"/>
                  <w:tcBorders>
                    <w:tl2br w:val="nil"/>
                    <w:tr2bl w:val="nil"/>
                  </w:tcBorders>
                  <w:noWrap w:val="0"/>
                  <w:vAlign w:val="center"/>
                </w:tcPr>
                <w:p w14:paraId="1EDE529F">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80</w:t>
                  </w:r>
                </w:p>
              </w:tc>
              <w:tc>
                <w:tcPr>
                  <w:tcW w:w="478" w:type="dxa"/>
                  <w:vMerge w:val="continue"/>
                  <w:tcBorders>
                    <w:tl2br w:val="nil"/>
                    <w:tr2bl w:val="nil"/>
                  </w:tcBorders>
                  <w:noWrap w:val="0"/>
                  <w:vAlign w:val="center"/>
                </w:tcPr>
                <w:p w14:paraId="4002ED90">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560" w:type="dxa"/>
                  <w:tcBorders>
                    <w:tl2br w:val="nil"/>
                    <w:tr2bl w:val="nil"/>
                  </w:tcBorders>
                  <w:noWrap w:val="0"/>
                  <w:vAlign w:val="center"/>
                </w:tcPr>
                <w:p w14:paraId="6CA32821">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10</w:t>
                  </w:r>
                </w:p>
              </w:tc>
              <w:tc>
                <w:tcPr>
                  <w:tcW w:w="504" w:type="dxa"/>
                  <w:tcBorders>
                    <w:tl2br w:val="nil"/>
                    <w:tr2bl w:val="nil"/>
                  </w:tcBorders>
                  <w:noWrap w:val="0"/>
                  <w:vAlign w:val="center"/>
                </w:tcPr>
                <w:p w14:paraId="187098E0">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19</w:t>
                  </w:r>
                </w:p>
              </w:tc>
              <w:tc>
                <w:tcPr>
                  <w:tcW w:w="361" w:type="dxa"/>
                  <w:tcBorders>
                    <w:tl2br w:val="nil"/>
                    <w:tr2bl w:val="nil"/>
                  </w:tcBorders>
                  <w:noWrap w:val="0"/>
                  <w:vAlign w:val="center"/>
                </w:tcPr>
                <w:p w14:paraId="0F03A7BF">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615" w:type="dxa"/>
                  <w:tcBorders>
                    <w:tl2br w:val="nil"/>
                    <w:tr2bl w:val="nil"/>
                  </w:tcBorders>
                  <w:shd w:val="clear" w:color="auto" w:fill="auto"/>
                  <w:noWrap w:val="0"/>
                  <w:vAlign w:val="center"/>
                </w:tcPr>
                <w:p w14:paraId="0D20D57D">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16</w:t>
                  </w:r>
                </w:p>
              </w:tc>
              <w:tc>
                <w:tcPr>
                  <w:tcW w:w="519" w:type="dxa"/>
                  <w:tcBorders>
                    <w:tl2br w:val="nil"/>
                    <w:tr2bl w:val="nil"/>
                  </w:tcBorders>
                  <w:shd w:val="clear" w:color="auto" w:fill="auto"/>
                  <w:noWrap w:val="0"/>
                  <w:vAlign w:val="center"/>
                </w:tcPr>
                <w:p w14:paraId="4E556FBE">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50</w:t>
                  </w:r>
                </w:p>
              </w:tc>
              <w:tc>
                <w:tcPr>
                  <w:tcW w:w="601" w:type="dxa"/>
                  <w:tcBorders>
                    <w:tl2br w:val="nil"/>
                    <w:tr2bl w:val="nil"/>
                  </w:tcBorders>
                  <w:shd w:val="clear" w:color="auto" w:fill="auto"/>
                  <w:noWrap w:val="0"/>
                  <w:vAlign w:val="center"/>
                </w:tcPr>
                <w:p w14:paraId="289A63C8">
                  <w:pPr>
                    <w:widowControl/>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39.4</w:t>
                  </w:r>
                </w:p>
              </w:tc>
              <w:tc>
                <w:tcPr>
                  <w:tcW w:w="464" w:type="dxa"/>
                  <w:tcBorders>
                    <w:tl2br w:val="nil"/>
                    <w:tr2bl w:val="nil"/>
                  </w:tcBorders>
                  <w:shd w:val="clear" w:color="auto" w:fill="auto"/>
                  <w:noWrap w:val="0"/>
                  <w:vAlign w:val="center"/>
                </w:tcPr>
                <w:p w14:paraId="2F5692F2">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10</w:t>
                  </w:r>
                </w:p>
              </w:tc>
              <w:tc>
                <w:tcPr>
                  <w:tcW w:w="729" w:type="dxa"/>
                  <w:tcBorders>
                    <w:tl2br w:val="nil"/>
                    <w:tr2bl w:val="nil"/>
                  </w:tcBorders>
                  <w:shd w:val="clear" w:color="auto" w:fill="auto"/>
                  <w:noWrap w:val="0"/>
                  <w:vAlign w:val="center"/>
                </w:tcPr>
                <w:p w14:paraId="77B74E16">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58.91 </w:t>
                  </w:r>
                </w:p>
              </w:tc>
              <w:tc>
                <w:tcPr>
                  <w:tcW w:w="807" w:type="dxa"/>
                  <w:tcBorders>
                    <w:tl2br w:val="nil"/>
                    <w:tr2bl w:val="nil"/>
                  </w:tcBorders>
                  <w:shd w:val="clear" w:color="auto" w:fill="auto"/>
                  <w:noWrap w:val="0"/>
                  <w:vAlign w:val="center"/>
                </w:tcPr>
                <w:p w14:paraId="0B7B4A94">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58.58 </w:t>
                  </w:r>
                </w:p>
              </w:tc>
              <w:tc>
                <w:tcPr>
                  <w:tcW w:w="874" w:type="dxa"/>
                  <w:tcBorders>
                    <w:tl2br w:val="nil"/>
                    <w:tr2bl w:val="nil"/>
                  </w:tcBorders>
                  <w:shd w:val="clear" w:color="auto" w:fill="auto"/>
                  <w:noWrap w:val="0"/>
                  <w:vAlign w:val="center"/>
                </w:tcPr>
                <w:p w14:paraId="1299DD65">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58.61 </w:t>
                  </w:r>
                </w:p>
              </w:tc>
              <w:tc>
                <w:tcPr>
                  <w:tcW w:w="795" w:type="dxa"/>
                  <w:tcBorders>
                    <w:tl2br w:val="nil"/>
                    <w:tr2bl w:val="nil"/>
                  </w:tcBorders>
                  <w:shd w:val="clear" w:color="auto" w:fill="auto"/>
                  <w:noWrap w:val="0"/>
                  <w:vAlign w:val="center"/>
                </w:tcPr>
                <w:p w14:paraId="564E53EE">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59.42 </w:t>
                  </w:r>
                </w:p>
              </w:tc>
              <w:tc>
                <w:tcPr>
                  <w:tcW w:w="1388" w:type="dxa"/>
                  <w:tcBorders>
                    <w:tl2br w:val="nil"/>
                    <w:tr2bl w:val="nil"/>
                  </w:tcBorders>
                  <w:shd w:val="clear" w:color="auto" w:fill="auto"/>
                  <w:noWrap w:val="0"/>
                  <w:vAlign w:val="center"/>
                </w:tcPr>
                <w:p w14:paraId="3A70ADBF">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color w:val="auto"/>
                      <w:lang w:val="en-US" w:eastAsia="zh-CN"/>
                    </w:rPr>
                    <w:t>8：00-18：00</w:t>
                  </w:r>
                </w:p>
              </w:tc>
              <w:tc>
                <w:tcPr>
                  <w:tcW w:w="515" w:type="dxa"/>
                  <w:tcBorders>
                    <w:tl2br w:val="nil"/>
                    <w:tr2bl w:val="nil"/>
                  </w:tcBorders>
                  <w:noWrap w:val="0"/>
                  <w:vAlign w:val="center"/>
                </w:tcPr>
                <w:p w14:paraId="28CC2896">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w:t>
                  </w:r>
                </w:p>
              </w:tc>
              <w:tc>
                <w:tcPr>
                  <w:tcW w:w="632" w:type="dxa"/>
                  <w:vMerge w:val="continue"/>
                  <w:tcBorders>
                    <w:tl2br w:val="nil"/>
                    <w:tr2bl w:val="nil"/>
                  </w:tcBorders>
                  <w:noWrap w:val="0"/>
                  <w:vAlign w:val="center"/>
                </w:tcPr>
                <w:p w14:paraId="19EAE613">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721" w:type="dxa"/>
                  <w:vMerge w:val="continue"/>
                  <w:tcBorders>
                    <w:tl2br w:val="nil"/>
                    <w:tr2bl w:val="nil"/>
                  </w:tcBorders>
                  <w:noWrap w:val="0"/>
                  <w:vAlign w:val="center"/>
                </w:tcPr>
                <w:p w14:paraId="372F00D0">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588" w:type="dxa"/>
                  <w:vMerge w:val="continue"/>
                  <w:tcBorders>
                    <w:tl2br w:val="nil"/>
                    <w:tr2bl w:val="nil"/>
                  </w:tcBorders>
                  <w:noWrap w:val="0"/>
                  <w:vAlign w:val="center"/>
                </w:tcPr>
                <w:p w14:paraId="10F56F53">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648" w:type="dxa"/>
                  <w:vMerge w:val="continue"/>
                  <w:tcBorders>
                    <w:tl2br w:val="nil"/>
                    <w:tr2bl w:val="nil"/>
                  </w:tcBorders>
                  <w:noWrap w:val="0"/>
                  <w:vAlign w:val="center"/>
                </w:tcPr>
                <w:p w14:paraId="1245FA70">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r>
            <w:tr w14:paraId="39E70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7" w:hRule="atLeast"/>
              </w:trPr>
              <w:tc>
                <w:tcPr>
                  <w:tcW w:w="471" w:type="dxa"/>
                  <w:tcBorders>
                    <w:tl2br w:val="nil"/>
                    <w:tr2bl w:val="nil"/>
                  </w:tcBorders>
                  <w:shd w:val="clear" w:color="auto" w:fill="auto"/>
                  <w:noWrap w:val="0"/>
                  <w:vAlign w:val="center"/>
                </w:tcPr>
                <w:p w14:paraId="1EC611FB">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11</w:t>
                  </w:r>
                </w:p>
              </w:tc>
              <w:tc>
                <w:tcPr>
                  <w:tcW w:w="471" w:type="dxa"/>
                  <w:vMerge w:val="continue"/>
                  <w:tcBorders>
                    <w:tl2br w:val="nil"/>
                    <w:tr2bl w:val="nil"/>
                  </w:tcBorders>
                  <w:noWrap w:val="0"/>
                  <w:vAlign w:val="center"/>
                </w:tcPr>
                <w:p w14:paraId="531613FE">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893" w:type="dxa"/>
                  <w:tcBorders>
                    <w:tl2br w:val="nil"/>
                    <w:tr2bl w:val="nil"/>
                  </w:tcBorders>
                  <w:shd w:val="clear" w:color="auto" w:fill="auto"/>
                  <w:noWrap w:val="0"/>
                  <w:vAlign w:val="center"/>
                </w:tcPr>
                <w:p w14:paraId="582FD62D">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sz w:val="21"/>
                      <w:szCs w:val="21"/>
                      <w:lang w:val="en-US" w:eastAsia="zh-CN"/>
                    </w:rPr>
                    <w:t>铝箔牛皮纸网格贴面多功能复合机</w:t>
                  </w:r>
                </w:p>
              </w:tc>
              <w:tc>
                <w:tcPr>
                  <w:tcW w:w="622" w:type="dxa"/>
                  <w:tcBorders>
                    <w:tl2br w:val="nil"/>
                    <w:tr2bl w:val="nil"/>
                  </w:tcBorders>
                  <w:noWrap w:val="0"/>
                  <w:vAlign w:val="center"/>
                </w:tcPr>
                <w:p w14:paraId="556275A1">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85</w:t>
                  </w:r>
                </w:p>
              </w:tc>
              <w:tc>
                <w:tcPr>
                  <w:tcW w:w="478" w:type="dxa"/>
                  <w:vMerge w:val="continue"/>
                  <w:tcBorders>
                    <w:tl2br w:val="nil"/>
                    <w:tr2bl w:val="nil"/>
                  </w:tcBorders>
                  <w:noWrap w:val="0"/>
                  <w:vAlign w:val="center"/>
                </w:tcPr>
                <w:p w14:paraId="1252EE8B">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560" w:type="dxa"/>
                  <w:tcBorders>
                    <w:tl2br w:val="nil"/>
                    <w:tr2bl w:val="nil"/>
                  </w:tcBorders>
                  <w:shd w:val="clear" w:color="auto" w:fill="auto"/>
                  <w:noWrap w:val="0"/>
                  <w:vAlign w:val="center"/>
                </w:tcPr>
                <w:p w14:paraId="61E2A91C">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w:t>
                  </w:r>
                </w:p>
              </w:tc>
              <w:tc>
                <w:tcPr>
                  <w:tcW w:w="504" w:type="dxa"/>
                  <w:tcBorders>
                    <w:tl2br w:val="nil"/>
                    <w:tr2bl w:val="nil"/>
                  </w:tcBorders>
                  <w:shd w:val="clear" w:color="auto" w:fill="auto"/>
                  <w:noWrap w:val="0"/>
                  <w:vAlign w:val="center"/>
                </w:tcPr>
                <w:p w14:paraId="0F0A1EA2">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w:t>
                  </w:r>
                </w:p>
              </w:tc>
              <w:tc>
                <w:tcPr>
                  <w:tcW w:w="361" w:type="dxa"/>
                  <w:tcBorders>
                    <w:tl2br w:val="nil"/>
                    <w:tr2bl w:val="nil"/>
                  </w:tcBorders>
                  <w:shd w:val="clear" w:color="auto" w:fill="auto"/>
                  <w:noWrap w:val="0"/>
                  <w:vAlign w:val="center"/>
                </w:tcPr>
                <w:p w14:paraId="04C8F73C">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615" w:type="dxa"/>
                  <w:tcBorders>
                    <w:tl2br w:val="nil"/>
                    <w:tr2bl w:val="nil"/>
                  </w:tcBorders>
                  <w:shd w:val="clear" w:color="auto" w:fill="auto"/>
                  <w:noWrap w:val="0"/>
                  <w:vAlign w:val="center"/>
                </w:tcPr>
                <w:p w14:paraId="361A9CF6">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47.4</w:t>
                  </w:r>
                </w:p>
              </w:tc>
              <w:tc>
                <w:tcPr>
                  <w:tcW w:w="519" w:type="dxa"/>
                  <w:tcBorders>
                    <w:tl2br w:val="nil"/>
                    <w:tr2bl w:val="nil"/>
                  </w:tcBorders>
                  <w:shd w:val="clear" w:color="auto" w:fill="auto"/>
                  <w:noWrap w:val="0"/>
                  <w:vAlign w:val="center"/>
                </w:tcPr>
                <w:p w14:paraId="18763D76">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28</w:t>
                  </w:r>
                </w:p>
              </w:tc>
              <w:tc>
                <w:tcPr>
                  <w:tcW w:w="601" w:type="dxa"/>
                  <w:tcBorders>
                    <w:tl2br w:val="nil"/>
                    <w:tr2bl w:val="nil"/>
                  </w:tcBorders>
                  <w:shd w:val="clear" w:color="auto" w:fill="auto"/>
                  <w:noWrap w:val="0"/>
                  <w:vAlign w:val="center"/>
                </w:tcPr>
                <w:p w14:paraId="3149E403">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w:t>
                  </w:r>
                </w:p>
              </w:tc>
              <w:tc>
                <w:tcPr>
                  <w:tcW w:w="464" w:type="dxa"/>
                  <w:tcBorders>
                    <w:tl2br w:val="nil"/>
                    <w:tr2bl w:val="nil"/>
                  </w:tcBorders>
                  <w:shd w:val="clear" w:color="auto" w:fill="auto"/>
                  <w:noWrap w:val="0"/>
                  <w:vAlign w:val="center"/>
                </w:tcPr>
                <w:p w14:paraId="45F22B6F">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32</w:t>
                  </w:r>
                </w:p>
              </w:tc>
              <w:tc>
                <w:tcPr>
                  <w:tcW w:w="729" w:type="dxa"/>
                  <w:tcBorders>
                    <w:tl2br w:val="nil"/>
                    <w:tr2bl w:val="nil"/>
                  </w:tcBorders>
                  <w:shd w:val="clear" w:color="auto" w:fill="auto"/>
                  <w:noWrap w:val="0"/>
                  <w:vAlign w:val="center"/>
                </w:tcPr>
                <w:p w14:paraId="7AB4458D">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63.59 </w:t>
                  </w:r>
                </w:p>
              </w:tc>
              <w:tc>
                <w:tcPr>
                  <w:tcW w:w="807" w:type="dxa"/>
                  <w:tcBorders>
                    <w:tl2br w:val="nil"/>
                    <w:tr2bl w:val="nil"/>
                  </w:tcBorders>
                  <w:shd w:val="clear" w:color="auto" w:fill="auto"/>
                  <w:noWrap w:val="0"/>
                  <w:vAlign w:val="center"/>
                </w:tcPr>
                <w:p w14:paraId="12642D79">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63.67 </w:t>
                  </w:r>
                </w:p>
              </w:tc>
              <w:tc>
                <w:tcPr>
                  <w:tcW w:w="874" w:type="dxa"/>
                  <w:tcBorders>
                    <w:tl2br w:val="nil"/>
                    <w:tr2bl w:val="nil"/>
                  </w:tcBorders>
                  <w:shd w:val="clear" w:color="auto" w:fill="auto"/>
                  <w:noWrap w:val="0"/>
                  <w:vAlign w:val="center"/>
                </w:tcPr>
                <w:p w14:paraId="32863FBC">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64.84 </w:t>
                  </w:r>
                </w:p>
              </w:tc>
              <w:tc>
                <w:tcPr>
                  <w:tcW w:w="795" w:type="dxa"/>
                  <w:tcBorders>
                    <w:tl2br w:val="nil"/>
                    <w:tr2bl w:val="nil"/>
                  </w:tcBorders>
                  <w:shd w:val="clear" w:color="auto" w:fill="auto"/>
                  <w:noWrap w:val="0"/>
                  <w:vAlign w:val="center"/>
                </w:tcPr>
                <w:p w14:paraId="4592688B">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63.64 </w:t>
                  </w:r>
                </w:p>
              </w:tc>
              <w:tc>
                <w:tcPr>
                  <w:tcW w:w="1388" w:type="dxa"/>
                  <w:tcBorders>
                    <w:tl2br w:val="nil"/>
                    <w:tr2bl w:val="nil"/>
                  </w:tcBorders>
                  <w:shd w:val="clear" w:color="auto" w:fill="auto"/>
                  <w:noWrap w:val="0"/>
                  <w:vAlign w:val="center"/>
                </w:tcPr>
                <w:p w14:paraId="2B70A939">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color w:val="auto"/>
                      <w:lang w:val="en-US" w:eastAsia="zh-CN"/>
                    </w:rPr>
                    <w:t>8：00-18：00</w:t>
                  </w:r>
                </w:p>
              </w:tc>
              <w:tc>
                <w:tcPr>
                  <w:tcW w:w="515" w:type="dxa"/>
                  <w:tcBorders>
                    <w:tl2br w:val="nil"/>
                    <w:tr2bl w:val="nil"/>
                  </w:tcBorders>
                  <w:shd w:val="clear" w:color="auto" w:fill="auto"/>
                  <w:noWrap w:val="0"/>
                  <w:vAlign w:val="center"/>
                </w:tcPr>
                <w:p w14:paraId="6F07958F">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w:t>
                  </w:r>
                </w:p>
              </w:tc>
              <w:tc>
                <w:tcPr>
                  <w:tcW w:w="632" w:type="dxa"/>
                  <w:vMerge w:val="continue"/>
                  <w:tcBorders>
                    <w:tl2br w:val="nil"/>
                    <w:tr2bl w:val="nil"/>
                  </w:tcBorders>
                  <w:shd w:val="clear" w:color="auto" w:fill="auto"/>
                  <w:noWrap w:val="0"/>
                  <w:vAlign w:val="center"/>
                </w:tcPr>
                <w:p w14:paraId="3146831C">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721" w:type="dxa"/>
                  <w:vMerge w:val="continue"/>
                  <w:tcBorders>
                    <w:tl2br w:val="nil"/>
                    <w:tr2bl w:val="nil"/>
                  </w:tcBorders>
                  <w:shd w:val="clear" w:color="auto" w:fill="auto"/>
                  <w:noWrap w:val="0"/>
                  <w:vAlign w:val="center"/>
                </w:tcPr>
                <w:p w14:paraId="427492E4">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588" w:type="dxa"/>
                  <w:vMerge w:val="continue"/>
                  <w:tcBorders>
                    <w:tl2br w:val="nil"/>
                    <w:tr2bl w:val="nil"/>
                  </w:tcBorders>
                  <w:shd w:val="clear" w:color="auto" w:fill="auto"/>
                  <w:noWrap w:val="0"/>
                  <w:vAlign w:val="center"/>
                </w:tcPr>
                <w:p w14:paraId="4794714B">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648" w:type="dxa"/>
                  <w:vMerge w:val="continue"/>
                  <w:tcBorders>
                    <w:tl2br w:val="nil"/>
                    <w:tr2bl w:val="nil"/>
                  </w:tcBorders>
                  <w:shd w:val="clear" w:color="auto" w:fill="auto"/>
                  <w:noWrap w:val="0"/>
                  <w:vAlign w:val="center"/>
                </w:tcPr>
                <w:p w14:paraId="5FD2F0D6">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r>
            <w:tr w14:paraId="78CFC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7" w:hRule="atLeast"/>
              </w:trPr>
              <w:tc>
                <w:tcPr>
                  <w:tcW w:w="471" w:type="dxa"/>
                  <w:tcBorders>
                    <w:tl2br w:val="nil"/>
                    <w:tr2bl w:val="nil"/>
                  </w:tcBorders>
                  <w:shd w:val="clear" w:color="auto" w:fill="auto"/>
                  <w:noWrap w:val="0"/>
                  <w:vAlign w:val="center"/>
                </w:tcPr>
                <w:p w14:paraId="2E9BC969">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12</w:t>
                  </w:r>
                </w:p>
              </w:tc>
              <w:tc>
                <w:tcPr>
                  <w:tcW w:w="471" w:type="dxa"/>
                  <w:vMerge w:val="continue"/>
                  <w:tcBorders>
                    <w:tl2br w:val="nil"/>
                    <w:tr2bl w:val="nil"/>
                  </w:tcBorders>
                  <w:noWrap w:val="0"/>
                  <w:vAlign w:val="center"/>
                </w:tcPr>
                <w:p w14:paraId="4F1B08DD">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893" w:type="dxa"/>
                  <w:tcBorders>
                    <w:tl2br w:val="nil"/>
                    <w:tr2bl w:val="nil"/>
                  </w:tcBorders>
                  <w:shd w:val="clear" w:color="auto" w:fill="FFFFFF"/>
                  <w:noWrap w:val="0"/>
                  <w:vAlign w:val="center"/>
                </w:tcPr>
                <w:p w14:paraId="203FCA65">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auto"/>
                      <w:sz w:val="21"/>
                      <w:szCs w:val="21"/>
                      <w:shd w:val="clear" w:color="auto" w:fill="auto"/>
                      <w:lang w:val="en-US" w:eastAsia="zh-CN" w:bidi="ar-SA"/>
                    </w:rPr>
                  </w:pPr>
                  <w:r>
                    <w:rPr>
                      <w:rFonts w:hint="default" w:ascii="Times New Roman" w:hAnsi="Times New Roman" w:eastAsia="宋体" w:cs="Times New Roman"/>
                      <w:color w:val="auto"/>
                      <w:sz w:val="21"/>
                      <w:szCs w:val="21"/>
                      <w:lang w:val="en-US" w:eastAsia="zh-CN"/>
                    </w:rPr>
                    <w:t>铝箔牛皮纸网格贴面多功能复合机</w:t>
                  </w:r>
                </w:p>
              </w:tc>
              <w:tc>
                <w:tcPr>
                  <w:tcW w:w="622" w:type="dxa"/>
                  <w:tcBorders>
                    <w:tl2br w:val="nil"/>
                    <w:tr2bl w:val="nil"/>
                  </w:tcBorders>
                  <w:noWrap w:val="0"/>
                  <w:vAlign w:val="center"/>
                </w:tcPr>
                <w:p w14:paraId="3194094E">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85</w:t>
                  </w:r>
                </w:p>
              </w:tc>
              <w:tc>
                <w:tcPr>
                  <w:tcW w:w="478" w:type="dxa"/>
                  <w:vMerge w:val="continue"/>
                  <w:tcBorders>
                    <w:tl2br w:val="nil"/>
                    <w:tr2bl w:val="nil"/>
                  </w:tcBorders>
                  <w:noWrap w:val="0"/>
                  <w:vAlign w:val="center"/>
                </w:tcPr>
                <w:p w14:paraId="1759E593">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560" w:type="dxa"/>
                  <w:tcBorders>
                    <w:tl2br w:val="nil"/>
                    <w:tr2bl w:val="nil"/>
                  </w:tcBorders>
                  <w:shd w:val="clear" w:color="auto" w:fill="auto"/>
                  <w:noWrap w:val="0"/>
                  <w:vAlign w:val="center"/>
                </w:tcPr>
                <w:p w14:paraId="2A3AE54C">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w:t>
                  </w:r>
                </w:p>
              </w:tc>
              <w:tc>
                <w:tcPr>
                  <w:tcW w:w="504" w:type="dxa"/>
                  <w:tcBorders>
                    <w:tl2br w:val="nil"/>
                    <w:tr2bl w:val="nil"/>
                  </w:tcBorders>
                  <w:shd w:val="clear" w:color="auto" w:fill="auto"/>
                  <w:noWrap w:val="0"/>
                  <w:vAlign w:val="center"/>
                </w:tcPr>
                <w:p w14:paraId="2ED8E5AF">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-7</w:t>
                  </w:r>
                </w:p>
              </w:tc>
              <w:tc>
                <w:tcPr>
                  <w:tcW w:w="361" w:type="dxa"/>
                  <w:tcBorders>
                    <w:tl2br w:val="nil"/>
                    <w:tr2bl w:val="nil"/>
                  </w:tcBorders>
                  <w:shd w:val="clear" w:color="auto" w:fill="auto"/>
                  <w:noWrap w:val="0"/>
                  <w:vAlign w:val="center"/>
                </w:tcPr>
                <w:p w14:paraId="1B202FE7">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615" w:type="dxa"/>
                  <w:tcBorders>
                    <w:tl2br w:val="nil"/>
                    <w:tr2bl w:val="nil"/>
                  </w:tcBorders>
                  <w:shd w:val="clear" w:color="auto" w:fill="auto"/>
                  <w:noWrap w:val="0"/>
                  <w:vAlign w:val="center"/>
                </w:tcPr>
                <w:p w14:paraId="72D98060">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47.4</w:t>
                  </w:r>
                </w:p>
              </w:tc>
              <w:tc>
                <w:tcPr>
                  <w:tcW w:w="519" w:type="dxa"/>
                  <w:tcBorders>
                    <w:tl2br w:val="nil"/>
                    <w:tr2bl w:val="nil"/>
                  </w:tcBorders>
                  <w:shd w:val="clear" w:color="auto" w:fill="auto"/>
                  <w:noWrap w:val="0"/>
                  <w:vAlign w:val="center"/>
                </w:tcPr>
                <w:p w14:paraId="3A3737C1">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25</w:t>
                  </w:r>
                </w:p>
              </w:tc>
              <w:tc>
                <w:tcPr>
                  <w:tcW w:w="601" w:type="dxa"/>
                  <w:tcBorders>
                    <w:tl2br w:val="nil"/>
                    <w:tr2bl w:val="nil"/>
                  </w:tcBorders>
                  <w:shd w:val="clear" w:color="auto" w:fill="auto"/>
                  <w:noWrap w:val="0"/>
                  <w:vAlign w:val="center"/>
                </w:tcPr>
                <w:p w14:paraId="30271D50">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w:t>
                  </w:r>
                </w:p>
              </w:tc>
              <w:tc>
                <w:tcPr>
                  <w:tcW w:w="464" w:type="dxa"/>
                  <w:tcBorders>
                    <w:tl2br w:val="nil"/>
                    <w:tr2bl w:val="nil"/>
                  </w:tcBorders>
                  <w:shd w:val="clear" w:color="auto" w:fill="auto"/>
                  <w:noWrap w:val="0"/>
                  <w:vAlign w:val="center"/>
                </w:tcPr>
                <w:p w14:paraId="59ADD67A">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35</w:t>
                  </w:r>
                </w:p>
              </w:tc>
              <w:tc>
                <w:tcPr>
                  <w:tcW w:w="729" w:type="dxa"/>
                  <w:tcBorders>
                    <w:tl2br w:val="nil"/>
                    <w:tr2bl w:val="nil"/>
                  </w:tcBorders>
                  <w:shd w:val="clear" w:color="auto" w:fill="auto"/>
                  <w:noWrap w:val="0"/>
                  <w:vAlign w:val="center"/>
                </w:tcPr>
                <w:p w14:paraId="0092DEB1">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63.59 </w:t>
                  </w:r>
                </w:p>
              </w:tc>
              <w:tc>
                <w:tcPr>
                  <w:tcW w:w="807" w:type="dxa"/>
                  <w:tcBorders>
                    <w:tl2br w:val="nil"/>
                    <w:tr2bl w:val="nil"/>
                  </w:tcBorders>
                  <w:shd w:val="clear" w:color="auto" w:fill="auto"/>
                  <w:noWrap w:val="0"/>
                  <w:vAlign w:val="center"/>
                </w:tcPr>
                <w:p w14:paraId="292ABF4A">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63.70 </w:t>
                  </w:r>
                </w:p>
              </w:tc>
              <w:tc>
                <w:tcPr>
                  <w:tcW w:w="874" w:type="dxa"/>
                  <w:tcBorders>
                    <w:tl2br w:val="nil"/>
                    <w:tr2bl w:val="nil"/>
                  </w:tcBorders>
                  <w:shd w:val="clear" w:color="auto" w:fill="auto"/>
                  <w:noWrap w:val="0"/>
                  <w:vAlign w:val="center"/>
                </w:tcPr>
                <w:p w14:paraId="4C6EC34F">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64.84 </w:t>
                  </w:r>
                </w:p>
              </w:tc>
              <w:tc>
                <w:tcPr>
                  <w:tcW w:w="795" w:type="dxa"/>
                  <w:tcBorders>
                    <w:tl2br w:val="nil"/>
                    <w:tr2bl w:val="nil"/>
                  </w:tcBorders>
                  <w:shd w:val="clear" w:color="auto" w:fill="auto"/>
                  <w:noWrap w:val="0"/>
                  <w:vAlign w:val="center"/>
                </w:tcPr>
                <w:p w14:paraId="0F363906">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63.62 </w:t>
                  </w:r>
                </w:p>
              </w:tc>
              <w:tc>
                <w:tcPr>
                  <w:tcW w:w="1388" w:type="dxa"/>
                  <w:tcBorders>
                    <w:tl2br w:val="nil"/>
                    <w:tr2bl w:val="nil"/>
                  </w:tcBorders>
                  <w:shd w:val="clear" w:color="auto" w:fill="auto"/>
                  <w:noWrap w:val="0"/>
                  <w:vAlign w:val="center"/>
                </w:tcPr>
                <w:p w14:paraId="74D82D85">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color w:val="auto"/>
                      <w:lang w:val="en-US" w:eastAsia="zh-CN"/>
                    </w:rPr>
                    <w:t>8：00-18：00</w:t>
                  </w:r>
                </w:p>
              </w:tc>
              <w:tc>
                <w:tcPr>
                  <w:tcW w:w="515" w:type="dxa"/>
                  <w:tcBorders>
                    <w:tl2br w:val="nil"/>
                    <w:tr2bl w:val="nil"/>
                  </w:tcBorders>
                  <w:shd w:val="clear" w:color="auto" w:fill="auto"/>
                  <w:noWrap w:val="0"/>
                  <w:vAlign w:val="center"/>
                </w:tcPr>
                <w:p w14:paraId="4356FE00">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w:t>
                  </w:r>
                </w:p>
              </w:tc>
              <w:tc>
                <w:tcPr>
                  <w:tcW w:w="632" w:type="dxa"/>
                  <w:vMerge w:val="continue"/>
                  <w:tcBorders>
                    <w:tl2br w:val="nil"/>
                    <w:tr2bl w:val="nil"/>
                  </w:tcBorders>
                  <w:shd w:val="clear" w:color="auto" w:fill="auto"/>
                  <w:noWrap w:val="0"/>
                  <w:vAlign w:val="center"/>
                </w:tcPr>
                <w:p w14:paraId="16544260">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721" w:type="dxa"/>
                  <w:vMerge w:val="continue"/>
                  <w:tcBorders>
                    <w:tl2br w:val="nil"/>
                    <w:tr2bl w:val="nil"/>
                  </w:tcBorders>
                  <w:shd w:val="clear" w:color="auto" w:fill="auto"/>
                  <w:noWrap w:val="0"/>
                  <w:vAlign w:val="center"/>
                </w:tcPr>
                <w:p w14:paraId="406BC401">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588" w:type="dxa"/>
                  <w:vMerge w:val="continue"/>
                  <w:tcBorders>
                    <w:tl2br w:val="nil"/>
                    <w:tr2bl w:val="nil"/>
                  </w:tcBorders>
                  <w:shd w:val="clear" w:color="auto" w:fill="auto"/>
                  <w:noWrap w:val="0"/>
                  <w:vAlign w:val="center"/>
                </w:tcPr>
                <w:p w14:paraId="1D71030D">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648" w:type="dxa"/>
                  <w:vMerge w:val="continue"/>
                  <w:tcBorders>
                    <w:tl2br w:val="nil"/>
                    <w:tr2bl w:val="nil"/>
                  </w:tcBorders>
                  <w:shd w:val="clear" w:color="auto" w:fill="auto"/>
                  <w:noWrap w:val="0"/>
                  <w:vAlign w:val="center"/>
                </w:tcPr>
                <w:p w14:paraId="2A83E64D">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r>
            <w:tr w14:paraId="714CF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7" w:hRule="atLeast"/>
              </w:trPr>
              <w:tc>
                <w:tcPr>
                  <w:tcW w:w="471" w:type="dxa"/>
                  <w:tcBorders>
                    <w:tl2br w:val="nil"/>
                    <w:tr2bl w:val="nil"/>
                  </w:tcBorders>
                  <w:shd w:val="clear" w:color="auto" w:fill="auto"/>
                  <w:noWrap w:val="0"/>
                  <w:vAlign w:val="center"/>
                </w:tcPr>
                <w:p w14:paraId="11E5CB87">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13</w:t>
                  </w:r>
                </w:p>
              </w:tc>
              <w:tc>
                <w:tcPr>
                  <w:tcW w:w="471" w:type="dxa"/>
                  <w:vMerge w:val="continue"/>
                  <w:tcBorders>
                    <w:tl2br w:val="nil"/>
                    <w:tr2bl w:val="nil"/>
                  </w:tcBorders>
                  <w:noWrap w:val="0"/>
                  <w:vAlign w:val="center"/>
                </w:tcPr>
                <w:p w14:paraId="32DD5409">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893" w:type="dxa"/>
                  <w:tcBorders>
                    <w:tl2br w:val="nil"/>
                    <w:tr2bl w:val="nil"/>
                  </w:tcBorders>
                  <w:shd w:val="clear" w:color="auto" w:fill="FFFFFF"/>
                  <w:noWrap w:val="0"/>
                  <w:vAlign w:val="center"/>
                </w:tcPr>
                <w:p w14:paraId="1BC18502">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auto"/>
                      <w:sz w:val="21"/>
                      <w:szCs w:val="21"/>
                      <w:shd w:val="clear" w:color="auto" w:fill="auto"/>
                      <w:lang w:val="en-US" w:eastAsia="zh-CN" w:bidi="ar-SA"/>
                    </w:rPr>
                  </w:pPr>
                  <w:r>
                    <w:rPr>
                      <w:rFonts w:hint="default" w:ascii="Times New Roman" w:hAnsi="Times New Roman" w:eastAsia="宋体" w:cs="Times New Roman"/>
                      <w:color w:val="auto"/>
                      <w:sz w:val="21"/>
                      <w:szCs w:val="21"/>
                      <w:lang w:val="en-US" w:eastAsia="zh-CN"/>
                    </w:rPr>
                    <w:t>铝箔牛皮纸网格贴面多功能复合机</w:t>
                  </w:r>
                </w:p>
              </w:tc>
              <w:tc>
                <w:tcPr>
                  <w:tcW w:w="622" w:type="dxa"/>
                  <w:tcBorders>
                    <w:tl2br w:val="nil"/>
                    <w:tr2bl w:val="nil"/>
                  </w:tcBorders>
                  <w:noWrap w:val="0"/>
                  <w:vAlign w:val="center"/>
                </w:tcPr>
                <w:p w14:paraId="4FF9E3BA">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85</w:t>
                  </w:r>
                </w:p>
              </w:tc>
              <w:tc>
                <w:tcPr>
                  <w:tcW w:w="478" w:type="dxa"/>
                  <w:vMerge w:val="continue"/>
                  <w:tcBorders>
                    <w:tl2br w:val="nil"/>
                    <w:tr2bl w:val="nil"/>
                  </w:tcBorders>
                  <w:noWrap w:val="0"/>
                  <w:vAlign w:val="center"/>
                </w:tcPr>
                <w:p w14:paraId="2E48C509">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560" w:type="dxa"/>
                  <w:tcBorders>
                    <w:tl2br w:val="nil"/>
                    <w:tr2bl w:val="nil"/>
                  </w:tcBorders>
                  <w:shd w:val="clear" w:color="auto" w:fill="auto"/>
                  <w:noWrap w:val="0"/>
                  <w:vAlign w:val="center"/>
                </w:tcPr>
                <w:p w14:paraId="299C2EA8">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w:t>
                  </w:r>
                </w:p>
              </w:tc>
              <w:tc>
                <w:tcPr>
                  <w:tcW w:w="504" w:type="dxa"/>
                  <w:tcBorders>
                    <w:tl2br w:val="nil"/>
                    <w:tr2bl w:val="nil"/>
                  </w:tcBorders>
                  <w:shd w:val="clear" w:color="auto" w:fill="auto"/>
                  <w:noWrap w:val="0"/>
                  <w:vAlign w:val="center"/>
                </w:tcPr>
                <w:p w14:paraId="15C98357">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-10</w:t>
                  </w:r>
                </w:p>
              </w:tc>
              <w:tc>
                <w:tcPr>
                  <w:tcW w:w="361" w:type="dxa"/>
                  <w:tcBorders>
                    <w:tl2br w:val="nil"/>
                    <w:tr2bl w:val="nil"/>
                  </w:tcBorders>
                  <w:shd w:val="clear" w:color="auto" w:fill="auto"/>
                  <w:noWrap w:val="0"/>
                  <w:vAlign w:val="center"/>
                </w:tcPr>
                <w:p w14:paraId="30205037">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615" w:type="dxa"/>
                  <w:tcBorders>
                    <w:tl2br w:val="nil"/>
                    <w:tr2bl w:val="nil"/>
                  </w:tcBorders>
                  <w:shd w:val="clear" w:color="auto" w:fill="auto"/>
                  <w:noWrap w:val="0"/>
                  <w:vAlign w:val="center"/>
                </w:tcPr>
                <w:p w14:paraId="5BBE7712">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47.4</w:t>
                  </w:r>
                </w:p>
              </w:tc>
              <w:tc>
                <w:tcPr>
                  <w:tcW w:w="519" w:type="dxa"/>
                  <w:tcBorders>
                    <w:tl2br w:val="nil"/>
                    <w:tr2bl w:val="nil"/>
                  </w:tcBorders>
                  <w:shd w:val="clear" w:color="auto" w:fill="auto"/>
                  <w:noWrap w:val="0"/>
                  <w:vAlign w:val="center"/>
                </w:tcPr>
                <w:p w14:paraId="28E32C20">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22</w:t>
                  </w:r>
                </w:p>
              </w:tc>
              <w:tc>
                <w:tcPr>
                  <w:tcW w:w="601" w:type="dxa"/>
                  <w:tcBorders>
                    <w:tl2br w:val="nil"/>
                    <w:tr2bl w:val="nil"/>
                  </w:tcBorders>
                  <w:shd w:val="clear" w:color="auto" w:fill="auto"/>
                  <w:noWrap w:val="0"/>
                  <w:vAlign w:val="center"/>
                </w:tcPr>
                <w:p w14:paraId="50CF4C7A">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w:t>
                  </w:r>
                </w:p>
              </w:tc>
              <w:tc>
                <w:tcPr>
                  <w:tcW w:w="464" w:type="dxa"/>
                  <w:tcBorders>
                    <w:tl2br w:val="nil"/>
                    <w:tr2bl w:val="nil"/>
                  </w:tcBorders>
                  <w:shd w:val="clear" w:color="auto" w:fill="auto"/>
                  <w:noWrap w:val="0"/>
                  <w:vAlign w:val="center"/>
                </w:tcPr>
                <w:p w14:paraId="65BDF83C">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38</w:t>
                  </w:r>
                </w:p>
              </w:tc>
              <w:tc>
                <w:tcPr>
                  <w:tcW w:w="729" w:type="dxa"/>
                  <w:tcBorders>
                    <w:tl2br w:val="nil"/>
                    <w:tr2bl w:val="nil"/>
                  </w:tcBorders>
                  <w:shd w:val="clear" w:color="auto" w:fill="auto"/>
                  <w:noWrap w:val="0"/>
                  <w:vAlign w:val="center"/>
                </w:tcPr>
                <w:p w14:paraId="54FF5EBA">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63.59</w:t>
                  </w:r>
                </w:p>
              </w:tc>
              <w:tc>
                <w:tcPr>
                  <w:tcW w:w="807" w:type="dxa"/>
                  <w:tcBorders>
                    <w:tl2br w:val="nil"/>
                    <w:tr2bl w:val="nil"/>
                  </w:tcBorders>
                  <w:shd w:val="clear" w:color="auto" w:fill="auto"/>
                  <w:noWrap w:val="0"/>
                  <w:vAlign w:val="center"/>
                </w:tcPr>
                <w:p w14:paraId="36D806B5">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63.74 </w:t>
                  </w:r>
                </w:p>
              </w:tc>
              <w:tc>
                <w:tcPr>
                  <w:tcW w:w="874" w:type="dxa"/>
                  <w:tcBorders>
                    <w:tl2br w:val="nil"/>
                    <w:tr2bl w:val="nil"/>
                  </w:tcBorders>
                  <w:shd w:val="clear" w:color="auto" w:fill="auto"/>
                  <w:noWrap w:val="0"/>
                  <w:vAlign w:val="center"/>
                </w:tcPr>
                <w:p w14:paraId="7FFF2D1C">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64.84</w:t>
                  </w:r>
                </w:p>
              </w:tc>
              <w:tc>
                <w:tcPr>
                  <w:tcW w:w="795" w:type="dxa"/>
                  <w:tcBorders>
                    <w:tl2br w:val="nil"/>
                    <w:tr2bl w:val="nil"/>
                  </w:tcBorders>
                  <w:shd w:val="clear" w:color="auto" w:fill="auto"/>
                  <w:noWrap w:val="0"/>
                  <w:vAlign w:val="center"/>
                </w:tcPr>
                <w:p w14:paraId="1F108E6A">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63.61 </w:t>
                  </w:r>
                </w:p>
              </w:tc>
              <w:tc>
                <w:tcPr>
                  <w:tcW w:w="1388" w:type="dxa"/>
                  <w:tcBorders>
                    <w:tl2br w:val="nil"/>
                    <w:tr2bl w:val="nil"/>
                  </w:tcBorders>
                  <w:shd w:val="clear" w:color="auto" w:fill="auto"/>
                  <w:noWrap w:val="0"/>
                  <w:vAlign w:val="center"/>
                </w:tcPr>
                <w:p w14:paraId="39707AAE">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color w:val="auto"/>
                      <w:lang w:val="en-US" w:eastAsia="zh-CN"/>
                    </w:rPr>
                    <w:t>8：00-18：00</w:t>
                  </w:r>
                </w:p>
              </w:tc>
              <w:tc>
                <w:tcPr>
                  <w:tcW w:w="515" w:type="dxa"/>
                  <w:tcBorders>
                    <w:tl2br w:val="nil"/>
                    <w:tr2bl w:val="nil"/>
                  </w:tcBorders>
                  <w:shd w:val="clear" w:color="auto" w:fill="auto"/>
                  <w:noWrap w:val="0"/>
                  <w:vAlign w:val="center"/>
                </w:tcPr>
                <w:p w14:paraId="7593516C">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w:t>
                  </w:r>
                </w:p>
              </w:tc>
              <w:tc>
                <w:tcPr>
                  <w:tcW w:w="632" w:type="dxa"/>
                  <w:vMerge w:val="continue"/>
                  <w:tcBorders>
                    <w:tl2br w:val="nil"/>
                    <w:tr2bl w:val="nil"/>
                  </w:tcBorders>
                  <w:shd w:val="clear" w:color="auto" w:fill="auto"/>
                  <w:noWrap w:val="0"/>
                  <w:vAlign w:val="center"/>
                </w:tcPr>
                <w:p w14:paraId="4A5C7473">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721" w:type="dxa"/>
                  <w:vMerge w:val="continue"/>
                  <w:tcBorders>
                    <w:tl2br w:val="nil"/>
                    <w:tr2bl w:val="nil"/>
                  </w:tcBorders>
                  <w:shd w:val="clear" w:color="auto" w:fill="auto"/>
                  <w:noWrap w:val="0"/>
                  <w:vAlign w:val="center"/>
                </w:tcPr>
                <w:p w14:paraId="1D50599F">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588" w:type="dxa"/>
                  <w:vMerge w:val="continue"/>
                  <w:tcBorders>
                    <w:tl2br w:val="nil"/>
                    <w:tr2bl w:val="nil"/>
                  </w:tcBorders>
                  <w:shd w:val="clear" w:color="auto" w:fill="auto"/>
                  <w:noWrap w:val="0"/>
                  <w:vAlign w:val="center"/>
                </w:tcPr>
                <w:p w14:paraId="641B0AC6">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648" w:type="dxa"/>
                  <w:vMerge w:val="continue"/>
                  <w:tcBorders>
                    <w:tl2br w:val="nil"/>
                    <w:tr2bl w:val="nil"/>
                  </w:tcBorders>
                  <w:shd w:val="clear" w:color="auto" w:fill="auto"/>
                  <w:noWrap w:val="0"/>
                  <w:vAlign w:val="center"/>
                </w:tcPr>
                <w:p w14:paraId="37CE05C0">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r>
            <w:tr w14:paraId="064F2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7" w:hRule="atLeast"/>
              </w:trPr>
              <w:tc>
                <w:tcPr>
                  <w:tcW w:w="471" w:type="dxa"/>
                  <w:tcBorders>
                    <w:tl2br w:val="nil"/>
                    <w:tr2bl w:val="nil"/>
                  </w:tcBorders>
                  <w:shd w:val="clear" w:color="auto" w:fill="auto"/>
                  <w:noWrap w:val="0"/>
                  <w:vAlign w:val="center"/>
                </w:tcPr>
                <w:p w14:paraId="05E3B3B6">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14</w:t>
                  </w:r>
                </w:p>
              </w:tc>
              <w:tc>
                <w:tcPr>
                  <w:tcW w:w="471" w:type="dxa"/>
                  <w:vMerge w:val="continue"/>
                  <w:tcBorders>
                    <w:tl2br w:val="nil"/>
                    <w:tr2bl w:val="nil"/>
                  </w:tcBorders>
                  <w:noWrap w:val="0"/>
                  <w:vAlign w:val="center"/>
                </w:tcPr>
                <w:p w14:paraId="0917CC5F">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893" w:type="dxa"/>
                  <w:tcBorders>
                    <w:tl2br w:val="nil"/>
                    <w:tr2bl w:val="nil"/>
                  </w:tcBorders>
                  <w:shd w:val="clear" w:color="auto" w:fill="FFFFFF"/>
                  <w:noWrap w:val="0"/>
                  <w:vAlign w:val="center"/>
                </w:tcPr>
                <w:p w14:paraId="6045A924">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auto"/>
                      <w:sz w:val="21"/>
                      <w:szCs w:val="21"/>
                      <w:shd w:val="clear" w:color="auto" w:fill="auto"/>
                      <w:lang w:val="en-US" w:eastAsia="zh-CN" w:bidi="ar-SA"/>
                    </w:rPr>
                  </w:pPr>
                  <w:r>
                    <w:rPr>
                      <w:rFonts w:hint="default" w:ascii="Times New Roman" w:hAnsi="Times New Roman" w:eastAsia="宋体" w:cs="Times New Roman"/>
                      <w:color w:val="auto"/>
                      <w:sz w:val="21"/>
                      <w:szCs w:val="21"/>
                      <w:lang w:val="en-US" w:eastAsia="zh-CN"/>
                    </w:rPr>
                    <w:t>铝箔牛皮纸网格贴面多功能复合机</w:t>
                  </w:r>
                </w:p>
              </w:tc>
              <w:tc>
                <w:tcPr>
                  <w:tcW w:w="622" w:type="dxa"/>
                  <w:tcBorders>
                    <w:tl2br w:val="nil"/>
                    <w:tr2bl w:val="nil"/>
                  </w:tcBorders>
                  <w:noWrap w:val="0"/>
                  <w:vAlign w:val="center"/>
                </w:tcPr>
                <w:p w14:paraId="2A78FFF8">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85</w:t>
                  </w:r>
                </w:p>
              </w:tc>
              <w:tc>
                <w:tcPr>
                  <w:tcW w:w="478" w:type="dxa"/>
                  <w:tcBorders>
                    <w:tl2br w:val="nil"/>
                    <w:tr2bl w:val="nil"/>
                  </w:tcBorders>
                  <w:noWrap w:val="0"/>
                  <w:vAlign w:val="center"/>
                </w:tcPr>
                <w:p w14:paraId="28D09FDE">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560" w:type="dxa"/>
                  <w:tcBorders>
                    <w:tl2br w:val="nil"/>
                    <w:tr2bl w:val="nil"/>
                  </w:tcBorders>
                  <w:shd w:val="clear" w:color="auto" w:fill="auto"/>
                  <w:noWrap w:val="0"/>
                  <w:vAlign w:val="center"/>
                </w:tcPr>
                <w:p w14:paraId="1D287F54">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w:t>
                  </w:r>
                </w:p>
              </w:tc>
              <w:tc>
                <w:tcPr>
                  <w:tcW w:w="504" w:type="dxa"/>
                  <w:tcBorders>
                    <w:tl2br w:val="nil"/>
                    <w:tr2bl w:val="nil"/>
                  </w:tcBorders>
                  <w:shd w:val="clear" w:color="auto" w:fill="auto"/>
                  <w:noWrap w:val="0"/>
                  <w:vAlign w:val="center"/>
                </w:tcPr>
                <w:p w14:paraId="0CD68B98">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-13</w:t>
                  </w:r>
                </w:p>
              </w:tc>
              <w:tc>
                <w:tcPr>
                  <w:tcW w:w="361" w:type="dxa"/>
                  <w:tcBorders>
                    <w:tl2br w:val="nil"/>
                    <w:tr2bl w:val="nil"/>
                  </w:tcBorders>
                  <w:shd w:val="clear" w:color="auto" w:fill="auto"/>
                  <w:noWrap w:val="0"/>
                  <w:vAlign w:val="center"/>
                </w:tcPr>
                <w:p w14:paraId="184FC6C4">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615" w:type="dxa"/>
                  <w:tcBorders>
                    <w:tl2br w:val="nil"/>
                    <w:tr2bl w:val="nil"/>
                  </w:tcBorders>
                  <w:shd w:val="clear" w:color="auto" w:fill="auto"/>
                  <w:noWrap w:val="0"/>
                  <w:vAlign w:val="center"/>
                </w:tcPr>
                <w:p w14:paraId="6755642E">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47.4</w:t>
                  </w:r>
                </w:p>
              </w:tc>
              <w:tc>
                <w:tcPr>
                  <w:tcW w:w="519" w:type="dxa"/>
                  <w:tcBorders>
                    <w:tl2br w:val="nil"/>
                    <w:tr2bl w:val="nil"/>
                  </w:tcBorders>
                  <w:shd w:val="clear" w:color="auto" w:fill="auto"/>
                  <w:noWrap w:val="0"/>
                  <w:vAlign w:val="center"/>
                </w:tcPr>
                <w:p w14:paraId="7A883952">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19</w:t>
                  </w:r>
                </w:p>
              </w:tc>
              <w:tc>
                <w:tcPr>
                  <w:tcW w:w="601" w:type="dxa"/>
                  <w:tcBorders>
                    <w:tl2br w:val="nil"/>
                    <w:tr2bl w:val="nil"/>
                  </w:tcBorders>
                  <w:shd w:val="clear" w:color="auto" w:fill="auto"/>
                  <w:noWrap w:val="0"/>
                  <w:vAlign w:val="center"/>
                </w:tcPr>
                <w:p w14:paraId="2096A64A">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w:t>
                  </w:r>
                </w:p>
              </w:tc>
              <w:tc>
                <w:tcPr>
                  <w:tcW w:w="464" w:type="dxa"/>
                  <w:tcBorders>
                    <w:tl2br w:val="nil"/>
                    <w:tr2bl w:val="nil"/>
                  </w:tcBorders>
                  <w:shd w:val="clear" w:color="auto" w:fill="auto"/>
                  <w:noWrap w:val="0"/>
                  <w:vAlign w:val="center"/>
                </w:tcPr>
                <w:p w14:paraId="5EE8A4B4">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41</w:t>
                  </w:r>
                </w:p>
              </w:tc>
              <w:tc>
                <w:tcPr>
                  <w:tcW w:w="729" w:type="dxa"/>
                  <w:tcBorders>
                    <w:tl2br w:val="nil"/>
                    <w:tr2bl w:val="nil"/>
                  </w:tcBorders>
                  <w:shd w:val="clear" w:color="auto" w:fill="auto"/>
                  <w:noWrap w:val="0"/>
                  <w:vAlign w:val="center"/>
                </w:tcPr>
                <w:p w14:paraId="197B6A09">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63.59</w:t>
                  </w:r>
                </w:p>
              </w:tc>
              <w:tc>
                <w:tcPr>
                  <w:tcW w:w="807" w:type="dxa"/>
                  <w:tcBorders>
                    <w:tl2br w:val="nil"/>
                    <w:tr2bl w:val="nil"/>
                  </w:tcBorders>
                  <w:shd w:val="clear" w:color="auto" w:fill="auto"/>
                  <w:noWrap w:val="0"/>
                  <w:vAlign w:val="center"/>
                </w:tcPr>
                <w:p w14:paraId="3188F130">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63.81</w:t>
                  </w:r>
                </w:p>
              </w:tc>
              <w:tc>
                <w:tcPr>
                  <w:tcW w:w="874" w:type="dxa"/>
                  <w:tcBorders>
                    <w:tl2br w:val="nil"/>
                    <w:tr2bl w:val="nil"/>
                  </w:tcBorders>
                  <w:shd w:val="clear" w:color="auto" w:fill="auto"/>
                  <w:noWrap w:val="0"/>
                  <w:vAlign w:val="center"/>
                </w:tcPr>
                <w:p w14:paraId="76586D05">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64.84</w:t>
                  </w:r>
                </w:p>
              </w:tc>
              <w:tc>
                <w:tcPr>
                  <w:tcW w:w="795" w:type="dxa"/>
                  <w:tcBorders>
                    <w:tl2br w:val="nil"/>
                    <w:tr2bl w:val="nil"/>
                  </w:tcBorders>
                  <w:shd w:val="clear" w:color="auto" w:fill="auto"/>
                  <w:noWrap w:val="0"/>
                  <w:vAlign w:val="center"/>
                </w:tcPr>
                <w:p w14:paraId="4715CCD1">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63.60 </w:t>
                  </w:r>
                </w:p>
              </w:tc>
              <w:tc>
                <w:tcPr>
                  <w:tcW w:w="1388" w:type="dxa"/>
                  <w:tcBorders>
                    <w:tl2br w:val="nil"/>
                    <w:tr2bl w:val="nil"/>
                  </w:tcBorders>
                  <w:shd w:val="clear" w:color="auto" w:fill="auto"/>
                  <w:noWrap w:val="0"/>
                  <w:vAlign w:val="center"/>
                </w:tcPr>
                <w:p w14:paraId="45FEBAEB">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lang w:val="en-US" w:eastAsia="zh-CN"/>
                    </w:rPr>
                    <w:t>8：00-18：00</w:t>
                  </w:r>
                </w:p>
              </w:tc>
              <w:tc>
                <w:tcPr>
                  <w:tcW w:w="515" w:type="dxa"/>
                  <w:tcBorders>
                    <w:tl2br w:val="nil"/>
                    <w:tr2bl w:val="nil"/>
                  </w:tcBorders>
                  <w:shd w:val="clear" w:color="auto" w:fill="auto"/>
                  <w:noWrap w:val="0"/>
                  <w:vAlign w:val="center"/>
                </w:tcPr>
                <w:p w14:paraId="64C71761">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w:t>
                  </w:r>
                </w:p>
              </w:tc>
              <w:tc>
                <w:tcPr>
                  <w:tcW w:w="632" w:type="dxa"/>
                  <w:vMerge w:val="continue"/>
                  <w:tcBorders>
                    <w:tl2br w:val="nil"/>
                    <w:tr2bl w:val="nil"/>
                  </w:tcBorders>
                  <w:shd w:val="clear" w:color="auto" w:fill="auto"/>
                  <w:noWrap w:val="0"/>
                  <w:vAlign w:val="center"/>
                </w:tcPr>
                <w:p w14:paraId="3AB94593">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721" w:type="dxa"/>
                  <w:vMerge w:val="continue"/>
                  <w:tcBorders>
                    <w:tl2br w:val="nil"/>
                    <w:tr2bl w:val="nil"/>
                  </w:tcBorders>
                  <w:shd w:val="clear" w:color="auto" w:fill="auto"/>
                  <w:noWrap w:val="0"/>
                  <w:vAlign w:val="center"/>
                </w:tcPr>
                <w:p w14:paraId="35736E08">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588" w:type="dxa"/>
                  <w:vMerge w:val="continue"/>
                  <w:tcBorders>
                    <w:tl2br w:val="nil"/>
                    <w:tr2bl w:val="nil"/>
                  </w:tcBorders>
                  <w:shd w:val="clear" w:color="auto" w:fill="auto"/>
                  <w:noWrap w:val="0"/>
                  <w:vAlign w:val="center"/>
                </w:tcPr>
                <w:p w14:paraId="5D2749BB">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648" w:type="dxa"/>
                  <w:vMerge w:val="continue"/>
                  <w:tcBorders>
                    <w:tl2br w:val="nil"/>
                    <w:tr2bl w:val="nil"/>
                  </w:tcBorders>
                  <w:shd w:val="clear" w:color="auto" w:fill="auto"/>
                  <w:noWrap w:val="0"/>
                  <w:vAlign w:val="center"/>
                </w:tcPr>
                <w:p w14:paraId="73F19BDF">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r>
            <w:tr w14:paraId="39AFE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trPr>
              <w:tc>
                <w:tcPr>
                  <w:tcW w:w="471" w:type="dxa"/>
                  <w:tcBorders>
                    <w:tl2br w:val="nil"/>
                    <w:tr2bl w:val="nil"/>
                  </w:tcBorders>
                  <w:shd w:val="clear" w:color="auto" w:fill="auto"/>
                  <w:noWrap w:val="0"/>
                  <w:vAlign w:val="center"/>
                </w:tcPr>
                <w:p w14:paraId="61186DD5">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15</w:t>
                  </w:r>
                </w:p>
              </w:tc>
              <w:tc>
                <w:tcPr>
                  <w:tcW w:w="471" w:type="dxa"/>
                  <w:vMerge w:val="continue"/>
                  <w:tcBorders>
                    <w:tl2br w:val="nil"/>
                    <w:tr2bl w:val="nil"/>
                  </w:tcBorders>
                  <w:noWrap w:val="0"/>
                  <w:vAlign w:val="center"/>
                </w:tcPr>
                <w:p w14:paraId="3FCF9F6E">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893" w:type="dxa"/>
                  <w:tcBorders>
                    <w:tl2br w:val="nil"/>
                    <w:tr2bl w:val="nil"/>
                  </w:tcBorders>
                  <w:shd w:val="clear" w:color="auto" w:fill="auto"/>
                  <w:noWrap w:val="0"/>
                  <w:vAlign w:val="center"/>
                </w:tcPr>
                <w:p w14:paraId="7BE9AC3E">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sz w:val="21"/>
                      <w:szCs w:val="21"/>
                      <w:lang w:val="en-US" w:eastAsia="zh-CN"/>
                    </w:rPr>
                    <w:t>平板牛皮纸多功能复合机</w:t>
                  </w:r>
                </w:p>
              </w:tc>
              <w:tc>
                <w:tcPr>
                  <w:tcW w:w="622" w:type="dxa"/>
                  <w:tcBorders>
                    <w:tl2br w:val="nil"/>
                    <w:tr2bl w:val="nil"/>
                  </w:tcBorders>
                  <w:noWrap w:val="0"/>
                  <w:vAlign w:val="center"/>
                </w:tcPr>
                <w:p w14:paraId="128B19D8">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85</w:t>
                  </w:r>
                </w:p>
              </w:tc>
              <w:tc>
                <w:tcPr>
                  <w:tcW w:w="478" w:type="dxa"/>
                  <w:tcBorders>
                    <w:tl2br w:val="nil"/>
                    <w:tr2bl w:val="nil"/>
                  </w:tcBorders>
                  <w:noWrap w:val="0"/>
                  <w:vAlign w:val="center"/>
                </w:tcPr>
                <w:p w14:paraId="2E27901A">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560" w:type="dxa"/>
                  <w:tcBorders>
                    <w:tl2br w:val="nil"/>
                    <w:tr2bl w:val="nil"/>
                  </w:tcBorders>
                  <w:shd w:val="clear" w:color="auto" w:fill="auto"/>
                  <w:noWrap w:val="0"/>
                  <w:vAlign w:val="center"/>
                </w:tcPr>
                <w:p w14:paraId="7FCF944C">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w:t>
                  </w:r>
                </w:p>
              </w:tc>
              <w:tc>
                <w:tcPr>
                  <w:tcW w:w="504" w:type="dxa"/>
                  <w:tcBorders>
                    <w:tl2br w:val="nil"/>
                    <w:tr2bl w:val="nil"/>
                  </w:tcBorders>
                  <w:shd w:val="clear" w:color="auto" w:fill="auto"/>
                  <w:noWrap w:val="0"/>
                  <w:vAlign w:val="center"/>
                </w:tcPr>
                <w:p w14:paraId="055D43A0">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-16</w:t>
                  </w:r>
                </w:p>
              </w:tc>
              <w:tc>
                <w:tcPr>
                  <w:tcW w:w="361" w:type="dxa"/>
                  <w:tcBorders>
                    <w:tl2br w:val="nil"/>
                    <w:tr2bl w:val="nil"/>
                  </w:tcBorders>
                  <w:shd w:val="clear" w:color="auto" w:fill="auto"/>
                  <w:noWrap w:val="0"/>
                  <w:vAlign w:val="center"/>
                </w:tcPr>
                <w:p w14:paraId="45A3245E">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615" w:type="dxa"/>
                  <w:tcBorders>
                    <w:tl2br w:val="nil"/>
                    <w:tr2bl w:val="nil"/>
                  </w:tcBorders>
                  <w:shd w:val="clear" w:color="auto" w:fill="auto"/>
                  <w:noWrap w:val="0"/>
                  <w:vAlign w:val="center"/>
                </w:tcPr>
                <w:p w14:paraId="6DF34258">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47.4</w:t>
                  </w:r>
                </w:p>
              </w:tc>
              <w:tc>
                <w:tcPr>
                  <w:tcW w:w="519" w:type="dxa"/>
                  <w:tcBorders>
                    <w:tl2br w:val="nil"/>
                    <w:tr2bl w:val="nil"/>
                  </w:tcBorders>
                  <w:shd w:val="clear" w:color="auto" w:fill="auto"/>
                  <w:noWrap w:val="0"/>
                  <w:vAlign w:val="center"/>
                </w:tcPr>
                <w:p w14:paraId="1A5AFECF">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16</w:t>
                  </w:r>
                </w:p>
              </w:tc>
              <w:tc>
                <w:tcPr>
                  <w:tcW w:w="601" w:type="dxa"/>
                  <w:tcBorders>
                    <w:tl2br w:val="nil"/>
                    <w:tr2bl w:val="nil"/>
                  </w:tcBorders>
                  <w:shd w:val="clear" w:color="auto" w:fill="auto"/>
                  <w:noWrap w:val="0"/>
                  <w:vAlign w:val="center"/>
                </w:tcPr>
                <w:p w14:paraId="0839B7BA">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w:t>
                  </w:r>
                </w:p>
              </w:tc>
              <w:tc>
                <w:tcPr>
                  <w:tcW w:w="464" w:type="dxa"/>
                  <w:tcBorders>
                    <w:tl2br w:val="nil"/>
                    <w:tr2bl w:val="nil"/>
                  </w:tcBorders>
                  <w:shd w:val="clear" w:color="auto" w:fill="auto"/>
                  <w:noWrap w:val="0"/>
                  <w:vAlign w:val="center"/>
                </w:tcPr>
                <w:p w14:paraId="7800AAA3">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44</w:t>
                  </w:r>
                </w:p>
              </w:tc>
              <w:tc>
                <w:tcPr>
                  <w:tcW w:w="729" w:type="dxa"/>
                  <w:tcBorders>
                    <w:tl2br w:val="nil"/>
                    <w:tr2bl w:val="nil"/>
                  </w:tcBorders>
                  <w:shd w:val="clear" w:color="auto" w:fill="auto"/>
                  <w:noWrap w:val="0"/>
                  <w:vAlign w:val="center"/>
                </w:tcPr>
                <w:p w14:paraId="6D0574F7">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63.59 </w:t>
                  </w:r>
                </w:p>
              </w:tc>
              <w:tc>
                <w:tcPr>
                  <w:tcW w:w="807" w:type="dxa"/>
                  <w:tcBorders>
                    <w:tl2br w:val="nil"/>
                    <w:tr2bl w:val="nil"/>
                  </w:tcBorders>
                  <w:shd w:val="clear" w:color="auto" w:fill="auto"/>
                  <w:noWrap w:val="0"/>
                  <w:vAlign w:val="center"/>
                </w:tcPr>
                <w:p w14:paraId="2BC012BD">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63.91</w:t>
                  </w:r>
                </w:p>
              </w:tc>
              <w:tc>
                <w:tcPr>
                  <w:tcW w:w="874" w:type="dxa"/>
                  <w:tcBorders>
                    <w:tl2br w:val="nil"/>
                    <w:tr2bl w:val="nil"/>
                  </w:tcBorders>
                  <w:shd w:val="clear" w:color="auto" w:fill="auto"/>
                  <w:noWrap w:val="0"/>
                  <w:vAlign w:val="center"/>
                </w:tcPr>
                <w:p w14:paraId="6551F298">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64.84 </w:t>
                  </w:r>
                </w:p>
              </w:tc>
              <w:tc>
                <w:tcPr>
                  <w:tcW w:w="795" w:type="dxa"/>
                  <w:tcBorders>
                    <w:tl2br w:val="nil"/>
                    <w:tr2bl w:val="nil"/>
                  </w:tcBorders>
                  <w:shd w:val="clear" w:color="auto" w:fill="auto"/>
                  <w:noWrap w:val="0"/>
                  <w:vAlign w:val="center"/>
                </w:tcPr>
                <w:p w14:paraId="3561C40A">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63.60 </w:t>
                  </w:r>
                </w:p>
              </w:tc>
              <w:tc>
                <w:tcPr>
                  <w:tcW w:w="1388" w:type="dxa"/>
                  <w:tcBorders>
                    <w:tl2br w:val="nil"/>
                    <w:tr2bl w:val="nil"/>
                  </w:tcBorders>
                  <w:shd w:val="clear" w:color="auto" w:fill="auto"/>
                  <w:noWrap w:val="0"/>
                  <w:vAlign w:val="center"/>
                </w:tcPr>
                <w:p w14:paraId="5A7DAE05">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lang w:val="en-US" w:eastAsia="zh-CN"/>
                    </w:rPr>
                    <w:t>8：00-18：00</w:t>
                  </w:r>
                </w:p>
              </w:tc>
              <w:tc>
                <w:tcPr>
                  <w:tcW w:w="515" w:type="dxa"/>
                  <w:tcBorders>
                    <w:tl2br w:val="nil"/>
                    <w:tr2bl w:val="nil"/>
                  </w:tcBorders>
                  <w:shd w:val="clear" w:color="auto" w:fill="auto"/>
                  <w:noWrap w:val="0"/>
                  <w:vAlign w:val="center"/>
                </w:tcPr>
                <w:p w14:paraId="1A1C424D">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w:t>
                  </w:r>
                </w:p>
              </w:tc>
              <w:tc>
                <w:tcPr>
                  <w:tcW w:w="632" w:type="dxa"/>
                  <w:vMerge w:val="continue"/>
                  <w:tcBorders>
                    <w:tl2br w:val="nil"/>
                    <w:tr2bl w:val="nil"/>
                  </w:tcBorders>
                  <w:shd w:val="clear" w:color="auto" w:fill="auto"/>
                  <w:noWrap w:val="0"/>
                  <w:vAlign w:val="center"/>
                </w:tcPr>
                <w:p w14:paraId="148C68FE">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721" w:type="dxa"/>
                  <w:vMerge w:val="continue"/>
                  <w:tcBorders>
                    <w:tl2br w:val="nil"/>
                    <w:tr2bl w:val="nil"/>
                  </w:tcBorders>
                  <w:shd w:val="clear" w:color="auto" w:fill="auto"/>
                  <w:noWrap w:val="0"/>
                  <w:vAlign w:val="center"/>
                </w:tcPr>
                <w:p w14:paraId="1C8E3F3F">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588" w:type="dxa"/>
                  <w:vMerge w:val="continue"/>
                  <w:tcBorders>
                    <w:tl2br w:val="nil"/>
                    <w:tr2bl w:val="nil"/>
                  </w:tcBorders>
                  <w:shd w:val="clear" w:color="auto" w:fill="auto"/>
                  <w:noWrap w:val="0"/>
                  <w:vAlign w:val="center"/>
                </w:tcPr>
                <w:p w14:paraId="44BD1153">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648" w:type="dxa"/>
                  <w:vMerge w:val="continue"/>
                  <w:tcBorders>
                    <w:tl2br w:val="nil"/>
                    <w:tr2bl w:val="nil"/>
                  </w:tcBorders>
                  <w:shd w:val="clear" w:color="auto" w:fill="auto"/>
                  <w:noWrap w:val="0"/>
                  <w:vAlign w:val="center"/>
                </w:tcPr>
                <w:p w14:paraId="3E07D367">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r>
            <w:tr w14:paraId="7848E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471" w:type="dxa"/>
                  <w:tcBorders>
                    <w:tl2br w:val="nil"/>
                    <w:tr2bl w:val="nil"/>
                  </w:tcBorders>
                  <w:shd w:val="clear" w:color="auto" w:fill="auto"/>
                  <w:noWrap w:val="0"/>
                  <w:vAlign w:val="center"/>
                </w:tcPr>
                <w:p w14:paraId="270169F0">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16</w:t>
                  </w:r>
                </w:p>
              </w:tc>
              <w:tc>
                <w:tcPr>
                  <w:tcW w:w="471" w:type="dxa"/>
                  <w:vMerge w:val="continue"/>
                  <w:tcBorders>
                    <w:tl2br w:val="nil"/>
                    <w:tr2bl w:val="nil"/>
                  </w:tcBorders>
                  <w:noWrap w:val="0"/>
                  <w:vAlign w:val="center"/>
                </w:tcPr>
                <w:p w14:paraId="4D8CC78B">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893" w:type="dxa"/>
                  <w:tcBorders>
                    <w:tl2br w:val="nil"/>
                    <w:tr2bl w:val="nil"/>
                  </w:tcBorders>
                  <w:shd w:val="clear" w:color="auto" w:fill="auto"/>
                  <w:noWrap w:val="0"/>
                  <w:vAlign w:val="center"/>
                </w:tcPr>
                <w:p w14:paraId="79C3ED89">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sz w:val="21"/>
                      <w:szCs w:val="21"/>
                      <w:lang w:val="en-US" w:eastAsia="zh-CN"/>
                    </w:rPr>
                    <w:t>多功能分切机</w:t>
                  </w:r>
                </w:p>
              </w:tc>
              <w:tc>
                <w:tcPr>
                  <w:tcW w:w="622" w:type="dxa"/>
                  <w:tcBorders>
                    <w:tl2br w:val="nil"/>
                    <w:tr2bl w:val="nil"/>
                  </w:tcBorders>
                  <w:noWrap w:val="0"/>
                  <w:vAlign w:val="center"/>
                </w:tcPr>
                <w:p w14:paraId="798DE894">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85</w:t>
                  </w:r>
                </w:p>
              </w:tc>
              <w:tc>
                <w:tcPr>
                  <w:tcW w:w="478" w:type="dxa"/>
                  <w:tcBorders>
                    <w:tl2br w:val="nil"/>
                    <w:tr2bl w:val="nil"/>
                  </w:tcBorders>
                  <w:noWrap w:val="0"/>
                  <w:vAlign w:val="center"/>
                </w:tcPr>
                <w:p w14:paraId="6E6D7E43">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560" w:type="dxa"/>
                  <w:tcBorders>
                    <w:tl2br w:val="nil"/>
                    <w:tr2bl w:val="nil"/>
                  </w:tcBorders>
                  <w:shd w:val="clear" w:color="auto" w:fill="auto"/>
                  <w:noWrap w:val="0"/>
                  <w:vAlign w:val="center"/>
                </w:tcPr>
                <w:p w14:paraId="267AAA04">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w:t>
                  </w:r>
                </w:p>
              </w:tc>
              <w:tc>
                <w:tcPr>
                  <w:tcW w:w="504" w:type="dxa"/>
                  <w:tcBorders>
                    <w:tl2br w:val="nil"/>
                    <w:tr2bl w:val="nil"/>
                  </w:tcBorders>
                  <w:shd w:val="clear" w:color="auto" w:fill="auto"/>
                  <w:noWrap w:val="0"/>
                  <w:vAlign w:val="center"/>
                </w:tcPr>
                <w:p w14:paraId="73131364">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-19</w:t>
                  </w:r>
                </w:p>
              </w:tc>
              <w:tc>
                <w:tcPr>
                  <w:tcW w:w="361" w:type="dxa"/>
                  <w:tcBorders>
                    <w:tl2br w:val="nil"/>
                    <w:tr2bl w:val="nil"/>
                  </w:tcBorders>
                  <w:shd w:val="clear" w:color="auto" w:fill="auto"/>
                  <w:noWrap w:val="0"/>
                  <w:vAlign w:val="center"/>
                </w:tcPr>
                <w:p w14:paraId="295CACE5">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615" w:type="dxa"/>
                  <w:tcBorders>
                    <w:tl2br w:val="nil"/>
                    <w:tr2bl w:val="nil"/>
                  </w:tcBorders>
                  <w:shd w:val="clear" w:color="auto" w:fill="auto"/>
                  <w:noWrap w:val="0"/>
                  <w:vAlign w:val="center"/>
                </w:tcPr>
                <w:p w14:paraId="5E683CF5">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47.4</w:t>
                  </w:r>
                </w:p>
              </w:tc>
              <w:tc>
                <w:tcPr>
                  <w:tcW w:w="519" w:type="dxa"/>
                  <w:tcBorders>
                    <w:tl2br w:val="nil"/>
                    <w:tr2bl w:val="nil"/>
                  </w:tcBorders>
                  <w:shd w:val="clear" w:color="auto" w:fill="auto"/>
                  <w:noWrap w:val="0"/>
                  <w:vAlign w:val="center"/>
                </w:tcPr>
                <w:p w14:paraId="67EBCC57">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13</w:t>
                  </w:r>
                </w:p>
              </w:tc>
              <w:tc>
                <w:tcPr>
                  <w:tcW w:w="601" w:type="dxa"/>
                  <w:tcBorders>
                    <w:tl2br w:val="nil"/>
                    <w:tr2bl w:val="nil"/>
                  </w:tcBorders>
                  <w:shd w:val="clear" w:color="auto" w:fill="auto"/>
                  <w:noWrap w:val="0"/>
                  <w:vAlign w:val="center"/>
                </w:tcPr>
                <w:p w14:paraId="29643AA5">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w:t>
                  </w:r>
                </w:p>
              </w:tc>
              <w:tc>
                <w:tcPr>
                  <w:tcW w:w="464" w:type="dxa"/>
                  <w:tcBorders>
                    <w:tl2br w:val="nil"/>
                    <w:tr2bl w:val="nil"/>
                  </w:tcBorders>
                  <w:shd w:val="clear" w:color="auto" w:fill="auto"/>
                  <w:noWrap w:val="0"/>
                  <w:vAlign w:val="center"/>
                </w:tcPr>
                <w:p w14:paraId="11B71B4C">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47</w:t>
                  </w:r>
                </w:p>
              </w:tc>
              <w:tc>
                <w:tcPr>
                  <w:tcW w:w="729" w:type="dxa"/>
                  <w:tcBorders>
                    <w:tl2br w:val="nil"/>
                    <w:tr2bl w:val="nil"/>
                  </w:tcBorders>
                  <w:shd w:val="clear" w:color="auto" w:fill="auto"/>
                  <w:noWrap w:val="0"/>
                  <w:vAlign w:val="center"/>
                </w:tcPr>
                <w:p w14:paraId="70E6CFC1">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63.59 </w:t>
                  </w:r>
                </w:p>
              </w:tc>
              <w:tc>
                <w:tcPr>
                  <w:tcW w:w="807" w:type="dxa"/>
                  <w:tcBorders>
                    <w:tl2br w:val="nil"/>
                    <w:tr2bl w:val="nil"/>
                  </w:tcBorders>
                  <w:shd w:val="clear" w:color="auto" w:fill="auto"/>
                  <w:noWrap w:val="0"/>
                  <w:vAlign w:val="center"/>
                </w:tcPr>
                <w:p w14:paraId="51186DD5">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64.08</w:t>
                  </w:r>
                </w:p>
              </w:tc>
              <w:tc>
                <w:tcPr>
                  <w:tcW w:w="874" w:type="dxa"/>
                  <w:tcBorders>
                    <w:tl2br w:val="nil"/>
                    <w:tr2bl w:val="nil"/>
                  </w:tcBorders>
                  <w:shd w:val="clear" w:color="auto" w:fill="auto"/>
                  <w:noWrap w:val="0"/>
                  <w:vAlign w:val="center"/>
                </w:tcPr>
                <w:p w14:paraId="7275C310">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64.84 </w:t>
                  </w:r>
                </w:p>
              </w:tc>
              <w:tc>
                <w:tcPr>
                  <w:tcW w:w="795" w:type="dxa"/>
                  <w:tcBorders>
                    <w:tl2br w:val="nil"/>
                    <w:tr2bl w:val="nil"/>
                  </w:tcBorders>
                  <w:shd w:val="clear" w:color="auto" w:fill="auto"/>
                  <w:noWrap w:val="0"/>
                  <w:vAlign w:val="center"/>
                </w:tcPr>
                <w:p w14:paraId="3BADF388">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63.59 </w:t>
                  </w:r>
                </w:p>
              </w:tc>
              <w:tc>
                <w:tcPr>
                  <w:tcW w:w="1388" w:type="dxa"/>
                  <w:tcBorders>
                    <w:tl2br w:val="nil"/>
                    <w:tr2bl w:val="nil"/>
                  </w:tcBorders>
                  <w:shd w:val="clear" w:color="auto" w:fill="auto"/>
                  <w:noWrap w:val="0"/>
                  <w:vAlign w:val="center"/>
                </w:tcPr>
                <w:p w14:paraId="636BE5CC">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lang w:val="en-US" w:eastAsia="zh-CN"/>
                    </w:rPr>
                    <w:t>8：00-18：00</w:t>
                  </w:r>
                </w:p>
              </w:tc>
              <w:tc>
                <w:tcPr>
                  <w:tcW w:w="515" w:type="dxa"/>
                  <w:tcBorders>
                    <w:tl2br w:val="nil"/>
                    <w:tr2bl w:val="nil"/>
                  </w:tcBorders>
                  <w:shd w:val="clear" w:color="auto" w:fill="auto"/>
                  <w:noWrap w:val="0"/>
                  <w:vAlign w:val="center"/>
                </w:tcPr>
                <w:p w14:paraId="2E59794F">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w:t>
                  </w:r>
                </w:p>
              </w:tc>
              <w:tc>
                <w:tcPr>
                  <w:tcW w:w="632" w:type="dxa"/>
                  <w:vMerge w:val="continue"/>
                  <w:tcBorders>
                    <w:tl2br w:val="nil"/>
                    <w:tr2bl w:val="nil"/>
                  </w:tcBorders>
                  <w:shd w:val="clear" w:color="auto" w:fill="auto"/>
                  <w:noWrap w:val="0"/>
                  <w:vAlign w:val="center"/>
                </w:tcPr>
                <w:p w14:paraId="47D29281">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721" w:type="dxa"/>
                  <w:vMerge w:val="continue"/>
                  <w:tcBorders>
                    <w:tl2br w:val="nil"/>
                    <w:tr2bl w:val="nil"/>
                  </w:tcBorders>
                  <w:shd w:val="clear" w:color="auto" w:fill="auto"/>
                  <w:noWrap w:val="0"/>
                  <w:vAlign w:val="center"/>
                </w:tcPr>
                <w:p w14:paraId="67035B8D">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588" w:type="dxa"/>
                  <w:vMerge w:val="continue"/>
                  <w:tcBorders>
                    <w:tl2br w:val="nil"/>
                    <w:tr2bl w:val="nil"/>
                  </w:tcBorders>
                  <w:shd w:val="clear" w:color="auto" w:fill="auto"/>
                  <w:noWrap w:val="0"/>
                  <w:vAlign w:val="center"/>
                </w:tcPr>
                <w:p w14:paraId="5D7B45C1">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648" w:type="dxa"/>
                  <w:vMerge w:val="continue"/>
                  <w:tcBorders>
                    <w:tl2br w:val="nil"/>
                    <w:tr2bl w:val="nil"/>
                  </w:tcBorders>
                  <w:shd w:val="clear" w:color="auto" w:fill="auto"/>
                  <w:noWrap w:val="0"/>
                  <w:vAlign w:val="center"/>
                </w:tcPr>
                <w:p w14:paraId="6E5C5AB7">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r>
            <w:tr w14:paraId="1E762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471" w:type="dxa"/>
                  <w:tcBorders>
                    <w:tl2br w:val="nil"/>
                    <w:tr2bl w:val="nil"/>
                  </w:tcBorders>
                  <w:shd w:val="clear" w:color="auto" w:fill="auto"/>
                  <w:noWrap w:val="0"/>
                  <w:vAlign w:val="center"/>
                </w:tcPr>
                <w:p w14:paraId="3154EFA5">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17</w:t>
                  </w:r>
                </w:p>
              </w:tc>
              <w:tc>
                <w:tcPr>
                  <w:tcW w:w="471" w:type="dxa"/>
                  <w:vMerge w:val="continue"/>
                  <w:tcBorders>
                    <w:tl2br w:val="nil"/>
                    <w:tr2bl w:val="nil"/>
                  </w:tcBorders>
                  <w:noWrap w:val="0"/>
                  <w:vAlign w:val="center"/>
                </w:tcPr>
                <w:p w14:paraId="6F296C86">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893" w:type="dxa"/>
                  <w:tcBorders>
                    <w:tl2br w:val="nil"/>
                    <w:tr2bl w:val="nil"/>
                  </w:tcBorders>
                  <w:shd w:val="clear" w:color="auto" w:fill="auto"/>
                  <w:noWrap w:val="0"/>
                  <w:vAlign w:val="center"/>
                </w:tcPr>
                <w:p w14:paraId="28314789">
                  <w:pPr>
                    <w:keepNext w:val="0"/>
                    <w:keepLines w:val="0"/>
                    <w:pageBreakBefore w:val="0"/>
                    <w:widowControl w:val="0"/>
                    <w:kinsoku/>
                    <w:wordWrap/>
                    <w:overflowPunct/>
                    <w:topLinePunct w:val="0"/>
                    <w:autoSpaceDE/>
                    <w:autoSpaceDN w:val="0"/>
                    <w:bidi w:val="0"/>
                    <w:adjustRightInd/>
                    <w:snapToGrid/>
                    <w:jc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sz w:val="21"/>
                      <w:szCs w:val="21"/>
                      <w:lang w:val="en-US" w:eastAsia="zh-CN"/>
                    </w:rPr>
                    <w:t>多功能分切机</w:t>
                  </w:r>
                </w:p>
              </w:tc>
              <w:tc>
                <w:tcPr>
                  <w:tcW w:w="622" w:type="dxa"/>
                  <w:tcBorders>
                    <w:tl2br w:val="nil"/>
                    <w:tr2bl w:val="nil"/>
                  </w:tcBorders>
                  <w:noWrap w:val="0"/>
                  <w:vAlign w:val="center"/>
                </w:tcPr>
                <w:p w14:paraId="658A1165">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85</w:t>
                  </w:r>
                </w:p>
              </w:tc>
              <w:tc>
                <w:tcPr>
                  <w:tcW w:w="478" w:type="dxa"/>
                  <w:tcBorders>
                    <w:tl2br w:val="nil"/>
                    <w:tr2bl w:val="nil"/>
                  </w:tcBorders>
                  <w:noWrap w:val="0"/>
                  <w:vAlign w:val="center"/>
                </w:tcPr>
                <w:p w14:paraId="4E4B7BD4">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560" w:type="dxa"/>
                  <w:tcBorders>
                    <w:tl2br w:val="nil"/>
                    <w:tr2bl w:val="nil"/>
                  </w:tcBorders>
                  <w:shd w:val="clear" w:color="auto" w:fill="auto"/>
                  <w:noWrap w:val="0"/>
                  <w:vAlign w:val="center"/>
                </w:tcPr>
                <w:p w14:paraId="6119DEEC">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22</w:t>
                  </w:r>
                </w:p>
              </w:tc>
              <w:tc>
                <w:tcPr>
                  <w:tcW w:w="504" w:type="dxa"/>
                  <w:tcBorders>
                    <w:tl2br w:val="nil"/>
                    <w:tr2bl w:val="nil"/>
                  </w:tcBorders>
                  <w:shd w:val="clear" w:color="auto" w:fill="auto"/>
                  <w:noWrap w:val="0"/>
                  <w:vAlign w:val="center"/>
                </w:tcPr>
                <w:p w14:paraId="6ADEFA16">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13</w:t>
                  </w:r>
                </w:p>
              </w:tc>
              <w:tc>
                <w:tcPr>
                  <w:tcW w:w="361" w:type="dxa"/>
                  <w:tcBorders>
                    <w:tl2br w:val="nil"/>
                    <w:tr2bl w:val="nil"/>
                  </w:tcBorders>
                  <w:shd w:val="clear" w:color="auto" w:fill="auto"/>
                  <w:noWrap w:val="0"/>
                  <w:vAlign w:val="center"/>
                </w:tcPr>
                <w:p w14:paraId="14863BAC">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615" w:type="dxa"/>
                  <w:tcBorders>
                    <w:tl2br w:val="nil"/>
                    <w:tr2bl w:val="nil"/>
                  </w:tcBorders>
                  <w:shd w:val="clear" w:color="auto" w:fill="auto"/>
                  <w:noWrap w:val="0"/>
                  <w:vAlign w:val="center"/>
                </w:tcPr>
                <w:p w14:paraId="5E394AC1">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w:t>
                  </w:r>
                </w:p>
              </w:tc>
              <w:tc>
                <w:tcPr>
                  <w:tcW w:w="519" w:type="dxa"/>
                  <w:tcBorders>
                    <w:tl2br w:val="nil"/>
                    <w:tr2bl w:val="nil"/>
                  </w:tcBorders>
                  <w:shd w:val="clear" w:color="auto" w:fill="auto"/>
                  <w:noWrap w:val="0"/>
                  <w:vAlign w:val="center"/>
                </w:tcPr>
                <w:p w14:paraId="156B65C2">
                  <w:pPr>
                    <w:widowControl/>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19</w:t>
                  </w:r>
                </w:p>
              </w:tc>
              <w:tc>
                <w:tcPr>
                  <w:tcW w:w="601" w:type="dxa"/>
                  <w:tcBorders>
                    <w:tl2br w:val="nil"/>
                    <w:tr2bl w:val="nil"/>
                  </w:tcBorders>
                  <w:shd w:val="clear" w:color="auto" w:fill="auto"/>
                  <w:noWrap w:val="0"/>
                  <w:vAlign w:val="center"/>
                </w:tcPr>
                <w:p w14:paraId="6873F13D">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49.4</w:t>
                  </w:r>
                </w:p>
              </w:tc>
              <w:tc>
                <w:tcPr>
                  <w:tcW w:w="464" w:type="dxa"/>
                  <w:tcBorders>
                    <w:tl2br w:val="nil"/>
                    <w:tr2bl w:val="nil"/>
                  </w:tcBorders>
                  <w:shd w:val="clear" w:color="auto" w:fill="auto"/>
                  <w:noWrap w:val="0"/>
                  <w:vAlign w:val="center"/>
                </w:tcPr>
                <w:p w14:paraId="5D8CB5A6">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41</w:t>
                  </w:r>
                </w:p>
              </w:tc>
              <w:tc>
                <w:tcPr>
                  <w:tcW w:w="729" w:type="dxa"/>
                  <w:tcBorders>
                    <w:tl2br w:val="nil"/>
                    <w:tr2bl w:val="nil"/>
                  </w:tcBorders>
                  <w:shd w:val="clear" w:color="auto" w:fill="auto"/>
                  <w:noWrap w:val="0"/>
                  <w:vAlign w:val="center"/>
                </w:tcPr>
                <w:p w14:paraId="1288FFB3">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65.64 </w:t>
                  </w:r>
                </w:p>
              </w:tc>
              <w:tc>
                <w:tcPr>
                  <w:tcW w:w="807" w:type="dxa"/>
                  <w:tcBorders>
                    <w:tl2br w:val="nil"/>
                    <w:tr2bl w:val="nil"/>
                  </w:tcBorders>
                  <w:shd w:val="clear" w:color="auto" w:fill="auto"/>
                  <w:noWrap w:val="0"/>
                  <w:vAlign w:val="center"/>
                </w:tcPr>
                <w:p w14:paraId="0A5F91E2">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63.81</w:t>
                  </w:r>
                </w:p>
              </w:tc>
              <w:tc>
                <w:tcPr>
                  <w:tcW w:w="874" w:type="dxa"/>
                  <w:tcBorders>
                    <w:tl2br w:val="nil"/>
                    <w:tr2bl w:val="nil"/>
                  </w:tcBorders>
                  <w:shd w:val="clear" w:color="auto" w:fill="auto"/>
                  <w:noWrap w:val="0"/>
                  <w:vAlign w:val="center"/>
                </w:tcPr>
                <w:p w14:paraId="1E7D6620">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63.58 </w:t>
                  </w:r>
                </w:p>
              </w:tc>
              <w:tc>
                <w:tcPr>
                  <w:tcW w:w="795" w:type="dxa"/>
                  <w:tcBorders>
                    <w:tl2br w:val="nil"/>
                    <w:tr2bl w:val="nil"/>
                  </w:tcBorders>
                  <w:shd w:val="clear" w:color="auto" w:fill="auto"/>
                  <w:noWrap w:val="0"/>
                  <w:vAlign w:val="center"/>
                </w:tcPr>
                <w:p w14:paraId="4DCBB117">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63.60 </w:t>
                  </w:r>
                </w:p>
              </w:tc>
              <w:tc>
                <w:tcPr>
                  <w:tcW w:w="1388" w:type="dxa"/>
                  <w:tcBorders>
                    <w:tl2br w:val="nil"/>
                    <w:tr2bl w:val="nil"/>
                  </w:tcBorders>
                  <w:shd w:val="clear" w:color="auto" w:fill="auto"/>
                  <w:noWrap w:val="0"/>
                  <w:vAlign w:val="center"/>
                </w:tcPr>
                <w:p w14:paraId="6312B903">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lang w:val="en-US" w:eastAsia="zh-CN"/>
                    </w:rPr>
                    <w:t>8：00-18：00</w:t>
                  </w:r>
                </w:p>
              </w:tc>
              <w:tc>
                <w:tcPr>
                  <w:tcW w:w="515" w:type="dxa"/>
                  <w:tcBorders>
                    <w:tl2br w:val="nil"/>
                    <w:tr2bl w:val="nil"/>
                  </w:tcBorders>
                  <w:shd w:val="clear" w:color="auto" w:fill="auto"/>
                  <w:noWrap w:val="0"/>
                  <w:vAlign w:val="center"/>
                </w:tcPr>
                <w:p w14:paraId="65268B2F">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w:t>
                  </w:r>
                </w:p>
              </w:tc>
              <w:tc>
                <w:tcPr>
                  <w:tcW w:w="632" w:type="dxa"/>
                  <w:vMerge w:val="continue"/>
                  <w:tcBorders>
                    <w:tl2br w:val="nil"/>
                    <w:tr2bl w:val="nil"/>
                  </w:tcBorders>
                  <w:shd w:val="clear" w:color="auto" w:fill="auto"/>
                  <w:noWrap w:val="0"/>
                  <w:vAlign w:val="center"/>
                </w:tcPr>
                <w:p w14:paraId="5400C2D2">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721" w:type="dxa"/>
                  <w:vMerge w:val="continue"/>
                  <w:tcBorders>
                    <w:tl2br w:val="nil"/>
                    <w:tr2bl w:val="nil"/>
                  </w:tcBorders>
                  <w:shd w:val="clear" w:color="auto" w:fill="auto"/>
                  <w:noWrap w:val="0"/>
                  <w:vAlign w:val="center"/>
                </w:tcPr>
                <w:p w14:paraId="5E90B61B">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588" w:type="dxa"/>
                  <w:vMerge w:val="continue"/>
                  <w:tcBorders>
                    <w:tl2br w:val="nil"/>
                    <w:tr2bl w:val="nil"/>
                  </w:tcBorders>
                  <w:shd w:val="clear" w:color="auto" w:fill="auto"/>
                  <w:noWrap w:val="0"/>
                  <w:vAlign w:val="center"/>
                </w:tcPr>
                <w:p w14:paraId="2D1E6ADE">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648" w:type="dxa"/>
                  <w:vMerge w:val="continue"/>
                  <w:tcBorders>
                    <w:tl2br w:val="nil"/>
                    <w:tr2bl w:val="nil"/>
                  </w:tcBorders>
                  <w:shd w:val="clear" w:color="auto" w:fill="auto"/>
                  <w:noWrap w:val="0"/>
                  <w:vAlign w:val="center"/>
                </w:tcPr>
                <w:p w14:paraId="1584966B">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r>
            <w:tr w14:paraId="45032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471" w:type="dxa"/>
                  <w:tcBorders>
                    <w:tl2br w:val="nil"/>
                    <w:tr2bl w:val="nil"/>
                  </w:tcBorders>
                  <w:shd w:val="clear" w:color="auto" w:fill="auto"/>
                  <w:noWrap w:val="0"/>
                  <w:vAlign w:val="center"/>
                </w:tcPr>
                <w:p w14:paraId="6455F97E">
                  <w:pPr>
                    <w:widowControl/>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18</w:t>
                  </w:r>
                </w:p>
              </w:tc>
              <w:tc>
                <w:tcPr>
                  <w:tcW w:w="471" w:type="dxa"/>
                  <w:vMerge w:val="continue"/>
                  <w:tcBorders>
                    <w:tl2br w:val="nil"/>
                    <w:tr2bl w:val="nil"/>
                  </w:tcBorders>
                  <w:noWrap w:val="0"/>
                  <w:vAlign w:val="center"/>
                </w:tcPr>
                <w:p w14:paraId="199EB340">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893" w:type="dxa"/>
                  <w:tcBorders>
                    <w:tl2br w:val="nil"/>
                    <w:tr2bl w:val="nil"/>
                  </w:tcBorders>
                  <w:shd w:val="clear" w:color="auto" w:fill="FFFFFF"/>
                  <w:noWrap w:val="0"/>
                  <w:vAlign w:val="center"/>
                </w:tcPr>
                <w:p w14:paraId="62480B4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auto"/>
                      <w:sz w:val="21"/>
                      <w:szCs w:val="21"/>
                      <w:shd w:val="clear" w:color="auto" w:fill="auto"/>
                      <w:lang w:val="en-US" w:eastAsia="zh-CN" w:bidi="ar-SA"/>
                    </w:rPr>
                  </w:pPr>
                  <w:r>
                    <w:rPr>
                      <w:rFonts w:hint="default" w:ascii="Times New Roman" w:hAnsi="Times New Roman" w:eastAsia="宋体" w:cs="Times New Roman"/>
                      <w:color w:val="auto"/>
                      <w:sz w:val="21"/>
                      <w:szCs w:val="21"/>
                      <w:lang w:val="en-US" w:eastAsia="zh-CN"/>
                    </w:rPr>
                    <w:t>多功能分切机</w:t>
                  </w:r>
                </w:p>
              </w:tc>
              <w:tc>
                <w:tcPr>
                  <w:tcW w:w="622" w:type="dxa"/>
                  <w:tcBorders>
                    <w:tl2br w:val="nil"/>
                    <w:tr2bl w:val="nil"/>
                  </w:tcBorders>
                  <w:noWrap w:val="0"/>
                  <w:vAlign w:val="center"/>
                </w:tcPr>
                <w:p w14:paraId="6C5E2F8F">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85</w:t>
                  </w:r>
                </w:p>
              </w:tc>
              <w:tc>
                <w:tcPr>
                  <w:tcW w:w="478" w:type="dxa"/>
                  <w:tcBorders>
                    <w:tl2br w:val="nil"/>
                    <w:tr2bl w:val="nil"/>
                  </w:tcBorders>
                  <w:noWrap w:val="0"/>
                  <w:vAlign w:val="center"/>
                </w:tcPr>
                <w:p w14:paraId="1F48F750">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560" w:type="dxa"/>
                  <w:tcBorders>
                    <w:tl2br w:val="nil"/>
                    <w:tr2bl w:val="nil"/>
                  </w:tcBorders>
                  <w:shd w:val="clear" w:color="auto" w:fill="auto"/>
                  <w:noWrap w:val="0"/>
                  <w:vAlign w:val="center"/>
                </w:tcPr>
                <w:p w14:paraId="140AAD33">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22</w:t>
                  </w:r>
                </w:p>
              </w:tc>
              <w:tc>
                <w:tcPr>
                  <w:tcW w:w="504" w:type="dxa"/>
                  <w:tcBorders>
                    <w:tl2br w:val="nil"/>
                    <w:tr2bl w:val="nil"/>
                  </w:tcBorders>
                  <w:shd w:val="clear" w:color="auto" w:fill="auto"/>
                  <w:noWrap w:val="0"/>
                  <w:vAlign w:val="center"/>
                </w:tcPr>
                <w:p w14:paraId="6621F519">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10</w:t>
                  </w:r>
                </w:p>
              </w:tc>
              <w:tc>
                <w:tcPr>
                  <w:tcW w:w="361" w:type="dxa"/>
                  <w:tcBorders>
                    <w:tl2br w:val="nil"/>
                    <w:tr2bl w:val="nil"/>
                  </w:tcBorders>
                  <w:shd w:val="clear" w:color="auto" w:fill="auto"/>
                  <w:noWrap w:val="0"/>
                  <w:vAlign w:val="center"/>
                </w:tcPr>
                <w:p w14:paraId="76C82007">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615" w:type="dxa"/>
                  <w:tcBorders>
                    <w:tl2br w:val="nil"/>
                    <w:tr2bl w:val="nil"/>
                  </w:tcBorders>
                  <w:shd w:val="clear" w:color="auto" w:fill="auto"/>
                  <w:noWrap w:val="0"/>
                  <w:vAlign w:val="center"/>
                </w:tcPr>
                <w:p w14:paraId="6D72E60D">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w:t>
                  </w:r>
                </w:p>
              </w:tc>
              <w:tc>
                <w:tcPr>
                  <w:tcW w:w="519" w:type="dxa"/>
                  <w:tcBorders>
                    <w:tl2br w:val="nil"/>
                    <w:tr2bl w:val="nil"/>
                  </w:tcBorders>
                  <w:shd w:val="clear" w:color="auto" w:fill="auto"/>
                  <w:noWrap w:val="0"/>
                  <w:vAlign w:val="center"/>
                </w:tcPr>
                <w:p w14:paraId="6461E6DE">
                  <w:pPr>
                    <w:widowControl/>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13</w:t>
                  </w:r>
                </w:p>
              </w:tc>
              <w:tc>
                <w:tcPr>
                  <w:tcW w:w="601" w:type="dxa"/>
                  <w:tcBorders>
                    <w:tl2br w:val="nil"/>
                    <w:tr2bl w:val="nil"/>
                  </w:tcBorders>
                  <w:shd w:val="clear" w:color="auto" w:fill="auto"/>
                  <w:noWrap w:val="0"/>
                  <w:vAlign w:val="center"/>
                </w:tcPr>
                <w:p w14:paraId="1C5FC76B">
                  <w:pPr>
                    <w:widowControl/>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49.4</w:t>
                  </w:r>
                </w:p>
              </w:tc>
              <w:tc>
                <w:tcPr>
                  <w:tcW w:w="464" w:type="dxa"/>
                  <w:tcBorders>
                    <w:tl2br w:val="nil"/>
                    <w:tr2bl w:val="nil"/>
                  </w:tcBorders>
                  <w:shd w:val="clear" w:color="auto" w:fill="auto"/>
                  <w:noWrap w:val="0"/>
                  <w:vAlign w:val="center"/>
                </w:tcPr>
                <w:p w14:paraId="2B799A07">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47</w:t>
                  </w:r>
                </w:p>
              </w:tc>
              <w:tc>
                <w:tcPr>
                  <w:tcW w:w="729" w:type="dxa"/>
                  <w:tcBorders>
                    <w:tl2br w:val="nil"/>
                    <w:tr2bl w:val="nil"/>
                  </w:tcBorders>
                  <w:shd w:val="clear" w:color="auto" w:fill="auto"/>
                  <w:noWrap w:val="0"/>
                  <w:vAlign w:val="center"/>
                </w:tcPr>
                <w:p w14:paraId="0287CD0B">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65.64</w:t>
                  </w:r>
                </w:p>
              </w:tc>
              <w:tc>
                <w:tcPr>
                  <w:tcW w:w="807" w:type="dxa"/>
                  <w:tcBorders>
                    <w:tl2br w:val="nil"/>
                    <w:tr2bl w:val="nil"/>
                  </w:tcBorders>
                  <w:shd w:val="clear" w:color="auto" w:fill="auto"/>
                  <w:noWrap w:val="0"/>
                  <w:vAlign w:val="center"/>
                </w:tcPr>
                <w:p w14:paraId="486673F5">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64.08 </w:t>
                  </w:r>
                </w:p>
              </w:tc>
              <w:tc>
                <w:tcPr>
                  <w:tcW w:w="874" w:type="dxa"/>
                  <w:tcBorders>
                    <w:tl2br w:val="nil"/>
                    <w:tr2bl w:val="nil"/>
                  </w:tcBorders>
                  <w:shd w:val="clear" w:color="auto" w:fill="auto"/>
                  <w:noWrap w:val="0"/>
                  <w:vAlign w:val="center"/>
                </w:tcPr>
                <w:p w14:paraId="22130CB4">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63.58 </w:t>
                  </w:r>
                </w:p>
              </w:tc>
              <w:tc>
                <w:tcPr>
                  <w:tcW w:w="795" w:type="dxa"/>
                  <w:tcBorders>
                    <w:tl2br w:val="nil"/>
                    <w:tr2bl w:val="nil"/>
                  </w:tcBorders>
                  <w:shd w:val="clear" w:color="auto" w:fill="auto"/>
                  <w:noWrap w:val="0"/>
                  <w:vAlign w:val="center"/>
                </w:tcPr>
                <w:p w14:paraId="0155F5D5">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63.59 </w:t>
                  </w:r>
                </w:p>
              </w:tc>
              <w:tc>
                <w:tcPr>
                  <w:tcW w:w="1388" w:type="dxa"/>
                  <w:tcBorders>
                    <w:tl2br w:val="nil"/>
                    <w:tr2bl w:val="nil"/>
                  </w:tcBorders>
                  <w:shd w:val="clear" w:color="auto" w:fill="auto"/>
                  <w:noWrap w:val="0"/>
                  <w:vAlign w:val="center"/>
                </w:tcPr>
                <w:p w14:paraId="3908FC9C">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lang w:val="en-US" w:eastAsia="zh-CN"/>
                    </w:rPr>
                    <w:t>8：00-18：00</w:t>
                  </w:r>
                </w:p>
              </w:tc>
              <w:tc>
                <w:tcPr>
                  <w:tcW w:w="515" w:type="dxa"/>
                  <w:tcBorders>
                    <w:tl2br w:val="nil"/>
                    <w:tr2bl w:val="nil"/>
                  </w:tcBorders>
                  <w:shd w:val="clear" w:color="auto" w:fill="auto"/>
                  <w:noWrap w:val="0"/>
                  <w:vAlign w:val="center"/>
                </w:tcPr>
                <w:p w14:paraId="5E8162ED">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w:t>
                  </w:r>
                </w:p>
              </w:tc>
              <w:tc>
                <w:tcPr>
                  <w:tcW w:w="632" w:type="dxa"/>
                  <w:vMerge w:val="continue"/>
                  <w:tcBorders>
                    <w:tl2br w:val="nil"/>
                    <w:tr2bl w:val="nil"/>
                  </w:tcBorders>
                  <w:shd w:val="clear" w:color="auto" w:fill="auto"/>
                  <w:noWrap w:val="0"/>
                  <w:vAlign w:val="center"/>
                </w:tcPr>
                <w:p w14:paraId="0A2BDCFC">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721" w:type="dxa"/>
                  <w:vMerge w:val="continue"/>
                  <w:tcBorders>
                    <w:tl2br w:val="nil"/>
                    <w:tr2bl w:val="nil"/>
                  </w:tcBorders>
                  <w:shd w:val="clear" w:color="auto" w:fill="auto"/>
                  <w:noWrap w:val="0"/>
                  <w:vAlign w:val="center"/>
                </w:tcPr>
                <w:p w14:paraId="006E6183">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588" w:type="dxa"/>
                  <w:vMerge w:val="continue"/>
                  <w:tcBorders>
                    <w:tl2br w:val="nil"/>
                    <w:tr2bl w:val="nil"/>
                  </w:tcBorders>
                  <w:shd w:val="clear" w:color="auto" w:fill="auto"/>
                  <w:noWrap w:val="0"/>
                  <w:vAlign w:val="center"/>
                </w:tcPr>
                <w:p w14:paraId="41BD46EF">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648" w:type="dxa"/>
                  <w:vMerge w:val="continue"/>
                  <w:tcBorders>
                    <w:tl2br w:val="nil"/>
                    <w:tr2bl w:val="nil"/>
                  </w:tcBorders>
                  <w:shd w:val="clear" w:color="auto" w:fill="auto"/>
                  <w:noWrap w:val="0"/>
                  <w:vAlign w:val="center"/>
                </w:tcPr>
                <w:p w14:paraId="42FDF270">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r>
            <w:tr w14:paraId="04272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471" w:type="dxa"/>
                  <w:tcBorders>
                    <w:tl2br w:val="nil"/>
                    <w:tr2bl w:val="nil"/>
                  </w:tcBorders>
                  <w:shd w:val="clear" w:color="auto" w:fill="auto"/>
                  <w:noWrap w:val="0"/>
                  <w:vAlign w:val="center"/>
                </w:tcPr>
                <w:p w14:paraId="508E8A99">
                  <w:pPr>
                    <w:widowControl/>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19</w:t>
                  </w:r>
                </w:p>
              </w:tc>
              <w:tc>
                <w:tcPr>
                  <w:tcW w:w="471" w:type="dxa"/>
                  <w:vMerge w:val="continue"/>
                  <w:tcBorders>
                    <w:tl2br w:val="nil"/>
                    <w:tr2bl w:val="nil"/>
                  </w:tcBorders>
                  <w:noWrap w:val="0"/>
                  <w:vAlign w:val="center"/>
                </w:tcPr>
                <w:p w14:paraId="0EB83814">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893" w:type="dxa"/>
                  <w:tcBorders>
                    <w:tl2br w:val="nil"/>
                    <w:tr2bl w:val="nil"/>
                  </w:tcBorders>
                  <w:shd w:val="clear" w:color="auto" w:fill="FFFFFF"/>
                  <w:noWrap w:val="0"/>
                  <w:vAlign w:val="center"/>
                </w:tcPr>
                <w:p w14:paraId="7D85C881">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auto"/>
                      <w:sz w:val="21"/>
                      <w:szCs w:val="21"/>
                      <w:shd w:val="clear" w:color="auto" w:fill="auto"/>
                      <w:lang w:val="en-US" w:eastAsia="zh-CN" w:bidi="ar-SA"/>
                    </w:rPr>
                  </w:pPr>
                  <w:r>
                    <w:rPr>
                      <w:rFonts w:hint="default" w:ascii="Times New Roman" w:hAnsi="Times New Roman" w:eastAsia="宋体" w:cs="Times New Roman"/>
                      <w:color w:val="auto"/>
                      <w:sz w:val="21"/>
                      <w:szCs w:val="21"/>
                      <w:lang w:val="en-US" w:eastAsia="zh-CN"/>
                    </w:rPr>
                    <w:t>全自动压花机</w:t>
                  </w:r>
                </w:p>
              </w:tc>
              <w:tc>
                <w:tcPr>
                  <w:tcW w:w="622" w:type="dxa"/>
                  <w:tcBorders>
                    <w:tl2br w:val="nil"/>
                    <w:tr2bl w:val="nil"/>
                  </w:tcBorders>
                  <w:noWrap w:val="0"/>
                  <w:vAlign w:val="center"/>
                </w:tcPr>
                <w:p w14:paraId="77642F9E">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85</w:t>
                  </w:r>
                </w:p>
              </w:tc>
              <w:tc>
                <w:tcPr>
                  <w:tcW w:w="478" w:type="dxa"/>
                  <w:tcBorders>
                    <w:tl2br w:val="nil"/>
                    <w:tr2bl w:val="nil"/>
                  </w:tcBorders>
                  <w:noWrap w:val="0"/>
                  <w:vAlign w:val="center"/>
                </w:tcPr>
                <w:p w14:paraId="29EC76AF">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560" w:type="dxa"/>
                  <w:tcBorders>
                    <w:tl2br w:val="nil"/>
                    <w:tr2bl w:val="nil"/>
                  </w:tcBorders>
                  <w:shd w:val="clear" w:color="auto" w:fill="auto"/>
                  <w:noWrap w:val="0"/>
                  <w:vAlign w:val="center"/>
                </w:tcPr>
                <w:p w14:paraId="0CFBA13E">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22</w:t>
                  </w:r>
                </w:p>
              </w:tc>
              <w:tc>
                <w:tcPr>
                  <w:tcW w:w="504" w:type="dxa"/>
                  <w:tcBorders>
                    <w:tl2br w:val="nil"/>
                    <w:tr2bl w:val="nil"/>
                  </w:tcBorders>
                  <w:shd w:val="clear" w:color="auto" w:fill="auto"/>
                  <w:noWrap w:val="0"/>
                  <w:vAlign w:val="center"/>
                </w:tcPr>
                <w:p w14:paraId="459F3EE0">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w:t>
                  </w:r>
                </w:p>
              </w:tc>
              <w:tc>
                <w:tcPr>
                  <w:tcW w:w="361" w:type="dxa"/>
                  <w:tcBorders>
                    <w:tl2br w:val="nil"/>
                    <w:tr2bl w:val="nil"/>
                  </w:tcBorders>
                  <w:shd w:val="clear" w:color="auto" w:fill="auto"/>
                  <w:noWrap w:val="0"/>
                  <w:vAlign w:val="center"/>
                </w:tcPr>
                <w:p w14:paraId="7E76AC80">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615" w:type="dxa"/>
                  <w:tcBorders>
                    <w:tl2br w:val="nil"/>
                    <w:tr2bl w:val="nil"/>
                  </w:tcBorders>
                  <w:shd w:val="clear" w:color="auto" w:fill="auto"/>
                  <w:noWrap w:val="0"/>
                  <w:vAlign w:val="center"/>
                </w:tcPr>
                <w:p w14:paraId="05F80EA5">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w:t>
                  </w:r>
                </w:p>
              </w:tc>
              <w:tc>
                <w:tcPr>
                  <w:tcW w:w="519" w:type="dxa"/>
                  <w:tcBorders>
                    <w:tl2br w:val="nil"/>
                    <w:tr2bl w:val="nil"/>
                  </w:tcBorders>
                  <w:shd w:val="clear" w:color="auto" w:fill="auto"/>
                  <w:noWrap w:val="0"/>
                  <w:vAlign w:val="center"/>
                </w:tcPr>
                <w:p w14:paraId="421B4C86">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22</w:t>
                  </w:r>
                </w:p>
              </w:tc>
              <w:tc>
                <w:tcPr>
                  <w:tcW w:w="601" w:type="dxa"/>
                  <w:tcBorders>
                    <w:tl2br w:val="nil"/>
                    <w:tr2bl w:val="nil"/>
                  </w:tcBorders>
                  <w:shd w:val="clear" w:color="auto" w:fill="auto"/>
                  <w:noWrap w:val="0"/>
                  <w:vAlign w:val="center"/>
                </w:tcPr>
                <w:p w14:paraId="0A37DFD5">
                  <w:pPr>
                    <w:widowControl/>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49.4</w:t>
                  </w:r>
                </w:p>
              </w:tc>
              <w:tc>
                <w:tcPr>
                  <w:tcW w:w="464" w:type="dxa"/>
                  <w:tcBorders>
                    <w:tl2br w:val="nil"/>
                    <w:tr2bl w:val="nil"/>
                  </w:tcBorders>
                  <w:shd w:val="clear" w:color="auto" w:fill="auto"/>
                  <w:noWrap w:val="0"/>
                  <w:vAlign w:val="center"/>
                </w:tcPr>
                <w:p w14:paraId="53666381">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38</w:t>
                  </w:r>
                </w:p>
              </w:tc>
              <w:tc>
                <w:tcPr>
                  <w:tcW w:w="729" w:type="dxa"/>
                  <w:tcBorders>
                    <w:tl2br w:val="nil"/>
                    <w:tr2bl w:val="nil"/>
                  </w:tcBorders>
                  <w:shd w:val="clear" w:color="auto" w:fill="auto"/>
                  <w:noWrap w:val="0"/>
                  <w:vAlign w:val="center"/>
                </w:tcPr>
                <w:p w14:paraId="44AE0D72">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65.64</w:t>
                  </w:r>
                </w:p>
              </w:tc>
              <w:tc>
                <w:tcPr>
                  <w:tcW w:w="807" w:type="dxa"/>
                  <w:tcBorders>
                    <w:tl2br w:val="nil"/>
                    <w:tr2bl w:val="nil"/>
                  </w:tcBorders>
                  <w:shd w:val="clear" w:color="auto" w:fill="auto"/>
                  <w:noWrap w:val="0"/>
                  <w:vAlign w:val="center"/>
                </w:tcPr>
                <w:p w14:paraId="37EA8789">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63.74</w:t>
                  </w:r>
                </w:p>
              </w:tc>
              <w:tc>
                <w:tcPr>
                  <w:tcW w:w="874" w:type="dxa"/>
                  <w:tcBorders>
                    <w:tl2br w:val="nil"/>
                    <w:tr2bl w:val="nil"/>
                  </w:tcBorders>
                  <w:shd w:val="clear" w:color="auto" w:fill="auto"/>
                  <w:noWrap w:val="0"/>
                  <w:vAlign w:val="center"/>
                </w:tcPr>
                <w:p w14:paraId="3FD3DC24">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63.58 </w:t>
                  </w:r>
                </w:p>
              </w:tc>
              <w:tc>
                <w:tcPr>
                  <w:tcW w:w="795" w:type="dxa"/>
                  <w:tcBorders>
                    <w:tl2br w:val="nil"/>
                    <w:tr2bl w:val="nil"/>
                  </w:tcBorders>
                  <w:shd w:val="clear" w:color="auto" w:fill="auto"/>
                  <w:noWrap w:val="0"/>
                  <w:vAlign w:val="center"/>
                </w:tcPr>
                <w:p w14:paraId="5DC17166">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63.61</w:t>
                  </w:r>
                </w:p>
              </w:tc>
              <w:tc>
                <w:tcPr>
                  <w:tcW w:w="1388" w:type="dxa"/>
                  <w:tcBorders>
                    <w:tl2br w:val="nil"/>
                    <w:tr2bl w:val="nil"/>
                  </w:tcBorders>
                  <w:shd w:val="clear" w:color="auto" w:fill="auto"/>
                  <w:noWrap w:val="0"/>
                  <w:vAlign w:val="center"/>
                </w:tcPr>
                <w:p w14:paraId="0D6D9427">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lang w:val="en-US" w:eastAsia="zh-CN"/>
                    </w:rPr>
                    <w:t>8：00-18：00</w:t>
                  </w:r>
                </w:p>
              </w:tc>
              <w:tc>
                <w:tcPr>
                  <w:tcW w:w="515" w:type="dxa"/>
                  <w:tcBorders>
                    <w:tl2br w:val="nil"/>
                    <w:tr2bl w:val="nil"/>
                  </w:tcBorders>
                  <w:shd w:val="clear" w:color="auto" w:fill="auto"/>
                  <w:noWrap w:val="0"/>
                  <w:vAlign w:val="center"/>
                </w:tcPr>
                <w:p w14:paraId="42E60BAC">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w:t>
                  </w:r>
                </w:p>
              </w:tc>
              <w:tc>
                <w:tcPr>
                  <w:tcW w:w="632" w:type="dxa"/>
                  <w:vMerge w:val="continue"/>
                  <w:tcBorders>
                    <w:tl2br w:val="nil"/>
                    <w:tr2bl w:val="nil"/>
                  </w:tcBorders>
                  <w:shd w:val="clear" w:color="auto" w:fill="auto"/>
                  <w:noWrap w:val="0"/>
                  <w:vAlign w:val="center"/>
                </w:tcPr>
                <w:p w14:paraId="1939458B">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721" w:type="dxa"/>
                  <w:vMerge w:val="continue"/>
                  <w:tcBorders>
                    <w:tl2br w:val="nil"/>
                    <w:tr2bl w:val="nil"/>
                  </w:tcBorders>
                  <w:shd w:val="clear" w:color="auto" w:fill="auto"/>
                  <w:noWrap w:val="0"/>
                  <w:vAlign w:val="center"/>
                </w:tcPr>
                <w:p w14:paraId="00B155B7">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588" w:type="dxa"/>
                  <w:vMerge w:val="continue"/>
                  <w:tcBorders>
                    <w:tl2br w:val="nil"/>
                    <w:tr2bl w:val="nil"/>
                  </w:tcBorders>
                  <w:shd w:val="clear" w:color="auto" w:fill="auto"/>
                  <w:noWrap w:val="0"/>
                  <w:vAlign w:val="center"/>
                </w:tcPr>
                <w:p w14:paraId="76138CFB">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648" w:type="dxa"/>
                  <w:vMerge w:val="continue"/>
                  <w:tcBorders>
                    <w:tl2br w:val="nil"/>
                    <w:tr2bl w:val="nil"/>
                  </w:tcBorders>
                  <w:shd w:val="clear" w:color="auto" w:fill="auto"/>
                  <w:noWrap w:val="0"/>
                  <w:vAlign w:val="center"/>
                </w:tcPr>
                <w:p w14:paraId="3A9E00F2">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r>
            <w:tr w14:paraId="064FA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471" w:type="dxa"/>
                  <w:tcBorders>
                    <w:tl2br w:val="nil"/>
                    <w:tr2bl w:val="nil"/>
                  </w:tcBorders>
                  <w:shd w:val="clear" w:color="auto" w:fill="auto"/>
                  <w:noWrap w:val="0"/>
                  <w:vAlign w:val="center"/>
                </w:tcPr>
                <w:p w14:paraId="3C7D75B2">
                  <w:pPr>
                    <w:widowControl/>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w:t>
                  </w:r>
                </w:p>
              </w:tc>
              <w:tc>
                <w:tcPr>
                  <w:tcW w:w="471" w:type="dxa"/>
                  <w:vMerge w:val="continue"/>
                  <w:tcBorders>
                    <w:tl2br w:val="nil"/>
                    <w:tr2bl w:val="nil"/>
                  </w:tcBorders>
                  <w:noWrap w:val="0"/>
                  <w:vAlign w:val="center"/>
                </w:tcPr>
                <w:p w14:paraId="15AD4EA3">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893" w:type="dxa"/>
                  <w:tcBorders>
                    <w:tl2br w:val="nil"/>
                    <w:tr2bl w:val="nil"/>
                  </w:tcBorders>
                  <w:shd w:val="clear" w:color="auto" w:fill="FFFFFF"/>
                  <w:noWrap w:val="0"/>
                  <w:vAlign w:val="center"/>
                </w:tcPr>
                <w:p w14:paraId="361AE20C">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auto"/>
                      <w:sz w:val="21"/>
                      <w:szCs w:val="21"/>
                      <w:shd w:val="clear" w:color="auto" w:fill="auto"/>
                      <w:lang w:val="en-US" w:eastAsia="zh-CN" w:bidi="ar-SA"/>
                    </w:rPr>
                  </w:pPr>
                  <w:r>
                    <w:rPr>
                      <w:rFonts w:hint="default" w:ascii="Times New Roman" w:hAnsi="Times New Roman" w:eastAsia="宋体" w:cs="Times New Roman"/>
                      <w:color w:val="auto"/>
                      <w:sz w:val="21"/>
                      <w:szCs w:val="21"/>
                      <w:lang w:val="en-US" w:eastAsia="zh-CN"/>
                    </w:rPr>
                    <w:t>全自动压花机</w:t>
                  </w:r>
                </w:p>
              </w:tc>
              <w:tc>
                <w:tcPr>
                  <w:tcW w:w="622" w:type="dxa"/>
                  <w:tcBorders>
                    <w:tl2br w:val="nil"/>
                    <w:tr2bl w:val="nil"/>
                  </w:tcBorders>
                  <w:noWrap w:val="0"/>
                  <w:vAlign w:val="center"/>
                </w:tcPr>
                <w:p w14:paraId="189615D4">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85</w:t>
                  </w:r>
                </w:p>
              </w:tc>
              <w:tc>
                <w:tcPr>
                  <w:tcW w:w="478" w:type="dxa"/>
                  <w:tcBorders>
                    <w:tl2br w:val="nil"/>
                    <w:tr2bl w:val="nil"/>
                  </w:tcBorders>
                  <w:noWrap w:val="0"/>
                  <w:vAlign w:val="center"/>
                </w:tcPr>
                <w:p w14:paraId="1E6298B3">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560" w:type="dxa"/>
                  <w:tcBorders>
                    <w:tl2br w:val="nil"/>
                    <w:tr2bl w:val="nil"/>
                  </w:tcBorders>
                  <w:shd w:val="clear" w:color="auto" w:fill="auto"/>
                  <w:noWrap w:val="0"/>
                  <w:vAlign w:val="center"/>
                </w:tcPr>
                <w:p w14:paraId="4FCC5A89">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22</w:t>
                  </w:r>
                </w:p>
              </w:tc>
              <w:tc>
                <w:tcPr>
                  <w:tcW w:w="504" w:type="dxa"/>
                  <w:tcBorders>
                    <w:tl2br w:val="nil"/>
                    <w:tr2bl w:val="nil"/>
                  </w:tcBorders>
                  <w:shd w:val="clear" w:color="auto" w:fill="auto"/>
                  <w:noWrap w:val="0"/>
                  <w:vAlign w:val="center"/>
                </w:tcPr>
                <w:p w14:paraId="0BCCEDE7">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-10</w:t>
                  </w:r>
                </w:p>
              </w:tc>
              <w:tc>
                <w:tcPr>
                  <w:tcW w:w="361" w:type="dxa"/>
                  <w:tcBorders>
                    <w:tl2br w:val="nil"/>
                    <w:tr2bl w:val="nil"/>
                  </w:tcBorders>
                  <w:shd w:val="clear" w:color="auto" w:fill="auto"/>
                  <w:noWrap w:val="0"/>
                  <w:vAlign w:val="center"/>
                </w:tcPr>
                <w:p w14:paraId="7FBBBF6C">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615" w:type="dxa"/>
                  <w:tcBorders>
                    <w:tl2br w:val="nil"/>
                    <w:tr2bl w:val="nil"/>
                  </w:tcBorders>
                  <w:shd w:val="clear" w:color="auto" w:fill="auto"/>
                  <w:noWrap w:val="0"/>
                  <w:vAlign w:val="center"/>
                </w:tcPr>
                <w:p w14:paraId="373BDFC1">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w:t>
                  </w:r>
                </w:p>
              </w:tc>
              <w:tc>
                <w:tcPr>
                  <w:tcW w:w="519" w:type="dxa"/>
                  <w:tcBorders>
                    <w:tl2br w:val="nil"/>
                    <w:tr2bl w:val="nil"/>
                  </w:tcBorders>
                  <w:shd w:val="clear" w:color="auto" w:fill="auto"/>
                  <w:noWrap w:val="0"/>
                  <w:vAlign w:val="center"/>
                </w:tcPr>
                <w:p w14:paraId="1C56694D">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19</w:t>
                  </w:r>
                </w:p>
              </w:tc>
              <w:tc>
                <w:tcPr>
                  <w:tcW w:w="601" w:type="dxa"/>
                  <w:tcBorders>
                    <w:tl2br w:val="nil"/>
                    <w:tr2bl w:val="nil"/>
                  </w:tcBorders>
                  <w:shd w:val="clear" w:color="auto" w:fill="auto"/>
                  <w:noWrap w:val="0"/>
                  <w:vAlign w:val="center"/>
                </w:tcPr>
                <w:p w14:paraId="5BD31C0E">
                  <w:pPr>
                    <w:widowControl/>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49.4</w:t>
                  </w:r>
                </w:p>
              </w:tc>
              <w:tc>
                <w:tcPr>
                  <w:tcW w:w="464" w:type="dxa"/>
                  <w:tcBorders>
                    <w:tl2br w:val="nil"/>
                    <w:tr2bl w:val="nil"/>
                  </w:tcBorders>
                  <w:shd w:val="clear" w:color="auto" w:fill="auto"/>
                  <w:noWrap w:val="0"/>
                  <w:vAlign w:val="center"/>
                </w:tcPr>
                <w:p w14:paraId="38842C50">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41</w:t>
                  </w:r>
                </w:p>
              </w:tc>
              <w:tc>
                <w:tcPr>
                  <w:tcW w:w="729" w:type="dxa"/>
                  <w:tcBorders>
                    <w:tl2br w:val="nil"/>
                    <w:tr2bl w:val="nil"/>
                  </w:tcBorders>
                  <w:shd w:val="clear" w:color="auto" w:fill="auto"/>
                  <w:noWrap w:val="0"/>
                  <w:vAlign w:val="center"/>
                </w:tcPr>
                <w:p w14:paraId="3462D5D7">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65.64</w:t>
                  </w:r>
                </w:p>
              </w:tc>
              <w:tc>
                <w:tcPr>
                  <w:tcW w:w="807" w:type="dxa"/>
                  <w:tcBorders>
                    <w:tl2br w:val="nil"/>
                    <w:tr2bl w:val="nil"/>
                  </w:tcBorders>
                  <w:shd w:val="clear" w:color="auto" w:fill="auto"/>
                  <w:noWrap w:val="0"/>
                  <w:vAlign w:val="center"/>
                </w:tcPr>
                <w:p w14:paraId="6B298351">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63.81</w:t>
                  </w:r>
                </w:p>
              </w:tc>
              <w:tc>
                <w:tcPr>
                  <w:tcW w:w="874" w:type="dxa"/>
                  <w:tcBorders>
                    <w:tl2br w:val="nil"/>
                    <w:tr2bl w:val="nil"/>
                  </w:tcBorders>
                  <w:shd w:val="clear" w:color="auto" w:fill="auto"/>
                  <w:noWrap w:val="0"/>
                  <w:vAlign w:val="center"/>
                </w:tcPr>
                <w:p w14:paraId="00CFA208">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63.58 </w:t>
                  </w:r>
                </w:p>
              </w:tc>
              <w:tc>
                <w:tcPr>
                  <w:tcW w:w="795" w:type="dxa"/>
                  <w:tcBorders>
                    <w:tl2br w:val="nil"/>
                    <w:tr2bl w:val="nil"/>
                  </w:tcBorders>
                  <w:shd w:val="clear" w:color="auto" w:fill="auto"/>
                  <w:noWrap w:val="0"/>
                  <w:vAlign w:val="center"/>
                </w:tcPr>
                <w:p w14:paraId="500B12A8">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63.60</w:t>
                  </w:r>
                </w:p>
              </w:tc>
              <w:tc>
                <w:tcPr>
                  <w:tcW w:w="1388" w:type="dxa"/>
                  <w:tcBorders>
                    <w:tl2br w:val="nil"/>
                    <w:tr2bl w:val="nil"/>
                  </w:tcBorders>
                  <w:shd w:val="clear" w:color="auto" w:fill="auto"/>
                  <w:noWrap w:val="0"/>
                  <w:vAlign w:val="center"/>
                </w:tcPr>
                <w:p w14:paraId="68EFB252">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lang w:val="en-US" w:eastAsia="zh-CN"/>
                    </w:rPr>
                    <w:t>8：00-18：00</w:t>
                  </w:r>
                </w:p>
              </w:tc>
              <w:tc>
                <w:tcPr>
                  <w:tcW w:w="515" w:type="dxa"/>
                  <w:tcBorders>
                    <w:tl2br w:val="nil"/>
                    <w:tr2bl w:val="nil"/>
                  </w:tcBorders>
                  <w:shd w:val="clear" w:color="auto" w:fill="auto"/>
                  <w:noWrap w:val="0"/>
                  <w:vAlign w:val="center"/>
                </w:tcPr>
                <w:p w14:paraId="447768F9">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w:t>
                  </w:r>
                </w:p>
              </w:tc>
              <w:tc>
                <w:tcPr>
                  <w:tcW w:w="632" w:type="dxa"/>
                  <w:vMerge w:val="continue"/>
                  <w:tcBorders>
                    <w:tl2br w:val="nil"/>
                    <w:tr2bl w:val="nil"/>
                  </w:tcBorders>
                  <w:shd w:val="clear" w:color="auto" w:fill="auto"/>
                  <w:noWrap w:val="0"/>
                  <w:vAlign w:val="center"/>
                </w:tcPr>
                <w:p w14:paraId="59093A93">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721" w:type="dxa"/>
                  <w:vMerge w:val="continue"/>
                  <w:tcBorders>
                    <w:tl2br w:val="nil"/>
                    <w:tr2bl w:val="nil"/>
                  </w:tcBorders>
                  <w:shd w:val="clear" w:color="auto" w:fill="auto"/>
                  <w:noWrap w:val="0"/>
                  <w:vAlign w:val="center"/>
                </w:tcPr>
                <w:p w14:paraId="4C872A06">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588" w:type="dxa"/>
                  <w:vMerge w:val="continue"/>
                  <w:tcBorders>
                    <w:tl2br w:val="nil"/>
                    <w:tr2bl w:val="nil"/>
                  </w:tcBorders>
                  <w:shd w:val="clear" w:color="auto" w:fill="auto"/>
                  <w:noWrap w:val="0"/>
                  <w:vAlign w:val="center"/>
                </w:tcPr>
                <w:p w14:paraId="0001BE97">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648" w:type="dxa"/>
                  <w:vMerge w:val="continue"/>
                  <w:tcBorders>
                    <w:tl2br w:val="nil"/>
                    <w:tr2bl w:val="nil"/>
                  </w:tcBorders>
                  <w:shd w:val="clear" w:color="auto" w:fill="auto"/>
                  <w:noWrap w:val="0"/>
                  <w:vAlign w:val="center"/>
                </w:tcPr>
                <w:p w14:paraId="7C867939">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r>
            <w:tr w14:paraId="41E66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471" w:type="dxa"/>
                  <w:tcBorders>
                    <w:tl2br w:val="nil"/>
                    <w:tr2bl w:val="nil"/>
                  </w:tcBorders>
                  <w:shd w:val="clear" w:color="auto" w:fill="auto"/>
                  <w:noWrap w:val="0"/>
                  <w:vAlign w:val="center"/>
                </w:tcPr>
                <w:p w14:paraId="6158F523">
                  <w:pPr>
                    <w:widowControl/>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21</w:t>
                  </w:r>
                </w:p>
              </w:tc>
              <w:tc>
                <w:tcPr>
                  <w:tcW w:w="471" w:type="dxa"/>
                  <w:vMerge w:val="continue"/>
                  <w:tcBorders>
                    <w:tl2br w:val="nil"/>
                    <w:tr2bl w:val="nil"/>
                  </w:tcBorders>
                  <w:noWrap w:val="0"/>
                  <w:vAlign w:val="center"/>
                </w:tcPr>
                <w:p w14:paraId="08A95FC5">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893" w:type="dxa"/>
                  <w:tcBorders>
                    <w:tl2br w:val="nil"/>
                    <w:tr2bl w:val="nil"/>
                  </w:tcBorders>
                  <w:shd w:val="clear" w:color="auto" w:fill="FFFFFF"/>
                  <w:noWrap w:val="0"/>
                  <w:vAlign w:val="center"/>
                </w:tcPr>
                <w:p w14:paraId="5AEF596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auto"/>
                      <w:sz w:val="21"/>
                      <w:szCs w:val="21"/>
                      <w:shd w:val="clear" w:color="auto" w:fill="auto"/>
                      <w:lang w:val="en-US" w:eastAsia="zh-CN" w:bidi="ar-SA"/>
                    </w:rPr>
                  </w:pPr>
                  <w:r>
                    <w:rPr>
                      <w:rFonts w:hint="default" w:ascii="Times New Roman" w:hAnsi="Times New Roman" w:eastAsia="宋体" w:cs="Times New Roman"/>
                      <w:color w:val="auto"/>
                      <w:sz w:val="21"/>
                      <w:szCs w:val="21"/>
                      <w:lang w:val="en-US" w:eastAsia="zh-CN"/>
                    </w:rPr>
                    <w:t>全自动压花机</w:t>
                  </w:r>
                </w:p>
              </w:tc>
              <w:tc>
                <w:tcPr>
                  <w:tcW w:w="622" w:type="dxa"/>
                  <w:tcBorders>
                    <w:tl2br w:val="nil"/>
                    <w:tr2bl w:val="nil"/>
                  </w:tcBorders>
                  <w:noWrap w:val="0"/>
                  <w:vAlign w:val="center"/>
                </w:tcPr>
                <w:p w14:paraId="6E8A28F6">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85</w:t>
                  </w:r>
                </w:p>
              </w:tc>
              <w:tc>
                <w:tcPr>
                  <w:tcW w:w="478" w:type="dxa"/>
                  <w:tcBorders>
                    <w:tl2br w:val="nil"/>
                    <w:tr2bl w:val="nil"/>
                  </w:tcBorders>
                  <w:noWrap w:val="0"/>
                  <w:vAlign w:val="center"/>
                </w:tcPr>
                <w:p w14:paraId="3A411713">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560" w:type="dxa"/>
                  <w:tcBorders>
                    <w:tl2br w:val="nil"/>
                    <w:tr2bl w:val="nil"/>
                  </w:tcBorders>
                  <w:shd w:val="clear" w:color="auto" w:fill="auto"/>
                  <w:noWrap w:val="0"/>
                  <w:vAlign w:val="center"/>
                </w:tcPr>
                <w:p w14:paraId="43D04DB2">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22</w:t>
                  </w:r>
                </w:p>
              </w:tc>
              <w:tc>
                <w:tcPr>
                  <w:tcW w:w="504" w:type="dxa"/>
                  <w:tcBorders>
                    <w:tl2br w:val="nil"/>
                    <w:tr2bl w:val="nil"/>
                  </w:tcBorders>
                  <w:shd w:val="clear" w:color="auto" w:fill="auto"/>
                  <w:noWrap w:val="0"/>
                  <w:vAlign w:val="center"/>
                </w:tcPr>
                <w:p w14:paraId="441BF4D1">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-15</w:t>
                  </w:r>
                </w:p>
              </w:tc>
              <w:tc>
                <w:tcPr>
                  <w:tcW w:w="361" w:type="dxa"/>
                  <w:tcBorders>
                    <w:tl2br w:val="nil"/>
                    <w:tr2bl w:val="nil"/>
                  </w:tcBorders>
                  <w:shd w:val="clear" w:color="auto" w:fill="auto"/>
                  <w:noWrap w:val="0"/>
                  <w:vAlign w:val="center"/>
                </w:tcPr>
                <w:p w14:paraId="7CADCC4C">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615" w:type="dxa"/>
                  <w:tcBorders>
                    <w:tl2br w:val="nil"/>
                    <w:tr2bl w:val="nil"/>
                  </w:tcBorders>
                  <w:shd w:val="clear" w:color="auto" w:fill="auto"/>
                  <w:noWrap w:val="0"/>
                  <w:vAlign w:val="center"/>
                </w:tcPr>
                <w:p w14:paraId="18B3EB0B">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w:t>
                  </w:r>
                </w:p>
              </w:tc>
              <w:tc>
                <w:tcPr>
                  <w:tcW w:w="519" w:type="dxa"/>
                  <w:tcBorders>
                    <w:tl2br w:val="nil"/>
                    <w:tr2bl w:val="nil"/>
                  </w:tcBorders>
                  <w:shd w:val="clear" w:color="auto" w:fill="auto"/>
                  <w:noWrap w:val="0"/>
                  <w:vAlign w:val="center"/>
                </w:tcPr>
                <w:p w14:paraId="78AE9A3A">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16</w:t>
                  </w:r>
                </w:p>
              </w:tc>
              <w:tc>
                <w:tcPr>
                  <w:tcW w:w="601" w:type="dxa"/>
                  <w:tcBorders>
                    <w:tl2br w:val="nil"/>
                    <w:tr2bl w:val="nil"/>
                  </w:tcBorders>
                  <w:shd w:val="clear" w:color="auto" w:fill="auto"/>
                  <w:noWrap w:val="0"/>
                  <w:vAlign w:val="center"/>
                </w:tcPr>
                <w:p w14:paraId="22FB533A">
                  <w:pPr>
                    <w:widowControl/>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49.4</w:t>
                  </w:r>
                </w:p>
              </w:tc>
              <w:tc>
                <w:tcPr>
                  <w:tcW w:w="464" w:type="dxa"/>
                  <w:tcBorders>
                    <w:tl2br w:val="nil"/>
                    <w:tr2bl w:val="nil"/>
                  </w:tcBorders>
                  <w:shd w:val="clear" w:color="auto" w:fill="auto"/>
                  <w:noWrap w:val="0"/>
                  <w:vAlign w:val="center"/>
                </w:tcPr>
                <w:p w14:paraId="758C1596">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44</w:t>
                  </w:r>
                </w:p>
              </w:tc>
              <w:tc>
                <w:tcPr>
                  <w:tcW w:w="729" w:type="dxa"/>
                  <w:tcBorders>
                    <w:tl2br w:val="nil"/>
                    <w:tr2bl w:val="nil"/>
                  </w:tcBorders>
                  <w:shd w:val="clear" w:color="auto" w:fill="auto"/>
                  <w:noWrap w:val="0"/>
                  <w:vAlign w:val="center"/>
                </w:tcPr>
                <w:p w14:paraId="65B12575">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65.64</w:t>
                  </w:r>
                </w:p>
              </w:tc>
              <w:tc>
                <w:tcPr>
                  <w:tcW w:w="807" w:type="dxa"/>
                  <w:tcBorders>
                    <w:tl2br w:val="nil"/>
                    <w:tr2bl w:val="nil"/>
                  </w:tcBorders>
                  <w:shd w:val="clear" w:color="auto" w:fill="auto"/>
                  <w:noWrap w:val="0"/>
                  <w:vAlign w:val="center"/>
                </w:tcPr>
                <w:p w14:paraId="570EAC28">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63.91</w:t>
                  </w:r>
                </w:p>
              </w:tc>
              <w:tc>
                <w:tcPr>
                  <w:tcW w:w="874" w:type="dxa"/>
                  <w:tcBorders>
                    <w:tl2br w:val="nil"/>
                    <w:tr2bl w:val="nil"/>
                  </w:tcBorders>
                  <w:shd w:val="clear" w:color="auto" w:fill="auto"/>
                  <w:noWrap w:val="0"/>
                  <w:vAlign w:val="center"/>
                </w:tcPr>
                <w:p w14:paraId="61FB9D8B">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63.58 </w:t>
                  </w:r>
                </w:p>
              </w:tc>
              <w:tc>
                <w:tcPr>
                  <w:tcW w:w="795" w:type="dxa"/>
                  <w:tcBorders>
                    <w:tl2br w:val="nil"/>
                    <w:tr2bl w:val="nil"/>
                  </w:tcBorders>
                  <w:shd w:val="clear" w:color="auto" w:fill="auto"/>
                  <w:noWrap w:val="0"/>
                  <w:vAlign w:val="center"/>
                </w:tcPr>
                <w:p w14:paraId="049BAA12">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63.60</w:t>
                  </w:r>
                </w:p>
              </w:tc>
              <w:tc>
                <w:tcPr>
                  <w:tcW w:w="1388" w:type="dxa"/>
                  <w:tcBorders>
                    <w:tl2br w:val="nil"/>
                    <w:tr2bl w:val="nil"/>
                  </w:tcBorders>
                  <w:shd w:val="clear" w:color="auto" w:fill="auto"/>
                  <w:noWrap w:val="0"/>
                  <w:vAlign w:val="center"/>
                </w:tcPr>
                <w:p w14:paraId="4017EB49">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lang w:val="en-US" w:eastAsia="zh-CN"/>
                    </w:rPr>
                    <w:t>8：00-18：00</w:t>
                  </w:r>
                </w:p>
              </w:tc>
              <w:tc>
                <w:tcPr>
                  <w:tcW w:w="515" w:type="dxa"/>
                  <w:tcBorders>
                    <w:tl2br w:val="nil"/>
                    <w:tr2bl w:val="nil"/>
                  </w:tcBorders>
                  <w:shd w:val="clear" w:color="auto" w:fill="auto"/>
                  <w:noWrap w:val="0"/>
                  <w:vAlign w:val="center"/>
                </w:tcPr>
                <w:p w14:paraId="5634FDBF">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w:t>
                  </w:r>
                </w:p>
              </w:tc>
              <w:tc>
                <w:tcPr>
                  <w:tcW w:w="632" w:type="dxa"/>
                  <w:vMerge w:val="continue"/>
                  <w:tcBorders>
                    <w:tl2br w:val="nil"/>
                    <w:tr2bl w:val="nil"/>
                  </w:tcBorders>
                  <w:shd w:val="clear" w:color="auto" w:fill="auto"/>
                  <w:noWrap w:val="0"/>
                  <w:vAlign w:val="center"/>
                </w:tcPr>
                <w:p w14:paraId="30735174">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721" w:type="dxa"/>
                  <w:vMerge w:val="continue"/>
                  <w:tcBorders>
                    <w:tl2br w:val="nil"/>
                    <w:tr2bl w:val="nil"/>
                  </w:tcBorders>
                  <w:shd w:val="clear" w:color="auto" w:fill="auto"/>
                  <w:noWrap w:val="0"/>
                  <w:vAlign w:val="center"/>
                </w:tcPr>
                <w:p w14:paraId="5EA67669">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588" w:type="dxa"/>
                  <w:vMerge w:val="continue"/>
                  <w:tcBorders>
                    <w:tl2br w:val="nil"/>
                    <w:tr2bl w:val="nil"/>
                  </w:tcBorders>
                  <w:shd w:val="clear" w:color="auto" w:fill="auto"/>
                  <w:noWrap w:val="0"/>
                  <w:vAlign w:val="center"/>
                </w:tcPr>
                <w:p w14:paraId="4AFB9F62">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648" w:type="dxa"/>
                  <w:vMerge w:val="continue"/>
                  <w:tcBorders>
                    <w:tl2br w:val="nil"/>
                    <w:tr2bl w:val="nil"/>
                  </w:tcBorders>
                  <w:shd w:val="clear" w:color="auto" w:fill="auto"/>
                  <w:noWrap w:val="0"/>
                  <w:vAlign w:val="center"/>
                </w:tcPr>
                <w:p w14:paraId="60BBD29C">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r>
            <w:tr w14:paraId="311E6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471" w:type="dxa"/>
                  <w:tcBorders>
                    <w:tl2br w:val="nil"/>
                    <w:tr2bl w:val="nil"/>
                  </w:tcBorders>
                  <w:shd w:val="clear" w:color="auto" w:fill="auto"/>
                  <w:noWrap w:val="0"/>
                  <w:vAlign w:val="center"/>
                </w:tcPr>
                <w:p w14:paraId="0AF04D91">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22</w:t>
                  </w:r>
                </w:p>
              </w:tc>
              <w:tc>
                <w:tcPr>
                  <w:tcW w:w="471" w:type="dxa"/>
                  <w:vMerge w:val="continue"/>
                  <w:tcBorders>
                    <w:tl2br w:val="nil"/>
                    <w:tr2bl w:val="nil"/>
                  </w:tcBorders>
                  <w:noWrap w:val="0"/>
                  <w:vAlign w:val="center"/>
                </w:tcPr>
                <w:p w14:paraId="6FA90F3C">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893" w:type="dxa"/>
                  <w:tcBorders>
                    <w:tl2br w:val="nil"/>
                    <w:tr2bl w:val="nil"/>
                  </w:tcBorders>
                  <w:shd w:val="clear" w:color="auto" w:fill="FFFFFF"/>
                  <w:noWrap w:val="0"/>
                  <w:vAlign w:val="center"/>
                </w:tcPr>
                <w:p w14:paraId="002C7E1C">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空压机</w:t>
                  </w:r>
                </w:p>
              </w:tc>
              <w:tc>
                <w:tcPr>
                  <w:tcW w:w="622" w:type="dxa"/>
                  <w:tcBorders>
                    <w:tl2br w:val="nil"/>
                    <w:tr2bl w:val="nil"/>
                  </w:tcBorders>
                  <w:noWrap w:val="0"/>
                  <w:vAlign w:val="center"/>
                </w:tcPr>
                <w:p w14:paraId="551F3C94">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80</w:t>
                  </w:r>
                </w:p>
              </w:tc>
              <w:tc>
                <w:tcPr>
                  <w:tcW w:w="478" w:type="dxa"/>
                  <w:tcBorders>
                    <w:tl2br w:val="nil"/>
                    <w:tr2bl w:val="nil"/>
                  </w:tcBorders>
                  <w:noWrap w:val="0"/>
                  <w:vAlign w:val="center"/>
                </w:tcPr>
                <w:p w14:paraId="05ED5E81">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560" w:type="dxa"/>
                  <w:tcBorders>
                    <w:tl2br w:val="nil"/>
                    <w:tr2bl w:val="nil"/>
                  </w:tcBorders>
                  <w:shd w:val="clear" w:color="auto" w:fill="auto"/>
                  <w:noWrap w:val="0"/>
                  <w:vAlign w:val="center"/>
                </w:tcPr>
                <w:p w14:paraId="129A00F8">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w:t>
                  </w:r>
                </w:p>
              </w:tc>
              <w:tc>
                <w:tcPr>
                  <w:tcW w:w="504" w:type="dxa"/>
                  <w:tcBorders>
                    <w:tl2br w:val="nil"/>
                    <w:tr2bl w:val="nil"/>
                  </w:tcBorders>
                  <w:shd w:val="clear" w:color="auto" w:fill="auto"/>
                  <w:noWrap w:val="0"/>
                  <w:vAlign w:val="center"/>
                </w:tcPr>
                <w:p w14:paraId="383C89F2">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23</w:t>
                  </w:r>
                </w:p>
              </w:tc>
              <w:tc>
                <w:tcPr>
                  <w:tcW w:w="361" w:type="dxa"/>
                  <w:tcBorders>
                    <w:tl2br w:val="nil"/>
                    <w:tr2bl w:val="nil"/>
                  </w:tcBorders>
                  <w:shd w:val="clear" w:color="auto" w:fill="auto"/>
                  <w:noWrap w:val="0"/>
                  <w:vAlign w:val="center"/>
                </w:tcPr>
                <w:p w14:paraId="3B713A10">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615" w:type="dxa"/>
                  <w:tcBorders>
                    <w:tl2br w:val="nil"/>
                    <w:tr2bl w:val="nil"/>
                  </w:tcBorders>
                  <w:shd w:val="clear" w:color="auto" w:fill="auto"/>
                  <w:noWrap w:val="0"/>
                  <w:vAlign w:val="center"/>
                </w:tcPr>
                <w:p w14:paraId="3C18A087">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47.4</w:t>
                  </w:r>
                </w:p>
              </w:tc>
              <w:tc>
                <w:tcPr>
                  <w:tcW w:w="519" w:type="dxa"/>
                  <w:tcBorders>
                    <w:tl2br w:val="nil"/>
                    <w:tr2bl w:val="nil"/>
                  </w:tcBorders>
                  <w:shd w:val="clear" w:color="auto" w:fill="auto"/>
                  <w:noWrap w:val="0"/>
                  <w:vAlign w:val="center"/>
                </w:tcPr>
                <w:p w14:paraId="04EC6CAE">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56</w:t>
                  </w:r>
                </w:p>
              </w:tc>
              <w:tc>
                <w:tcPr>
                  <w:tcW w:w="601" w:type="dxa"/>
                  <w:tcBorders>
                    <w:tl2br w:val="nil"/>
                    <w:tr2bl w:val="nil"/>
                  </w:tcBorders>
                  <w:shd w:val="clear" w:color="auto" w:fill="auto"/>
                  <w:noWrap w:val="0"/>
                  <w:vAlign w:val="center"/>
                </w:tcPr>
                <w:p w14:paraId="42A24A67">
                  <w:pPr>
                    <w:widowControl/>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w:t>
                  </w:r>
                </w:p>
              </w:tc>
              <w:tc>
                <w:tcPr>
                  <w:tcW w:w="464" w:type="dxa"/>
                  <w:tcBorders>
                    <w:tl2br w:val="nil"/>
                    <w:tr2bl w:val="nil"/>
                  </w:tcBorders>
                  <w:shd w:val="clear" w:color="auto" w:fill="auto"/>
                  <w:noWrap w:val="0"/>
                  <w:vAlign w:val="center"/>
                </w:tcPr>
                <w:p w14:paraId="3A2FCD62">
                  <w:pPr>
                    <w:widowControl/>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w:t>
                  </w:r>
                </w:p>
              </w:tc>
              <w:tc>
                <w:tcPr>
                  <w:tcW w:w="729" w:type="dxa"/>
                  <w:tcBorders>
                    <w:tl2br w:val="nil"/>
                    <w:tr2bl w:val="nil"/>
                  </w:tcBorders>
                  <w:shd w:val="clear" w:color="auto" w:fill="auto"/>
                  <w:noWrap w:val="0"/>
                  <w:vAlign w:val="center"/>
                </w:tcPr>
                <w:p w14:paraId="610DCA5C">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58.59</w:t>
                  </w:r>
                </w:p>
              </w:tc>
              <w:tc>
                <w:tcPr>
                  <w:tcW w:w="807" w:type="dxa"/>
                  <w:tcBorders>
                    <w:tl2br w:val="nil"/>
                    <w:tr2bl w:val="nil"/>
                  </w:tcBorders>
                  <w:shd w:val="clear" w:color="auto" w:fill="auto"/>
                  <w:noWrap w:val="0"/>
                  <w:vAlign w:val="center"/>
                </w:tcPr>
                <w:p w14:paraId="3E7558D8">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58.5</w:t>
                  </w:r>
                </w:p>
              </w:tc>
              <w:tc>
                <w:tcPr>
                  <w:tcW w:w="874" w:type="dxa"/>
                  <w:tcBorders>
                    <w:tl2br w:val="nil"/>
                    <w:tr2bl w:val="nil"/>
                  </w:tcBorders>
                  <w:shd w:val="clear" w:color="auto" w:fill="auto"/>
                  <w:noWrap w:val="0"/>
                  <w:vAlign w:val="center"/>
                </w:tcPr>
                <w:p w14:paraId="4B759FDA">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59.84 </w:t>
                  </w:r>
                </w:p>
              </w:tc>
              <w:tc>
                <w:tcPr>
                  <w:tcW w:w="795" w:type="dxa"/>
                  <w:tcBorders>
                    <w:tl2br w:val="nil"/>
                    <w:tr2bl w:val="nil"/>
                  </w:tcBorders>
                  <w:shd w:val="clear" w:color="auto" w:fill="auto"/>
                  <w:noWrap w:val="0"/>
                  <w:vAlign w:val="center"/>
                </w:tcPr>
                <w:p w14:paraId="21534BE8">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62.33</w:t>
                  </w:r>
                </w:p>
              </w:tc>
              <w:tc>
                <w:tcPr>
                  <w:tcW w:w="1388" w:type="dxa"/>
                  <w:tcBorders>
                    <w:tl2br w:val="nil"/>
                    <w:tr2bl w:val="nil"/>
                  </w:tcBorders>
                  <w:shd w:val="clear" w:color="auto" w:fill="auto"/>
                  <w:noWrap w:val="0"/>
                  <w:vAlign w:val="center"/>
                </w:tcPr>
                <w:p w14:paraId="486FFFEB">
                  <w:pPr>
                    <w:widowControl/>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color w:val="auto"/>
                      <w:lang w:val="en-US" w:eastAsia="zh-CN"/>
                    </w:rPr>
                    <w:t>8：00-18：00</w:t>
                  </w:r>
                </w:p>
              </w:tc>
              <w:tc>
                <w:tcPr>
                  <w:tcW w:w="515" w:type="dxa"/>
                  <w:tcBorders>
                    <w:tl2br w:val="nil"/>
                    <w:tr2bl w:val="nil"/>
                  </w:tcBorders>
                  <w:shd w:val="clear" w:color="auto" w:fill="auto"/>
                  <w:noWrap w:val="0"/>
                  <w:vAlign w:val="center"/>
                </w:tcPr>
                <w:p w14:paraId="0B2FDFD0">
                  <w:pPr>
                    <w:widowControl/>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w:t>
                  </w:r>
                </w:p>
              </w:tc>
              <w:tc>
                <w:tcPr>
                  <w:tcW w:w="632" w:type="dxa"/>
                  <w:vMerge w:val="continue"/>
                  <w:tcBorders>
                    <w:tl2br w:val="nil"/>
                    <w:tr2bl w:val="nil"/>
                  </w:tcBorders>
                  <w:shd w:val="clear" w:color="auto" w:fill="auto"/>
                  <w:noWrap w:val="0"/>
                  <w:vAlign w:val="center"/>
                </w:tcPr>
                <w:p w14:paraId="1CBBA7E2">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721" w:type="dxa"/>
                  <w:vMerge w:val="continue"/>
                  <w:tcBorders>
                    <w:tl2br w:val="nil"/>
                    <w:tr2bl w:val="nil"/>
                  </w:tcBorders>
                  <w:shd w:val="clear" w:color="auto" w:fill="auto"/>
                  <w:noWrap w:val="0"/>
                  <w:vAlign w:val="center"/>
                </w:tcPr>
                <w:p w14:paraId="7645EEB2">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588" w:type="dxa"/>
                  <w:vMerge w:val="continue"/>
                  <w:tcBorders>
                    <w:tl2br w:val="nil"/>
                    <w:tr2bl w:val="nil"/>
                  </w:tcBorders>
                  <w:shd w:val="clear" w:color="auto" w:fill="auto"/>
                  <w:noWrap w:val="0"/>
                  <w:vAlign w:val="center"/>
                </w:tcPr>
                <w:p w14:paraId="764A2A0F">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c>
                <w:tcPr>
                  <w:tcW w:w="648" w:type="dxa"/>
                  <w:vMerge w:val="continue"/>
                  <w:tcBorders>
                    <w:tl2br w:val="nil"/>
                    <w:tr2bl w:val="nil"/>
                  </w:tcBorders>
                  <w:shd w:val="clear" w:color="auto" w:fill="auto"/>
                  <w:noWrap w:val="0"/>
                  <w:vAlign w:val="center"/>
                </w:tcPr>
                <w:p w14:paraId="613F6C83">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p>
              </w:tc>
            </w:tr>
          </w:tbl>
          <w:p w14:paraId="175589CC">
            <w:pPr>
              <w:pageBreakBefore w:val="0"/>
              <w:widowControl/>
              <w:kinsoku/>
              <w:overflowPunct/>
              <w:topLinePunct w:val="0"/>
              <w:autoSpaceDE w:val="0"/>
              <w:autoSpaceDN w:val="0"/>
              <w:bidi w:val="0"/>
              <w:adjustRightInd/>
              <w:snapToGrid/>
              <w:spacing w:line="360" w:lineRule="auto"/>
              <w:ind w:firstLine="482" w:firstLineChars="200"/>
              <w:textAlignment w:val="baseline"/>
              <w:rPr>
                <w:rFonts w:hint="default" w:ascii="Times New Roman" w:hAnsi="Times New Roman" w:eastAsia="宋体" w:cs="Times New Roman"/>
                <w:color w:val="0000FF"/>
              </w:rPr>
            </w:pPr>
            <w:r>
              <w:rPr>
                <w:rFonts w:hint="default" w:ascii="Times New Roman" w:hAnsi="Times New Roman" w:eastAsia="宋体" w:cs="Times New Roman"/>
                <w:b/>
                <w:bCs/>
                <w:color w:val="auto"/>
                <w:sz w:val="24"/>
                <w:lang w:val="en-US" w:eastAsia="zh-CN"/>
              </w:rPr>
              <w:t>注：室内声源以各建筑物中心为原点；空间相对位置以生产车间中心为原点。</w:t>
            </w:r>
          </w:p>
        </w:tc>
      </w:tr>
    </w:tbl>
    <w:p w14:paraId="086E9D7E">
      <w:pPr>
        <w:rPr>
          <w:rFonts w:hint="default" w:ascii="Times New Roman" w:hAnsi="Times New Roman" w:eastAsia="宋体" w:cs="Times New Roman"/>
          <w:color w:val="0000FF"/>
        </w:rPr>
        <w:sectPr>
          <w:footerReference r:id="rId9" w:type="default"/>
          <w:pgSz w:w="16838" w:h="11906" w:orient="landscape"/>
          <w:pgMar w:top="720" w:right="720" w:bottom="720" w:left="720" w:header="851" w:footer="992" w:gutter="0"/>
          <w:pgNumType w:start="52"/>
          <w:cols w:space="425" w:num="1"/>
          <w:docGrid w:type="lines" w:linePitch="312" w:charSpace="0"/>
        </w:sect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8556"/>
      </w:tblGrid>
      <w:tr w14:paraId="31BF6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9" w:hRule="atLeast"/>
        </w:trPr>
        <w:tc>
          <w:tcPr>
            <w:tcW w:w="505" w:type="dxa"/>
          </w:tcPr>
          <w:p w14:paraId="153597B5">
            <w:pPr>
              <w:pStyle w:val="36"/>
              <w:keepNext w:val="0"/>
              <w:keepLines w:val="0"/>
              <w:pageBreakBefore w:val="0"/>
              <w:widowControl/>
              <w:numPr>
                <w:ilvl w:val="1"/>
                <w:numId w:val="0"/>
              </w:numPr>
              <w:kinsoku/>
              <w:overflowPunct/>
              <w:topLinePunct w:val="0"/>
              <w:autoSpaceDE w:val="0"/>
              <w:autoSpaceDN w:val="0"/>
              <w:bidi w:val="0"/>
              <w:textAlignment w:val="baseline"/>
              <w:rPr>
                <w:rFonts w:hint="default" w:ascii="Times New Roman" w:hAnsi="Times New Roman" w:eastAsia="宋体" w:cs="Times New Roman"/>
                <w:color w:val="0000FF"/>
              </w:rPr>
            </w:pPr>
          </w:p>
        </w:tc>
        <w:tc>
          <w:tcPr>
            <w:tcW w:w="8556" w:type="dxa"/>
          </w:tcPr>
          <w:p w14:paraId="4409BC8B">
            <w:pPr>
              <w:pStyle w:val="60"/>
              <w:pageBreakBefore w:val="0"/>
              <w:widowControl/>
              <w:kinsoku/>
              <w:overflowPunct/>
              <w:topLinePunct w:val="0"/>
              <w:autoSpaceDE w:val="0"/>
              <w:autoSpaceDN w:val="0"/>
              <w:bidi w:val="0"/>
              <w:adjustRightInd/>
              <w:snapToGrid/>
              <w:spacing w:before="0" w:line="360" w:lineRule="auto"/>
              <w:ind w:firstLine="0"/>
              <w:textAlignment w:val="baseline"/>
              <w:rPr>
                <w:rFonts w:hint="default" w:ascii="Times New Roman" w:hAnsi="Times New Roman" w:eastAsia="宋体" w:cs="Times New Roman"/>
                <w:b/>
                <w:bCs/>
                <w:color w:val="auto"/>
                <w:kern w:val="2"/>
                <w:sz w:val="24"/>
                <w:lang w:eastAsia="zh-CN"/>
              </w:rPr>
            </w:pPr>
            <w:r>
              <w:rPr>
                <w:rFonts w:hint="default" w:ascii="Times New Roman" w:hAnsi="Times New Roman" w:eastAsia="宋体" w:cs="Times New Roman"/>
                <w:b/>
                <w:bCs/>
                <w:color w:val="auto"/>
                <w:kern w:val="2"/>
                <w:sz w:val="24"/>
                <w:lang w:eastAsia="zh-CN"/>
              </w:rPr>
              <w:t>2、厂界达标情况分析</w:t>
            </w:r>
          </w:p>
          <w:p w14:paraId="4492E667">
            <w:pPr>
              <w:pageBreakBefore w:val="0"/>
              <w:widowControl/>
              <w:kinsoku/>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bCs/>
                <w:color w:val="auto"/>
                <w:spacing w:val="8"/>
                <w:sz w:val="24"/>
                <w:lang w:eastAsia="zh-CN"/>
              </w:rPr>
            </w:pPr>
            <w:r>
              <w:rPr>
                <w:rFonts w:hint="default" w:ascii="Times New Roman" w:hAnsi="Times New Roman" w:eastAsia="宋体" w:cs="Times New Roman"/>
                <w:color w:val="auto"/>
                <w:sz w:val="24"/>
                <w:lang w:eastAsia="zh-CN"/>
              </w:rPr>
              <w:t>预测模式采用《环境影响评价技术导则 声环境》（HJ2.4—2021）中推荐的模型。根据建设项目噪声源和环境特征，预测过程中考虑了厂房等建筑物的屏障作用、空气吸收效应。</w:t>
            </w:r>
          </w:p>
          <w:p w14:paraId="529DE950">
            <w:pPr>
              <w:pageBreakBefore w:val="0"/>
              <w:widowControl/>
              <w:kinsoku/>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（1）室外声源</w:t>
            </w:r>
          </w:p>
          <w:p w14:paraId="0F0C917C">
            <w:pPr>
              <w:pageBreakBefore w:val="0"/>
              <w:widowControl/>
              <w:kinsoku/>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①计算某个声源在预测点的倍频带声压级</w:t>
            </w:r>
          </w:p>
          <w:p w14:paraId="7035F957">
            <w:pPr>
              <w:pageBreakBefore w:val="0"/>
              <w:widowControl/>
              <w:kinsoku/>
              <w:overflowPunct/>
              <w:topLinePunct w:val="0"/>
              <w:autoSpaceDE w:val="0"/>
              <w:autoSpaceDN w:val="0"/>
              <w:bidi w:val="0"/>
              <w:adjustRightInd/>
              <w:snapToGrid/>
              <w:spacing w:line="360" w:lineRule="auto"/>
              <w:jc w:val="center"/>
              <w:textAlignment w:val="baseline"/>
              <w:rPr>
                <w:rFonts w:hint="default" w:ascii="Times New Roman" w:hAnsi="Times New Roman" w:eastAsia="宋体" w:cs="Times New Roman"/>
                <w:color w:val="auto"/>
                <w:lang w:val="zh-CN"/>
              </w:rPr>
            </w:pPr>
            <w:r>
              <w:rPr>
                <w:rFonts w:hint="default" w:ascii="Times New Roman" w:hAnsi="Times New Roman" w:eastAsia="宋体" w:cs="Times New Roman"/>
                <w:color w:val="auto"/>
                <w:lang w:eastAsia="zh-CN"/>
              </w:rPr>
              <w:drawing>
                <wp:inline distT="0" distB="0" distL="114300" distR="114300">
                  <wp:extent cx="2016760" cy="436880"/>
                  <wp:effectExtent l="0" t="0" r="2540" b="127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1"/>
                          <a:stretch>
                            <a:fillRect/>
                          </a:stretch>
                        </pic:blipFill>
                        <pic:spPr>
                          <a:xfrm>
                            <a:off x="0" y="0"/>
                            <a:ext cx="2016760" cy="436880"/>
                          </a:xfrm>
                          <a:prstGeom prst="rect">
                            <a:avLst/>
                          </a:prstGeom>
                          <a:noFill/>
                          <a:ln>
                            <a:noFill/>
                          </a:ln>
                        </pic:spPr>
                      </pic:pic>
                    </a:graphicData>
                  </a:graphic>
                </wp:inline>
              </w:drawing>
            </w:r>
          </w:p>
          <w:p w14:paraId="61AB80C1">
            <w:pPr>
              <w:pageBreakBefore w:val="0"/>
              <w:widowControl/>
              <w:kinsoku/>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iCs/>
                <w:color w:val="auto"/>
                <w:sz w:val="24"/>
                <w:lang w:val="zh-CN" w:eastAsia="zh-CN"/>
              </w:rPr>
            </w:pPr>
            <w:r>
              <w:rPr>
                <w:rFonts w:hint="default" w:ascii="Times New Roman" w:hAnsi="Times New Roman" w:eastAsia="宋体" w:cs="Times New Roman"/>
                <w:iCs/>
                <w:color w:val="auto"/>
                <w:sz w:val="24"/>
                <w:lang w:val="zh-CN" w:eastAsia="zh-CN"/>
              </w:rPr>
              <w:t>式中：</w:t>
            </w:r>
          </w:p>
          <w:p w14:paraId="0B775996">
            <w:pPr>
              <w:pageBreakBefore w:val="0"/>
              <w:widowControl/>
              <w:kinsoku/>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lang w:eastAsia="zh-CN"/>
              </w:rPr>
            </w:pPr>
            <w:r>
              <w:rPr>
                <w:rFonts w:hint="default" w:ascii="Times New Roman" w:hAnsi="Times New Roman" w:eastAsia="宋体" w:cs="Times New Roman"/>
                <w:i/>
                <w:iCs/>
                <w:color w:val="auto"/>
                <w:sz w:val="24"/>
                <w:lang w:val="zh-CN" w:eastAsia="zh-CN"/>
              </w:rPr>
              <w:t>L</w:t>
            </w:r>
            <w:r>
              <w:rPr>
                <w:rFonts w:hint="default" w:ascii="Times New Roman" w:hAnsi="Times New Roman" w:eastAsia="宋体" w:cs="Times New Roman"/>
                <w:color w:val="auto"/>
                <w:sz w:val="24"/>
                <w:vertAlign w:val="subscript"/>
                <w:lang w:eastAsia="zh-CN"/>
              </w:rPr>
              <w:t>oct</w:t>
            </w:r>
            <w:r>
              <w:rPr>
                <w:rFonts w:hint="default" w:ascii="Times New Roman" w:hAnsi="Times New Roman" w:eastAsia="宋体" w:cs="Times New Roman"/>
                <w:i/>
                <w:iCs/>
                <w:color w:val="auto"/>
                <w:sz w:val="24"/>
                <w:lang w:eastAsia="zh-CN"/>
              </w:rPr>
              <w:t>(r)</w:t>
            </w:r>
            <w:r>
              <w:rPr>
                <w:rFonts w:hint="default" w:ascii="Times New Roman" w:hAnsi="Times New Roman" w:eastAsia="宋体" w:cs="Times New Roman"/>
                <w:color w:val="auto"/>
                <w:sz w:val="24"/>
                <w:lang w:eastAsia="zh-CN"/>
              </w:rPr>
              <w:t>——点声源在预测点产生的倍频带声压级；</w:t>
            </w:r>
          </w:p>
          <w:p w14:paraId="7CB4916D">
            <w:pPr>
              <w:pageBreakBefore w:val="0"/>
              <w:widowControl/>
              <w:kinsoku/>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lang w:eastAsia="zh-CN"/>
              </w:rPr>
            </w:pPr>
            <w:r>
              <w:rPr>
                <w:rFonts w:hint="default" w:ascii="Times New Roman" w:hAnsi="Times New Roman" w:eastAsia="宋体" w:cs="Times New Roman"/>
                <w:i/>
                <w:iCs/>
                <w:color w:val="auto"/>
                <w:sz w:val="24"/>
                <w:lang w:eastAsia="zh-CN"/>
              </w:rPr>
              <w:t>L</w:t>
            </w:r>
            <w:r>
              <w:rPr>
                <w:rFonts w:hint="default" w:ascii="Times New Roman" w:hAnsi="Times New Roman" w:eastAsia="宋体" w:cs="Times New Roman"/>
                <w:color w:val="auto"/>
                <w:sz w:val="24"/>
                <w:vertAlign w:val="subscript"/>
                <w:lang w:eastAsia="zh-CN"/>
              </w:rPr>
              <w:t>oct</w:t>
            </w:r>
            <w:r>
              <w:rPr>
                <w:rFonts w:hint="default" w:ascii="Times New Roman" w:hAnsi="Times New Roman" w:eastAsia="宋体" w:cs="Times New Roman"/>
                <w:i/>
                <w:iCs/>
                <w:color w:val="auto"/>
                <w:sz w:val="24"/>
                <w:lang w:eastAsia="zh-CN"/>
              </w:rPr>
              <w:t>(r</w:t>
            </w:r>
            <w:r>
              <w:rPr>
                <w:rFonts w:hint="default" w:ascii="Times New Roman" w:hAnsi="Times New Roman" w:eastAsia="宋体" w:cs="Times New Roman"/>
                <w:i/>
                <w:iCs/>
                <w:color w:val="auto"/>
                <w:sz w:val="24"/>
                <w:vertAlign w:val="subscript"/>
                <w:lang w:eastAsia="zh-CN"/>
              </w:rPr>
              <w:t>0</w:t>
            </w:r>
            <w:r>
              <w:rPr>
                <w:rFonts w:hint="default" w:ascii="Times New Roman" w:hAnsi="Times New Roman" w:eastAsia="宋体" w:cs="Times New Roman"/>
                <w:i/>
                <w:iCs/>
                <w:color w:val="auto"/>
                <w:sz w:val="24"/>
                <w:lang w:eastAsia="zh-CN"/>
              </w:rPr>
              <w:t>)</w:t>
            </w:r>
            <w:r>
              <w:rPr>
                <w:rFonts w:hint="default" w:ascii="Times New Roman" w:hAnsi="Times New Roman" w:eastAsia="宋体" w:cs="Times New Roman"/>
                <w:color w:val="auto"/>
                <w:sz w:val="24"/>
                <w:lang w:eastAsia="zh-CN"/>
              </w:rPr>
              <w:t>——参考位置</w:t>
            </w:r>
            <w:r>
              <w:rPr>
                <w:rFonts w:hint="default" w:ascii="Times New Roman" w:hAnsi="Times New Roman" w:eastAsia="宋体" w:cs="Times New Roman"/>
                <w:i/>
                <w:iCs/>
                <w:color w:val="auto"/>
                <w:sz w:val="24"/>
                <w:lang w:eastAsia="zh-CN"/>
              </w:rPr>
              <w:t>r</w:t>
            </w:r>
            <w:r>
              <w:rPr>
                <w:rFonts w:hint="default" w:ascii="Times New Roman" w:hAnsi="Times New Roman" w:eastAsia="宋体" w:cs="Times New Roman"/>
                <w:i/>
                <w:iCs/>
                <w:color w:val="auto"/>
                <w:sz w:val="24"/>
                <w:vertAlign w:val="subscript"/>
                <w:lang w:eastAsia="zh-CN"/>
              </w:rPr>
              <w:t>0</w:t>
            </w:r>
            <w:r>
              <w:rPr>
                <w:rFonts w:hint="default" w:ascii="Times New Roman" w:hAnsi="Times New Roman" w:eastAsia="宋体" w:cs="Times New Roman"/>
                <w:color w:val="auto"/>
                <w:sz w:val="24"/>
                <w:lang w:eastAsia="zh-CN"/>
              </w:rPr>
              <w:t>处的倍频带声压级；</w:t>
            </w:r>
          </w:p>
          <w:p w14:paraId="363BFCCE">
            <w:pPr>
              <w:pageBreakBefore w:val="0"/>
              <w:widowControl/>
              <w:kinsoku/>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lang w:eastAsia="zh-CN"/>
              </w:rPr>
            </w:pPr>
            <w:r>
              <w:rPr>
                <w:rFonts w:hint="default" w:ascii="Times New Roman" w:hAnsi="Times New Roman" w:eastAsia="宋体" w:cs="Times New Roman"/>
                <w:i/>
                <w:iCs/>
                <w:color w:val="auto"/>
                <w:sz w:val="24"/>
                <w:lang w:eastAsia="zh-CN"/>
              </w:rPr>
              <w:t>r</w:t>
            </w:r>
            <w:r>
              <w:rPr>
                <w:rFonts w:hint="default" w:ascii="Times New Roman" w:hAnsi="Times New Roman" w:eastAsia="宋体" w:cs="Times New Roman"/>
                <w:color w:val="auto"/>
                <w:sz w:val="24"/>
                <w:lang w:eastAsia="zh-CN"/>
              </w:rPr>
              <w:t>——预测点距声源的距离，m；</w:t>
            </w:r>
          </w:p>
          <w:p w14:paraId="365E4E91">
            <w:pPr>
              <w:pageBreakBefore w:val="0"/>
              <w:widowControl/>
              <w:kinsoku/>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lang w:eastAsia="zh-CN"/>
              </w:rPr>
            </w:pPr>
            <w:r>
              <w:rPr>
                <w:rFonts w:hint="default" w:ascii="Times New Roman" w:hAnsi="Times New Roman" w:eastAsia="宋体" w:cs="Times New Roman"/>
                <w:i/>
                <w:iCs/>
                <w:color w:val="auto"/>
                <w:sz w:val="24"/>
                <w:lang w:eastAsia="zh-CN"/>
              </w:rPr>
              <w:t>r</w:t>
            </w:r>
            <w:r>
              <w:rPr>
                <w:rFonts w:hint="default" w:ascii="Times New Roman" w:hAnsi="Times New Roman" w:eastAsia="宋体" w:cs="Times New Roman"/>
                <w:i/>
                <w:iCs/>
                <w:color w:val="auto"/>
                <w:sz w:val="24"/>
                <w:vertAlign w:val="subscript"/>
                <w:lang w:eastAsia="zh-CN"/>
              </w:rPr>
              <w:t>0</w:t>
            </w:r>
            <w:r>
              <w:rPr>
                <w:rFonts w:hint="default" w:ascii="Times New Roman" w:hAnsi="Times New Roman" w:eastAsia="宋体" w:cs="Times New Roman"/>
                <w:color w:val="auto"/>
                <w:sz w:val="24"/>
                <w:lang w:eastAsia="zh-CN"/>
              </w:rPr>
              <w:t>——参考位置距声源的距离，m；</w:t>
            </w:r>
          </w:p>
          <w:p w14:paraId="5AF8E172">
            <w:pPr>
              <w:pageBreakBefore w:val="0"/>
              <w:widowControl/>
              <w:kinsoku/>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lang w:eastAsia="zh-CN"/>
              </w:rPr>
            </w:pPr>
            <w:r>
              <w:rPr>
                <w:rFonts w:hint="default" w:ascii="Times New Roman" w:hAnsi="Times New Roman" w:eastAsia="宋体" w:cs="Times New Roman"/>
                <w:i/>
                <w:iCs/>
                <w:color w:val="auto"/>
                <w:sz w:val="24"/>
              </w:rPr>
              <w:t>Δ</w:t>
            </w:r>
            <w:r>
              <w:rPr>
                <w:rFonts w:hint="default" w:ascii="Times New Roman" w:hAnsi="Times New Roman" w:eastAsia="宋体" w:cs="Times New Roman"/>
                <w:i/>
                <w:iCs/>
                <w:color w:val="auto"/>
                <w:sz w:val="24"/>
                <w:lang w:eastAsia="zh-CN"/>
              </w:rPr>
              <w:t>L</w:t>
            </w:r>
            <w:r>
              <w:rPr>
                <w:rFonts w:hint="default" w:ascii="Times New Roman" w:hAnsi="Times New Roman" w:eastAsia="宋体" w:cs="Times New Roman"/>
                <w:i/>
                <w:iCs/>
                <w:color w:val="auto"/>
                <w:sz w:val="24"/>
                <w:vertAlign w:val="subscript"/>
                <w:lang w:eastAsia="zh-CN"/>
              </w:rPr>
              <w:t>oct</w:t>
            </w:r>
            <w:r>
              <w:rPr>
                <w:rFonts w:hint="default" w:ascii="Times New Roman" w:hAnsi="Times New Roman" w:eastAsia="宋体" w:cs="Times New Roman"/>
                <w:color w:val="auto"/>
                <w:sz w:val="24"/>
                <w:lang w:eastAsia="zh-CN"/>
              </w:rPr>
              <w:t>——各种因素引起的衰减量（包括声屏障、遮挡物、空气吸收、地面效应等引起的衰减量，其计算方法详见“导则”正文）。</w:t>
            </w:r>
          </w:p>
          <w:p w14:paraId="18EDCB47">
            <w:pPr>
              <w:pageBreakBefore w:val="0"/>
              <w:widowControl/>
              <w:kinsoku/>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如果已知声源的倍频带声功率级</w:t>
            </w:r>
            <w:r>
              <w:rPr>
                <w:rFonts w:hint="default" w:ascii="Times New Roman" w:hAnsi="Times New Roman" w:eastAsia="宋体" w:cs="Times New Roman"/>
                <w:i/>
                <w:iCs/>
                <w:color w:val="auto"/>
                <w:sz w:val="24"/>
                <w:lang w:eastAsia="zh-CN"/>
              </w:rPr>
              <w:t>L</w:t>
            </w:r>
            <w:r>
              <w:rPr>
                <w:rFonts w:hint="default" w:ascii="Times New Roman" w:hAnsi="Times New Roman" w:eastAsia="宋体" w:cs="Times New Roman"/>
                <w:i/>
                <w:iCs/>
                <w:color w:val="auto"/>
                <w:sz w:val="24"/>
                <w:vertAlign w:val="subscript"/>
                <w:lang w:eastAsia="zh-CN"/>
              </w:rPr>
              <w:t>woct</w:t>
            </w:r>
            <w:r>
              <w:rPr>
                <w:rFonts w:hint="default" w:ascii="Times New Roman" w:hAnsi="Times New Roman" w:eastAsia="宋体" w:cs="Times New Roman"/>
                <w:color w:val="auto"/>
                <w:sz w:val="24"/>
                <w:lang w:eastAsia="zh-CN"/>
              </w:rPr>
              <w:t>，且声源可看作是位于地面上的，则</w:t>
            </w:r>
          </w:p>
          <w:p w14:paraId="759C15BE">
            <w:pPr>
              <w:pageBreakBefore w:val="0"/>
              <w:widowControl/>
              <w:kinsoku/>
              <w:overflowPunct/>
              <w:topLinePunct w:val="0"/>
              <w:autoSpaceDE w:val="0"/>
              <w:autoSpaceDN w:val="0"/>
              <w:bidi w:val="0"/>
              <w:adjustRightInd/>
              <w:snapToGrid/>
              <w:spacing w:line="360" w:lineRule="auto"/>
              <w:jc w:val="center"/>
              <w:textAlignment w:val="baseline"/>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position w:val="-14"/>
                <w:sz w:val="24"/>
                <w:lang w:eastAsia="zh-CN"/>
              </w:rPr>
              <w:drawing>
                <wp:inline distT="0" distB="0" distL="114300" distR="114300">
                  <wp:extent cx="1795780" cy="230505"/>
                  <wp:effectExtent l="0" t="0" r="13970" b="1778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2"/>
                          <a:stretch>
                            <a:fillRect/>
                          </a:stretch>
                        </pic:blipFill>
                        <pic:spPr>
                          <a:xfrm>
                            <a:off x="0" y="0"/>
                            <a:ext cx="1795780" cy="230505"/>
                          </a:xfrm>
                          <a:prstGeom prst="rect">
                            <a:avLst/>
                          </a:prstGeom>
                          <a:noFill/>
                          <a:ln>
                            <a:noFill/>
                          </a:ln>
                        </pic:spPr>
                      </pic:pic>
                    </a:graphicData>
                  </a:graphic>
                </wp:inline>
              </w:drawing>
            </w:r>
          </w:p>
          <w:p w14:paraId="7FFB07A4">
            <w:pPr>
              <w:pageBreakBefore w:val="0"/>
              <w:widowControl/>
              <w:kinsoku/>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②由各倍频带声压级合成计算出该声源产生的声级</w:t>
            </w:r>
            <w:r>
              <w:rPr>
                <w:rFonts w:hint="default" w:ascii="Times New Roman" w:hAnsi="Times New Roman" w:eastAsia="宋体" w:cs="Times New Roman"/>
                <w:i/>
                <w:iCs/>
                <w:color w:val="auto"/>
                <w:sz w:val="24"/>
                <w:lang w:eastAsia="zh-CN"/>
              </w:rPr>
              <w:t>L</w:t>
            </w:r>
            <w:r>
              <w:rPr>
                <w:rFonts w:hint="default" w:ascii="Times New Roman" w:hAnsi="Times New Roman" w:eastAsia="宋体" w:cs="Times New Roman"/>
                <w:i/>
                <w:iCs/>
                <w:color w:val="auto"/>
                <w:sz w:val="24"/>
                <w:vertAlign w:val="subscript"/>
                <w:lang w:eastAsia="zh-CN"/>
              </w:rPr>
              <w:t>A</w:t>
            </w:r>
            <w:r>
              <w:rPr>
                <w:rFonts w:hint="default" w:ascii="Times New Roman" w:hAnsi="Times New Roman" w:eastAsia="宋体" w:cs="Times New Roman"/>
                <w:color w:val="auto"/>
                <w:sz w:val="24"/>
                <w:lang w:eastAsia="zh-CN"/>
              </w:rPr>
              <w:t>。</w:t>
            </w:r>
          </w:p>
          <w:p w14:paraId="5C6114E3">
            <w:pPr>
              <w:pageBreakBefore w:val="0"/>
              <w:widowControl/>
              <w:kinsoku/>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lang w:eastAsia="zh-CN"/>
              </w:rPr>
            </w:pPr>
            <w:r>
              <w:rPr>
                <w:rFonts w:hint="default" w:ascii="Times New Roman" w:hAnsi="Times New Roman" w:eastAsia="宋体" w:cs="Times New Roman"/>
                <w:bCs/>
                <w:color w:val="auto"/>
                <w:sz w:val="24"/>
                <w:lang w:eastAsia="zh-CN"/>
              </w:rPr>
              <w:t>（2）室内声源</w:t>
            </w:r>
          </w:p>
          <w:p w14:paraId="136B417A">
            <w:pPr>
              <w:pageBreakBefore w:val="0"/>
              <w:widowControl/>
              <w:kinsoku/>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①首先计算出某个室内靠近围护结构处的倍频带声压级：</w:t>
            </w:r>
          </w:p>
          <w:p w14:paraId="14BBA636">
            <w:pPr>
              <w:pageBreakBefore w:val="0"/>
              <w:widowControl/>
              <w:kinsoku/>
              <w:overflowPunct/>
              <w:topLinePunct w:val="0"/>
              <w:autoSpaceDE w:val="0"/>
              <w:autoSpaceDN w:val="0"/>
              <w:bidi w:val="0"/>
              <w:adjustRightInd/>
              <w:snapToGrid/>
              <w:spacing w:line="360" w:lineRule="auto"/>
              <w:jc w:val="center"/>
              <w:textAlignment w:val="baseline"/>
              <w:rPr>
                <w:rFonts w:hint="default" w:ascii="Times New Roman" w:hAnsi="Times New Roman" w:eastAsia="宋体" w:cs="Times New Roman"/>
                <w:color w:val="auto"/>
                <w:lang w:val="zh-CN"/>
              </w:rPr>
            </w:pPr>
            <w:r>
              <w:rPr>
                <w:rFonts w:hint="default" w:ascii="Times New Roman" w:hAnsi="Times New Roman" w:eastAsia="宋体" w:cs="Times New Roman"/>
                <w:color w:val="auto"/>
                <w:lang w:eastAsia="zh-CN"/>
              </w:rPr>
              <w:drawing>
                <wp:inline distT="0" distB="0" distL="114300" distR="114300">
                  <wp:extent cx="2017395" cy="485775"/>
                  <wp:effectExtent l="0" t="0" r="1905" b="889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3"/>
                          <a:stretch>
                            <a:fillRect/>
                          </a:stretch>
                        </pic:blipFill>
                        <pic:spPr>
                          <a:xfrm>
                            <a:off x="0" y="0"/>
                            <a:ext cx="2017395" cy="485775"/>
                          </a:xfrm>
                          <a:prstGeom prst="rect">
                            <a:avLst/>
                          </a:prstGeom>
                          <a:noFill/>
                          <a:ln>
                            <a:noFill/>
                          </a:ln>
                        </pic:spPr>
                      </pic:pic>
                    </a:graphicData>
                  </a:graphic>
                </wp:inline>
              </w:drawing>
            </w:r>
          </w:p>
          <w:p w14:paraId="7DE424A1">
            <w:pPr>
              <w:pageBreakBefore w:val="0"/>
              <w:widowControl/>
              <w:kinsoku/>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val="zh-CN" w:eastAsia="zh-CN"/>
              </w:rPr>
              <w:t>式中：</w:t>
            </w:r>
            <w:r>
              <w:rPr>
                <w:rFonts w:hint="default" w:ascii="Times New Roman" w:hAnsi="Times New Roman" w:eastAsia="宋体" w:cs="Times New Roman"/>
                <w:i/>
                <w:iCs/>
                <w:color w:val="auto"/>
                <w:sz w:val="24"/>
                <w:lang w:val="zh-CN" w:eastAsia="zh-CN"/>
              </w:rPr>
              <w:t>L</w:t>
            </w:r>
            <w:r>
              <w:rPr>
                <w:rFonts w:hint="default" w:ascii="Times New Roman" w:hAnsi="Times New Roman" w:eastAsia="宋体" w:cs="Times New Roman"/>
                <w:i/>
                <w:iCs/>
                <w:color w:val="auto"/>
                <w:sz w:val="24"/>
                <w:vertAlign w:val="subscript"/>
                <w:lang w:eastAsia="zh-CN"/>
              </w:rPr>
              <w:t>oct,1</w:t>
            </w:r>
            <w:r>
              <w:rPr>
                <w:rFonts w:hint="default" w:ascii="Times New Roman" w:hAnsi="Times New Roman" w:eastAsia="宋体" w:cs="Times New Roman"/>
                <w:color w:val="auto"/>
                <w:sz w:val="24"/>
                <w:lang w:eastAsia="zh-CN"/>
              </w:rPr>
              <w:t>为某个室内声源在靠近围护结构处产生的倍频带声压级，</w:t>
            </w:r>
            <w:r>
              <w:rPr>
                <w:rFonts w:hint="default" w:ascii="Times New Roman" w:hAnsi="Times New Roman" w:eastAsia="宋体" w:cs="Times New Roman"/>
                <w:i/>
                <w:iCs/>
                <w:color w:val="auto"/>
                <w:sz w:val="24"/>
                <w:lang w:eastAsia="zh-CN"/>
              </w:rPr>
              <w:t>L</w:t>
            </w:r>
            <w:r>
              <w:rPr>
                <w:rFonts w:hint="default" w:ascii="Times New Roman" w:hAnsi="Times New Roman" w:eastAsia="宋体" w:cs="Times New Roman"/>
                <w:i/>
                <w:iCs/>
                <w:color w:val="auto"/>
                <w:sz w:val="24"/>
                <w:vertAlign w:val="subscript"/>
                <w:lang w:eastAsia="zh-CN"/>
              </w:rPr>
              <w:t>woct</w:t>
            </w:r>
            <w:r>
              <w:rPr>
                <w:rFonts w:hint="default" w:ascii="Times New Roman" w:hAnsi="Times New Roman" w:eastAsia="宋体" w:cs="Times New Roman"/>
                <w:color w:val="auto"/>
                <w:sz w:val="24"/>
                <w:lang w:eastAsia="zh-CN"/>
              </w:rPr>
              <w:t>为某个声源的倍频带声功率级，r</w:t>
            </w:r>
            <w:r>
              <w:rPr>
                <w:rFonts w:hint="default" w:ascii="Times New Roman" w:hAnsi="Times New Roman" w:eastAsia="宋体" w:cs="Times New Roman"/>
                <w:color w:val="auto"/>
                <w:sz w:val="24"/>
                <w:vertAlign w:val="subscript"/>
                <w:lang w:eastAsia="zh-CN"/>
              </w:rPr>
              <w:t>1</w:t>
            </w:r>
            <w:r>
              <w:rPr>
                <w:rFonts w:hint="default" w:ascii="Times New Roman" w:hAnsi="Times New Roman" w:eastAsia="宋体" w:cs="Times New Roman"/>
                <w:color w:val="auto"/>
                <w:sz w:val="24"/>
                <w:lang w:eastAsia="zh-CN"/>
              </w:rPr>
              <w:t>为室内某个声源与靠近围护结构处的距离，R为房间常数，Q为方向因子。</w:t>
            </w:r>
          </w:p>
          <w:p w14:paraId="345E2B7A">
            <w:pPr>
              <w:pageBreakBefore w:val="0"/>
              <w:widowControl/>
              <w:kinsoku/>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②计算出所有室内声源在靠近围护结构处产生的总倍频带声压级：</w:t>
            </w:r>
          </w:p>
          <w:p w14:paraId="1BB6ABE2">
            <w:pPr>
              <w:pageBreakBefore w:val="0"/>
              <w:widowControl/>
              <w:kinsoku/>
              <w:overflowPunct/>
              <w:topLinePunct w:val="0"/>
              <w:autoSpaceDE w:val="0"/>
              <w:autoSpaceDN w:val="0"/>
              <w:bidi w:val="0"/>
              <w:adjustRightInd/>
              <w:snapToGrid/>
              <w:spacing w:line="360" w:lineRule="auto"/>
              <w:jc w:val="center"/>
              <w:textAlignment w:val="baseline"/>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drawing>
                <wp:inline distT="0" distB="0" distL="114300" distR="114300">
                  <wp:extent cx="1837690" cy="461010"/>
                  <wp:effectExtent l="0" t="0" r="10160" b="1587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4"/>
                          <a:stretch>
                            <a:fillRect/>
                          </a:stretch>
                        </pic:blipFill>
                        <pic:spPr>
                          <a:xfrm>
                            <a:off x="0" y="0"/>
                            <a:ext cx="1837690" cy="461010"/>
                          </a:xfrm>
                          <a:prstGeom prst="rect">
                            <a:avLst/>
                          </a:prstGeom>
                          <a:noFill/>
                          <a:ln>
                            <a:noFill/>
                          </a:ln>
                        </pic:spPr>
                      </pic:pic>
                    </a:graphicData>
                  </a:graphic>
                </wp:inline>
              </w:drawing>
            </w:r>
          </w:p>
          <w:p w14:paraId="6BFF14F3">
            <w:pPr>
              <w:pageBreakBefore w:val="0"/>
              <w:widowControl/>
              <w:kinsoku/>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lang w:eastAsia="zh-CN"/>
              </w:rPr>
            </w:pPr>
          </w:p>
          <w:p w14:paraId="49ECB84B">
            <w:pPr>
              <w:pageBreakBefore w:val="0"/>
              <w:widowControl/>
              <w:kinsoku/>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③计算出室外靠近围护结构处的声压级：</w:t>
            </w:r>
          </w:p>
          <w:p w14:paraId="1967021F">
            <w:pPr>
              <w:pageBreakBefore w:val="0"/>
              <w:widowControl/>
              <w:kinsoku/>
              <w:overflowPunct/>
              <w:topLinePunct w:val="0"/>
              <w:autoSpaceDE w:val="0"/>
              <w:autoSpaceDN w:val="0"/>
              <w:bidi w:val="0"/>
              <w:adjustRightInd/>
              <w:snapToGrid/>
              <w:spacing w:line="360" w:lineRule="auto"/>
              <w:ind w:firstLine="360" w:firstLineChars="200"/>
              <w:jc w:val="center"/>
              <w:textAlignment w:val="baseline"/>
              <w:rPr>
                <w:rFonts w:hint="default" w:ascii="Times New Roman" w:hAnsi="Times New Roman" w:eastAsia="宋体" w:cs="Times New Roman"/>
                <w:color w:val="auto"/>
              </w:rPr>
            </w:pPr>
            <w:r>
              <w:rPr>
                <w:rFonts w:hint="default" w:ascii="Times New Roman" w:hAnsi="Times New Roman" w:eastAsia="宋体" w:cs="Times New Roman"/>
                <w:color w:val="auto"/>
                <w:sz w:val="18"/>
                <w:szCs w:val="18"/>
                <w:lang w:eastAsia="zh-CN"/>
              </w:rPr>
              <w:drawing>
                <wp:inline distT="0" distB="0" distL="114300" distR="114300">
                  <wp:extent cx="1952625" cy="230505"/>
                  <wp:effectExtent l="0" t="0" r="9525" b="17780"/>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25"/>
                          <a:stretch>
                            <a:fillRect/>
                          </a:stretch>
                        </pic:blipFill>
                        <pic:spPr>
                          <a:xfrm>
                            <a:off x="0" y="0"/>
                            <a:ext cx="1952625" cy="230505"/>
                          </a:xfrm>
                          <a:prstGeom prst="rect">
                            <a:avLst/>
                          </a:prstGeom>
                          <a:noFill/>
                          <a:ln>
                            <a:noFill/>
                          </a:ln>
                        </pic:spPr>
                      </pic:pic>
                    </a:graphicData>
                  </a:graphic>
                </wp:inline>
              </w:drawing>
            </w:r>
          </w:p>
          <w:p w14:paraId="1FC90FD1">
            <w:pPr>
              <w:pageBreakBefore w:val="0"/>
              <w:widowControl/>
              <w:kinsoku/>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④将室外声级</w:t>
            </w:r>
            <w:r>
              <w:rPr>
                <w:rFonts w:hint="default" w:ascii="Times New Roman" w:hAnsi="Times New Roman" w:eastAsia="宋体" w:cs="Times New Roman"/>
                <w:i/>
                <w:iCs/>
                <w:color w:val="auto"/>
                <w:sz w:val="24"/>
                <w:lang w:eastAsia="zh-CN"/>
              </w:rPr>
              <w:t>L</w:t>
            </w:r>
            <w:r>
              <w:rPr>
                <w:rFonts w:hint="default" w:ascii="Times New Roman" w:hAnsi="Times New Roman" w:eastAsia="宋体" w:cs="Times New Roman"/>
                <w:i/>
                <w:iCs/>
                <w:color w:val="auto"/>
                <w:sz w:val="24"/>
                <w:vertAlign w:val="subscript"/>
                <w:lang w:eastAsia="zh-CN"/>
              </w:rPr>
              <w:t>oct,2</w:t>
            </w:r>
            <w:r>
              <w:rPr>
                <w:rFonts w:hint="default" w:ascii="Times New Roman" w:hAnsi="Times New Roman" w:eastAsia="宋体" w:cs="Times New Roman"/>
                <w:i/>
                <w:iCs/>
                <w:color w:val="auto"/>
                <w:sz w:val="24"/>
                <w:lang w:eastAsia="zh-CN"/>
              </w:rPr>
              <w:t>(T)</w:t>
            </w:r>
            <w:r>
              <w:rPr>
                <w:rFonts w:hint="default" w:ascii="Times New Roman" w:hAnsi="Times New Roman" w:eastAsia="宋体" w:cs="Times New Roman"/>
                <w:color w:val="auto"/>
                <w:sz w:val="24"/>
                <w:lang w:eastAsia="zh-CN"/>
              </w:rPr>
              <w:t>和透声面积换算成等效的室外声源，计算出等效声源第i个倍频带的声功率级</w:t>
            </w:r>
            <w:r>
              <w:rPr>
                <w:rFonts w:hint="default" w:ascii="Times New Roman" w:hAnsi="Times New Roman" w:eastAsia="宋体" w:cs="Times New Roman"/>
                <w:i/>
                <w:iCs/>
                <w:color w:val="auto"/>
                <w:sz w:val="24"/>
                <w:lang w:eastAsia="zh-CN"/>
              </w:rPr>
              <w:t>L</w:t>
            </w:r>
            <w:r>
              <w:rPr>
                <w:rFonts w:hint="default" w:ascii="Times New Roman" w:hAnsi="Times New Roman" w:eastAsia="宋体" w:cs="Times New Roman"/>
                <w:i/>
                <w:iCs/>
                <w:color w:val="auto"/>
                <w:sz w:val="24"/>
                <w:vertAlign w:val="subscript"/>
                <w:lang w:eastAsia="zh-CN"/>
              </w:rPr>
              <w:t>woct</w:t>
            </w:r>
            <w:r>
              <w:rPr>
                <w:rFonts w:hint="default" w:ascii="Times New Roman" w:hAnsi="Times New Roman" w:eastAsia="宋体" w:cs="Times New Roman"/>
                <w:color w:val="auto"/>
                <w:sz w:val="24"/>
                <w:lang w:eastAsia="zh-CN"/>
              </w:rPr>
              <w:t>：</w:t>
            </w:r>
          </w:p>
          <w:p w14:paraId="7F70935F">
            <w:pPr>
              <w:pageBreakBefore w:val="0"/>
              <w:widowControl/>
              <w:kinsoku/>
              <w:overflowPunct/>
              <w:topLinePunct w:val="0"/>
              <w:autoSpaceDE w:val="0"/>
              <w:autoSpaceDN w:val="0"/>
              <w:bidi w:val="0"/>
              <w:adjustRightInd/>
              <w:snapToGrid/>
              <w:spacing w:line="360" w:lineRule="auto"/>
              <w:jc w:val="center"/>
              <w:textAlignment w:val="baseline"/>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drawing>
                <wp:inline distT="0" distB="0" distL="114300" distR="114300">
                  <wp:extent cx="1929765" cy="273685"/>
                  <wp:effectExtent l="0" t="0" r="13335" b="13335"/>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26"/>
                          <a:stretch>
                            <a:fillRect/>
                          </a:stretch>
                        </pic:blipFill>
                        <pic:spPr>
                          <a:xfrm>
                            <a:off x="0" y="0"/>
                            <a:ext cx="1929765" cy="273685"/>
                          </a:xfrm>
                          <a:prstGeom prst="rect">
                            <a:avLst/>
                          </a:prstGeom>
                          <a:noFill/>
                          <a:ln>
                            <a:noFill/>
                          </a:ln>
                        </pic:spPr>
                      </pic:pic>
                    </a:graphicData>
                  </a:graphic>
                </wp:inline>
              </w:drawing>
            </w:r>
          </w:p>
          <w:p w14:paraId="1CD2AA89">
            <w:pPr>
              <w:pageBreakBefore w:val="0"/>
              <w:widowControl/>
              <w:kinsoku/>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式中：S为透声面积，m</w:t>
            </w:r>
            <w:r>
              <w:rPr>
                <w:rFonts w:hint="default" w:ascii="Times New Roman" w:hAnsi="Times New Roman" w:eastAsia="宋体" w:cs="Times New Roman"/>
                <w:color w:val="auto"/>
                <w:sz w:val="24"/>
                <w:vertAlign w:val="superscript"/>
                <w:lang w:eastAsia="zh-CN"/>
              </w:rPr>
              <w:t>2</w:t>
            </w:r>
            <w:r>
              <w:rPr>
                <w:rFonts w:hint="default" w:ascii="Times New Roman" w:hAnsi="Times New Roman" w:eastAsia="宋体" w:cs="Times New Roman"/>
                <w:color w:val="auto"/>
                <w:sz w:val="24"/>
                <w:lang w:eastAsia="zh-CN"/>
              </w:rPr>
              <w:t>。</w:t>
            </w:r>
          </w:p>
          <w:p w14:paraId="58E50988">
            <w:pPr>
              <w:pageBreakBefore w:val="0"/>
              <w:widowControl/>
              <w:kinsoku/>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⑤等效室外声源的位置为围护结构的位置，其倍频带声功率级为</w:t>
            </w:r>
            <w:r>
              <w:rPr>
                <w:rFonts w:hint="default" w:ascii="Times New Roman" w:hAnsi="Times New Roman" w:eastAsia="宋体" w:cs="Times New Roman"/>
                <w:i/>
                <w:iCs/>
                <w:color w:val="auto"/>
                <w:sz w:val="24"/>
                <w:lang w:eastAsia="zh-CN"/>
              </w:rPr>
              <w:t>L</w:t>
            </w:r>
            <w:r>
              <w:rPr>
                <w:rFonts w:hint="default" w:ascii="Times New Roman" w:hAnsi="Times New Roman" w:eastAsia="宋体" w:cs="Times New Roman"/>
                <w:i/>
                <w:iCs/>
                <w:color w:val="auto"/>
                <w:sz w:val="24"/>
                <w:vertAlign w:val="subscript"/>
                <w:lang w:eastAsia="zh-CN"/>
              </w:rPr>
              <w:t>woct</w:t>
            </w:r>
            <w:r>
              <w:rPr>
                <w:rFonts w:hint="default" w:ascii="Times New Roman" w:hAnsi="Times New Roman" w:eastAsia="宋体" w:cs="Times New Roman"/>
                <w:color w:val="auto"/>
                <w:sz w:val="24"/>
                <w:lang w:eastAsia="zh-CN"/>
              </w:rPr>
              <w:t>，由此按室外声源方法计算等效室外声源在预测点产生的声级。</w:t>
            </w:r>
          </w:p>
          <w:p w14:paraId="65AB9659">
            <w:pPr>
              <w:pageBreakBefore w:val="0"/>
              <w:widowControl/>
              <w:kinsoku/>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lang w:eastAsia="zh-CN"/>
              </w:rPr>
            </w:pPr>
            <w:r>
              <w:rPr>
                <w:rFonts w:hint="default" w:ascii="Times New Roman" w:hAnsi="Times New Roman" w:eastAsia="宋体" w:cs="Times New Roman"/>
                <w:bCs/>
                <w:color w:val="auto"/>
                <w:sz w:val="24"/>
                <w:lang w:eastAsia="zh-CN"/>
              </w:rPr>
              <w:t>（3）计算总声压级</w:t>
            </w:r>
          </w:p>
          <w:p w14:paraId="02B3BC69">
            <w:pPr>
              <w:pageBreakBefore w:val="0"/>
              <w:widowControl/>
              <w:kinsoku/>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设第i个室外声源在预测点产生的A声级为</w:t>
            </w:r>
            <w:r>
              <w:rPr>
                <w:rFonts w:hint="default" w:ascii="Times New Roman" w:hAnsi="Times New Roman" w:eastAsia="宋体" w:cs="Times New Roman"/>
                <w:i/>
                <w:iCs/>
                <w:color w:val="auto"/>
                <w:sz w:val="24"/>
                <w:lang w:eastAsia="zh-CN"/>
              </w:rPr>
              <w:t>L</w:t>
            </w:r>
            <w:r>
              <w:rPr>
                <w:rFonts w:hint="default" w:ascii="Times New Roman" w:hAnsi="Times New Roman" w:eastAsia="宋体" w:cs="Times New Roman"/>
                <w:i/>
                <w:iCs/>
                <w:color w:val="auto"/>
                <w:sz w:val="24"/>
                <w:vertAlign w:val="subscript"/>
                <w:lang w:eastAsia="zh-CN"/>
              </w:rPr>
              <w:t>Ain,i</w:t>
            </w:r>
            <w:r>
              <w:rPr>
                <w:rFonts w:hint="default" w:ascii="Times New Roman" w:hAnsi="Times New Roman" w:eastAsia="宋体" w:cs="Times New Roman"/>
                <w:color w:val="auto"/>
                <w:sz w:val="24"/>
                <w:lang w:eastAsia="zh-CN"/>
              </w:rPr>
              <w:t>，在T时间内该声源工作时间为</w:t>
            </w:r>
            <w:r>
              <w:rPr>
                <w:rFonts w:hint="default" w:ascii="Times New Roman" w:hAnsi="Times New Roman" w:eastAsia="宋体" w:cs="Times New Roman"/>
                <w:i/>
                <w:iCs/>
                <w:color w:val="auto"/>
                <w:sz w:val="24"/>
                <w:lang w:eastAsia="zh-CN"/>
              </w:rPr>
              <w:t>t</w:t>
            </w:r>
            <w:r>
              <w:rPr>
                <w:rFonts w:hint="default" w:ascii="Times New Roman" w:hAnsi="Times New Roman" w:eastAsia="宋体" w:cs="Times New Roman"/>
                <w:i/>
                <w:iCs/>
                <w:color w:val="auto"/>
                <w:sz w:val="24"/>
                <w:vertAlign w:val="subscript"/>
                <w:lang w:eastAsia="zh-CN"/>
              </w:rPr>
              <w:t>in,i</w:t>
            </w:r>
            <w:r>
              <w:rPr>
                <w:rFonts w:hint="default" w:ascii="Times New Roman" w:hAnsi="Times New Roman" w:eastAsia="宋体" w:cs="Times New Roman"/>
                <w:color w:val="auto"/>
                <w:sz w:val="24"/>
                <w:lang w:eastAsia="zh-CN"/>
              </w:rPr>
              <w:t>；第j个等效室外声源在预测点产生的A声级为</w:t>
            </w:r>
            <w:r>
              <w:rPr>
                <w:rFonts w:hint="default" w:ascii="Times New Roman" w:hAnsi="Times New Roman" w:eastAsia="宋体" w:cs="Times New Roman"/>
                <w:i/>
                <w:iCs/>
                <w:color w:val="auto"/>
                <w:sz w:val="24"/>
                <w:lang w:eastAsia="zh-CN"/>
              </w:rPr>
              <w:t>L</w:t>
            </w:r>
            <w:r>
              <w:rPr>
                <w:rFonts w:hint="default" w:ascii="Times New Roman" w:hAnsi="Times New Roman" w:eastAsia="宋体" w:cs="Times New Roman"/>
                <w:i/>
                <w:iCs/>
                <w:color w:val="auto"/>
                <w:sz w:val="24"/>
                <w:vertAlign w:val="subscript"/>
                <w:lang w:eastAsia="zh-CN"/>
              </w:rPr>
              <w:t>Aout,j</w:t>
            </w:r>
            <w:r>
              <w:rPr>
                <w:rFonts w:hint="default" w:ascii="Times New Roman" w:hAnsi="Times New Roman" w:eastAsia="宋体" w:cs="Times New Roman"/>
                <w:color w:val="auto"/>
                <w:sz w:val="24"/>
                <w:lang w:eastAsia="zh-CN"/>
              </w:rPr>
              <w:t>，在T时间内该声源工作时间为</w:t>
            </w:r>
            <w:r>
              <w:rPr>
                <w:rFonts w:hint="default" w:ascii="Times New Roman" w:hAnsi="Times New Roman" w:eastAsia="宋体" w:cs="Times New Roman"/>
                <w:i/>
                <w:iCs/>
                <w:color w:val="auto"/>
                <w:sz w:val="24"/>
                <w:lang w:eastAsia="zh-CN"/>
              </w:rPr>
              <w:t>t</w:t>
            </w:r>
            <w:r>
              <w:rPr>
                <w:rFonts w:hint="default" w:ascii="Times New Roman" w:hAnsi="Times New Roman" w:eastAsia="宋体" w:cs="Times New Roman"/>
                <w:i/>
                <w:iCs/>
                <w:color w:val="auto"/>
                <w:sz w:val="24"/>
                <w:vertAlign w:val="subscript"/>
                <w:lang w:eastAsia="zh-CN"/>
              </w:rPr>
              <w:t>out,j</w:t>
            </w:r>
            <w:r>
              <w:rPr>
                <w:rFonts w:hint="default" w:ascii="Times New Roman" w:hAnsi="Times New Roman" w:eastAsia="宋体" w:cs="Times New Roman"/>
                <w:color w:val="auto"/>
                <w:sz w:val="24"/>
                <w:lang w:eastAsia="zh-CN"/>
              </w:rPr>
              <w:t>，则预测点的总等效声级为：</w:t>
            </w:r>
          </w:p>
          <w:p w14:paraId="444FC716">
            <w:pPr>
              <w:pageBreakBefore w:val="0"/>
              <w:widowControl/>
              <w:kinsoku/>
              <w:overflowPunct/>
              <w:topLinePunct w:val="0"/>
              <w:autoSpaceDE w:val="0"/>
              <w:autoSpaceDN w:val="0"/>
              <w:bidi w:val="0"/>
              <w:adjustRightInd/>
              <w:snapToGrid/>
              <w:spacing w:line="360" w:lineRule="auto"/>
              <w:jc w:val="center"/>
              <w:textAlignment w:val="baseline"/>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drawing>
                <wp:inline distT="0" distB="0" distL="114300" distR="114300">
                  <wp:extent cx="3409315" cy="485775"/>
                  <wp:effectExtent l="0" t="0" r="635" b="8890"/>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27"/>
                          <a:stretch>
                            <a:fillRect/>
                          </a:stretch>
                        </pic:blipFill>
                        <pic:spPr>
                          <a:xfrm>
                            <a:off x="0" y="0"/>
                            <a:ext cx="3409315" cy="485775"/>
                          </a:xfrm>
                          <a:prstGeom prst="rect">
                            <a:avLst/>
                          </a:prstGeom>
                          <a:noFill/>
                          <a:ln>
                            <a:noFill/>
                          </a:ln>
                        </pic:spPr>
                      </pic:pic>
                    </a:graphicData>
                  </a:graphic>
                </wp:inline>
              </w:drawing>
            </w:r>
          </w:p>
          <w:p w14:paraId="439560A6">
            <w:pPr>
              <w:pageBreakBefore w:val="0"/>
              <w:widowControl/>
              <w:kinsoku/>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bCs/>
                <w:color w:val="auto"/>
                <w:spacing w:val="8"/>
                <w:sz w:val="24"/>
                <w:lang w:eastAsia="zh-CN"/>
              </w:rPr>
            </w:pPr>
            <w:r>
              <w:rPr>
                <w:rFonts w:hint="default" w:ascii="Times New Roman" w:hAnsi="Times New Roman" w:eastAsia="宋体" w:cs="Times New Roman"/>
                <w:color w:val="auto"/>
                <w:sz w:val="24"/>
                <w:lang w:eastAsia="zh-CN"/>
              </w:rPr>
              <w:t>式中：T为计算等效声级的时间，N为室外声源个数，M为等效室外声源个数。</w:t>
            </w:r>
          </w:p>
          <w:p w14:paraId="54A99FFD">
            <w:pPr>
              <w:pStyle w:val="60"/>
              <w:pageBreakBefore w:val="0"/>
              <w:widowControl/>
              <w:kinsoku/>
              <w:overflowPunct/>
              <w:topLinePunct w:val="0"/>
              <w:autoSpaceDE w:val="0"/>
              <w:autoSpaceDN w:val="0"/>
              <w:bidi w:val="0"/>
              <w:adjustRightInd/>
              <w:snapToGrid/>
              <w:spacing w:before="0" w:line="360" w:lineRule="auto"/>
              <w:ind w:firstLine="480" w:firstLineChars="200"/>
              <w:textAlignment w:val="baseline"/>
              <w:rPr>
                <w:rFonts w:hint="default" w:ascii="Times New Roman" w:hAnsi="Times New Roman" w:eastAsia="宋体" w:cs="Times New Roman"/>
                <w:color w:val="auto"/>
                <w:kern w:val="2"/>
                <w:sz w:val="24"/>
                <w:lang w:eastAsia="zh-CN"/>
              </w:rPr>
            </w:pPr>
            <w:r>
              <w:rPr>
                <w:rFonts w:hint="default" w:ascii="Times New Roman" w:hAnsi="Times New Roman" w:eastAsia="宋体" w:cs="Times New Roman"/>
                <w:color w:val="auto"/>
                <w:kern w:val="2"/>
                <w:sz w:val="24"/>
                <w:lang w:eastAsia="zh-CN"/>
              </w:rPr>
              <w:t>（4）预测结果</w:t>
            </w:r>
          </w:p>
          <w:p w14:paraId="0A6B8508">
            <w:pPr>
              <w:pStyle w:val="60"/>
              <w:pageBreakBefore w:val="0"/>
              <w:widowControl/>
              <w:kinsoku/>
              <w:overflowPunct/>
              <w:topLinePunct w:val="0"/>
              <w:autoSpaceDE w:val="0"/>
              <w:autoSpaceDN w:val="0"/>
              <w:bidi w:val="0"/>
              <w:adjustRightInd/>
              <w:snapToGrid/>
              <w:spacing w:before="0" w:line="360" w:lineRule="auto"/>
              <w:ind w:firstLine="480" w:firstLineChars="200"/>
              <w:textAlignment w:val="baseline"/>
              <w:rPr>
                <w:rFonts w:hint="default" w:ascii="Times New Roman" w:hAnsi="Times New Roman" w:eastAsia="宋体" w:cs="Times New Roman"/>
                <w:color w:val="auto"/>
                <w:kern w:val="2"/>
                <w:sz w:val="24"/>
                <w:lang w:eastAsia="zh-CN"/>
              </w:rPr>
            </w:pPr>
            <w:r>
              <w:rPr>
                <w:rFonts w:hint="default" w:ascii="Times New Roman" w:hAnsi="Times New Roman" w:eastAsia="宋体" w:cs="Times New Roman"/>
                <w:color w:val="auto"/>
                <w:kern w:val="2"/>
                <w:sz w:val="24"/>
                <w:lang w:eastAsia="zh-CN"/>
              </w:rPr>
              <w:t>项目噪声预测结果见下表。</w:t>
            </w:r>
          </w:p>
          <w:p w14:paraId="59DB2865">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auto"/>
                <w:sz w:val="24"/>
                <w:lang w:eastAsia="zh-CN"/>
              </w:rPr>
            </w:pPr>
            <w:r>
              <w:rPr>
                <w:rFonts w:hint="default" w:ascii="Times New Roman" w:hAnsi="Times New Roman" w:eastAsia="宋体" w:cs="Times New Roman"/>
                <w:b/>
                <w:bCs/>
                <w:color w:val="auto"/>
                <w:sz w:val="24"/>
                <w:lang w:eastAsia="zh-CN"/>
              </w:rPr>
              <w:t>表4-</w:t>
            </w:r>
            <w:r>
              <w:rPr>
                <w:rFonts w:hint="default" w:ascii="Times New Roman" w:hAnsi="Times New Roman" w:eastAsia="宋体" w:cs="Times New Roman"/>
                <w:b/>
                <w:bCs/>
                <w:color w:val="auto"/>
                <w:sz w:val="24"/>
                <w:lang w:val="en-US" w:eastAsia="zh-CN"/>
              </w:rPr>
              <w:t>9</w:t>
            </w:r>
            <w:r>
              <w:rPr>
                <w:rFonts w:hint="default" w:ascii="Times New Roman" w:hAnsi="Times New Roman" w:eastAsia="宋体" w:cs="Times New Roman"/>
                <w:b/>
                <w:bCs/>
                <w:color w:val="auto"/>
                <w:sz w:val="24"/>
                <w:lang w:eastAsia="zh-CN"/>
              </w:rPr>
              <w:t>噪声预测结果单位：dB（A）</w:t>
            </w:r>
          </w:p>
          <w:tbl>
            <w:tblPr>
              <w:tblStyle w:val="44"/>
              <w:tblW w:w="8152"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6"/>
              <w:gridCol w:w="779"/>
              <w:gridCol w:w="679"/>
              <w:gridCol w:w="750"/>
              <w:gridCol w:w="841"/>
              <w:gridCol w:w="704"/>
              <w:gridCol w:w="764"/>
              <w:gridCol w:w="732"/>
              <w:gridCol w:w="780"/>
              <w:gridCol w:w="697"/>
            </w:tblGrid>
            <w:tr w14:paraId="59F31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 w:hRule="atLeast"/>
              </w:trPr>
              <w:tc>
                <w:tcPr>
                  <w:tcW w:w="1426" w:type="dxa"/>
                  <w:vMerge w:val="restart"/>
                  <w:tcBorders>
                    <w:bottom w:val="nil"/>
                  </w:tcBorders>
                  <w:vAlign w:val="center"/>
                </w:tcPr>
                <w:p w14:paraId="7620C3AD">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位置</w:t>
                  </w:r>
                </w:p>
              </w:tc>
              <w:tc>
                <w:tcPr>
                  <w:tcW w:w="1458" w:type="dxa"/>
                  <w:gridSpan w:val="2"/>
                  <w:vAlign w:val="center"/>
                </w:tcPr>
                <w:p w14:paraId="11A0C779">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本底值</w:t>
                  </w:r>
                </w:p>
              </w:tc>
              <w:tc>
                <w:tcPr>
                  <w:tcW w:w="1591" w:type="dxa"/>
                  <w:gridSpan w:val="2"/>
                  <w:vAlign w:val="center"/>
                </w:tcPr>
                <w:p w14:paraId="57BB372E">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预测值</w:t>
                  </w:r>
                </w:p>
              </w:tc>
              <w:tc>
                <w:tcPr>
                  <w:tcW w:w="1468" w:type="dxa"/>
                  <w:gridSpan w:val="2"/>
                  <w:vAlign w:val="center"/>
                </w:tcPr>
                <w:p w14:paraId="0574A14A">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贡献值</w:t>
                  </w:r>
                </w:p>
              </w:tc>
              <w:tc>
                <w:tcPr>
                  <w:tcW w:w="1512" w:type="dxa"/>
                  <w:gridSpan w:val="2"/>
                  <w:vAlign w:val="center"/>
                </w:tcPr>
                <w:p w14:paraId="318A0779">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评价标准</w:t>
                  </w:r>
                </w:p>
              </w:tc>
              <w:tc>
                <w:tcPr>
                  <w:tcW w:w="697" w:type="dxa"/>
                  <w:vMerge w:val="restart"/>
                  <w:tcBorders>
                    <w:bottom w:val="nil"/>
                  </w:tcBorders>
                  <w:vAlign w:val="center"/>
                </w:tcPr>
                <w:p w14:paraId="47BA0E29">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达标 情况</w:t>
                  </w:r>
                </w:p>
              </w:tc>
            </w:tr>
            <w:tr w14:paraId="2843D8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1426" w:type="dxa"/>
                  <w:vMerge w:val="continue"/>
                  <w:tcBorders>
                    <w:top w:val="nil"/>
                  </w:tcBorders>
                  <w:vAlign w:val="top"/>
                </w:tcPr>
                <w:p w14:paraId="4D3F3712">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auto"/>
                      <w:lang w:val="en-US" w:eastAsia="zh-CN"/>
                    </w:rPr>
                  </w:pPr>
                </w:p>
              </w:tc>
              <w:tc>
                <w:tcPr>
                  <w:tcW w:w="779" w:type="dxa"/>
                  <w:vAlign w:val="top"/>
                </w:tcPr>
                <w:p w14:paraId="0E49E582">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昼间</w:t>
                  </w:r>
                </w:p>
              </w:tc>
              <w:tc>
                <w:tcPr>
                  <w:tcW w:w="679" w:type="dxa"/>
                  <w:vAlign w:val="top"/>
                </w:tcPr>
                <w:p w14:paraId="0851CC93">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夜间</w:t>
                  </w:r>
                </w:p>
              </w:tc>
              <w:tc>
                <w:tcPr>
                  <w:tcW w:w="750" w:type="dxa"/>
                  <w:vAlign w:val="top"/>
                </w:tcPr>
                <w:p w14:paraId="3FD6928D">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昼间</w:t>
                  </w:r>
                </w:p>
              </w:tc>
              <w:tc>
                <w:tcPr>
                  <w:tcW w:w="841" w:type="dxa"/>
                  <w:vAlign w:val="top"/>
                </w:tcPr>
                <w:p w14:paraId="0FFE78A9">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夜间</w:t>
                  </w:r>
                </w:p>
              </w:tc>
              <w:tc>
                <w:tcPr>
                  <w:tcW w:w="704" w:type="dxa"/>
                  <w:vAlign w:val="top"/>
                </w:tcPr>
                <w:p w14:paraId="1C69FAB5">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昼间</w:t>
                  </w:r>
                </w:p>
              </w:tc>
              <w:tc>
                <w:tcPr>
                  <w:tcW w:w="764" w:type="dxa"/>
                  <w:vAlign w:val="top"/>
                </w:tcPr>
                <w:p w14:paraId="5E1FF3D2">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夜间</w:t>
                  </w:r>
                </w:p>
              </w:tc>
              <w:tc>
                <w:tcPr>
                  <w:tcW w:w="732" w:type="dxa"/>
                  <w:vAlign w:val="top"/>
                </w:tcPr>
                <w:p w14:paraId="5B648E0A">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昼间</w:t>
                  </w:r>
                </w:p>
              </w:tc>
              <w:tc>
                <w:tcPr>
                  <w:tcW w:w="780" w:type="dxa"/>
                  <w:vAlign w:val="top"/>
                </w:tcPr>
                <w:p w14:paraId="674380FF">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夜间</w:t>
                  </w:r>
                </w:p>
              </w:tc>
              <w:tc>
                <w:tcPr>
                  <w:tcW w:w="697" w:type="dxa"/>
                  <w:vMerge w:val="continue"/>
                  <w:tcBorders>
                    <w:top w:val="nil"/>
                  </w:tcBorders>
                  <w:vAlign w:val="top"/>
                </w:tcPr>
                <w:p w14:paraId="0E9F1FB4">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lang w:val="en-US" w:eastAsia="zh-CN"/>
                    </w:rPr>
                  </w:pPr>
                </w:p>
              </w:tc>
            </w:tr>
            <w:tr w14:paraId="6A088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426" w:type="dxa"/>
                  <w:vAlign w:val="center"/>
                </w:tcPr>
                <w:p w14:paraId="63832B36">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厂界东侧</w:t>
                  </w:r>
                </w:p>
              </w:tc>
              <w:tc>
                <w:tcPr>
                  <w:tcW w:w="779" w:type="dxa"/>
                  <w:vAlign w:val="center"/>
                </w:tcPr>
                <w:p w14:paraId="3C05D719">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56.5</w:t>
                  </w:r>
                </w:p>
              </w:tc>
              <w:tc>
                <w:tcPr>
                  <w:tcW w:w="679" w:type="dxa"/>
                  <w:shd w:val="clear" w:color="auto" w:fill="auto"/>
                  <w:vAlign w:val="center"/>
                </w:tcPr>
                <w:p w14:paraId="5D2A0311">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lang w:val="en-US" w:eastAsia="zh-CN"/>
                    </w:rPr>
                    <w:t>/</w:t>
                  </w:r>
                </w:p>
              </w:tc>
              <w:tc>
                <w:tcPr>
                  <w:tcW w:w="750" w:type="dxa"/>
                  <w:shd w:val="clear" w:color="auto" w:fill="auto"/>
                  <w:vAlign w:val="center"/>
                </w:tcPr>
                <w:p w14:paraId="6CF51FD5">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lang w:val="en-US" w:eastAsia="zh-CN"/>
                    </w:rPr>
                    <w:t>45.52</w:t>
                  </w:r>
                </w:p>
              </w:tc>
              <w:tc>
                <w:tcPr>
                  <w:tcW w:w="841" w:type="dxa"/>
                  <w:shd w:val="clear" w:color="auto" w:fill="auto"/>
                  <w:vAlign w:val="center"/>
                </w:tcPr>
                <w:p w14:paraId="0880191A">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lang w:val="en-US" w:eastAsia="zh-CN"/>
                    </w:rPr>
                    <w:t>/</w:t>
                  </w:r>
                </w:p>
              </w:tc>
              <w:tc>
                <w:tcPr>
                  <w:tcW w:w="704" w:type="dxa"/>
                  <w:vAlign w:val="center"/>
                </w:tcPr>
                <w:p w14:paraId="736ACADD">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56.83</w:t>
                  </w:r>
                </w:p>
              </w:tc>
              <w:tc>
                <w:tcPr>
                  <w:tcW w:w="764" w:type="dxa"/>
                  <w:shd w:val="clear" w:color="auto" w:fill="auto"/>
                  <w:vAlign w:val="center"/>
                </w:tcPr>
                <w:p w14:paraId="7FC08CB2">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lang w:val="en-US" w:eastAsia="zh-CN"/>
                    </w:rPr>
                    <w:t>/</w:t>
                  </w:r>
                </w:p>
              </w:tc>
              <w:tc>
                <w:tcPr>
                  <w:tcW w:w="732" w:type="dxa"/>
                  <w:vAlign w:val="center"/>
                </w:tcPr>
                <w:p w14:paraId="6B80753E">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60</w:t>
                  </w:r>
                </w:p>
              </w:tc>
              <w:tc>
                <w:tcPr>
                  <w:tcW w:w="780" w:type="dxa"/>
                  <w:vAlign w:val="center"/>
                </w:tcPr>
                <w:p w14:paraId="57E72650">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50</w:t>
                  </w:r>
                </w:p>
              </w:tc>
              <w:tc>
                <w:tcPr>
                  <w:tcW w:w="697" w:type="dxa"/>
                  <w:vAlign w:val="center"/>
                </w:tcPr>
                <w:p w14:paraId="3A6BA229">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达标</w:t>
                  </w:r>
                </w:p>
              </w:tc>
            </w:tr>
            <w:tr w14:paraId="63323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426" w:type="dxa"/>
                  <w:vAlign w:val="center"/>
                </w:tcPr>
                <w:p w14:paraId="1698FA77">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厂界南侧</w:t>
                  </w:r>
                </w:p>
              </w:tc>
              <w:tc>
                <w:tcPr>
                  <w:tcW w:w="779" w:type="dxa"/>
                  <w:vAlign w:val="center"/>
                </w:tcPr>
                <w:p w14:paraId="60A9C44D">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56.0</w:t>
                  </w:r>
                </w:p>
              </w:tc>
              <w:tc>
                <w:tcPr>
                  <w:tcW w:w="679" w:type="dxa"/>
                  <w:shd w:val="clear" w:color="auto" w:fill="auto"/>
                  <w:vAlign w:val="center"/>
                </w:tcPr>
                <w:p w14:paraId="63B85819">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lang w:val="en-US" w:eastAsia="zh-CN"/>
                    </w:rPr>
                    <w:t>/</w:t>
                  </w:r>
                </w:p>
              </w:tc>
              <w:tc>
                <w:tcPr>
                  <w:tcW w:w="750" w:type="dxa"/>
                  <w:shd w:val="clear" w:color="auto" w:fill="auto"/>
                  <w:vAlign w:val="center"/>
                </w:tcPr>
                <w:p w14:paraId="6F9527A5">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lang w:val="en-US" w:eastAsia="zh-CN"/>
                    </w:rPr>
                    <w:t>45.55</w:t>
                  </w:r>
                </w:p>
              </w:tc>
              <w:tc>
                <w:tcPr>
                  <w:tcW w:w="841" w:type="dxa"/>
                  <w:shd w:val="clear" w:color="auto" w:fill="auto"/>
                  <w:vAlign w:val="center"/>
                </w:tcPr>
                <w:p w14:paraId="066C6B76">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lang w:val="en-US" w:eastAsia="zh-CN"/>
                    </w:rPr>
                    <w:t>/</w:t>
                  </w:r>
                </w:p>
              </w:tc>
              <w:tc>
                <w:tcPr>
                  <w:tcW w:w="704" w:type="dxa"/>
                  <w:vAlign w:val="center"/>
                </w:tcPr>
                <w:p w14:paraId="50B56691">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56.37</w:t>
                  </w:r>
                </w:p>
              </w:tc>
              <w:tc>
                <w:tcPr>
                  <w:tcW w:w="764" w:type="dxa"/>
                  <w:shd w:val="clear" w:color="auto" w:fill="auto"/>
                  <w:vAlign w:val="center"/>
                </w:tcPr>
                <w:p w14:paraId="4EEC6BA6">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lang w:val="en-US" w:eastAsia="zh-CN"/>
                    </w:rPr>
                    <w:t>/</w:t>
                  </w:r>
                </w:p>
              </w:tc>
              <w:tc>
                <w:tcPr>
                  <w:tcW w:w="732" w:type="dxa"/>
                  <w:vAlign w:val="center"/>
                </w:tcPr>
                <w:p w14:paraId="5D11CE67">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60</w:t>
                  </w:r>
                </w:p>
              </w:tc>
              <w:tc>
                <w:tcPr>
                  <w:tcW w:w="780" w:type="dxa"/>
                  <w:vAlign w:val="center"/>
                </w:tcPr>
                <w:p w14:paraId="52484832">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50</w:t>
                  </w:r>
                </w:p>
              </w:tc>
              <w:tc>
                <w:tcPr>
                  <w:tcW w:w="697" w:type="dxa"/>
                  <w:vAlign w:val="center"/>
                </w:tcPr>
                <w:p w14:paraId="75B6C7B0">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达标</w:t>
                  </w:r>
                </w:p>
              </w:tc>
            </w:tr>
            <w:tr w14:paraId="2B67E0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426" w:type="dxa"/>
                  <w:vAlign w:val="center"/>
                </w:tcPr>
                <w:p w14:paraId="3B742959">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厂界西侧</w:t>
                  </w:r>
                </w:p>
              </w:tc>
              <w:tc>
                <w:tcPr>
                  <w:tcW w:w="779" w:type="dxa"/>
                  <w:vAlign w:val="center"/>
                </w:tcPr>
                <w:p w14:paraId="78C3C30F">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55.6</w:t>
                  </w:r>
                </w:p>
              </w:tc>
              <w:tc>
                <w:tcPr>
                  <w:tcW w:w="679" w:type="dxa"/>
                  <w:shd w:val="clear" w:color="auto" w:fill="auto"/>
                  <w:vAlign w:val="center"/>
                </w:tcPr>
                <w:p w14:paraId="75B1B33C">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lang w:val="en-US" w:eastAsia="zh-CN"/>
                    </w:rPr>
                    <w:t>/</w:t>
                  </w:r>
                </w:p>
              </w:tc>
              <w:tc>
                <w:tcPr>
                  <w:tcW w:w="750" w:type="dxa"/>
                  <w:shd w:val="clear" w:color="auto" w:fill="auto"/>
                  <w:vAlign w:val="center"/>
                </w:tcPr>
                <w:p w14:paraId="440747B3">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lang w:val="en-US" w:eastAsia="zh-CN"/>
                    </w:rPr>
                    <w:t>46.36</w:t>
                  </w:r>
                </w:p>
              </w:tc>
              <w:tc>
                <w:tcPr>
                  <w:tcW w:w="841" w:type="dxa"/>
                  <w:shd w:val="clear" w:color="auto" w:fill="auto"/>
                  <w:vAlign w:val="center"/>
                </w:tcPr>
                <w:p w14:paraId="4F16D339">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lang w:val="en-US" w:eastAsia="zh-CN"/>
                    </w:rPr>
                    <w:t>/</w:t>
                  </w:r>
                </w:p>
              </w:tc>
              <w:tc>
                <w:tcPr>
                  <w:tcW w:w="704" w:type="dxa"/>
                  <w:vAlign w:val="center"/>
                </w:tcPr>
                <w:p w14:paraId="5CC0D5B0">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56.09</w:t>
                  </w:r>
                </w:p>
              </w:tc>
              <w:tc>
                <w:tcPr>
                  <w:tcW w:w="764" w:type="dxa"/>
                  <w:shd w:val="clear" w:color="auto" w:fill="auto"/>
                  <w:vAlign w:val="center"/>
                </w:tcPr>
                <w:p w14:paraId="18BB2D7A">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lang w:val="en-US" w:eastAsia="zh-CN"/>
                    </w:rPr>
                    <w:t>/</w:t>
                  </w:r>
                </w:p>
              </w:tc>
              <w:tc>
                <w:tcPr>
                  <w:tcW w:w="732" w:type="dxa"/>
                  <w:vAlign w:val="center"/>
                </w:tcPr>
                <w:p w14:paraId="3C069399">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60</w:t>
                  </w:r>
                </w:p>
              </w:tc>
              <w:tc>
                <w:tcPr>
                  <w:tcW w:w="780" w:type="dxa"/>
                  <w:vAlign w:val="center"/>
                </w:tcPr>
                <w:p w14:paraId="4B1C2484">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50</w:t>
                  </w:r>
                </w:p>
              </w:tc>
              <w:tc>
                <w:tcPr>
                  <w:tcW w:w="697" w:type="dxa"/>
                  <w:vAlign w:val="center"/>
                </w:tcPr>
                <w:p w14:paraId="6C0B2EAA">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达标</w:t>
                  </w:r>
                </w:p>
              </w:tc>
            </w:tr>
            <w:tr w14:paraId="236AC3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426" w:type="dxa"/>
                  <w:vAlign w:val="center"/>
                </w:tcPr>
                <w:p w14:paraId="6471FD7B">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厂界北侧</w:t>
                  </w:r>
                </w:p>
              </w:tc>
              <w:tc>
                <w:tcPr>
                  <w:tcW w:w="779" w:type="dxa"/>
                  <w:vAlign w:val="center"/>
                </w:tcPr>
                <w:p w14:paraId="7C46D43E">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55.9</w:t>
                  </w:r>
                </w:p>
              </w:tc>
              <w:tc>
                <w:tcPr>
                  <w:tcW w:w="679" w:type="dxa"/>
                  <w:shd w:val="clear" w:color="auto" w:fill="auto"/>
                  <w:vAlign w:val="center"/>
                </w:tcPr>
                <w:p w14:paraId="713B8D63">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lang w:val="en-US" w:eastAsia="zh-CN"/>
                    </w:rPr>
                    <w:t>/</w:t>
                  </w:r>
                </w:p>
              </w:tc>
              <w:tc>
                <w:tcPr>
                  <w:tcW w:w="750" w:type="dxa"/>
                  <w:shd w:val="clear" w:color="auto" w:fill="auto"/>
                  <w:vAlign w:val="center"/>
                </w:tcPr>
                <w:p w14:paraId="4A3F6D1E">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lang w:val="en-US" w:eastAsia="zh-CN"/>
                    </w:rPr>
                    <w:t>45.86</w:t>
                  </w:r>
                </w:p>
              </w:tc>
              <w:tc>
                <w:tcPr>
                  <w:tcW w:w="841" w:type="dxa"/>
                  <w:shd w:val="clear" w:color="auto" w:fill="auto"/>
                  <w:vAlign w:val="center"/>
                </w:tcPr>
                <w:p w14:paraId="672C2580">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lang w:val="en-US" w:eastAsia="zh-CN"/>
                    </w:rPr>
                    <w:t>/</w:t>
                  </w:r>
                </w:p>
              </w:tc>
              <w:tc>
                <w:tcPr>
                  <w:tcW w:w="704" w:type="dxa"/>
                  <w:vAlign w:val="center"/>
                </w:tcPr>
                <w:p w14:paraId="73E906A8">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56.31</w:t>
                  </w:r>
                </w:p>
              </w:tc>
              <w:tc>
                <w:tcPr>
                  <w:tcW w:w="764" w:type="dxa"/>
                  <w:shd w:val="clear" w:color="auto" w:fill="auto"/>
                  <w:vAlign w:val="center"/>
                </w:tcPr>
                <w:p w14:paraId="5E27C8B5">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lang w:val="en-US" w:eastAsia="zh-CN"/>
                    </w:rPr>
                    <w:t>/</w:t>
                  </w:r>
                </w:p>
              </w:tc>
              <w:tc>
                <w:tcPr>
                  <w:tcW w:w="732" w:type="dxa"/>
                  <w:vAlign w:val="center"/>
                </w:tcPr>
                <w:p w14:paraId="0BFCB317">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60</w:t>
                  </w:r>
                </w:p>
              </w:tc>
              <w:tc>
                <w:tcPr>
                  <w:tcW w:w="780" w:type="dxa"/>
                  <w:vAlign w:val="center"/>
                </w:tcPr>
                <w:p w14:paraId="1D332172">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50</w:t>
                  </w:r>
                </w:p>
              </w:tc>
              <w:tc>
                <w:tcPr>
                  <w:tcW w:w="697" w:type="dxa"/>
                  <w:vAlign w:val="center"/>
                </w:tcPr>
                <w:p w14:paraId="2A12A5DA">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达标</w:t>
                  </w:r>
                </w:p>
              </w:tc>
            </w:tr>
            <w:tr w14:paraId="2B0D37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 w:hRule="atLeast"/>
              </w:trPr>
              <w:tc>
                <w:tcPr>
                  <w:tcW w:w="8152" w:type="dxa"/>
                  <w:gridSpan w:val="10"/>
                  <w:vAlign w:val="center"/>
                </w:tcPr>
                <w:p w14:paraId="2E0130B1">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注：背景值取现有项目监测最大值</w:t>
                  </w:r>
                </w:p>
              </w:tc>
            </w:tr>
          </w:tbl>
          <w:p w14:paraId="565A1939">
            <w:pPr>
              <w:pStyle w:val="60"/>
              <w:pageBreakBefore w:val="0"/>
              <w:widowControl/>
              <w:kinsoku/>
              <w:overflowPunct/>
              <w:topLinePunct w:val="0"/>
              <w:autoSpaceDE w:val="0"/>
              <w:autoSpaceDN w:val="0"/>
              <w:bidi w:val="0"/>
              <w:adjustRightInd/>
              <w:snapToGrid/>
              <w:spacing w:before="0" w:line="360" w:lineRule="auto"/>
              <w:ind w:firstLine="480" w:firstLineChars="200"/>
              <w:textAlignment w:val="baseline"/>
              <w:rPr>
                <w:rFonts w:hint="default" w:ascii="Times New Roman" w:hAnsi="Times New Roman" w:eastAsia="宋体" w:cs="Times New Roman"/>
                <w:b/>
                <w:bCs/>
                <w:color w:val="auto"/>
                <w:kern w:val="2"/>
                <w:sz w:val="24"/>
                <w:lang w:val="en-US" w:eastAsia="zh-CN"/>
              </w:rPr>
            </w:pPr>
            <w:r>
              <w:rPr>
                <w:rFonts w:hint="default" w:ascii="Times New Roman" w:hAnsi="Times New Roman" w:eastAsia="宋体" w:cs="Times New Roman"/>
                <w:color w:val="auto"/>
                <w:kern w:val="2"/>
                <w:sz w:val="24"/>
                <w:lang w:eastAsia="zh-CN"/>
              </w:rPr>
              <w:t>根据预测结果可知，经以上防护措施及墙体隔声和距离的自然衰减等措施后，四个厂界均能够满足《工业企业厂界环境噪声排放标准》（GB12348-2008）中</w:t>
            </w:r>
            <w:r>
              <w:rPr>
                <w:rFonts w:hint="default" w:ascii="Times New Roman" w:hAnsi="Times New Roman" w:eastAsia="宋体" w:cs="Times New Roman"/>
                <w:color w:val="auto"/>
                <w:kern w:val="2"/>
                <w:sz w:val="24"/>
                <w:lang w:val="en-US" w:eastAsia="zh-CN"/>
              </w:rPr>
              <w:t>2</w:t>
            </w:r>
            <w:r>
              <w:rPr>
                <w:rFonts w:hint="default" w:ascii="Times New Roman" w:hAnsi="Times New Roman" w:eastAsia="宋体" w:cs="Times New Roman"/>
                <w:color w:val="auto"/>
                <w:kern w:val="2"/>
                <w:sz w:val="24"/>
                <w:lang w:eastAsia="zh-CN"/>
              </w:rPr>
              <w:t>类标准要求，不会对周围声环境及内部造成明显影响。</w:t>
            </w:r>
          </w:p>
          <w:p w14:paraId="6C712C93">
            <w:pPr>
              <w:pStyle w:val="60"/>
              <w:keepNext w:val="0"/>
              <w:keepLines w:val="0"/>
              <w:pageBreakBefore w:val="0"/>
              <w:widowControl/>
              <w:kinsoku/>
              <w:wordWrap/>
              <w:overflowPunct/>
              <w:topLinePunct w:val="0"/>
              <w:autoSpaceDE w:val="0"/>
              <w:autoSpaceDN w:val="0"/>
              <w:bidi w:val="0"/>
              <w:adjustRightInd/>
              <w:snapToGrid/>
              <w:spacing w:before="0" w:line="360" w:lineRule="auto"/>
              <w:ind w:firstLine="0"/>
              <w:textAlignment w:val="baseline"/>
              <w:rPr>
                <w:rFonts w:hint="default" w:ascii="Times New Roman" w:hAnsi="Times New Roman" w:eastAsia="宋体" w:cs="Times New Roman"/>
                <w:b/>
                <w:bCs/>
                <w:color w:val="auto"/>
                <w:kern w:val="2"/>
                <w:sz w:val="24"/>
                <w:lang w:eastAsia="zh-CN"/>
              </w:rPr>
            </w:pPr>
          </w:p>
          <w:p w14:paraId="2956FF30">
            <w:pPr>
              <w:pStyle w:val="60"/>
              <w:keepNext w:val="0"/>
              <w:keepLines w:val="0"/>
              <w:pageBreakBefore w:val="0"/>
              <w:widowControl/>
              <w:kinsoku/>
              <w:wordWrap/>
              <w:overflowPunct/>
              <w:topLinePunct w:val="0"/>
              <w:autoSpaceDE w:val="0"/>
              <w:autoSpaceDN w:val="0"/>
              <w:bidi w:val="0"/>
              <w:adjustRightInd/>
              <w:snapToGrid/>
              <w:spacing w:before="0" w:line="360" w:lineRule="auto"/>
              <w:ind w:firstLine="0"/>
              <w:textAlignment w:val="baseline"/>
              <w:rPr>
                <w:rFonts w:hint="default" w:ascii="Times New Roman" w:hAnsi="Times New Roman" w:eastAsia="宋体" w:cs="Times New Roman"/>
                <w:b/>
                <w:bCs/>
                <w:color w:val="0000FF"/>
                <w:kern w:val="2"/>
                <w:sz w:val="24"/>
                <w:lang w:eastAsia="zh-CN"/>
              </w:rPr>
            </w:pPr>
          </w:p>
          <w:p w14:paraId="70DD9029">
            <w:pPr>
              <w:pStyle w:val="60"/>
              <w:keepNext w:val="0"/>
              <w:keepLines w:val="0"/>
              <w:pageBreakBefore w:val="0"/>
              <w:widowControl/>
              <w:kinsoku/>
              <w:wordWrap/>
              <w:overflowPunct/>
              <w:topLinePunct w:val="0"/>
              <w:autoSpaceDE w:val="0"/>
              <w:autoSpaceDN w:val="0"/>
              <w:bidi w:val="0"/>
              <w:adjustRightInd/>
              <w:snapToGrid/>
              <w:spacing w:before="0" w:line="360" w:lineRule="auto"/>
              <w:ind w:firstLine="0"/>
              <w:textAlignment w:val="baseline"/>
              <w:rPr>
                <w:rFonts w:hint="default" w:ascii="Times New Roman" w:hAnsi="Times New Roman" w:eastAsia="宋体" w:cs="Times New Roman"/>
                <w:b/>
                <w:bCs/>
                <w:color w:val="auto"/>
                <w:kern w:val="2"/>
                <w:sz w:val="24"/>
                <w:lang w:eastAsia="zh-CN"/>
              </w:rPr>
            </w:pPr>
            <w:r>
              <w:rPr>
                <w:rFonts w:hint="default" w:ascii="Times New Roman" w:hAnsi="Times New Roman" w:eastAsia="宋体" w:cs="Times New Roman"/>
                <w:b/>
                <w:bCs/>
                <w:color w:val="auto"/>
                <w:kern w:val="2"/>
                <w:sz w:val="24"/>
                <w:lang w:eastAsia="zh-CN"/>
              </w:rPr>
              <w:t>3、噪声降噪具体措施</w:t>
            </w:r>
          </w:p>
          <w:p w14:paraId="7EF062A9">
            <w:pPr>
              <w:pStyle w:val="60"/>
              <w:keepNext w:val="0"/>
              <w:keepLines w:val="0"/>
              <w:pageBreakBefore w:val="0"/>
              <w:widowControl/>
              <w:kinsoku/>
              <w:wordWrap/>
              <w:overflowPunct/>
              <w:topLinePunct w:val="0"/>
              <w:autoSpaceDE w:val="0"/>
              <w:autoSpaceDN w:val="0"/>
              <w:bidi w:val="0"/>
              <w:adjustRightInd/>
              <w:snapToGrid/>
              <w:spacing w:before="0" w:line="360" w:lineRule="auto"/>
              <w:ind w:firstLine="480" w:firstLineChars="200"/>
              <w:textAlignment w:val="baseline"/>
              <w:rPr>
                <w:rFonts w:hint="default" w:ascii="Times New Roman" w:hAnsi="Times New Roman" w:eastAsia="宋体" w:cs="Times New Roman"/>
                <w:color w:val="auto"/>
                <w:kern w:val="2"/>
                <w:sz w:val="24"/>
                <w:lang w:eastAsia="zh-CN"/>
              </w:rPr>
            </w:pPr>
            <w:r>
              <w:rPr>
                <w:rFonts w:hint="default" w:ascii="Times New Roman" w:hAnsi="Times New Roman" w:eastAsia="宋体" w:cs="Times New Roman"/>
                <w:color w:val="auto"/>
                <w:kern w:val="2"/>
                <w:sz w:val="24"/>
                <w:lang w:eastAsia="zh-CN"/>
              </w:rPr>
              <w:t>本项目生产设备在运行期间均会产生噪声，建设单位采取以下措施来减轻生产设备运行噪声的环境影响。</w:t>
            </w:r>
          </w:p>
          <w:p w14:paraId="6705F1A4">
            <w:pPr>
              <w:pStyle w:val="60"/>
              <w:pageBreakBefore w:val="0"/>
              <w:widowControl/>
              <w:kinsoku/>
              <w:overflowPunct/>
              <w:topLinePunct w:val="0"/>
              <w:autoSpaceDE w:val="0"/>
              <w:autoSpaceDN w:val="0"/>
              <w:bidi w:val="0"/>
              <w:adjustRightInd/>
              <w:snapToGrid/>
              <w:spacing w:before="0" w:line="360" w:lineRule="auto"/>
              <w:ind w:firstLine="480" w:firstLineChars="200"/>
              <w:textAlignment w:val="baseline"/>
              <w:rPr>
                <w:rFonts w:hint="default" w:ascii="Times New Roman" w:hAnsi="Times New Roman" w:eastAsia="宋体" w:cs="Times New Roman"/>
                <w:color w:val="auto"/>
                <w:kern w:val="2"/>
                <w:sz w:val="24"/>
                <w:lang w:eastAsia="zh-CN"/>
              </w:rPr>
            </w:pPr>
            <w:r>
              <w:rPr>
                <w:rFonts w:hint="default" w:ascii="Times New Roman" w:hAnsi="Times New Roman" w:eastAsia="宋体" w:cs="Times New Roman"/>
                <w:color w:val="auto"/>
                <w:kern w:val="2"/>
                <w:sz w:val="24"/>
                <w:lang w:eastAsia="zh-CN"/>
              </w:rPr>
              <w:t>（1）选用低噪声设备或带隔声、消声的设备，从源头减少噪声的产生。</w:t>
            </w:r>
          </w:p>
          <w:p w14:paraId="6A141158">
            <w:pPr>
              <w:pStyle w:val="60"/>
              <w:pageBreakBefore w:val="0"/>
              <w:widowControl/>
              <w:kinsoku/>
              <w:overflowPunct/>
              <w:topLinePunct w:val="0"/>
              <w:autoSpaceDE w:val="0"/>
              <w:autoSpaceDN w:val="0"/>
              <w:bidi w:val="0"/>
              <w:adjustRightInd/>
              <w:snapToGrid/>
              <w:spacing w:before="0" w:line="360" w:lineRule="auto"/>
              <w:ind w:firstLine="480" w:firstLineChars="200"/>
              <w:textAlignment w:val="baseline"/>
              <w:rPr>
                <w:rFonts w:hint="default" w:ascii="Times New Roman" w:hAnsi="Times New Roman" w:eastAsia="宋体" w:cs="Times New Roman"/>
                <w:color w:val="auto"/>
                <w:kern w:val="2"/>
                <w:sz w:val="24"/>
                <w:lang w:eastAsia="zh-CN"/>
              </w:rPr>
            </w:pPr>
            <w:r>
              <w:rPr>
                <w:rFonts w:hint="default" w:ascii="Times New Roman" w:hAnsi="Times New Roman" w:eastAsia="宋体" w:cs="Times New Roman"/>
                <w:color w:val="auto"/>
                <w:kern w:val="2"/>
                <w:sz w:val="24"/>
                <w:lang w:eastAsia="zh-CN"/>
              </w:rPr>
              <w:t>（2）合理布局设备位置，使高强度的噪声设备远离项目边界及环境敏感点。</w:t>
            </w:r>
          </w:p>
          <w:p w14:paraId="1EEA44F9">
            <w:pPr>
              <w:pStyle w:val="60"/>
              <w:pageBreakBefore w:val="0"/>
              <w:widowControl/>
              <w:kinsoku/>
              <w:overflowPunct/>
              <w:topLinePunct w:val="0"/>
              <w:autoSpaceDE w:val="0"/>
              <w:autoSpaceDN w:val="0"/>
              <w:bidi w:val="0"/>
              <w:adjustRightInd/>
              <w:snapToGrid/>
              <w:spacing w:before="0" w:line="360" w:lineRule="auto"/>
              <w:ind w:firstLine="480" w:firstLineChars="200"/>
              <w:textAlignment w:val="baseline"/>
              <w:rPr>
                <w:rFonts w:hint="default" w:ascii="Times New Roman" w:hAnsi="Times New Roman" w:eastAsia="宋体" w:cs="Times New Roman"/>
                <w:color w:val="auto"/>
                <w:kern w:val="2"/>
                <w:sz w:val="24"/>
                <w:lang w:eastAsia="zh-CN"/>
              </w:rPr>
            </w:pPr>
            <w:r>
              <w:rPr>
                <w:rFonts w:hint="default" w:ascii="Times New Roman" w:hAnsi="Times New Roman" w:eastAsia="宋体" w:cs="Times New Roman"/>
                <w:color w:val="auto"/>
                <w:kern w:val="2"/>
                <w:sz w:val="24"/>
                <w:lang w:eastAsia="zh-CN"/>
              </w:rPr>
              <w:t>（3）设置较为隔声的生产车间。</w:t>
            </w:r>
          </w:p>
          <w:p w14:paraId="1C64BC6E">
            <w:pPr>
              <w:pStyle w:val="60"/>
              <w:pageBreakBefore w:val="0"/>
              <w:widowControl/>
              <w:kinsoku/>
              <w:overflowPunct/>
              <w:topLinePunct w:val="0"/>
              <w:autoSpaceDE w:val="0"/>
              <w:autoSpaceDN w:val="0"/>
              <w:bidi w:val="0"/>
              <w:adjustRightInd/>
              <w:snapToGrid/>
              <w:spacing w:before="0" w:line="360" w:lineRule="auto"/>
              <w:ind w:firstLine="480" w:firstLineChars="200"/>
              <w:textAlignment w:val="baseline"/>
              <w:rPr>
                <w:rFonts w:hint="default" w:ascii="Times New Roman" w:hAnsi="Times New Roman" w:eastAsia="宋体" w:cs="Times New Roman"/>
                <w:color w:val="auto"/>
                <w:kern w:val="2"/>
                <w:sz w:val="24"/>
                <w:lang w:eastAsia="zh-CN"/>
              </w:rPr>
            </w:pPr>
            <w:r>
              <w:rPr>
                <w:rFonts w:hint="default" w:ascii="Times New Roman" w:hAnsi="Times New Roman" w:eastAsia="宋体" w:cs="Times New Roman"/>
                <w:color w:val="auto"/>
                <w:kern w:val="2"/>
                <w:sz w:val="24"/>
                <w:lang w:eastAsia="zh-CN"/>
              </w:rPr>
              <w:t>（4）对噪声值高的设备采取减振、消声、隔声等措施降低噪声值。</w:t>
            </w:r>
          </w:p>
          <w:p w14:paraId="5F9D95BC">
            <w:pPr>
              <w:pStyle w:val="60"/>
              <w:pageBreakBefore w:val="0"/>
              <w:widowControl/>
              <w:kinsoku/>
              <w:overflowPunct/>
              <w:topLinePunct w:val="0"/>
              <w:autoSpaceDE w:val="0"/>
              <w:autoSpaceDN w:val="0"/>
              <w:bidi w:val="0"/>
              <w:adjustRightInd/>
              <w:snapToGrid/>
              <w:spacing w:before="0" w:line="360" w:lineRule="auto"/>
              <w:ind w:firstLine="480" w:firstLineChars="200"/>
              <w:textAlignment w:val="baseline"/>
              <w:rPr>
                <w:rFonts w:hint="default" w:ascii="Times New Roman" w:hAnsi="Times New Roman" w:eastAsia="宋体" w:cs="Times New Roman"/>
                <w:color w:val="auto"/>
                <w:kern w:val="2"/>
                <w:sz w:val="24"/>
                <w:lang w:eastAsia="zh-CN"/>
              </w:rPr>
            </w:pPr>
            <w:r>
              <w:rPr>
                <w:rFonts w:hint="default" w:ascii="Times New Roman" w:hAnsi="Times New Roman" w:eastAsia="宋体" w:cs="Times New Roman"/>
                <w:color w:val="auto"/>
                <w:kern w:val="2"/>
                <w:sz w:val="24"/>
                <w:lang w:eastAsia="zh-CN"/>
              </w:rPr>
              <w:t>（5）定期对生产设备进行保养维修，保证生产设备维持的良好使用状态，并严格遵守生产设备的操作规范。</w:t>
            </w:r>
          </w:p>
          <w:p w14:paraId="3B863BF7">
            <w:pPr>
              <w:pStyle w:val="60"/>
              <w:pageBreakBefore w:val="0"/>
              <w:widowControl/>
              <w:kinsoku/>
              <w:overflowPunct/>
              <w:topLinePunct w:val="0"/>
              <w:autoSpaceDE w:val="0"/>
              <w:autoSpaceDN w:val="0"/>
              <w:bidi w:val="0"/>
              <w:adjustRightInd/>
              <w:snapToGrid/>
              <w:spacing w:before="0" w:line="360" w:lineRule="auto"/>
              <w:ind w:firstLine="480" w:firstLineChars="200"/>
              <w:textAlignment w:val="baseline"/>
              <w:rPr>
                <w:rFonts w:hint="default" w:ascii="Times New Roman" w:hAnsi="Times New Roman" w:eastAsia="宋体" w:cs="Times New Roman"/>
                <w:color w:val="auto"/>
                <w:kern w:val="2"/>
                <w:sz w:val="24"/>
                <w:lang w:eastAsia="zh-CN"/>
              </w:rPr>
            </w:pPr>
            <w:r>
              <w:rPr>
                <w:rFonts w:hint="default" w:ascii="Times New Roman" w:hAnsi="Times New Roman" w:eastAsia="宋体" w:cs="Times New Roman"/>
                <w:color w:val="auto"/>
                <w:kern w:val="2"/>
                <w:sz w:val="24"/>
                <w:lang w:eastAsia="zh-CN"/>
              </w:rPr>
              <w:t>（6）对室外风机采取减振、加装隔音罩等措施降低噪声值。</w:t>
            </w:r>
          </w:p>
          <w:p w14:paraId="27B75770">
            <w:pPr>
              <w:pStyle w:val="60"/>
              <w:pageBreakBefore w:val="0"/>
              <w:widowControl/>
              <w:kinsoku/>
              <w:overflowPunct/>
              <w:topLinePunct w:val="0"/>
              <w:autoSpaceDE w:val="0"/>
              <w:autoSpaceDN w:val="0"/>
              <w:bidi w:val="0"/>
              <w:adjustRightInd/>
              <w:snapToGrid/>
              <w:spacing w:before="0" w:line="360" w:lineRule="auto"/>
              <w:ind w:firstLine="480" w:firstLineChars="200"/>
              <w:textAlignment w:val="baseline"/>
              <w:rPr>
                <w:rFonts w:hint="default" w:ascii="Times New Roman" w:hAnsi="Times New Roman" w:eastAsia="宋体" w:cs="Times New Roman"/>
                <w:color w:val="auto"/>
                <w:kern w:val="2"/>
                <w:sz w:val="24"/>
                <w:lang w:eastAsia="zh-CN"/>
              </w:rPr>
            </w:pPr>
            <w:r>
              <w:rPr>
                <w:rFonts w:hint="default" w:ascii="Times New Roman" w:hAnsi="Times New Roman" w:eastAsia="宋体" w:cs="Times New Roman"/>
                <w:color w:val="auto"/>
                <w:kern w:val="2"/>
                <w:sz w:val="24"/>
                <w:lang w:eastAsia="zh-CN"/>
              </w:rPr>
              <w:t>建设单位通过增加绿化，设置隔声屏障等措施降低环境噪声影响。</w:t>
            </w:r>
          </w:p>
          <w:p w14:paraId="3FA21BF6">
            <w:pPr>
              <w:pStyle w:val="60"/>
              <w:pageBreakBefore w:val="0"/>
              <w:widowControl/>
              <w:kinsoku/>
              <w:overflowPunct/>
              <w:topLinePunct w:val="0"/>
              <w:autoSpaceDE w:val="0"/>
              <w:autoSpaceDN w:val="0"/>
              <w:bidi w:val="0"/>
              <w:adjustRightInd/>
              <w:snapToGrid/>
              <w:spacing w:before="0" w:line="360" w:lineRule="auto"/>
              <w:ind w:firstLineChars="200"/>
              <w:textAlignment w:val="baseline"/>
              <w:rPr>
                <w:rFonts w:hint="default" w:ascii="Times New Roman" w:hAnsi="Times New Roman" w:eastAsia="宋体" w:cs="Times New Roman"/>
                <w:b/>
                <w:bCs/>
                <w:color w:val="auto"/>
                <w:kern w:val="2"/>
                <w:sz w:val="24"/>
                <w:lang w:eastAsia="zh-CN"/>
              </w:rPr>
            </w:pPr>
            <w:r>
              <w:rPr>
                <w:rFonts w:hint="default" w:ascii="Times New Roman" w:hAnsi="Times New Roman" w:eastAsia="宋体" w:cs="Times New Roman"/>
                <w:b/>
                <w:bCs/>
                <w:color w:val="auto"/>
                <w:kern w:val="2"/>
                <w:sz w:val="24"/>
                <w:lang w:eastAsia="zh-CN"/>
              </w:rPr>
              <w:t>4、噪声监测计划</w:t>
            </w:r>
          </w:p>
          <w:p w14:paraId="49176FA7">
            <w:pPr>
              <w:pStyle w:val="60"/>
              <w:pageBreakBefore w:val="0"/>
              <w:widowControl/>
              <w:kinsoku/>
              <w:overflowPunct/>
              <w:topLinePunct w:val="0"/>
              <w:autoSpaceDE w:val="0"/>
              <w:autoSpaceDN w:val="0"/>
              <w:bidi w:val="0"/>
              <w:adjustRightInd/>
              <w:snapToGrid/>
              <w:spacing w:before="0" w:line="360" w:lineRule="auto"/>
              <w:ind w:firstLine="480" w:firstLineChars="200"/>
              <w:textAlignment w:val="baseline"/>
              <w:rPr>
                <w:rFonts w:hint="default" w:ascii="Times New Roman" w:hAnsi="Times New Roman" w:eastAsia="宋体" w:cs="Times New Roman"/>
                <w:color w:val="auto"/>
                <w:kern w:val="2"/>
                <w:sz w:val="24"/>
                <w:lang w:eastAsia="zh-CN"/>
              </w:rPr>
            </w:pPr>
            <w:r>
              <w:rPr>
                <w:rFonts w:hint="default" w:ascii="Times New Roman" w:hAnsi="Times New Roman" w:eastAsia="宋体" w:cs="Times New Roman"/>
                <w:color w:val="auto"/>
                <w:kern w:val="2"/>
                <w:sz w:val="24"/>
                <w:lang w:eastAsia="zh-CN"/>
              </w:rPr>
              <w:t>根据《排污许可证申请与核发技术规范 工业噪声》（HJ1301-2023），项目噪声监测计划如下所示。</w:t>
            </w:r>
          </w:p>
          <w:p w14:paraId="232337DB">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表4-</w:t>
            </w:r>
            <w:r>
              <w:rPr>
                <w:rFonts w:hint="default" w:ascii="Times New Roman" w:hAnsi="Times New Roman" w:eastAsia="宋体" w:cs="Times New Roman"/>
                <w:b/>
                <w:bCs/>
                <w:color w:val="auto"/>
                <w:sz w:val="24"/>
                <w:lang w:eastAsia="zh-CN"/>
              </w:rPr>
              <w:t>1</w:t>
            </w:r>
            <w:r>
              <w:rPr>
                <w:rFonts w:hint="default" w:ascii="Times New Roman" w:hAnsi="Times New Roman" w:eastAsia="宋体" w:cs="Times New Roman"/>
                <w:b/>
                <w:bCs/>
                <w:color w:val="auto"/>
                <w:sz w:val="24"/>
                <w:lang w:val="en-US" w:eastAsia="zh-CN"/>
              </w:rPr>
              <w:t>0</w:t>
            </w:r>
            <w:r>
              <w:rPr>
                <w:rFonts w:hint="default" w:ascii="Times New Roman" w:hAnsi="Times New Roman" w:eastAsia="宋体" w:cs="Times New Roman"/>
                <w:b/>
                <w:bCs/>
                <w:color w:val="auto"/>
                <w:sz w:val="24"/>
              </w:rPr>
              <w:t xml:space="preserve"> 噪声监测计划表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3"/>
              <w:gridCol w:w="1737"/>
              <w:gridCol w:w="1104"/>
              <w:gridCol w:w="2326"/>
            </w:tblGrid>
            <w:tr w14:paraId="2A4D4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3163" w:type="dxa"/>
                  <w:tcBorders>
                    <w:top w:val="single" w:color="auto" w:sz="4" w:space="0"/>
                    <w:left w:val="single" w:color="auto" w:sz="4" w:space="0"/>
                    <w:bottom w:val="single" w:color="auto" w:sz="4" w:space="0"/>
                    <w:right w:val="single" w:color="auto" w:sz="4" w:space="0"/>
                  </w:tcBorders>
                  <w:vAlign w:val="center"/>
                </w:tcPr>
                <w:p w14:paraId="19228C66">
                  <w:pPr>
                    <w:pStyle w:val="62"/>
                    <w:pageBreakBefore w:val="0"/>
                    <w:widowControl/>
                    <w:kinsoku/>
                    <w:overflowPunct/>
                    <w:topLinePunct w:val="0"/>
                    <w:autoSpaceDE w:val="0"/>
                    <w:autoSpaceDN w:val="0"/>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监测点位置</w:t>
                  </w:r>
                </w:p>
              </w:tc>
              <w:tc>
                <w:tcPr>
                  <w:tcW w:w="1737" w:type="dxa"/>
                  <w:tcBorders>
                    <w:top w:val="single" w:color="auto" w:sz="4" w:space="0"/>
                    <w:left w:val="nil"/>
                    <w:bottom w:val="single" w:color="auto" w:sz="4" w:space="0"/>
                    <w:right w:val="single" w:color="auto" w:sz="4" w:space="0"/>
                  </w:tcBorders>
                  <w:vAlign w:val="center"/>
                </w:tcPr>
                <w:p w14:paraId="5D70F59A">
                  <w:pPr>
                    <w:pStyle w:val="62"/>
                    <w:pageBreakBefore w:val="0"/>
                    <w:widowControl/>
                    <w:kinsoku/>
                    <w:overflowPunct/>
                    <w:topLinePunct w:val="0"/>
                    <w:autoSpaceDE w:val="0"/>
                    <w:autoSpaceDN w:val="0"/>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监测指标</w:t>
                  </w:r>
                </w:p>
              </w:tc>
              <w:tc>
                <w:tcPr>
                  <w:tcW w:w="1104" w:type="dxa"/>
                  <w:tcBorders>
                    <w:top w:val="single" w:color="auto" w:sz="4" w:space="0"/>
                    <w:left w:val="nil"/>
                    <w:bottom w:val="single" w:color="auto" w:sz="4" w:space="0"/>
                    <w:right w:val="single" w:color="auto" w:sz="4" w:space="0"/>
                  </w:tcBorders>
                  <w:vAlign w:val="center"/>
                </w:tcPr>
                <w:p w14:paraId="518AF8E6">
                  <w:pPr>
                    <w:pStyle w:val="62"/>
                    <w:pageBreakBefore w:val="0"/>
                    <w:widowControl/>
                    <w:kinsoku/>
                    <w:overflowPunct/>
                    <w:topLinePunct w:val="0"/>
                    <w:autoSpaceDE w:val="0"/>
                    <w:autoSpaceDN w:val="0"/>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监测频次</w:t>
                  </w:r>
                </w:p>
              </w:tc>
              <w:tc>
                <w:tcPr>
                  <w:tcW w:w="2326" w:type="dxa"/>
                  <w:tcBorders>
                    <w:top w:val="single" w:color="auto" w:sz="4" w:space="0"/>
                    <w:left w:val="nil"/>
                    <w:bottom w:val="single" w:color="auto" w:sz="4" w:space="0"/>
                    <w:right w:val="single" w:color="auto" w:sz="4" w:space="0"/>
                  </w:tcBorders>
                  <w:vAlign w:val="center"/>
                </w:tcPr>
                <w:p w14:paraId="5B7B753B">
                  <w:pPr>
                    <w:pStyle w:val="62"/>
                    <w:pageBreakBefore w:val="0"/>
                    <w:widowControl/>
                    <w:kinsoku/>
                    <w:overflowPunct/>
                    <w:topLinePunct w:val="0"/>
                    <w:autoSpaceDE w:val="0"/>
                    <w:autoSpaceDN w:val="0"/>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监测天数</w:t>
                  </w:r>
                </w:p>
              </w:tc>
            </w:tr>
            <w:tr w14:paraId="7156C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163" w:type="dxa"/>
                  <w:tcBorders>
                    <w:top w:val="single" w:color="auto" w:sz="4" w:space="0"/>
                    <w:left w:val="single" w:color="auto" w:sz="4" w:space="0"/>
                    <w:bottom w:val="single" w:color="auto" w:sz="4" w:space="0"/>
                    <w:right w:val="single" w:color="auto" w:sz="4" w:space="0"/>
                  </w:tcBorders>
                  <w:vAlign w:val="center"/>
                </w:tcPr>
                <w:p w14:paraId="715A38E6">
                  <w:pPr>
                    <w:pStyle w:val="62"/>
                    <w:pageBreakBefore w:val="0"/>
                    <w:widowControl/>
                    <w:kinsoku/>
                    <w:overflowPunct/>
                    <w:topLinePunct w:val="0"/>
                    <w:autoSpaceDE w:val="0"/>
                    <w:autoSpaceDN w:val="0"/>
                    <w:bidi w:val="0"/>
                    <w:adjustRightInd/>
                    <w:snapToGrid/>
                    <w:spacing w:line="240" w:lineRule="auto"/>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厂界四周各布设一个噪声监测点</w:t>
                  </w:r>
                </w:p>
              </w:tc>
              <w:tc>
                <w:tcPr>
                  <w:tcW w:w="1737" w:type="dxa"/>
                  <w:tcBorders>
                    <w:top w:val="single" w:color="auto" w:sz="4" w:space="0"/>
                    <w:left w:val="nil"/>
                    <w:bottom w:val="single" w:color="auto" w:sz="4" w:space="0"/>
                    <w:right w:val="single" w:color="auto" w:sz="4" w:space="0"/>
                  </w:tcBorders>
                  <w:vAlign w:val="center"/>
                </w:tcPr>
                <w:p w14:paraId="2D45B29D">
                  <w:pPr>
                    <w:pStyle w:val="62"/>
                    <w:pageBreakBefore w:val="0"/>
                    <w:widowControl/>
                    <w:kinsoku/>
                    <w:overflowPunct/>
                    <w:topLinePunct w:val="0"/>
                    <w:autoSpaceDE w:val="0"/>
                    <w:autoSpaceDN w:val="0"/>
                    <w:bidi w:val="0"/>
                    <w:adjustRightInd/>
                    <w:snapToGrid/>
                    <w:spacing w:line="240" w:lineRule="auto"/>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连续等效A声级</w:t>
                  </w:r>
                </w:p>
              </w:tc>
              <w:tc>
                <w:tcPr>
                  <w:tcW w:w="1104" w:type="dxa"/>
                  <w:tcBorders>
                    <w:top w:val="single" w:color="auto" w:sz="4" w:space="0"/>
                    <w:left w:val="nil"/>
                    <w:bottom w:val="single" w:color="auto" w:sz="4" w:space="0"/>
                    <w:right w:val="single" w:color="auto" w:sz="4" w:space="0"/>
                  </w:tcBorders>
                  <w:vAlign w:val="center"/>
                </w:tcPr>
                <w:p w14:paraId="65E1E99B">
                  <w:pPr>
                    <w:pStyle w:val="62"/>
                    <w:pageBreakBefore w:val="0"/>
                    <w:widowControl/>
                    <w:kinsoku/>
                    <w:overflowPunct/>
                    <w:topLinePunct w:val="0"/>
                    <w:autoSpaceDE w:val="0"/>
                    <w:autoSpaceDN w:val="0"/>
                    <w:bidi w:val="0"/>
                    <w:adjustRightInd/>
                    <w:snapToGrid/>
                    <w:spacing w:line="240" w:lineRule="auto"/>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每季一次</w:t>
                  </w:r>
                </w:p>
              </w:tc>
              <w:tc>
                <w:tcPr>
                  <w:tcW w:w="2326" w:type="dxa"/>
                  <w:tcBorders>
                    <w:top w:val="single" w:color="auto" w:sz="4" w:space="0"/>
                    <w:left w:val="nil"/>
                    <w:bottom w:val="single" w:color="auto" w:sz="4" w:space="0"/>
                    <w:right w:val="single" w:color="auto" w:sz="4" w:space="0"/>
                  </w:tcBorders>
                  <w:vAlign w:val="center"/>
                </w:tcPr>
                <w:p w14:paraId="26CBBE78">
                  <w:pPr>
                    <w:pStyle w:val="62"/>
                    <w:pageBreakBefore w:val="0"/>
                    <w:widowControl/>
                    <w:kinsoku/>
                    <w:overflowPunct/>
                    <w:topLinePunct w:val="0"/>
                    <w:autoSpaceDE w:val="0"/>
                    <w:autoSpaceDN w:val="0"/>
                    <w:bidi w:val="0"/>
                    <w:adjustRightInd/>
                    <w:snapToGrid/>
                    <w:spacing w:line="240" w:lineRule="auto"/>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连续1天，昼</w:t>
                  </w:r>
                  <w:r>
                    <w:rPr>
                      <w:rFonts w:hint="default" w:ascii="Times New Roman" w:hAnsi="Times New Roman" w:eastAsia="宋体" w:cs="Times New Roman"/>
                      <w:color w:val="auto"/>
                      <w:sz w:val="21"/>
                      <w:szCs w:val="21"/>
                      <w:lang w:val="en-US" w:eastAsia="zh-CN"/>
                    </w:rPr>
                    <w:t>间</w:t>
                  </w:r>
                  <w:r>
                    <w:rPr>
                      <w:rFonts w:hint="default" w:ascii="Times New Roman" w:hAnsi="Times New Roman" w:eastAsia="宋体" w:cs="Times New Roman"/>
                      <w:color w:val="auto"/>
                      <w:sz w:val="21"/>
                      <w:szCs w:val="21"/>
                      <w:lang w:eastAsia="zh-CN"/>
                    </w:rPr>
                    <w:t>一次</w:t>
                  </w:r>
                </w:p>
              </w:tc>
            </w:tr>
          </w:tbl>
          <w:p w14:paraId="2A5B57F3">
            <w:pPr>
              <w:pStyle w:val="60"/>
              <w:pageBreakBefore w:val="0"/>
              <w:widowControl/>
              <w:kinsoku/>
              <w:overflowPunct/>
              <w:topLinePunct w:val="0"/>
              <w:autoSpaceDE w:val="0"/>
              <w:autoSpaceDN w:val="0"/>
              <w:bidi w:val="0"/>
              <w:adjustRightInd/>
              <w:snapToGrid/>
              <w:spacing w:before="0" w:line="360" w:lineRule="auto"/>
              <w:ind w:firstLineChars="200"/>
              <w:textAlignment w:val="baseline"/>
              <w:rPr>
                <w:rFonts w:hint="default" w:ascii="Times New Roman" w:hAnsi="Times New Roman" w:eastAsia="宋体" w:cs="Times New Roman"/>
                <w:b/>
                <w:bCs/>
                <w:color w:val="auto"/>
                <w:kern w:val="2"/>
                <w:sz w:val="24"/>
                <w:lang w:eastAsia="zh-CN"/>
              </w:rPr>
            </w:pPr>
            <w:r>
              <w:rPr>
                <w:rFonts w:hint="default" w:ascii="Times New Roman" w:hAnsi="Times New Roman" w:eastAsia="宋体" w:cs="Times New Roman"/>
                <w:b/>
                <w:bCs/>
                <w:color w:val="auto"/>
                <w:kern w:val="2"/>
                <w:sz w:val="24"/>
                <w:lang w:eastAsia="zh-CN"/>
              </w:rPr>
              <w:t>四、固体废物</w:t>
            </w:r>
          </w:p>
          <w:p w14:paraId="0D49C7BE">
            <w:pPr>
              <w:pageBreakBefore w:val="0"/>
              <w:widowControl/>
              <w:kinsoku/>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lang w:eastAsia="zh-CN" w:bidi="zh-CN"/>
              </w:rPr>
            </w:pPr>
            <w:r>
              <w:rPr>
                <w:rFonts w:hint="default" w:ascii="Times New Roman" w:hAnsi="Times New Roman" w:eastAsia="宋体" w:cs="Times New Roman"/>
                <w:color w:val="auto"/>
                <w:sz w:val="24"/>
                <w:lang w:eastAsia="zh-CN" w:bidi="zh-CN"/>
              </w:rPr>
              <w:t>本项目营运期固体废物主要为一般工业固废、危险废物和生活垃圾。</w:t>
            </w:r>
          </w:p>
          <w:p w14:paraId="4585B7FC">
            <w:pPr>
              <w:pageBreakBefore w:val="0"/>
              <w:widowControl/>
              <w:kinsoku/>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lang w:eastAsia="zh-CN" w:bidi="zh-CN"/>
              </w:rPr>
            </w:pPr>
            <w:r>
              <w:rPr>
                <w:rFonts w:hint="default" w:ascii="Times New Roman" w:hAnsi="Times New Roman" w:eastAsia="宋体" w:cs="Times New Roman"/>
                <w:color w:val="auto"/>
                <w:sz w:val="24"/>
                <w:lang w:val="en-US" w:eastAsia="zh-CN" w:bidi="zh-CN"/>
              </w:rPr>
              <w:t>1、</w:t>
            </w:r>
            <w:r>
              <w:rPr>
                <w:rFonts w:hint="default" w:ascii="Times New Roman" w:hAnsi="Times New Roman" w:eastAsia="宋体" w:cs="Times New Roman"/>
                <w:color w:val="auto"/>
                <w:sz w:val="24"/>
                <w:lang w:eastAsia="zh-CN" w:bidi="zh-CN"/>
              </w:rPr>
              <w:t>生活垃圾</w:t>
            </w:r>
          </w:p>
          <w:p w14:paraId="3D07F992">
            <w:pPr>
              <w:pageBreakBefore w:val="0"/>
              <w:widowControl/>
              <w:kinsoku/>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lang w:eastAsia="zh-CN" w:bidi="zh-CN"/>
              </w:rPr>
            </w:pPr>
            <w:r>
              <w:rPr>
                <w:rFonts w:hint="default" w:ascii="Times New Roman" w:hAnsi="Times New Roman" w:eastAsia="宋体" w:cs="Times New Roman"/>
                <w:color w:val="auto"/>
                <w:sz w:val="24"/>
                <w:lang w:eastAsia="zh-CN" w:bidi="zh-CN"/>
              </w:rPr>
              <w:t>本项目</w:t>
            </w:r>
            <w:r>
              <w:rPr>
                <w:rFonts w:hint="default" w:ascii="Times New Roman" w:hAnsi="Times New Roman" w:eastAsia="宋体" w:cs="Times New Roman"/>
                <w:color w:val="auto"/>
                <w:sz w:val="24"/>
                <w:lang w:val="en-US" w:eastAsia="zh-CN" w:bidi="zh-CN"/>
              </w:rPr>
              <w:t>扩建</w:t>
            </w:r>
            <w:r>
              <w:rPr>
                <w:rFonts w:hint="default" w:ascii="Times New Roman" w:hAnsi="Times New Roman" w:eastAsia="宋体" w:cs="Times New Roman"/>
                <w:color w:val="auto"/>
                <w:sz w:val="24"/>
                <w:lang w:eastAsia="zh-CN" w:bidi="zh-CN"/>
              </w:rPr>
              <w:t>劳动定员</w:t>
            </w:r>
            <w:r>
              <w:rPr>
                <w:rFonts w:hint="default" w:ascii="Times New Roman" w:hAnsi="Times New Roman" w:eastAsia="宋体" w:cs="Times New Roman"/>
                <w:color w:val="auto"/>
                <w:sz w:val="24"/>
                <w:lang w:val="en-US" w:eastAsia="zh-CN" w:bidi="zh-CN"/>
              </w:rPr>
              <w:t>20</w:t>
            </w:r>
            <w:r>
              <w:rPr>
                <w:rFonts w:hint="default" w:ascii="Times New Roman" w:hAnsi="Times New Roman" w:eastAsia="宋体" w:cs="Times New Roman"/>
                <w:color w:val="auto"/>
                <w:sz w:val="24"/>
                <w:lang w:eastAsia="zh-CN" w:bidi="zh-CN"/>
              </w:rPr>
              <w:t>人，按每人每日排放生活垃圾0.5kg计，则生活垃圾产生量约</w:t>
            </w:r>
            <w:r>
              <w:rPr>
                <w:rFonts w:hint="default" w:ascii="Times New Roman" w:hAnsi="Times New Roman" w:eastAsia="宋体" w:cs="Times New Roman"/>
                <w:color w:val="auto"/>
                <w:sz w:val="24"/>
                <w:lang w:val="en-US" w:eastAsia="zh-CN" w:bidi="zh-CN"/>
              </w:rPr>
              <w:t>3</w:t>
            </w:r>
            <w:r>
              <w:rPr>
                <w:rFonts w:hint="default" w:ascii="Times New Roman" w:hAnsi="Times New Roman" w:eastAsia="宋体" w:cs="Times New Roman"/>
                <w:color w:val="auto"/>
                <w:sz w:val="24"/>
                <w:lang w:eastAsia="zh-CN" w:bidi="zh-CN"/>
              </w:rPr>
              <w:t>t/a，集中收集后交由环卫部门清运处理。</w:t>
            </w:r>
          </w:p>
          <w:p w14:paraId="62807BEB">
            <w:pPr>
              <w:pageBreakBefore w:val="0"/>
              <w:widowControl/>
              <w:kinsoku/>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lang w:eastAsia="zh-CN" w:bidi="zh-CN"/>
              </w:rPr>
            </w:pPr>
            <w:r>
              <w:rPr>
                <w:rFonts w:hint="default" w:ascii="Times New Roman" w:hAnsi="Times New Roman" w:eastAsia="宋体" w:cs="Times New Roman"/>
                <w:color w:val="auto"/>
                <w:sz w:val="24"/>
                <w:lang w:val="en-US" w:eastAsia="zh-CN" w:bidi="zh-CN"/>
              </w:rPr>
              <w:t>2</w:t>
            </w:r>
            <w:r>
              <w:rPr>
                <w:rFonts w:hint="default" w:ascii="Times New Roman" w:hAnsi="Times New Roman" w:eastAsia="宋体" w:cs="Times New Roman"/>
                <w:color w:val="auto"/>
                <w:sz w:val="24"/>
                <w:lang w:eastAsia="zh-CN" w:bidi="zh-CN"/>
              </w:rPr>
              <w:t>、一般工业固废</w:t>
            </w:r>
          </w:p>
          <w:p w14:paraId="03105A85">
            <w:pPr>
              <w:pageBreakBefore w:val="0"/>
              <w:widowControl/>
              <w:kinsoku/>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lang w:eastAsia="zh-CN" w:bidi="zh-CN"/>
              </w:rPr>
            </w:pPr>
            <w:r>
              <w:rPr>
                <w:rFonts w:hint="default" w:ascii="Times New Roman" w:hAnsi="Times New Roman" w:eastAsia="宋体" w:cs="Times New Roman"/>
                <w:color w:val="auto"/>
                <w:sz w:val="24"/>
                <w:lang w:eastAsia="zh-CN" w:bidi="zh-CN"/>
              </w:rPr>
              <w:t>①废边料：项目生产过程中等将会产生废边料，根据建设单位提供资料产生量约</w:t>
            </w:r>
            <w:r>
              <w:rPr>
                <w:rFonts w:hint="default" w:ascii="Times New Roman" w:hAnsi="Times New Roman" w:eastAsia="宋体" w:cs="Times New Roman"/>
                <w:color w:val="auto"/>
                <w:sz w:val="24"/>
                <w:lang w:val="en-US" w:eastAsia="zh-CN" w:bidi="zh-CN"/>
              </w:rPr>
              <w:t>7</w:t>
            </w:r>
            <w:r>
              <w:rPr>
                <w:rFonts w:hint="default" w:ascii="Times New Roman" w:hAnsi="Times New Roman" w:eastAsia="宋体" w:cs="Times New Roman"/>
                <w:color w:val="auto"/>
                <w:sz w:val="24"/>
                <w:lang w:eastAsia="zh-CN" w:bidi="zh-CN"/>
              </w:rPr>
              <w:t>t/a，交由物资回收部门回收利用。</w:t>
            </w:r>
          </w:p>
          <w:p w14:paraId="7AAAACB6">
            <w:pPr>
              <w:pageBreakBefore w:val="0"/>
              <w:widowControl/>
              <w:kinsoku/>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lang w:eastAsia="zh-CN" w:bidi="zh-CN"/>
              </w:rPr>
            </w:pPr>
            <w:r>
              <w:rPr>
                <w:rFonts w:hint="default" w:ascii="Times New Roman" w:hAnsi="Times New Roman" w:eastAsia="宋体" w:cs="Times New Roman"/>
                <w:color w:val="auto"/>
                <w:sz w:val="24"/>
                <w:lang w:eastAsia="zh-CN" w:bidi="zh-CN"/>
              </w:rPr>
              <w:t>②不合格品：项目检验等过程中等将会产生不合格品，根据建设单位提供资料产生量约</w:t>
            </w:r>
            <w:r>
              <w:rPr>
                <w:rFonts w:hint="default" w:ascii="Times New Roman" w:hAnsi="Times New Roman" w:eastAsia="宋体" w:cs="Times New Roman"/>
                <w:color w:val="auto"/>
                <w:sz w:val="24"/>
                <w:lang w:val="en-US" w:eastAsia="zh-CN" w:bidi="zh-CN"/>
              </w:rPr>
              <w:t>2</w:t>
            </w:r>
            <w:r>
              <w:rPr>
                <w:rFonts w:hint="default" w:ascii="Times New Roman" w:hAnsi="Times New Roman" w:eastAsia="宋体" w:cs="Times New Roman"/>
                <w:color w:val="auto"/>
                <w:sz w:val="24"/>
                <w:lang w:eastAsia="zh-CN" w:bidi="zh-CN"/>
              </w:rPr>
              <w:t>t/a，交由物资回收部门回收利用。</w:t>
            </w:r>
          </w:p>
          <w:p w14:paraId="4D769E76">
            <w:pPr>
              <w:pageBreakBefore w:val="0"/>
              <w:widowControl/>
              <w:kinsoku/>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lang w:eastAsia="zh-CN" w:bidi="zh-CN"/>
              </w:rPr>
            </w:pPr>
            <w:r>
              <w:rPr>
                <w:rFonts w:hint="default" w:ascii="Times New Roman" w:hAnsi="Times New Roman" w:eastAsia="宋体" w:cs="Times New Roman"/>
                <w:color w:val="auto"/>
                <w:sz w:val="24"/>
                <w:lang w:eastAsia="zh-CN" w:bidi="zh-CN"/>
              </w:rPr>
              <w:t>③生活垃圾</w:t>
            </w:r>
          </w:p>
          <w:p w14:paraId="18DDB0D1">
            <w:pPr>
              <w:pStyle w:val="45"/>
              <w:spacing w:before="183" w:line="346" w:lineRule="auto"/>
              <w:ind w:left="139" w:firstLine="457"/>
              <w:rPr>
                <w:rFonts w:hint="default" w:ascii="Times New Roman" w:hAnsi="Times New Roman" w:eastAsia="宋体" w:cs="Times New Roman"/>
                <w:color w:val="auto"/>
                <w:sz w:val="24"/>
                <w:lang w:eastAsia="zh-CN" w:bidi="zh-CN"/>
              </w:rPr>
            </w:pPr>
            <w:r>
              <w:rPr>
                <w:rFonts w:hint="default" w:ascii="Times New Roman" w:hAnsi="Times New Roman" w:eastAsia="宋体" w:cs="Times New Roman"/>
                <w:color w:val="auto"/>
                <w:sz w:val="24"/>
                <w:lang w:eastAsia="zh-CN" w:bidi="zh-CN"/>
              </w:rPr>
              <w:t>生活垃圾：</w:t>
            </w:r>
            <w:r>
              <w:rPr>
                <w:rFonts w:hint="default" w:ascii="Times New Roman" w:hAnsi="Times New Roman" w:eastAsia="宋体" w:cs="Times New Roman"/>
                <w:snapToGrid w:val="0"/>
                <w:color w:val="auto"/>
                <w:sz w:val="24"/>
                <w:szCs w:val="24"/>
                <w:lang w:val="en-US" w:eastAsia="zh-CN" w:bidi="ar-SA"/>
              </w:rPr>
              <w:t>扩建项目用水主要是</w:t>
            </w:r>
            <w:r>
              <w:rPr>
                <w:rFonts w:hint="default" w:ascii="Times New Roman" w:hAnsi="Times New Roman" w:eastAsia="宋体" w:cs="Times New Roman"/>
                <w:color w:val="auto"/>
                <w:sz w:val="24"/>
                <w:szCs w:val="24"/>
                <w:lang w:eastAsia="zh-CN"/>
              </w:rPr>
              <w:t>厂区清洁用水</w:t>
            </w:r>
            <w:r>
              <w:rPr>
                <w:rFonts w:hint="default" w:ascii="Times New Roman" w:hAnsi="Times New Roman" w:eastAsia="宋体" w:cs="Times New Roman"/>
                <w:snapToGrid w:val="0"/>
                <w:color w:val="auto"/>
                <w:sz w:val="24"/>
                <w:szCs w:val="24"/>
                <w:lang w:val="en-US" w:eastAsia="zh-CN" w:bidi="ar-SA"/>
              </w:rPr>
              <w:t>，项目不新增员工，人员从现有项目中调剂解决，故不</w:t>
            </w:r>
            <w:r>
              <w:rPr>
                <w:rFonts w:hint="default" w:ascii="Times New Roman" w:hAnsi="Times New Roman" w:eastAsia="宋体" w:cs="Times New Roman"/>
                <w:color w:val="auto"/>
                <w:sz w:val="24"/>
                <w:lang w:eastAsia="zh-CN" w:bidi="zh-CN"/>
              </w:rPr>
              <w:t>生活垃圾，统一堆放在指定堆放点，由环卫部门清运处理。</w:t>
            </w:r>
          </w:p>
          <w:p w14:paraId="725C00F7">
            <w:pPr>
              <w:pageBreakBefore w:val="0"/>
              <w:widowControl/>
              <w:kinsoku/>
              <w:overflowPunct/>
              <w:topLinePunct w:val="0"/>
              <w:autoSpaceDE w:val="0"/>
              <w:autoSpaceDN w:val="0"/>
              <w:bidi w:val="0"/>
              <w:adjustRightInd/>
              <w:snapToGrid/>
              <w:spacing w:line="360" w:lineRule="auto"/>
              <w:ind w:firstLine="240" w:firstLineChars="100"/>
              <w:textAlignment w:val="baseline"/>
              <w:rPr>
                <w:rFonts w:hint="default" w:ascii="Times New Roman" w:hAnsi="Times New Roman" w:eastAsia="宋体" w:cs="Times New Roman"/>
                <w:color w:val="000000" w:themeColor="text1"/>
                <w:sz w:val="24"/>
                <w:lang w:eastAsia="zh-CN" w:bidi="zh-CN"/>
                <w14:textFill>
                  <w14:solidFill>
                    <w14:schemeClr w14:val="tx1"/>
                  </w14:solidFill>
                </w14:textFill>
              </w:rPr>
            </w:pPr>
            <w:r>
              <w:rPr>
                <w:rFonts w:hint="default" w:ascii="Times New Roman" w:hAnsi="Times New Roman" w:eastAsia="宋体" w:cs="Times New Roman"/>
                <w:color w:val="000000" w:themeColor="text1"/>
                <w:sz w:val="24"/>
                <w:lang w:val="en-US" w:eastAsia="zh-CN" w:bidi="zh-CN"/>
                <w14:textFill>
                  <w14:solidFill>
                    <w14:schemeClr w14:val="tx1"/>
                  </w14:solidFill>
                </w14:textFill>
              </w:rPr>
              <w:t>3</w:t>
            </w:r>
            <w:r>
              <w:rPr>
                <w:rFonts w:hint="default" w:ascii="Times New Roman" w:hAnsi="Times New Roman" w:eastAsia="宋体" w:cs="Times New Roman"/>
                <w:color w:val="000000" w:themeColor="text1"/>
                <w:sz w:val="24"/>
                <w:lang w:eastAsia="zh-CN" w:bidi="zh-CN"/>
                <w14:textFill>
                  <w14:solidFill>
                    <w14:schemeClr w14:val="tx1"/>
                  </w14:solidFill>
                </w14:textFill>
              </w:rPr>
              <w:t>、危险废物</w:t>
            </w:r>
          </w:p>
          <w:p w14:paraId="5CD94BE3">
            <w:pPr>
              <w:pageBreakBefore w:val="0"/>
              <w:widowControl/>
              <w:kinsoku/>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sz w:val="24"/>
                <w:lang w:eastAsia="zh-CN" w:bidi="zh-CN"/>
                <w14:textFill>
                  <w14:solidFill>
                    <w14:schemeClr w14:val="tx1"/>
                  </w14:solidFill>
                </w14:textFill>
              </w:rPr>
            </w:pPr>
            <w:r>
              <w:rPr>
                <w:rFonts w:hint="default" w:ascii="Times New Roman" w:hAnsi="Times New Roman" w:eastAsia="宋体" w:cs="Times New Roman"/>
                <w:color w:val="000000" w:themeColor="text1"/>
                <w:sz w:val="24"/>
                <w:lang w:eastAsia="zh-CN" w:bidi="zh-CN"/>
                <w14:textFill>
                  <w14:solidFill>
                    <w14:schemeClr w14:val="tx1"/>
                  </w14:solidFill>
                </w14:textFill>
              </w:rPr>
              <w:t>①废活性炭：项目废气采用活性炭吸附装置进行处理，根据前文计算，扩建项目本项目废气处理设施活性炭箱吸附非甲烷总烃为</w:t>
            </w:r>
            <w:r>
              <w:rPr>
                <w:rFonts w:hint="default" w:ascii="Times New Roman" w:hAnsi="Times New Roman" w:eastAsia="宋体" w:cs="Times New Roman"/>
                <w:color w:val="000000" w:themeColor="text1"/>
                <w:sz w:val="24"/>
                <w:lang w:val="en-US" w:eastAsia="zh-CN"/>
                <w14:textFill>
                  <w14:solidFill>
                    <w14:schemeClr w14:val="tx1"/>
                  </w14:solidFill>
                </w14:textFill>
              </w:rPr>
              <w:t>0.194</w:t>
            </w:r>
            <w:r>
              <w:rPr>
                <w:rFonts w:hint="default" w:ascii="Times New Roman" w:hAnsi="Times New Roman" w:eastAsia="宋体" w:cs="Times New Roman"/>
                <w:color w:val="000000" w:themeColor="text1"/>
                <w:sz w:val="24"/>
                <w:lang w:eastAsia="zh-CN" w:bidi="zh-CN"/>
                <w14:textFill>
                  <w14:solidFill>
                    <w14:schemeClr w14:val="tx1"/>
                  </w14:solidFill>
                </w14:textFill>
              </w:rPr>
              <w:t>t/a，活性炭需要量与应吸附废气量的比例为1:0.3，需活性炭量为</w:t>
            </w:r>
            <w:r>
              <w:rPr>
                <w:rFonts w:hint="default" w:ascii="Times New Roman" w:hAnsi="Times New Roman" w:eastAsia="宋体" w:cs="Times New Roman"/>
                <w:color w:val="000000" w:themeColor="text1"/>
                <w:sz w:val="24"/>
                <w:lang w:val="en-US" w:eastAsia="zh-CN" w:bidi="zh-CN"/>
                <w14:textFill>
                  <w14:solidFill>
                    <w14:schemeClr w14:val="tx1"/>
                  </w14:solidFill>
                </w14:textFill>
              </w:rPr>
              <w:t>0.058</w:t>
            </w:r>
            <w:r>
              <w:rPr>
                <w:rFonts w:hint="default" w:ascii="Times New Roman" w:hAnsi="Times New Roman" w:eastAsia="宋体" w:cs="Times New Roman"/>
                <w:color w:val="000000" w:themeColor="text1"/>
                <w:sz w:val="24"/>
                <w:lang w:eastAsia="zh-CN" w:bidi="zh-CN"/>
                <w14:textFill>
                  <w14:solidFill>
                    <w14:schemeClr w14:val="tx1"/>
                  </w14:solidFill>
                </w14:textFill>
              </w:rPr>
              <w:t>t，</w:t>
            </w:r>
            <w:r>
              <w:rPr>
                <w:rFonts w:hint="default" w:ascii="Times New Roman" w:hAnsi="Times New Roman" w:eastAsia="宋体" w:cs="Times New Roman"/>
                <w:color w:val="000000" w:themeColor="text1"/>
                <w:sz w:val="24"/>
                <w:lang w:val="en-US" w:eastAsia="zh-CN" w:bidi="zh-CN"/>
                <w14:textFill>
                  <w14:solidFill>
                    <w14:schemeClr w14:val="tx1"/>
                  </w14:solidFill>
                </w14:textFill>
              </w:rPr>
              <w:t>更换周期三个月跟换一次，</w:t>
            </w:r>
            <w:r>
              <w:rPr>
                <w:rFonts w:hint="default" w:ascii="Times New Roman" w:hAnsi="Times New Roman" w:eastAsia="宋体" w:cs="Times New Roman"/>
                <w:color w:val="000000" w:themeColor="text1"/>
                <w:sz w:val="24"/>
                <w:lang w:eastAsia="zh-CN" w:bidi="zh-CN"/>
                <w14:textFill>
                  <w14:solidFill>
                    <w14:schemeClr w14:val="tx1"/>
                  </w14:solidFill>
                </w14:textFill>
              </w:rPr>
              <w:t>则废活性炭产生量为</w:t>
            </w:r>
            <w:r>
              <w:rPr>
                <w:rFonts w:hint="default" w:ascii="Times New Roman" w:hAnsi="Times New Roman" w:eastAsia="宋体" w:cs="Times New Roman"/>
                <w:color w:val="000000" w:themeColor="text1"/>
                <w:sz w:val="24"/>
                <w:lang w:val="en-US" w:eastAsia="zh-CN" w:bidi="zh-CN"/>
                <w14:textFill>
                  <w14:solidFill>
                    <w14:schemeClr w14:val="tx1"/>
                  </w14:solidFill>
                </w14:textFill>
              </w:rPr>
              <w:t>0.426</w:t>
            </w:r>
            <w:r>
              <w:rPr>
                <w:rFonts w:hint="default" w:ascii="Times New Roman" w:hAnsi="Times New Roman" w:eastAsia="宋体" w:cs="Times New Roman"/>
                <w:color w:val="000000" w:themeColor="text1"/>
                <w:sz w:val="24"/>
                <w:lang w:eastAsia="zh-CN" w:bidi="zh-CN"/>
                <w14:textFill>
                  <w14:solidFill>
                    <w14:schemeClr w14:val="tx1"/>
                  </w14:solidFill>
                </w14:textFill>
              </w:rPr>
              <w:t>t/a。根据《国家危险废物名录》（2025年版），废活性炭属于危险废物，废物类别HW49，废物代码900-039-49，经收集后放入专用的储存桶内暂存于危险废物暂存库内，由有资质单位进行处理。</w:t>
            </w:r>
          </w:p>
          <w:p w14:paraId="7CDC97EA">
            <w:pPr>
              <w:pageBreakBefore w:val="0"/>
              <w:widowControl/>
              <w:kinsoku/>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lang w:eastAsia="zh-CN" w:bidi="zh-CN"/>
              </w:rPr>
            </w:pPr>
            <w:r>
              <w:rPr>
                <w:rFonts w:hint="default" w:ascii="Times New Roman" w:hAnsi="Times New Roman" w:eastAsia="宋体" w:cs="Times New Roman"/>
                <w:color w:val="000000" w:themeColor="text1"/>
                <w:sz w:val="24"/>
                <w:lang w:eastAsia="zh-CN" w:bidi="zh-CN"/>
                <w14:textFill>
                  <w14:solidFill>
                    <w14:schemeClr w14:val="tx1"/>
                  </w14:solidFill>
                </w14:textFill>
              </w:rPr>
              <w:t>②废</w:t>
            </w:r>
            <w:r>
              <w:rPr>
                <w:rFonts w:hint="default" w:ascii="Times New Roman" w:hAnsi="Times New Roman" w:eastAsia="宋体" w:cs="Times New Roman"/>
                <w:color w:val="000000" w:themeColor="text1"/>
                <w:sz w:val="24"/>
                <w:lang w:val="en-US" w:eastAsia="zh-CN" w:bidi="zh-CN"/>
                <w14:textFill>
                  <w14:solidFill>
                    <w14:schemeClr w14:val="tx1"/>
                  </w14:solidFill>
                </w14:textFill>
              </w:rPr>
              <w:t>胶桶</w:t>
            </w:r>
            <w:r>
              <w:rPr>
                <w:rFonts w:hint="default" w:ascii="Times New Roman" w:hAnsi="Times New Roman" w:eastAsia="宋体" w:cs="Times New Roman"/>
                <w:color w:val="000000" w:themeColor="text1"/>
                <w:sz w:val="24"/>
                <w:lang w:eastAsia="zh-CN" w:bidi="zh-CN"/>
                <w14:textFill>
                  <w14:solidFill>
                    <w14:schemeClr w14:val="tx1"/>
                  </w14:solidFill>
                </w14:textFill>
              </w:rPr>
              <w:t>：根据企业提供的资料，项目水性复合胶</w:t>
            </w:r>
            <w:r>
              <w:rPr>
                <w:rFonts w:hint="default" w:ascii="Times New Roman" w:hAnsi="Times New Roman" w:eastAsia="宋体" w:cs="Times New Roman"/>
                <w:color w:val="000000" w:themeColor="text1"/>
                <w:sz w:val="24"/>
                <w:lang w:val="en-US" w:eastAsia="zh-CN" w:bidi="zh-CN"/>
                <w14:textFill>
                  <w14:solidFill>
                    <w14:schemeClr w14:val="tx1"/>
                  </w14:solidFill>
                </w14:textFill>
              </w:rPr>
              <w:t>年用量为30t，包装规格为50kg/桶</w:t>
            </w:r>
            <w:r>
              <w:rPr>
                <w:rFonts w:hint="default" w:ascii="Times New Roman" w:hAnsi="Times New Roman" w:eastAsia="宋体" w:cs="Times New Roman"/>
                <w:color w:val="000000" w:themeColor="text1"/>
                <w:sz w:val="24"/>
                <w:lang w:eastAsia="zh-CN" w:bidi="zh-CN"/>
                <w14:textFill>
                  <w14:solidFill>
                    <w14:schemeClr w14:val="tx1"/>
                  </w14:solidFill>
                </w14:textFill>
              </w:rPr>
              <w:t>一年共产生</w:t>
            </w:r>
            <w:r>
              <w:rPr>
                <w:rFonts w:hint="default" w:ascii="Times New Roman" w:hAnsi="Times New Roman" w:eastAsia="宋体" w:cs="Times New Roman"/>
                <w:color w:val="000000" w:themeColor="text1"/>
                <w:sz w:val="24"/>
                <w:lang w:val="en-US" w:eastAsia="zh-CN" w:bidi="zh-CN"/>
                <w14:textFill>
                  <w14:solidFill>
                    <w14:schemeClr w14:val="tx1"/>
                  </w14:solidFill>
                </w14:textFill>
              </w:rPr>
              <w:t>600</w:t>
            </w:r>
            <w:r>
              <w:rPr>
                <w:rFonts w:hint="default" w:ascii="Times New Roman" w:hAnsi="Times New Roman" w:eastAsia="宋体" w:cs="Times New Roman"/>
                <w:color w:val="000000" w:themeColor="text1"/>
                <w:sz w:val="24"/>
                <w:lang w:eastAsia="zh-CN" w:bidi="zh-CN"/>
                <w14:textFill>
                  <w14:solidFill>
                    <w14:schemeClr w14:val="tx1"/>
                  </w14:solidFill>
                </w14:textFill>
              </w:rPr>
              <w:t>个，平均每个包装重约</w:t>
            </w:r>
            <w:r>
              <w:rPr>
                <w:rFonts w:hint="default" w:ascii="Times New Roman" w:hAnsi="Times New Roman" w:eastAsia="宋体" w:cs="Times New Roman"/>
                <w:color w:val="000000" w:themeColor="text1"/>
                <w:sz w:val="24"/>
                <w:lang w:val="en-US" w:eastAsia="zh-CN" w:bidi="zh-CN"/>
                <w14:textFill>
                  <w14:solidFill>
                    <w14:schemeClr w14:val="tx1"/>
                  </w14:solidFill>
                </w14:textFill>
              </w:rPr>
              <w:t>2.5</w:t>
            </w:r>
            <w:r>
              <w:rPr>
                <w:rFonts w:hint="default" w:ascii="Times New Roman" w:hAnsi="Times New Roman" w:eastAsia="宋体" w:cs="Times New Roman"/>
                <w:color w:val="000000" w:themeColor="text1"/>
                <w:sz w:val="24"/>
                <w:lang w:eastAsia="zh-CN" w:bidi="zh-CN"/>
                <w14:textFill>
                  <w14:solidFill>
                    <w14:schemeClr w14:val="tx1"/>
                  </w14:solidFill>
                </w14:textFill>
              </w:rPr>
              <w:t>kg，则废</w:t>
            </w:r>
            <w:r>
              <w:rPr>
                <w:rFonts w:hint="default" w:ascii="Times New Roman" w:hAnsi="Times New Roman" w:eastAsia="宋体" w:cs="Times New Roman"/>
                <w:color w:val="000000" w:themeColor="text1"/>
                <w:sz w:val="24"/>
                <w:lang w:val="en-US" w:eastAsia="zh-CN" w:bidi="zh-CN"/>
                <w14:textFill>
                  <w14:solidFill>
                    <w14:schemeClr w14:val="tx1"/>
                  </w14:solidFill>
                </w14:textFill>
              </w:rPr>
              <w:t>胶桶</w:t>
            </w:r>
            <w:r>
              <w:rPr>
                <w:rFonts w:hint="default" w:ascii="Times New Roman" w:hAnsi="Times New Roman" w:eastAsia="宋体" w:cs="Times New Roman"/>
                <w:color w:val="auto"/>
                <w:sz w:val="24"/>
                <w:lang w:eastAsia="zh-CN" w:bidi="zh-CN"/>
              </w:rPr>
              <w:t>产生量为</w:t>
            </w:r>
            <w:r>
              <w:rPr>
                <w:rFonts w:hint="default" w:ascii="Times New Roman" w:hAnsi="Times New Roman" w:eastAsia="宋体" w:cs="Times New Roman"/>
                <w:color w:val="auto"/>
                <w:sz w:val="24"/>
                <w:lang w:val="en-US" w:eastAsia="zh-CN" w:bidi="zh-CN"/>
              </w:rPr>
              <w:t>1.5</w:t>
            </w:r>
            <w:r>
              <w:rPr>
                <w:rFonts w:hint="default" w:ascii="Times New Roman" w:hAnsi="Times New Roman" w:eastAsia="宋体" w:cs="Times New Roman"/>
                <w:color w:val="auto"/>
                <w:sz w:val="24"/>
                <w:lang w:eastAsia="zh-CN" w:bidi="zh-CN"/>
              </w:rPr>
              <w:t>t/a，废</w:t>
            </w:r>
            <w:r>
              <w:rPr>
                <w:rFonts w:hint="default" w:ascii="Times New Roman" w:hAnsi="Times New Roman" w:eastAsia="宋体" w:cs="Times New Roman"/>
                <w:color w:val="auto"/>
                <w:sz w:val="24"/>
                <w:lang w:val="en-US" w:eastAsia="zh-CN" w:bidi="zh-CN"/>
              </w:rPr>
              <w:t>胶桶</w:t>
            </w:r>
            <w:r>
              <w:rPr>
                <w:rFonts w:hint="default" w:ascii="Times New Roman" w:hAnsi="Times New Roman" w:eastAsia="宋体" w:cs="Times New Roman"/>
                <w:color w:val="auto"/>
                <w:sz w:val="24"/>
                <w:lang w:eastAsia="zh-CN" w:bidi="zh-CN"/>
              </w:rPr>
              <w:t>属于危险物质，危废类别为HW</w:t>
            </w:r>
            <w:r>
              <w:rPr>
                <w:rFonts w:hint="default" w:ascii="Times New Roman" w:hAnsi="Times New Roman" w:eastAsia="宋体" w:cs="Times New Roman"/>
                <w:color w:val="auto"/>
                <w:sz w:val="24"/>
                <w:lang w:val="en-US" w:eastAsia="zh-CN" w:bidi="zh-CN"/>
              </w:rPr>
              <w:t>49</w:t>
            </w:r>
            <w:r>
              <w:rPr>
                <w:rFonts w:hint="default" w:ascii="Times New Roman" w:hAnsi="Times New Roman" w:eastAsia="宋体" w:cs="Times New Roman"/>
                <w:color w:val="auto"/>
                <w:sz w:val="24"/>
                <w:lang w:eastAsia="zh-CN" w:bidi="zh-CN"/>
              </w:rPr>
              <w:t>，</w:t>
            </w:r>
            <w:r>
              <w:rPr>
                <w:rFonts w:hint="default" w:ascii="Times New Roman" w:hAnsi="Times New Roman" w:eastAsia="宋体" w:cs="Times New Roman"/>
                <w:color w:val="auto"/>
                <w:sz w:val="24"/>
                <w:lang w:val="en-US" w:eastAsia="zh-CN" w:bidi="zh-CN"/>
              </w:rPr>
              <w:t>900-041-49</w:t>
            </w:r>
            <w:r>
              <w:rPr>
                <w:rFonts w:hint="default" w:ascii="Times New Roman" w:hAnsi="Times New Roman" w:eastAsia="宋体" w:cs="Times New Roman"/>
                <w:color w:val="auto"/>
                <w:sz w:val="24"/>
                <w:lang w:eastAsia="zh-CN" w:bidi="zh-CN"/>
              </w:rPr>
              <w:t>，暂存于厂区危废暂存间，委托有资质单位处置。</w:t>
            </w:r>
          </w:p>
          <w:p w14:paraId="31BD390E">
            <w:pPr>
              <w:pageBreakBefore w:val="0"/>
              <w:widowControl/>
              <w:kinsoku/>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lang w:val="en-US" w:eastAsia="zh-CN" w:bidi="zh-CN"/>
              </w:rPr>
            </w:pPr>
            <w:r>
              <w:rPr>
                <w:rFonts w:hint="default" w:ascii="Times New Roman" w:hAnsi="Times New Roman" w:eastAsia="宋体" w:cs="Times New Roman"/>
                <w:color w:val="auto"/>
                <w:sz w:val="24"/>
                <w:lang w:val="en-US" w:eastAsia="zh-CN" w:bidi="zh-CN"/>
              </w:rPr>
              <w:t>③废气水喷淋废水</w:t>
            </w:r>
          </w:p>
          <w:p w14:paraId="164CA2B0">
            <w:pPr>
              <w:pageBreakBefore w:val="0"/>
              <w:widowControl/>
              <w:kinsoku/>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lang w:eastAsia="zh-CN" w:bidi="zh-CN"/>
              </w:rPr>
            </w:pPr>
            <w:r>
              <w:rPr>
                <w:rFonts w:hint="default" w:ascii="Times New Roman" w:hAnsi="Times New Roman" w:eastAsia="宋体" w:cs="Times New Roman"/>
                <w:color w:val="auto"/>
                <w:sz w:val="24"/>
                <w:lang w:val="en-US" w:eastAsia="zh-CN" w:bidi="zh-CN"/>
              </w:rPr>
              <w:t>项目涂胶、烘干、复合废气采用一套水喷淋+集气系统+二级活性炭吸附装置进行收集处理后通过15m排气筒排放（DA003），水喷淋清水循环使用，根据建设单位提供用水量为1.82t/a，</w:t>
            </w:r>
            <w:r>
              <w:rPr>
                <w:rFonts w:hint="default" w:ascii="Times New Roman" w:hAnsi="Times New Roman" w:eastAsia="宋体" w:cs="Times New Roman"/>
                <w:color w:val="auto"/>
                <w:sz w:val="24"/>
                <w:lang w:eastAsia="zh-CN" w:bidi="zh-CN"/>
              </w:rPr>
              <w:t>危废类别为HW</w:t>
            </w:r>
            <w:r>
              <w:rPr>
                <w:rFonts w:hint="default" w:ascii="Times New Roman" w:hAnsi="Times New Roman" w:eastAsia="宋体" w:cs="Times New Roman"/>
                <w:color w:val="auto"/>
                <w:sz w:val="24"/>
                <w:lang w:val="en-US" w:eastAsia="zh-CN" w:bidi="zh-CN"/>
              </w:rPr>
              <w:t>49</w:t>
            </w:r>
            <w:r>
              <w:rPr>
                <w:rFonts w:hint="default" w:ascii="Times New Roman" w:hAnsi="Times New Roman" w:eastAsia="宋体" w:cs="Times New Roman"/>
                <w:color w:val="auto"/>
                <w:sz w:val="24"/>
                <w:lang w:eastAsia="zh-CN" w:bidi="zh-CN"/>
              </w:rPr>
              <w:t>，</w:t>
            </w:r>
            <w:r>
              <w:rPr>
                <w:rFonts w:hint="default" w:ascii="Times New Roman" w:hAnsi="Times New Roman" w:eastAsia="宋体" w:cs="Times New Roman"/>
                <w:color w:val="auto"/>
                <w:sz w:val="24"/>
                <w:lang w:val="en-US" w:eastAsia="zh-CN" w:bidi="zh-CN"/>
              </w:rPr>
              <w:t>772-006-49，循坏不外排，定期</w:t>
            </w:r>
            <w:r>
              <w:rPr>
                <w:rFonts w:hint="default" w:ascii="Times New Roman" w:hAnsi="Times New Roman" w:eastAsia="宋体" w:cs="Times New Roman"/>
                <w:color w:val="auto"/>
                <w:sz w:val="24"/>
                <w:lang w:eastAsia="zh-CN" w:bidi="zh-CN"/>
              </w:rPr>
              <w:t>收集后作为危险废物交由有资质单位处理。</w:t>
            </w:r>
          </w:p>
          <w:p w14:paraId="580AB1B7">
            <w:pPr>
              <w:pageBreakBefore w:val="0"/>
              <w:widowControl/>
              <w:kinsoku/>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lang w:eastAsia="zh-CN" w:bidi="zh-CN"/>
              </w:rPr>
            </w:pPr>
            <w:r>
              <w:rPr>
                <w:rFonts w:hint="default" w:ascii="Times New Roman" w:hAnsi="Times New Roman" w:eastAsia="宋体" w:cs="Times New Roman"/>
                <w:color w:val="auto"/>
                <w:sz w:val="24"/>
                <w:lang w:eastAsia="zh-CN" w:bidi="zh-CN"/>
              </w:rPr>
              <w:t>项目运营期固体废物产生情况见下表。</w:t>
            </w:r>
          </w:p>
          <w:p w14:paraId="670DCEC3">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000000" w:themeColor="text1"/>
                <w:sz w:val="24"/>
                <w:lang w:eastAsia="zh-CN"/>
                <w14:textFill>
                  <w14:solidFill>
                    <w14:schemeClr w14:val="tx1"/>
                  </w14:solidFill>
                </w14:textFill>
              </w:rPr>
            </w:pPr>
            <w:r>
              <w:rPr>
                <w:rFonts w:hint="default" w:ascii="Times New Roman" w:hAnsi="Times New Roman" w:eastAsia="宋体" w:cs="Times New Roman"/>
                <w:b/>
                <w:bCs/>
                <w:color w:val="000000" w:themeColor="text1"/>
                <w:sz w:val="24"/>
                <w:lang w:eastAsia="zh-CN"/>
                <w14:textFill>
                  <w14:solidFill>
                    <w14:schemeClr w14:val="tx1"/>
                  </w14:solidFill>
                </w14:textFill>
              </w:rPr>
              <w:t>表4-1</w:t>
            </w:r>
            <w:r>
              <w:rPr>
                <w:rFonts w:hint="default" w:ascii="Times New Roman" w:hAnsi="Times New Roman" w:eastAsia="宋体" w:cs="Times New Roman"/>
                <w:b/>
                <w:bCs/>
                <w:color w:val="000000" w:themeColor="text1"/>
                <w:sz w:val="24"/>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lang w:eastAsia="zh-CN"/>
                <w14:textFill>
                  <w14:solidFill>
                    <w14:schemeClr w14:val="tx1"/>
                  </w14:solidFill>
                </w14:textFill>
              </w:rPr>
              <w:t>本项目固废产生情况汇总表单位：t/a</w:t>
            </w:r>
          </w:p>
          <w:tbl>
            <w:tblPr>
              <w:tblStyle w:val="2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5"/>
              <w:gridCol w:w="851"/>
              <w:gridCol w:w="947"/>
              <w:gridCol w:w="572"/>
              <w:gridCol w:w="673"/>
              <w:gridCol w:w="979"/>
              <w:gridCol w:w="618"/>
              <w:gridCol w:w="767"/>
              <w:gridCol w:w="878"/>
              <w:gridCol w:w="678"/>
              <w:gridCol w:w="1012"/>
            </w:tblGrid>
            <w:tr w14:paraId="21493D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355" w:type="dxa"/>
                  <w:tcBorders>
                    <w:tl2br w:val="nil"/>
                    <w:tr2bl w:val="nil"/>
                  </w:tcBorders>
                  <w:vAlign w:val="center"/>
                </w:tcPr>
                <w:p w14:paraId="17C1FAD0">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851" w:type="dxa"/>
                  <w:tcBorders>
                    <w:tl2br w:val="nil"/>
                    <w:tr2bl w:val="nil"/>
                  </w:tcBorders>
                  <w:vAlign w:val="center"/>
                </w:tcPr>
                <w:p w14:paraId="07BFCD97">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固废名称</w:t>
                  </w:r>
                </w:p>
              </w:tc>
              <w:tc>
                <w:tcPr>
                  <w:tcW w:w="947" w:type="dxa"/>
                  <w:tcBorders>
                    <w:tl2br w:val="nil"/>
                    <w:tr2bl w:val="nil"/>
                  </w:tcBorders>
                  <w:vAlign w:val="center"/>
                </w:tcPr>
                <w:p w14:paraId="643ECD08">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产生工序</w:t>
                  </w:r>
                </w:p>
              </w:tc>
              <w:tc>
                <w:tcPr>
                  <w:tcW w:w="572" w:type="dxa"/>
                  <w:tcBorders>
                    <w:tl2br w:val="nil"/>
                    <w:tr2bl w:val="nil"/>
                  </w:tcBorders>
                  <w:vAlign w:val="center"/>
                </w:tcPr>
                <w:p w14:paraId="584C8811">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属性</w:t>
                  </w:r>
                </w:p>
              </w:tc>
              <w:tc>
                <w:tcPr>
                  <w:tcW w:w="673" w:type="dxa"/>
                  <w:tcBorders>
                    <w:tl2br w:val="nil"/>
                    <w:tr2bl w:val="nil"/>
                  </w:tcBorders>
                  <w:vAlign w:val="center"/>
                </w:tcPr>
                <w:p w14:paraId="0B0CDE0E">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形态</w:t>
                  </w:r>
                </w:p>
              </w:tc>
              <w:tc>
                <w:tcPr>
                  <w:tcW w:w="979" w:type="dxa"/>
                  <w:tcBorders>
                    <w:tl2br w:val="nil"/>
                    <w:tr2bl w:val="nil"/>
                  </w:tcBorders>
                  <w:vAlign w:val="center"/>
                </w:tcPr>
                <w:p w14:paraId="07AF6574">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主要成分</w:t>
                  </w:r>
                </w:p>
              </w:tc>
              <w:tc>
                <w:tcPr>
                  <w:tcW w:w="618" w:type="dxa"/>
                  <w:tcBorders>
                    <w:tl2br w:val="nil"/>
                    <w:tr2bl w:val="nil"/>
                  </w:tcBorders>
                  <w:vAlign w:val="center"/>
                </w:tcPr>
                <w:p w14:paraId="6ED3C69D">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产生量</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t/a</w:t>
                  </w:r>
                </w:p>
              </w:tc>
              <w:tc>
                <w:tcPr>
                  <w:tcW w:w="767" w:type="dxa"/>
                  <w:tcBorders>
                    <w:tl2br w:val="nil"/>
                    <w:tr2bl w:val="nil"/>
                  </w:tcBorders>
                  <w:vAlign w:val="center"/>
                </w:tcPr>
                <w:p w14:paraId="4D776D12">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废物类别</w:t>
                  </w:r>
                </w:p>
              </w:tc>
              <w:tc>
                <w:tcPr>
                  <w:tcW w:w="878" w:type="dxa"/>
                  <w:tcBorders>
                    <w:tl2br w:val="nil"/>
                    <w:tr2bl w:val="nil"/>
                  </w:tcBorders>
                  <w:vAlign w:val="center"/>
                </w:tcPr>
                <w:p w14:paraId="79A02513">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废物代码</w:t>
                  </w:r>
                </w:p>
              </w:tc>
              <w:tc>
                <w:tcPr>
                  <w:tcW w:w="678" w:type="dxa"/>
                  <w:tcBorders>
                    <w:tl2br w:val="nil"/>
                    <w:tr2bl w:val="nil"/>
                  </w:tcBorders>
                  <w:vAlign w:val="center"/>
                </w:tcPr>
                <w:p w14:paraId="0FBB4C6E">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危险特性</w:t>
                  </w:r>
                </w:p>
              </w:tc>
              <w:tc>
                <w:tcPr>
                  <w:tcW w:w="1012" w:type="dxa"/>
                  <w:tcBorders>
                    <w:tl2br w:val="nil"/>
                    <w:tr2bl w:val="nil"/>
                  </w:tcBorders>
                  <w:vAlign w:val="center"/>
                </w:tcPr>
                <w:p w14:paraId="1F6FDBA0">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利用处置方式</w:t>
                  </w:r>
                </w:p>
              </w:tc>
            </w:tr>
            <w:tr w14:paraId="4D19C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355" w:type="dxa"/>
                  <w:tcBorders>
                    <w:tl2br w:val="nil"/>
                    <w:tr2bl w:val="nil"/>
                  </w:tcBorders>
                  <w:vAlign w:val="center"/>
                </w:tcPr>
                <w:p w14:paraId="11C65033">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851" w:type="dxa"/>
                  <w:tcBorders>
                    <w:tl2br w:val="nil"/>
                    <w:tr2bl w:val="nil"/>
                  </w:tcBorders>
                  <w:shd w:val="clear" w:color="auto" w:fill="auto"/>
                  <w:vAlign w:val="center"/>
                </w:tcPr>
                <w:p w14:paraId="7FFF6095">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不合格品</w:t>
                  </w:r>
                </w:p>
              </w:tc>
              <w:tc>
                <w:tcPr>
                  <w:tcW w:w="947" w:type="dxa"/>
                  <w:tcBorders>
                    <w:tl2br w:val="nil"/>
                    <w:tr2bl w:val="nil"/>
                  </w:tcBorders>
                  <w:vAlign w:val="center"/>
                </w:tcPr>
                <w:p w14:paraId="03292CD8">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原料加工</w:t>
                  </w:r>
                </w:p>
              </w:tc>
              <w:tc>
                <w:tcPr>
                  <w:tcW w:w="572" w:type="dxa"/>
                  <w:tcBorders>
                    <w:tl2br w:val="nil"/>
                    <w:tr2bl w:val="nil"/>
                  </w:tcBorders>
                  <w:vAlign w:val="center"/>
                </w:tcPr>
                <w:p w14:paraId="5DA9FF8F">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一般固废</w:t>
                  </w:r>
                </w:p>
              </w:tc>
              <w:tc>
                <w:tcPr>
                  <w:tcW w:w="673" w:type="dxa"/>
                  <w:tcBorders>
                    <w:tl2br w:val="nil"/>
                    <w:tr2bl w:val="nil"/>
                  </w:tcBorders>
                  <w:vAlign w:val="center"/>
                </w:tcPr>
                <w:p w14:paraId="5DBDE76B">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固态</w:t>
                  </w:r>
                </w:p>
              </w:tc>
              <w:tc>
                <w:tcPr>
                  <w:tcW w:w="979" w:type="dxa"/>
                  <w:tcBorders>
                    <w:tl2br w:val="nil"/>
                    <w:tr2bl w:val="nil"/>
                  </w:tcBorders>
                  <w:vAlign w:val="center"/>
                </w:tcPr>
                <w:p w14:paraId="5963D5E0">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铝箔</w:t>
                  </w:r>
                </w:p>
              </w:tc>
              <w:tc>
                <w:tcPr>
                  <w:tcW w:w="618" w:type="dxa"/>
                  <w:tcBorders>
                    <w:tl2br w:val="nil"/>
                    <w:tr2bl w:val="nil"/>
                  </w:tcBorders>
                  <w:vAlign w:val="center"/>
                </w:tcPr>
                <w:p w14:paraId="6610E2B1">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p>
              </w:tc>
              <w:tc>
                <w:tcPr>
                  <w:tcW w:w="767" w:type="dxa"/>
                  <w:tcBorders>
                    <w:tl2br w:val="nil"/>
                    <w:tr2bl w:val="nil"/>
                  </w:tcBorders>
                  <w:vAlign w:val="center"/>
                </w:tcPr>
                <w:p w14:paraId="30D584DB">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878" w:type="dxa"/>
                  <w:tcBorders>
                    <w:tl2br w:val="nil"/>
                    <w:tr2bl w:val="nil"/>
                  </w:tcBorders>
                  <w:vAlign w:val="center"/>
                </w:tcPr>
                <w:p w14:paraId="0A569643">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900-001-S17</w:t>
                  </w:r>
                </w:p>
              </w:tc>
              <w:tc>
                <w:tcPr>
                  <w:tcW w:w="678" w:type="dxa"/>
                  <w:tcBorders>
                    <w:tl2br w:val="nil"/>
                    <w:tr2bl w:val="nil"/>
                  </w:tcBorders>
                  <w:vAlign w:val="center"/>
                </w:tcPr>
                <w:p w14:paraId="36CF2D81">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012" w:type="dxa"/>
                  <w:vMerge w:val="restart"/>
                  <w:tcBorders>
                    <w:tl2br w:val="nil"/>
                    <w:tr2bl w:val="nil"/>
                  </w:tcBorders>
                  <w:vAlign w:val="center"/>
                </w:tcPr>
                <w:p w14:paraId="45118B4D">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统一收集后外售处理</w:t>
                  </w:r>
                </w:p>
              </w:tc>
            </w:tr>
            <w:tr w14:paraId="061B72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355" w:type="dxa"/>
                  <w:tcBorders>
                    <w:tl2br w:val="nil"/>
                    <w:tr2bl w:val="nil"/>
                  </w:tcBorders>
                  <w:vAlign w:val="center"/>
                </w:tcPr>
                <w:p w14:paraId="7247D7F3">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851" w:type="dxa"/>
                  <w:tcBorders>
                    <w:tl2br w:val="nil"/>
                    <w:tr2bl w:val="nil"/>
                  </w:tcBorders>
                  <w:shd w:val="clear" w:color="auto" w:fill="auto"/>
                  <w:vAlign w:val="center"/>
                </w:tcPr>
                <w:p w14:paraId="49348BD9">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边角料</w:t>
                  </w:r>
                </w:p>
              </w:tc>
              <w:tc>
                <w:tcPr>
                  <w:tcW w:w="947" w:type="dxa"/>
                  <w:tcBorders>
                    <w:tl2br w:val="nil"/>
                    <w:tr2bl w:val="nil"/>
                  </w:tcBorders>
                  <w:shd w:val="clear" w:color="auto" w:fill="auto"/>
                  <w:vAlign w:val="center"/>
                </w:tcPr>
                <w:p w14:paraId="7FE5E65C">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原料加工</w:t>
                  </w:r>
                </w:p>
              </w:tc>
              <w:tc>
                <w:tcPr>
                  <w:tcW w:w="572" w:type="dxa"/>
                  <w:tcBorders>
                    <w:tl2br w:val="nil"/>
                    <w:tr2bl w:val="nil"/>
                  </w:tcBorders>
                  <w:shd w:val="clear" w:color="auto" w:fill="auto"/>
                  <w:vAlign w:val="center"/>
                </w:tcPr>
                <w:p w14:paraId="31C35228">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一般固废</w:t>
                  </w:r>
                </w:p>
              </w:tc>
              <w:tc>
                <w:tcPr>
                  <w:tcW w:w="673" w:type="dxa"/>
                  <w:tcBorders>
                    <w:tl2br w:val="nil"/>
                    <w:tr2bl w:val="nil"/>
                  </w:tcBorders>
                  <w:shd w:val="clear" w:color="auto" w:fill="auto"/>
                  <w:vAlign w:val="center"/>
                </w:tcPr>
                <w:p w14:paraId="2D339064">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固态</w:t>
                  </w:r>
                </w:p>
              </w:tc>
              <w:tc>
                <w:tcPr>
                  <w:tcW w:w="979" w:type="dxa"/>
                  <w:tcBorders>
                    <w:tl2br w:val="nil"/>
                    <w:tr2bl w:val="nil"/>
                  </w:tcBorders>
                  <w:shd w:val="clear" w:color="auto" w:fill="auto"/>
                  <w:vAlign w:val="center"/>
                </w:tcPr>
                <w:p w14:paraId="2E370739">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铝箔</w:t>
                  </w:r>
                </w:p>
              </w:tc>
              <w:tc>
                <w:tcPr>
                  <w:tcW w:w="618" w:type="dxa"/>
                  <w:tcBorders>
                    <w:tl2br w:val="nil"/>
                    <w:tr2bl w:val="nil"/>
                  </w:tcBorders>
                  <w:shd w:val="clear" w:color="auto" w:fill="auto"/>
                  <w:vAlign w:val="center"/>
                </w:tcPr>
                <w:p w14:paraId="101CE6B5">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767" w:type="dxa"/>
                  <w:tcBorders>
                    <w:tl2br w:val="nil"/>
                    <w:tr2bl w:val="nil"/>
                  </w:tcBorders>
                  <w:shd w:val="clear" w:color="auto" w:fill="auto"/>
                  <w:vAlign w:val="center"/>
                </w:tcPr>
                <w:p w14:paraId="3FCB6ECB">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878" w:type="dxa"/>
                  <w:tcBorders>
                    <w:tl2br w:val="nil"/>
                    <w:tr2bl w:val="nil"/>
                  </w:tcBorders>
                  <w:shd w:val="clear" w:color="auto" w:fill="auto"/>
                  <w:vAlign w:val="center"/>
                </w:tcPr>
                <w:p w14:paraId="7A662EB2">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900-001-S17</w:t>
                  </w:r>
                </w:p>
              </w:tc>
              <w:tc>
                <w:tcPr>
                  <w:tcW w:w="678" w:type="dxa"/>
                  <w:tcBorders>
                    <w:tl2br w:val="nil"/>
                    <w:tr2bl w:val="nil"/>
                  </w:tcBorders>
                  <w:vAlign w:val="center"/>
                </w:tcPr>
                <w:p w14:paraId="3D1A5169">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012" w:type="dxa"/>
                  <w:vMerge w:val="continue"/>
                  <w:tcBorders>
                    <w:tl2br w:val="nil"/>
                    <w:tr2bl w:val="nil"/>
                  </w:tcBorders>
                  <w:vAlign w:val="center"/>
                </w:tcPr>
                <w:p w14:paraId="35B1EE9B">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14:paraId="1C69D7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355" w:type="dxa"/>
                  <w:tcBorders>
                    <w:tl2br w:val="nil"/>
                    <w:tr2bl w:val="nil"/>
                  </w:tcBorders>
                  <w:vAlign w:val="center"/>
                </w:tcPr>
                <w:p w14:paraId="2D0665B4">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851" w:type="dxa"/>
                  <w:tcBorders>
                    <w:tl2br w:val="nil"/>
                    <w:tr2bl w:val="nil"/>
                  </w:tcBorders>
                  <w:vAlign w:val="center"/>
                </w:tcPr>
                <w:p w14:paraId="69786A01">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生活垃圾</w:t>
                  </w:r>
                </w:p>
              </w:tc>
              <w:tc>
                <w:tcPr>
                  <w:tcW w:w="947" w:type="dxa"/>
                  <w:tcBorders>
                    <w:tl2br w:val="nil"/>
                    <w:tr2bl w:val="nil"/>
                  </w:tcBorders>
                  <w:vAlign w:val="center"/>
                </w:tcPr>
                <w:p w14:paraId="4B878A5E">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办公生活</w:t>
                  </w:r>
                </w:p>
              </w:tc>
              <w:tc>
                <w:tcPr>
                  <w:tcW w:w="572" w:type="dxa"/>
                  <w:tcBorders>
                    <w:tl2br w:val="nil"/>
                    <w:tr2bl w:val="nil"/>
                  </w:tcBorders>
                  <w:vAlign w:val="center"/>
                </w:tcPr>
                <w:p w14:paraId="29D42878">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73" w:type="dxa"/>
                  <w:tcBorders>
                    <w:tl2br w:val="nil"/>
                    <w:tr2bl w:val="nil"/>
                  </w:tcBorders>
                  <w:vAlign w:val="center"/>
                </w:tcPr>
                <w:p w14:paraId="4B2141C9">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固态</w:t>
                  </w:r>
                </w:p>
              </w:tc>
              <w:tc>
                <w:tcPr>
                  <w:tcW w:w="979" w:type="dxa"/>
                  <w:tcBorders>
                    <w:tl2br w:val="nil"/>
                    <w:tr2bl w:val="nil"/>
                  </w:tcBorders>
                  <w:vAlign w:val="center"/>
                </w:tcPr>
                <w:p w14:paraId="55E58CB7">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果皮、纸屑</w:t>
                  </w:r>
                </w:p>
              </w:tc>
              <w:tc>
                <w:tcPr>
                  <w:tcW w:w="618" w:type="dxa"/>
                  <w:tcBorders>
                    <w:tl2br w:val="nil"/>
                    <w:tr2bl w:val="nil"/>
                  </w:tcBorders>
                  <w:vAlign w:val="center"/>
                </w:tcPr>
                <w:p w14:paraId="62543A5F">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767" w:type="dxa"/>
                  <w:tcBorders>
                    <w:tl2br w:val="nil"/>
                    <w:tr2bl w:val="nil"/>
                  </w:tcBorders>
                  <w:vAlign w:val="center"/>
                </w:tcPr>
                <w:p w14:paraId="54502BF2">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878" w:type="dxa"/>
                  <w:tcBorders>
                    <w:tl2br w:val="nil"/>
                    <w:tr2bl w:val="nil"/>
                  </w:tcBorders>
                  <w:vAlign w:val="center"/>
                </w:tcPr>
                <w:p w14:paraId="22B2D029">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78" w:type="dxa"/>
                  <w:tcBorders>
                    <w:tl2br w:val="nil"/>
                    <w:tr2bl w:val="nil"/>
                  </w:tcBorders>
                  <w:vAlign w:val="center"/>
                </w:tcPr>
                <w:p w14:paraId="40E8884A">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012" w:type="dxa"/>
                  <w:tcBorders>
                    <w:tl2br w:val="nil"/>
                    <w:tr2bl w:val="nil"/>
                  </w:tcBorders>
                  <w:vAlign w:val="center"/>
                </w:tcPr>
                <w:p w14:paraId="33C15F18">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委托环卫部门处置</w:t>
                  </w:r>
                </w:p>
              </w:tc>
            </w:tr>
            <w:tr w14:paraId="1368FF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355" w:type="dxa"/>
                  <w:tcBorders>
                    <w:tl2br w:val="nil"/>
                    <w:tr2bl w:val="nil"/>
                  </w:tcBorders>
                  <w:vAlign w:val="center"/>
                </w:tcPr>
                <w:p w14:paraId="71BE11BA">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851" w:type="dxa"/>
                  <w:tcBorders>
                    <w:tl2br w:val="nil"/>
                    <w:tr2bl w:val="nil"/>
                  </w:tcBorders>
                  <w:vAlign w:val="center"/>
                </w:tcPr>
                <w:p w14:paraId="1BBBC269">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废胶桶</w:t>
                  </w:r>
                </w:p>
              </w:tc>
              <w:tc>
                <w:tcPr>
                  <w:tcW w:w="947" w:type="dxa"/>
                  <w:tcBorders>
                    <w:tl2br w:val="nil"/>
                    <w:tr2bl w:val="nil"/>
                  </w:tcBorders>
                  <w:vAlign w:val="center"/>
                </w:tcPr>
                <w:p w14:paraId="66B0552C">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复合</w:t>
                  </w:r>
                </w:p>
              </w:tc>
              <w:tc>
                <w:tcPr>
                  <w:tcW w:w="572" w:type="dxa"/>
                  <w:tcBorders>
                    <w:tl2br w:val="nil"/>
                    <w:tr2bl w:val="nil"/>
                  </w:tcBorders>
                  <w:vAlign w:val="center"/>
                </w:tcPr>
                <w:p w14:paraId="209E7DCE">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危险废物</w:t>
                  </w:r>
                </w:p>
              </w:tc>
              <w:tc>
                <w:tcPr>
                  <w:tcW w:w="673" w:type="dxa"/>
                  <w:tcBorders>
                    <w:tl2br w:val="nil"/>
                    <w:tr2bl w:val="nil"/>
                  </w:tcBorders>
                  <w:vAlign w:val="center"/>
                </w:tcPr>
                <w:p w14:paraId="7C6BCA0A">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固态</w:t>
                  </w:r>
                </w:p>
              </w:tc>
              <w:tc>
                <w:tcPr>
                  <w:tcW w:w="979" w:type="dxa"/>
                  <w:tcBorders>
                    <w:tl2br w:val="nil"/>
                    <w:tr2bl w:val="nil"/>
                  </w:tcBorders>
                  <w:vAlign w:val="center"/>
                </w:tcPr>
                <w:p w14:paraId="148DC0C0">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有机物</w:t>
                  </w:r>
                </w:p>
              </w:tc>
              <w:tc>
                <w:tcPr>
                  <w:tcW w:w="618" w:type="dxa"/>
                  <w:tcBorders>
                    <w:tl2br w:val="nil"/>
                    <w:tr2bl w:val="nil"/>
                  </w:tcBorders>
                  <w:vAlign w:val="center"/>
                </w:tcPr>
                <w:p w14:paraId="433D0073">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767" w:type="dxa"/>
                  <w:tcBorders>
                    <w:tl2br w:val="nil"/>
                    <w:tr2bl w:val="nil"/>
                  </w:tcBorders>
                  <w:vAlign w:val="center"/>
                </w:tcPr>
                <w:p w14:paraId="0E9072E6">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HW49</w:t>
                  </w:r>
                </w:p>
              </w:tc>
              <w:tc>
                <w:tcPr>
                  <w:tcW w:w="878" w:type="dxa"/>
                  <w:tcBorders>
                    <w:tl2br w:val="nil"/>
                    <w:tr2bl w:val="nil"/>
                  </w:tcBorders>
                  <w:vAlign w:val="center"/>
                </w:tcPr>
                <w:p w14:paraId="3EE84265">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900-041-49</w:t>
                  </w:r>
                </w:p>
              </w:tc>
              <w:tc>
                <w:tcPr>
                  <w:tcW w:w="678" w:type="dxa"/>
                  <w:tcBorders>
                    <w:tl2br w:val="nil"/>
                    <w:tr2bl w:val="nil"/>
                  </w:tcBorders>
                  <w:vAlign w:val="center"/>
                </w:tcPr>
                <w:p w14:paraId="013BFABF">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T，I</w:t>
                  </w:r>
                </w:p>
              </w:tc>
              <w:tc>
                <w:tcPr>
                  <w:tcW w:w="1012" w:type="dxa"/>
                  <w:vMerge w:val="restart"/>
                  <w:tcBorders>
                    <w:tl2br w:val="nil"/>
                    <w:tr2bl w:val="nil"/>
                  </w:tcBorders>
                  <w:vAlign w:val="center"/>
                </w:tcPr>
                <w:p w14:paraId="097947E0">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危废暂存间暂存后委托有资质单位处置</w:t>
                  </w:r>
                </w:p>
              </w:tc>
            </w:tr>
            <w:tr w14:paraId="0F1EED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355" w:type="dxa"/>
                  <w:tcBorders>
                    <w:tl2br w:val="nil"/>
                    <w:tr2bl w:val="nil"/>
                  </w:tcBorders>
                  <w:vAlign w:val="center"/>
                </w:tcPr>
                <w:p w14:paraId="136F5BC0">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851" w:type="dxa"/>
                  <w:tcBorders>
                    <w:tl2br w:val="nil"/>
                    <w:tr2bl w:val="nil"/>
                  </w:tcBorders>
                  <w:vAlign w:val="center"/>
                </w:tcPr>
                <w:p w14:paraId="321F9544">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废活性炭</w:t>
                  </w:r>
                </w:p>
              </w:tc>
              <w:tc>
                <w:tcPr>
                  <w:tcW w:w="947" w:type="dxa"/>
                  <w:tcBorders>
                    <w:tl2br w:val="nil"/>
                    <w:tr2bl w:val="nil"/>
                  </w:tcBorders>
                  <w:vAlign w:val="center"/>
                </w:tcPr>
                <w:p w14:paraId="00AE143E">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废气处理</w:t>
                  </w:r>
                </w:p>
              </w:tc>
              <w:tc>
                <w:tcPr>
                  <w:tcW w:w="572" w:type="dxa"/>
                  <w:tcBorders>
                    <w:tl2br w:val="nil"/>
                    <w:tr2bl w:val="nil"/>
                  </w:tcBorders>
                  <w:vAlign w:val="center"/>
                </w:tcPr>
                <w:p w14:paraId="314B4D64">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危险废物</w:t>
                  </w:r>
                </w:p>
              </w:tc>
              <w:tc>
                <w:tcPr>
                  <w:tcW w:w="673" w:type="dxa"/>
                  <w:tcBorders>
                    <w:tl2br w:val="nil"/>
                    <w:tr2bl w:val="nil"/>
                  </w:tcBorders>
                  <w:vAlign w:val="center"/>
                </w:tcPr>
                <w:p w14:paraId="30E4B804">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固态</w:t>
                  </w:r>
                </w:p>
              </w:tc>
              <w:tc>
                <w:tcPr>
                  <w:tcW w:w="979" w:type="dxa"/>
                  <w:tcBorders>
                    <w:tl2br w:val="nil"/>
                    <w:tr2bl w:val="nil"/>
                  </w:tcBorders>
                  <w:vAlign w:val="center"/>
                </w:tcPr>
                <w:p w14:paraId="517449C1">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有机废气、活性炭</w:t>
                  </w:r>
                </w:p>
              </w:tc>
              <w:tc>
                <w:tcPr>
                  <w:tcW w:w="618" w:type="dxa"/>
                  <w:tcBorders>
                    <w:tl2br w:val="nil"/>
                    <w:tr2bl w:val="nil"/>
                  </w:tcBorders>
                  <w:vAlign w:val="center"/>
                </w:tcPr>
                <w:p w14:paraId="1BDAE915">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0.426</w:t>
                  </w:r>
                </w:p>
              </w:tc>
              <w:tc>
                <w:tcPr>
                  <w:tcW w:w="767" w:type="dxa"/>
                  <w:tcBorders>
                    <w:tl2br w:val="nil"/>
                    <w:tr2bl w:val="nil"/>
                  </w:tcBorders>
                  <w:vAlign w:val="center"/>
                </w:tcPr>
                <w:p w14:paraId="750B8EF6">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HW49</w:t>
                  </w:r>
                </w:p>
              </w:tc>
              <w:tc>
                <w:tcPr>
                  <w:tcW w:w="878" w:type="dxa"/>
                  <w:tcBorders>
                    <w:tl2br w:val="nil"/>
                    <w:tr2bl w:val="nil"/>
                  </w:tcBorders>
                  <w:vAlign w:val="center"/>
                </w:tcPr>
                <w:p w14:paraId="57786FF9">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900-039-49</w:t>
                  </w:r>
                </w:p>
              </w:tc>
              <w:tc>
                <w:tcPr>
                  <w:tcW w:w="678" w:type="dxa"/>
                  <w:tcBorders>
                    <w:tl2br w:val="nil"/>
                    <w:tr2bl w:val="nil"/>
                  </w:tcBorders>
                  <w:vAlign w:val="center"/>
                </w:tcPr>
                <w:p w14:paraId="426C7FFE">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T</w:t>
                  </w:r>
                </w:p>
              </w:tc>
              <w:tc>
                <w:tcPr>
                  <w:tcW w:w="1012" w:type="dxa"/>
                  <w:vMerge w:val="continue"/>
                  <w:tcBorders>
                    <w:tl2br w:val="nil"/>
                    <w:tr2bl w:val="nil"/>
                  </w:tcBorders>
                  <w:vAlign w:val="center"/>
                </w:tcPr>
                <w:p w14:paraId="577719A0">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eastAsia="zh-CN"/>
                      <w14:textFill>
                        <w14:solidFill>
                          <w14:schemeClr w14:val="tx1"/>
                        </w14:solidFill>
                      </w14:textFill>
                    </w:rPr>
                  </w:pPr>
                </w:p>
              </w:tc>
            </w:tr>
            <w:tr w14:paraId="2BD8F7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355" w:type="dxa"/>
                  <w:tcBorders>
                    <w:tl2br w:val="nil"/>
                    <w:tr2bl w:val="nil"/>
                  </w:tcBorders>
                  <w:vAlign w:val="center"/>
                </w:tcPr>
                <w:p w14:paraId="00FCBE4D">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851" w:type="dxa"/>
                  <w:tcBorders>
                    <w:tl2br w:val="nil"/>
                    <w:tr2bl w:val="nil"/>
                  </w:tcBorders>
                  <w:vAlign w:val="center"/>
                </w:tcPr>
                <w:p w14:paraId="0820A1E7">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废气水喷淋废水</w:t>
                  </w:r>
                </w:p>
              </w:tc>
              <w:tc>
                <w:tcPr>
                  <w:tcW w:w="947" w:type="dxa"/>
                  <w:tcBorders>
                    <w:tl2br w:val="nil"/>
                    <w:tr2bl w:val="nil"/>
                  </w:tcBorders>
                  <w:vAlign w:val="center"/>
                </w:tcPr>
                <w:p w14:paraId="2D9102E5">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废气处理</w:t>
                  </w:r>
                </w:p>
              </w:tc>
              <w:tc>
                <w:tcPr>
                  <w:tcW w:w="572" w:type="dxa"/>
                  <w:tcBorders>
                    <w:tl2br w:val="nil"/>
                    <w:tr2bl w:val="nil"/>
                  </w:tcBorders>
                  <w:vAlign w:val="center"/>
                </w:tcPr>
                <w:p w14:paraId="2ED9352A">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危险废物</w:t>
                  </w:r>
                </w:p>
              </w:tc>
              <w:tc>
                <w:tcPr>
                  <w:tcW w:w="673" w:type="dxa"/>
                  <w:tcBorders>
                    <w:tl2br w:val="nil"/>
                    <w:tr2bl w:val="nil"/>
                  </w:tcBorders>
                  <w:vAlign w:val="center"/>
                </w:tcPr>
                <w:p w14:paraId="1CE686FC">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固态</w:t>
                  </w:r>
                </w:p>
              </w:tc>
              <w:tc>
                <w:tcPr>
                  <w:tcW w:w="979" w:type="dxa"/>
                  <w:tcBorders>
                    <w:tl2br w:val="nil"/>
                    <w:tr2bl w:val="nil"/>
                  </w:tcBorders>
                  <w:vAlign w:val="center"/>
                </w:tcPr>
                <w:p w14:paraId="503DDDC9">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喷淋废水</w:t>
                  </w:r>
                </w:p>
              </w:tc>
              <w:tc>
                <w:tcPr>
                  <w:tcW w:w="618" w:type="dxa"/>
                  <w:tcBorders>
                    <w:tl2br w:val="nil"/>
                    <w:tr2bl w:val="nil"/>
                  </w:tcBorders>
                  <w:vAlign w:val="center"/>
                </w:tcPr>
                <w:p w14:paraId="101234B0">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1.82</w:t>
                  </w:r>
                </w:p>
              </w:tc>
              <w:tc>
                <w:tcPr>
                  <w:tcW w:w="767" w:type="dxa"/>
                  <w:tcBorders>
                    <w:tl2br w:val="nil"/>
                    <w:tr2bl w:val="nil"/>
                  </w:tcBorders>
                  <w:vAlign w:val="center"/>
                </w:tcPr>
                <w:p w14:paraId="5FE3AFA6">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HW49</w:t>
                  </w:r>
                </w:p>
              </w:tc>
              <w:tc>
                <w:tcPr>
                  <w:tcW w:w="878" w:type="dxa"/>
                  <w:tcBorders>
                    <w:tl2br w:val="nil"/>
                    <w:tr2bl w:val="nil"/>
                  </w:tcBorders>
                  <w:vAlign w:val="center"/>
                </w:tcPr>
                <w:p w14:paraId="0C12504A">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772-006-49</w:t>
                  </w:r>
                </w:p>
              </w:tc>
              <w:tc>
                <w:tcPr>
                  <w:tcW w:w="678" w:type="dxa"/>
                  <w:tcBorders>
                    <w:tl2br w:val="nil"/>
                    <w:tr2bl w:val="nil"/>
                  </w:tcBorders>
                  <w:vAlign w:val="center"/>
                </w:tcPr>
                <w:p w14:paraId="67CECE39">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T</w:t>
                  </w:r>
                </w:p>
              </w:tc>
              <w:tc>
                <w:tcPr>
                  <w:tcW w:w="1012" w:type="dxa"/>
                  <w:vMerge w:val="continue"/>
                  <w:tcBorders>
                    <w:tl2br w:val="nil"/>
                    <w:tr2bl w:val="nil"/>
                  </w:tcBorders>
                  <w:vAlign w:val="center"/>
                </w:tcPr>
                <w:p w14:paraId="385BF9E8">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eastAsia="zh-CN"/>
                      <w14:textFill>
                        <w14:solidFill>
                          <w14:schemeClr w14:val="tx1"/>
                        </w14:solidFill>
                      </w14:textFill>
                    </w:rPr>
                  </w:pPr>
                </w:p>
              </w:tc>
            </w:tr>
          </w:tbl>
          <w:p w14:paraId="16235141">
            <w:pPr>
              <w:keepNext w:val="0"/>
              <w:keepLines w:val="0"/>
              <w:pageBreakBefore w:val="0"/>
              <w:widowControl/>
              <w:kinsoku/>
              <w:wordWrap/>
              <w:overflowPunct/>
              <w:topLinePunct w:val="0"/>
              <w:autoSpaceDE w:val="0"/>
              <w:autoSpaceDN w:val="0"/>
              <w:bidi w:val="0"/>
              <w:adjustRightInd/>
              <w:snapToGrid/>
              <w:spacing w:before="157" w:beforeLines="50"/>
              <w:jc w:val="center"/>
              <w:textAlignment w:val="baseline"/>
              <w:rPr>
                <w:rFonts w:hint="default" w:ascii="Times New Roman" w:hAnsi="Times New Roman" w:eastAsia="宋体" w:cs="Times New Roman"/>
                <w:b/>
                <w:bCs/>
                <w:color w:val="000000" w:themeColor="text1"/>
                <w:sz w:val="24"/>
                <w:lang w:eastAsia="zh-CN"/>
                <w14:textFill>
                  <w14:solidFill>
                    <w14:schemeClr w14:val="tx1"/>
                  </w14:solidFill>
                </w14:textFill>
              </w:rPr>
            </w:pPr>
          </w:p>
          <w:p w14:paraId="29D14907">
            <w:pPr>
              <w:keepNext w:val="0"/>
              <w:keepLines w:val="0"/>
              <w:pageBreakBefore w:val="0"/>
              <w:widowControl/>
              <w:kinsoku/>
              <w:wordWrap/>
              <w:overflowPunct/>
              <w:topLinePunct w:val="0"/>
              <w:autoSpaceDE w:val="0"/>
              <w:autoSpaceDN w:val="0"/>
              <w:bidi w:val="0"/>
              <w:adjustRightInd/>
              <w:snapToGrid/>
              <w:spacing w:before="157" w:beforeLines="50"/>
              <w:jc w:val="center"/>
              <w:textAlignment w:val="baseline"/>
              <w:rPr>
                <w:rFonts w:hint="default" w:ascii="Times New Roman" w:hAnsi="Times New Roman" w:eastAsia="宋体" w:cs="Times New Roman"/>
                <w:b/>
                <w:bCs/>
                <w:color w:val="000000" w:themeColor="text1"/>
                <w:sz w:val="24"/>
                <w:lang w:eastAsia="zh-CN"/>
                <w14:textFill>
                  <w14:solidFill>
                    <w14:schemeClr w14:val="tx1"/>
                  </w14:solidFill>
                </w14:textFill>
              </w:rPr>
            </w:pPr>
          </w:p>
          <w:p w14:paraId="20756BE0">
            <w:pPr>
              <w:keepNext w:val="0"/>
              <w:keepLines w:val="0"/>
              <w:pageBreakBefore w:val="0"/>
              <w:widowControl/>
              <w:kinsoku/>
              <w:wordWrap/>
              <w:overflowPunct/>
              <w:topLinePunct w:val="0"/>
              <w:autoSpaceDE w:val="0"/>
              <w:autoSpaceDN w:val="0"/>
              <w:bidi w:val="0"/>
              <w:adjustRightInd/>
              <w:snapToGrid/>
              <w:spacing w:before="157" w:beforeLines="50"/>
              <w:jc w:val="center"/>
              <w:textAlignment w:val="baseline"/>
              <w:rPr>
                <w:rFonts w:hint="default" w:ascii="Times New Roman" w:hAnsi="Times New Roman" w:eastAsia="宋体" w:cs="Times New Roman"/>
                <w:b/>
                <w:bCs/>
                <w:color w:val="000000" w:themeColor="text1"/>
                <w:sz w:val="24"/>
                <w:lang w:eastAsia="zh-CN"/>
                <w14:textFill>
                  <w14:solidFill>
                    <w14:schemeClr w14:val="tx1"/>
                  </w14:solidFill>
                </w14:textFill>
              </w:rPr>
            </w:pPr>
            <w:r>
              <w:rPr>
                <w:rFonts w:hint="default" w:ascii="Times New Roman" w:hAnsi="Times New Roman" w:eastAsia="宋体" w:cs="Times New Roman"/>
                <w:b/>
                <w:bCs/>
                <w:color w:val="000000" w:themeColor="text1"/>
                <w:sz w:val="24"/>
                <w:lang w:eastAsia="zh-CN"/>
                <w14:textFill>
                  <w14:solidFill>
                    <w14:schemeClr w14:val="tx1"/>
                  </w14:solidFill>
                </w14:textFill>
              </w:rPr>
              <w:t>表4-1</w:t>
            </w:r>
            <w:r>
              <w:rPr>
                <w:rFonts w:hint="default" w:ascii="Times New Roman" w:hAnsi="Times New Roman" w:eastAsia="宋体" w:cs="Times New Roman"/>
                <w:b/>
                <w:bCs/>
                <w:color w:val="000000" w:themeColor="text1"/>
                <w:sz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lang w:eastAsia="zh-CN"/>
                <w14:textFill>
                  <w14:solidFill>
                    <w14:schemeClr w14:val="tx1"/>
                  </w14:solidFill>
                </w14:textFill>
              </w:rPr>
              <w:t xml:space="preserve"> 危险废物汇总表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
              <w:gridCol w:w="673"/>
              <w:gridCol w:w="726"/>
              <w:gridCol w:w="846"/>
              <w:gridCol w:w="856"/>
              <w:gridCol w:w="752"/>
              <w:gridCol w:w="419"/>
              <w:gridCol w:w="742"/>
              <w:gridCol w:w="742"/>
              <w:gridCol w:w="657"/>
              <w:gridCol w:w="731"/>
              <w:gridCol w:w="779"/>
            </w:tblGrid>
            <w:tr w14:paraId="1C3BD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07" w:type="dxa"/>
                  <w:vAlign w:val="center"/>
                </w:tcPr>
                <w:p w14:paraId="53B828DF">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序号</w:t>
                  </w:r>
                </w:p>
              </w:tc>
              <w:tc>
                <w:tcPr>
                  <w:tcW w:w="673" w:type="dxa"/>
                  <w:vAlign w:val="center"/>
                </w:tcPr>
                <w:p w14:paraId="5B04CB33">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危险废物名称</w:t>
                  </w:r>
                </w:p>
              </w:tc>
              <w:tc>
                <w:tcPr>
                  <w:tcW w:w="726" w:type="dxa"/>
                  <w:vAlign w:val="center"/>
                </w:tcPr>
                <w:p w14:paraId="61F45BB6">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危险废物类别</w:t>
                  </w:r>
                </w:p>
              </w:tc>
              <w:tc>
                <w:tcPr>
                  <w:tcW w:w="846" w:type="dxa"/>
                  <w:vAlign w:val="center"/>
                </w:tcPr>
                <w:p w14:paraId="766F3C71">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危险废物代码</w:t>
                  </w:r>
                </w:p>
              </w:tc>
              <w:tc>
                <w:tcPr>
                  <w:tcW w:w="856" w:type="dxa"/>
                  <w:vAlign w:val="center"/>
                </w:tcPr>
                <w:p w14:paraId="246EA766">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产生量(吨/年)</w:t>
                  </w:r>
                </w:p>
              </w:tc>
              <w:tc>
                <w:tcPr>
                  <w:tcW w:w="752" w:type="dxa"/>
                  <w:vAlign w:val="center"/>
                </w:tcPr>
                <w:p w14:paraId="4418C0B5">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产生工序及装置</w:t>
                  </w:r>
                </w:p>
              </w:tc>
              <w:tc>
                <w:tcPr>
                  <w:tcW w:w="419" w:type="dxa"/>
                  <w:vAlign w:val="center"/>
                </w:tcPr>
                <w:p w14:paraId="04A5B2A1">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形态</w:t>
                  </w:r>
                </w:p>
              </w:tc>
              <w:tc>
                <w:tcPr>
                  <w:tcW w:w="742" w:type="dxa"/>
                  <w:vAlign w:val="center"/>
                </w:tcPr>
                <w:p w14:paraId="63C279EB">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主要成分</w:t>
                  </w:r>
                </w:p>
              </w:tc>
              <w:tc>
                <w:tcPr>
                  <w:tcW w:w="742" w:type="dxa"/>
                  <w:vAlign w:val="center"/>
                </w:tcPr>
                <w:p w14:paraId="36CC0563">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有害成分</w:t>
                  </w:r>
                </w:p>
              </w:tc>
              <w:tc>
                <w:tcPr>
                  <w:tcW w:w="657" w:type="dxa"/>
                  <w:vAlign w:val="center"/>
                </w:tcPr>
                <w:p w14:paraId="4BF778B6">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产废周期</w:t>
                  </w:r>
                </w:p>
              </w:tc>
              <w:tc>
                <w:tcPr>
                  <w:tcW w:w="731" w:type="dxa"/>
                  <w:vAlign w:val="center"/>
                </w:tcPr>
                <w:p w14:paraId="6FDEBE79">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危险特性</w:t>
                  </w:r>
                </w:p>
              </w:tc>
              <w:tc>
                <w:tcPr>
                  <w:tcW w:w="779" w:type="dxa"/>
                  <w:vAlign w:val="center"/>
                </w:tcPr>
                <w:p w14:paraId="4F3E186C">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污染防治措施</w:t>
                  </w:r>
                </w:p>
              </w:tc>
            </w:tr>
            <w:tr w14:paraId="4D4F2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07" w:type="dxa"/>
                  <w:vAlign w:val="center"/>
                </w:tcPr>
                <w:p w14:paraId="0F747DA7">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w:t>
                  </w:r>
                </w:p>
              </w:tc>
              <w:tc>
                <w:tcPr>
                  <w:tcW w:w="673" w:type="dxa"/>
                  <w:shd w:val="clear" w:color="auto" w:fill="auto"/>
                  <w:vAlign w:val="center"/>
                </w:tcPr>
                <w:p w14:paraId="030526BF">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废胶桶</w:t>
                  </w:r>
                </w:p>
              </w:tc>
              <w:tc>
                <w:tcPr>
                  <w:tcW w:w="726" w:type="dxa"/>
                  <w:shd w:val="clear" w:color="auto" w:fill="auto"/>
                  <w:vAlign w:val="center"/>
                </w:tcPr>
                <w:p w14:paraId="77AC0DE7">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HW49</w:t>
                  </w:r>
                </w:p>
              </w:tc>
              <w:tc>
                <w:tcPr>
                  <w:tcW w:w="846" w:type="dxa"/>
                  <w:shd w:val="clear" w:color="auto" w:fill="auto"/>
                  <w:vAlign w:val="center"/>
                </w:tcPr>
                <w:p w14:paraId="1E9E50AE">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900-041-49</w:t>
                  </w:r>
                </w:p>
              </w:tc>
              <w:tc>
                <w:tcPr>
                  <w:tcW w:w="856" w:type="dxa"/>
                  <w:shd w:val="clear" w:color="auto" w:fill="auto"/>
                  <w:vAlign w:val="center"/>
                </w:tcPr>
                <w:p w14:paraId="3A89F40F">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752" w:type="dxa"/>
                  <w:shd w:val="clear" w:color="auto" w:fill="auto"/>
                  <w:vAlign w:val="center"/>
                </w:tcPr>
                <w:p w14:paraId="5964BCEA">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涂胶、复合</w:t>
                  </w:r>
                </w:p>
              </w:tc>
              <w:tc>
                <w:tcPr>
                  <w:tcW w:w="419" w:type="dxa"/>
                  <w:vAlign w:val="center"/>
                </w:tcPr>
                <w:p w14:paraId="08B03234">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固态</w:t>
                  </w:r>
                </w:p>
              </w:tc>
              <w:tc>
                <w:tcPr>
                  <w:tcW w:w="742" w:type="dxa"/>
                  <w:vAlign w:val="center"/>
                </w:tcPr>
                <w:p w14:paraId="6A82BC85">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有机物</w:t>
                  </w:r>
                </w:p>
              </w:tc>
              <w:tc>
                <w:tcPr>
                  <w:tcW w:w="742" w:type="dxa"/>
                  <w:vAlign w:val="center"/>
                </w:tcPr>
                <w:p w14:paraId="34872D08">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有机物</w:t>
                  </w:r>
                </w:p>
              </w:tc>
              <w:tc>
                <w:tcPr>
                  <w:tcW w:w="657" w:type="dxa"/>
                  <w:vAlign w:val="center"/>
                </w:tcPr>
                <w:p w14:paraId="40D76944">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3个月</w:t>
                  </w:r>
                </w:p>
              </w:tc>
              <w:tc>
                <w:tcPr>
                  <w:tcW w:w="731" w:type="dxa"/>
                  <w:vAlign w:val="center"/>
                </w:tcPr>
                <w:p w14:paraId="22EE3BFB">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T，I</w:t>
                  </w:r>
                </w:p>
              </w:tc>
              <w:tc>
                <w:tcPr>
                  <w:tcW w:w="779" w:type="dxa"/>
                  <w:vMerge w:val="restart"/>
                  <w:vAlign w:val="center"/>
                </w:tcPr>
                <w:p w14:paraId="287FE3B4">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危险废物暂存间</w:t>
                  </w:r>
                </w:p>
              </w:tc>
            </w:tr>
            <w:tr w14:paraId="7C6B3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07" w:type="dxa"/>
                  <w:vAlign w:val="center"/>
                </w:tcPr>
                <w:p w14:paraId="45508149">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673" w:type="dxa"/>
                  <w:shd w:val="clear" w:color="auto" w:fill="auto"/>
                  <w:vAlign w:val="center"/>
                </w:tcPr>
                <w:p w14:paraId="09E7A157">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废活性炭</w:t>
                  </w:r>
                </w:p>
              </w:tc>
              <w:tc>
                <w:tcPr>
                  <w:tcW w:w="726" w:type="dxa"/>
                  <w:shd w:val="clear" w:color="auto" w:fill="auto"/>
                  <w:vAlign w:val="center"/>
                </w:tcPr>
                <w:p w14:paraId="3C7A5652">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HW49</w:t>
                  </w:r>
                </w:p>
              </w:tc>
              <w:tc>
                <w:tcPr>
                  <w:tcW w:w="846" w:type="dxa"/>
                  <w:shd w:val="clear" w:color="auto" w:fill="auto"/>
                  <w:vAlign w:val="center"/>
                </w:tcPr>
                <w:p w14:paraId="2C047682">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900-039-49</w:t>
                  </w:r>
                </w:p>
              </w:tc>
              <w:tc>
                <w:tcPr>
                  <w:tcW w:w="856" w:type="dxa"/>
                  <w:shd w:val="clear" w:color="auto" w:fill="auto"/>
                  <w:vAlign w:val="center"/>
                </w:tcPr>
                <w:p w14:paraId="4A7C775A">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0.426</w:t>
                  </w:r>
                </w:p>
              </w:tc>
              <w:tc>
                <w:tcPr>
                  <w:tcW w:w="752" w:type="dxa"/>
                  <w:shd w:val="clear" w:color="auto" w:fill="auto"/>
                  <w:vAlign w:val="center"/>
                </w:tcPr>
                <w:p w14:paraId="028E048C">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有机废气、活性炭</w:t>
                  </w:r>
                </w:p>
              </w:tc>
              <w:tc>
                <w:tcPr>
                  <w:tcW w:w="419" w:type="dxa"/>
                  <w:vAlign w:val="center"/>
                </w:tcPr>
                <w:p w14:paraId="561E5E9A">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固态</w:t>
                  </w:r>
                </w:p>
              </w:tc>
              <w:tc>
                <w:tcPr>
                  <w:tcW w:w="742" w:type="dxa"/>
                  <w:vAlign w:val="center"/>
                </w:tcPr>
                <w:p w14:paraId="75E0797D">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有机废气、活性炭</w:t>
                  </w:r>
                </w:p>
              </w:tc>
              <w:tc>
                <w:tcPr>
                  <w:tcW w:w="742" w:type="dxa"/>
                  <w:vAlign w:val="center"/>
                </w:tcPr>
                <w:p w14:paraId="6214FEDC">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有机废气、活性炭</w:t>
                  </w:r>
                </w:p>
              </w:tc>
              <w:tc>
                <w:tcPr>
                  <w:tcW w:w="657" w:type="dxa"/>
                  <w:vAlign w:val="center"/>
                </w:tcPr>
                <w:p w14:paraId="6A8AEAB5">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3个月</w:t>
                  </w:r>
                </w:p>
              </w:tc>
              <w:tc>
                <w:tcPr>
                  <w:tcW w:w="731" w:type="dxa"/>
                  <w:vAlign w:val="center"/>
                </w:tcPr>
                <w:p w14:paraId="78574042">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T</w:t>
                  </w:r>
                </w:p>
              </w:tc>
              <w:tc>
                <w:tcPr>
                  <w:tcW w:w="779" w:type="dxa"/>
                  <w:vMerge w:val="continue"/>
                  <w:vAlign w:val="center"/>
                </w:tcPr>
                <w:p w14:paraId="36EB9A05">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eastAsia="zh-CN"/>
                      <w14:textFill>
                        <w14:solidFill>
                          <w14:schemeClr w14:val="tx1"/>
                        </w14:solidFill>
                      </w14:textFill>
                    </w:rPr>
                  </w:pPr>
                </w:p>
              </w:tc>
            </w:tr>
            <w:tr w14:paraId="57201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07" w:type="dxa"/>
                  <w:vAlign w:val="center"/>
                </w:tcPr>
                <w:p w14:paraId="3ED840BF">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73" w:type="dxa"/>
                  <w:shd w:val="clear" w:color="auto" w:fill="auto"/>
                  <w:vAlign w:val="center"/>
                </w:tcPr>
                <w:p w14:paraId="328A8BB4">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废气水喷淋废水</w:t>
                  </w:r>
                </w:p>
              </w:tc>
              <w:tc>
                <w:tcPr>
                  <w:tcW w:w="726" w:type="dxa"/>
                  <w:shd w:val="clear" w:color="auto" w:fill="auto"/>
                  <w:vAlign w:val="center"/>
                </w:tcPr>
                <w:p w14:paraId="4945A009">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HW49</w:t>
                  </w:r>
                </w:p>
              </w:tc>
              <w:tc>
                <w:tcPr>
                  <w:tcW w:w="846" w:type="dxa"/>
                  <w:shd w:val="clear" w:color="auto" w:fill="auto"/>
                  <w:vAlign w:val="center"/>
                </w:tcPr>
                <w:p w14:paraId="67E605BE">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772-006-49</w:t>
                  </w:r>
                </w:p>
              </w:tc>
              <w:tc>
                <w:tcPr>
                  <w:tcW w:w="856" w:type="dxa"/>
                  <w:shd w:val="clear" w:color="auto" w:fill="auto"/>
                  <w:vAlign w:val="center"/>
                </w:tcPr>
                <w:p w14:paraId="7A74DBCC">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1.82</w:t>
                  </w:r>
                </w:p>
              </w:tc>
              <w:tc>
                <w:tcPr>
                  <w:tcW w:w="752" w:type="dxa"/>
                  <w:shd w:val="clear" w:color="auto" w:fill="auto"/>
                  <w:vAlign w:val="center"/>
                </w:tcPr>
                <w:p w14:paraId="5B1BE412">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喷淋废水</w:t>
                  </w:r>
                </w:p>
              </w:tc>
              <w:tc>
                <w:tcPr>
                  <w:tcW w:w="419" w:type="dxa"/>
                  <w:vAlign w:val="center"/>
                </w:tcPr>
                <w:p w14:paraId="080DDD38">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液态</w:t>
                  </w:r>
                </w:p>
              </w:tc>
              <w:tc>
                <w:tcPr>
                  <w:tcW w:w="742" w:type="dxa"/>
                  <w:vAlign w:val="center"/>
                </w:tcPr>
                <w:p w14:paraId="31E42D99">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废水</w:t>
                  </w:r>
                </w:p>
              </w:tc>
              <w:tc>
                <w:tcPr>
                  <w:tcW w:w="742" w:type="dxa"/>
                  <w:vAlign w:val="center"/>
                </w:tcPr>
                <w:p w14:paraId="50737E20">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废水</w:t>
                  </w:r>
                </w:p>
              </w:tc>
              <w:tc>
                <w:tcPr>
                  <w:tcW w:w="657" w:type="dxa"/>
                  <w:shd w:val="clear" w:color="auto" w:fill="auto"/>
                  <w:vAlign w:val="center"/>
                </w:tcPr>
                <w:p w14:paraId="72DEF454">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12个月</w:t>
                  </w:r>
                </w:p>
              </w:tc>
              <w:tc>
                <w:tcPr>
                  <w:tcW w:w="731" w:type="dxa"/>
                  <w:shd w:val="clear" w:color="auto" w:fill="auto"/>
                  <w:vAlign w:val="center"/>
                </w:tcPr>
                <w:p w14:paraId="217545F1">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T</w:t>
                  </w:r>
                </w:p>
              </w:tc>
              <w:tc>
                <w:tcPr>
                  <w:tcW w:w="779" w:type="dxa"/>
                  <w:vAlign w:val="center"/>
                </w:tcPr>
                <w:p w14:paraId="01110EBC">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直接委托有资质单位处置</w:t>
                  </w:r>
                </w:p>
              </w:tc>
            </w:tr>
          </w:tbl>
          <w:p w14:paraId="7105C2F9">
            <w:pPr>
              <w:pageBreakBefore w:val="0"/>
              <w:widowControl/>
              <w:kinsoku/>
              <w:overflowPunct/>
              <w:topLinePunct w:val="0"/>
              <w:autoSpaceDE w:val="0"/>
              <w:autoSpaceDN w:val="0"/>
              <w:bidi w:val="0"/>
              <w:adjustRightInd/>
              <w:snapToGrid/>
              <w:spacing w:before="156" w:beforeLines="50"/>
              <w:jc w:val="center"/>
              <w:textAlignment w:val="baseline"/>
              <w:rPr>
                <w:rFonts w:hint="default" w:ascii="Times New Roman" w:hAnsi="Times New Roman" w:eastAsia="宋体" w:cs="Times New Roman"/>
                <w:b/>
                <w:bCs/>
                <w:color w:val="000000" w:themeColor="text1"/>
                <w:sz w:val="24"/>
                <w:highlight w:val="yellow"/>
                <w:lang w:eastAsia="zh-CN"/>
                <w14:textFill>
                  <w14:solidFill>
                    <w14:schemeClr w14:val="tx1"/>
                  </w14:solidFill>
                </w14:textFill>
              </w:rPr>
            </w:pPr>
            <w:r>
              <w:rPr>
                <w:rFonts w:hint="default" w:ascii="Times New Roman" w:hAnsi="Times New Roman" w:eastAsia="宋体" w:cs="Times New Roman"/>
                <w:b/>
                <w:bCs/>
                <w:color w:val="000000" w:themeColor="text1"/>
                <w:sz w:val="24"/>
                <w:lang w:eastAsia="zh-CN"/>
                <w14:textFill>
                  <w14:solidFill>
                    <w14:schemeClr w14:val="tx1"/>
                  </w14:solidFill>
                </w14:textFill>
              </w:rPr>
              <w:t>表4-</w:t>
            </w:r>
            <w:r>
              <w:rPr>
                <w:rFonts w:hint="default" w:ascii="Times New Roman" w:hAnsi="Times New Roman" w:eastAsia="宋体" w:cs="Times New Roman"/>
                <w:b/>
                <w:bCs/>
                <w:color w:val="000000" w:themeColor="text1"/>
                <w:sz w:val="24"/>
                <w:lang w:val="en-US" w:eastAsia="zh-CN"/>
                <w14:textFill>
                  <w14:solidFill>
                    <w14:schemeClr w14:val="tx1"/>
                  </w14:solidFill>
                </w14:textFill>
              </w:rPr>
              <w:t>13</w:t>
            </w:r>
            <w:r>
              <w:rPr>
                <w:rFonts w:hint="default" w:ascii="Times New Roman" w:hAnsi="Times New Roman" w:eastAsia="宋体" w:cs="Times New Roman"/>
                <w:b/>
                <w:bCs/>
                <w:color w:val="000000" w:themeColor="text1"/>
                <w:sz w:val="24"/>
                <w:lang w:eastAsia="zh-CN"/>
                <w14:textFill>
                  <w14:solidFill>
                    <w14:schemeClr w14:val="tx1"/>
                  </w14:solidFill>
                </w14:textFill>
              </w:rPr>
              <w:t>建设项目危险废物贮存场所（设施）基本情况样表</w:t>
            </w:r>
          </w:p>
          <w:tbl>
            <w:tblPr>
              <w:tblStyle w:val="26"/>
              <w:tblW w:w="49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
              <w:gridCol w:w="1581"/>
              <w:gridCol w:w="1236"/>
              <w:gridCol w:w="1036"/>
              <w:gridCol w:w="1480"/>
              <w:gridCol w:w="888"/>
              <w:gridCol w:w="805"/>
              <w:gridCol w:w="759"/>
            </w:tblGrid>
            <w:tr w14:paraId="70FD9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491" w:type="dxa"/>
                  <w:vAlign w:val="center"/>
                </w:tcPr>
                <w:p w14:paraId="0515B36F">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序号</w:t>
                  </w:r>
                </w:p>
              </w:tc>
              <w:tc>
                <w:tcPr>
                  <w:tcW w:w="1581" w:type="dxa"/>
                  <w:vAlign w:val="center"/>
                </w:tcPr>
                <w:p w14:paraId="2C916F3C">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贮存场所（设施）名称</w:t>
                  </w:r>
                </w:p>
              </w:tc>
              <w:tc>
                <w:tcPr>
                  <w:tcW w:w="1236" w:type="dxa"/>
                  <w:vAlign w:val="center"/>
                </w:tcPr>
                <w:p w14:paraId="62651654">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危险废物名称</w:t>
                  </w:r>
                </w:p>
              </w:tc>
              <w:tc>
                <w:tcPr>
                  <w:tcW w:w="1036" w:type="dxa"/>
                  <w:vAlign w:val="center"/>
                </w:tcPr>
                <w:p w14:paraId="5B1683EF">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危险废物类别</w:t>
                  </w:r>
                </w:p>
              </w:tc>
              <w:tc>
                <w:tcPr>
                  <w:tcW w:w="1480" w:type="dxa"/>
                  <w:vAlign w:val="center"/>
                </w:tcPr>
                <w:p w14:paraId="09D0457D">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危险废物代码</w:t>
                  </w:r>
                </w:p>
              </w:tc>
              <w:tc>
                <w:tcPr>
                  <w:tcW w:w="888" w:type="dxa"/>
                  <w:vAlign w:val="center"/>
                </w:tcPr>
                <w:p w14:paraId="12AFB5C7">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占地面积</w:t>
                  </w:r>
                </w:p>
              </w:tc>
              <w:tc>
                <w:tcPr>
                  <w:tcW w:w="805" w:type="dxa"/>
                  <w:vAlign w:val="center"/>
                </w:tcPr>
                <w:p w14:paraId="79DD4E42">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贮存方式</w:t>
                  </w:r>
                </w:p>
              </w:tc>
              <w:tc>
                <w:tcPr>
                  <w:tcW w:w="759" w:type="dxa"/>
                  <w:vAlign w:val="center"/>
                </w:tcPr>
                <w:p w14:paraId="1B4CEBC5">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贮存周期</w:t>
                  </w:r>
                </w:p>
              </w:tc>
            </w:tr>
            <w:tr w14:paraId="268AF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491" w:type="dxa"/>
                  <w:vAlign w:val="center"/>
                </w:tcPr>
                <w:p w14:paraId="77668362">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w:t>
                  </w:r>
                </w:p>
              </w:tc>
              <w:tc>
                <w:tcPr>
                  <w:tcW w:w="1581" w:type="dxa"/>
                  <w:vMerge w:val="restart"/>
                  <w:vAlign w:val="center"/>
                </w:tcPr>
                <w:p w14:paraId="5E3CC878">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危险废物暂存间</w:t>
                  </w:r>
                </w:p>
              </w:tc>
              <w:tc>
                <w:tcPr>
                  <w:tcW w:w="1236" w:type="dxa"/>
                  <w:shd w:val="clear" w:color="auto" w:fill="auto"/>
                  <w:vAlign w:val="center"/>
                </w:tcPr>
                <w:p w14:paraId="3912397C">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废胶桶</w:t>
                  </w:r>
                </w:p>
              </w:tc>
              <w:tc>
                <w:tcPr>
                  <w:tcW w:w="1036" w:type="dxa"/>
                  <w:shd w:val="clear" w:color="auto" w:fill="auto"/>
                  <w:vAlign w:val="center"/>
                </w:tcPr>
                <w:p w14:paraId="0B34113B">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HW49</w:t>
                  </w:r>
                </w:p>
              </w:tc>
              <w:tc>
                <w:tcPr>
                  <w:tcW w:w="1480" w:type="dxa"/>
                  <w:shd w:val="clear" w:color="auto" w:fill="auto"/>
                  <w:vAlign w:val="center"/>
                </w:tcPr>
                <w:p w14:paraId="6785CD56">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900-041-49</w:t>
                  </w:r>
                </w:p>
              </w:tc>
              <w:tc>
                <w:tcPr>
                  <w:tcW w:w="888" w:type="dxa"/>
                  <w:vMerge w:val="restart"/>
                  <w:vAlign w:val="center"/>
                </w:tcPr>
                <w:p w14:paraId="4D1A448B">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zh-CN"/>
                      <w14:textFill>
                        <w14:solidFill>
                          <w14:schemeClr w14:val="tx1"/>
                        </w14:solidFill>
                      </w14:textFill>
                    </w:rPr>
                    <w:t>10</w:t>
                  </w:r>
                </w:p>
              </w:tc>
              <w:tc>
                <w:tcPr>
                  <w:tcW w:w="805" w:type="dxa"/>
                  <w:vAlign w:val="center"/>
                </w:tcPr>
                <w:p w14:paraId="03C47525">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eastAsia="zh-CN" w:bidi="zh-CN"/>
                      <w14:textFill>
                        <w14:solidFill>
                          <w14:schemeClr w14:val="tx1"/>
                        </w14:solidFill>
                      </w14:textFill>
                    </w:rPr>
                  </w:pPr>
                  <w:r>
                    <w:rPr>
                      <w:rFonts w:hint="default" w:ascii="Times New Roman" w:hAnsi="Times New Roman" w:eastAsia="宋体" w:cs="Times New Roman"/>
                      <w:color w:val="000000" w:themeColor="text1"/>
                      <w:sz w:val="21"/>
                      <w:szCs w:val="21"/>
                      <w:lang w:eastAsia="zh-CN" w:bidi="zh-CN"/>
                      <w14:textFill>
                        <w14:solidFill>
                          <w14:schemeClr w14:val="tx1"/>
                        </w14:solidFill>
                      </w14:textFill>
                    </w:rPr>
                    <w:t>桶装</w:t>
                  </w:r>
                </w:p>
              </w:tc>
              <w:tc>
                <w:tcPr>
                  <w:tcW w:w="759" w:type="dxa"/>
                  <w:vAlign w:val="center"/>
                </w:tcPr>
                <w:p w14:paraId="72D312F3">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eastAsia="zh-CN" w:bidi="zh-CN"/>
                      <w14:textFill>
                        <w14:solidFill>
                          <w14:schemeClr w14:val="tx1"/>
                        </w14:solidFill>
                      </w14:textFill>
                    </w:rPr>
                  </w:pPr>
                  <w:r>
                    <w:rPr>
                      <w:rFonts w:hint="default" w:ascii="Times New Roman" w:hAnsi="Times New Roman" w:eastAsia="宋体" w:cs="Times New Roman"/>
                      <w:color w:val="000000" w:themeColor="text1"/>
                      <w:sz w:val="21"/>
                      <w:szCs w:val="21"/>
                      <w:lang w:eastAsia="zh-CN" w:bidi="zh-CN"/>
                      <w14:textFill>
                        <w14:solidFill>
                          <w14:schemeClr w14:val="tx1"/>
                        </w14:solidFill>
                      </w14:textFill>
                    </w:rPr>
                    <w:t>3个月</w:t>
                  </w:r>
                </w:p>
              </w:tc>
            </w:tr>
            <w:tr w14:paraId="5B22E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491" w:type="dxa"/>
                  <w:vAlign w:val="center"/>
                </w:tcPr>
                <w:p w14:paraId="3DE10795">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w:t>
                  </w:r>
                </w:p>
              </w:tc>
              <w:tc>
                <w:tcPr>
                  <w:tcW w:w="1581" w:type="dxa"/>
                  <w:vMerge w:val="continue"/>
                  <w:vAlign w:val="center"/>
                </w:tcPr>
                <w:p w14:paraId="7CECAEED">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lang w:eastAsia="zh-CN"/>
                      <w14:textFill>
                        <w14:solidFill>
                          <w14:schemeClr w14:val="tx1"/>
                        </w14:solidFill>
                      </w14:textFill>
                    </w:rPr>
                  </w:pPr>
                </w:p>
              </w:tc>
              <w:tc>
                <w:tcPr>
                  <w:tcW w:w="1236" w:type="dxa"/>
                  <w:shd w:val="clear" w:color="auto" w:fill="auto"/>
                  <w:vAlign w:val="center"/>
                </w:tcPr>
                <w:p w14:paraId="1EFFA519">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废活性炭</w:t>
                  </w:r>
                </w:p>
              </w:tc>
              <w:tc>
                <w:tcPr>
                  <w:tcW w:w="1036" w:type="dxa"/>
                  <w:shd w:val="clear" w:color="auto" w:fill="auto"/>
                  <w:vAlign w:val="center"/>
                </w:tcPr>
                <w:p w14:paraId="506D723E">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HW49</w:t>
                  </w:r>
                </w:p>
              </w:tc>
              <w:tc>
                <w:tcPr>
                  <w:tcW w:w="1480" w:type="dxa"/>
                  <w:shd w:val="clear" w:color="auto" w:fill="auto"/>
                  <w:vAlign w:val="center"/>
                </w:tcPr>
                <w:p w14:paraId="11C49D47">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900-039-49</w:t>
                  </w:r>
                </w:p>
              </w:tc>
              <w:tc>
                <w:tcPr>
                  <w:tcW w:w="888" w:type="dxa"/>
                  <w:vMerge w:val="continue"/>
                  <w:vAlign w:val="center"/>
                </w:tcPr>
                <w:p w14:paraId="27624D23">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eastAsia="zh-CN" w:bidi="zh-CN"/>
                      <w14:textFill>
                        <w14:solidFill>
                          <w14:schemeClr w14:val="tx1"/>
                        </w14:solidFill>
                      </w14:textFill>
                    </w:rPr>
                  </w:pPr>
                </w:p>
              </w:tc>
              <w:tc>
                <w:tcPr>
                  <w:tcW w:w="805" w:type="dxa"/>
                  <w:vAlign w:val="center"/>
                </w:tcPr>
                <w:p w14:paraId="013603C5">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eastAsia="zh-CN" w:bidi="zh-CN"/>
                      <w14:textFill>
                        <w14:solidFill>
                          <w14:schemeClr w14:val="tx1"/>
                        </w14:solidFill>
                      </w14:textFill>
                    </w:rPr>
                  </w:pPr>
                  <w:r>
                    <w:rPr>
                      <w:rFonts w:hint="default" w:ascii="Times New Roman" w:hAnsi="Times New Roman" w:eastAsia="宋体" w:cs="Times New Roman"/>
                      <w:color w:val="000000" w:themeColor="text1"/>
                      <w:sz w:val="21"/>
                      <w:szCs w:val="21"/>
                      <w:lang w:eastAsia="zh-CN" w:bidi="zh-CN"/>
                      <w14:textFill>
                        <w14:solidFill>
                          <w14:schemeClr w14:val="tx1"/>
                        </w14:solidFill>
                      </w14:textFill>
                    </w:rPr>
                    <w:t>袋装</w:t>
                  </w:r>
                </w:p>
              </w:tc>
              <w:tc>
                <w:tcPr>
                  <w:tcW w:w="759" w:type="dxa"/>
                  <w:vAlign w:val="center"/>
                </w:tcPr>
                <w:p w14:paraId="50940F7C">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eastAsia="zh-CN" w:bidi="zh-CN"/>
                      <w14:textFill>
                        <w14:solidFill>
                          <w14:schemeClr w14:val="tx1"/>
                        </w14:solidFill>
                      </w14:textFill>
                    </w:rPr>
                  </w:pPr>
                  <w:r>
                    <w:rPr>
                      <w:rFonts w:hint="default" w:ascii="Times New Roman" w:hAnsi="Times New Roman" w:eastAsia="宋体" w:cs="Times New Roman"/>
                      <w:color w:val="000000" w:themeColor="text1"/>
                      <w:sz w:val="21"/>
                      <w:szCs w:val="21"/>
                      <w:lang w:eastAsia="zh-CN" w:bidi="zh-CN"/>
                      <w14:textFill>
                        <w14:solidFill>
                          <w14:schemeClr w14:val="tx1"/>
                        </w14:solidFill>
                      </w14:textFill>
                    </w:rPr>
                    <w:t>3个月</w:t>
                  </w:r>
                </w:p>
              </w:tc>
            </w:tr>
            <w:tr w14:paraId="151AF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491" w:type="dxa"/>
                  <w:vAlign w:val="center"/>
                </w:tcPr>
                <w:p w14:paraId="73FB1A5B">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w:t>
                  </w:r>
                </w:p>
              </w:tc>
              <w:tc>
                <w:tcPr>
                  <w:tcW w:w="1581" w:type="dxa"/>
                  <w:vMerge w:val="continue"/>
                  <w:vAlign w:val="center"/>
                </w:tcPr>
                <w:p w14:paraId="6FA3A755">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lang w:val="en-US" w:eastAsia="zh-CN"/>
                      <w14:textFill>
                        <w14:solidFill>
                          <w14:schemeClr w14:val="tx1"/>
                        </w14:solidFill>
                      </w14:textFill>
                    </w:rPr>
                  </w:pPr>
                </w:p>
              </w:tc>
              <w:tc>
                <w:tcPr>
                  <w:tcW w:w="1236" w:type="dxa"/>
                  <w:shd w:val="clear" w:color="auto" w:fill="auto"/>
                  <w:vAlign w:val="center"/>
                </w:tcPr>
                <w:p w14:paraId="255CD052">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废气水喷淋废水</w:t>
                  </w:r>
                </w:p>
              </w:tc>
              <w:tc>
                <w:tcPr>
                  <w:tcW w:w="1036" w:type="dxa"/>
                  <w:shd w:val="clear" w:color="auto" w:fill="auto"/>
                  <w:vAlign w:val="center"/>
                </w:tcPr>
                <w:p w14:paraId="1B6AC04F">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HW49</w:t>
                  </w:r>
                </w:p>
              </w:tc>
              <w:tc>
                <w:tcPr>
                  <w:tcW w:w="1480" w:type="dxa"/>
                  <w:shd w:val="clear" w:color="auto" w:fill="auto"/>
                  <w:vAlign w:val="center"/>
                </w:tcPr>
                <w:p w14:paraId="61D4BBB8">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772-006-49</w:t>
                  </w:r>
                </w:p>
              </w:tc>
              <w:tc>
                <w:tcPr>
                  <w:tcW w:w="888" w:type="dxa"/>
                  <w:vMerge w:val="continue"/>
                  <w:vAlign w:val="center"/>
                </w:tcPr>
                <w:p w14:paraId="0A075A0F">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eastAsia="zh-CN" w:bidi="zh-CN"/>
                      <w14:textFill>
                        <w14:solidFill>
                          <w14:schemeClr w14:val="tx1"/>
                        </w14:solidFill>
                      </w14:textFill>
                    </w:rPr>
                  </w:pPr>
                </w:p>
              </w:tc>
              <w:tc>
                <w:tcPr>
                  <w:tcW w:w="805" w:type="dxa"/>
                  <w:vAlign w:val="center"/>
                </w:tcPr>
                <w:p w14:paraId="7FC67B44">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eastAsia="zh-CN" w:bidi="zh-CN"/>
                      <w14:textFill>
                        <w14:solidFill>
                          <w14:schemeClr w14:val="tx1"/>
                        </w14:solidFill>
                      </w14:textFill>
                    </w:rPr>
                  </w:pPr>
                  <w:r>
                    <w:rPr>
                      <w:rFonts w:hint="default" w:ascii="Times New Roman" w:hAnsi="Times New Roman" w:eastAsia="宋体" w:cs="Times New Roman"/>
                      <w:color w:val="000000" w:themeColor="text1"/>
                      <w:sz w:val="21"/>
                      <w:szCs w:val="21"/>
                      <w:lang w:eastAsia="zh-CN" w:bidi="zh-CN"/>
                      <w14:textFill>
                        <w14:solidFill>
                          <w14:schemeClr w14:val="tx1"/>
                        </w14:solidFill>
                      </w14:textFill>
                    </w:rPr>
                    <w:t>桶装</w:t>
                  </w:r>
                </w:p>
              </w:tc>
              <w:tc>
                <w:tcPr>
                  <w:tcW w:w="759" w:type="dxa"/>
                  <w:vAlign w:val="center"/>
                </w:tcPr>
                <w:p w14:paraId="42ED41A7">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sz w:val="21"/>
                      <w:szCs w:val="21"/>
                      <w:lang w:eastAsia="zh-CN" w:bidi="zh-CN"/>
                      <w14:textFill>
                        <w14:solidFill>
                          <w14:schemeClr w14:val="tx1"/>
                        </w14:solidFill>
                      </w14:textFill>
                    </w:rPr>
                  </w:pPr>
                  <w:r>
                    <w:rPr>
                      <w:rFonts w:hint="default" w:ascii="Times New Roman" w:hAnsi="Times New Roman" w:eastAsia="宋体" w:cs="Times New Roman"/>
                      <w:color w:val="000000" w:themeColor="text1"/>
                      <w:sz w:val="21"/>
                      <w:szCs w:val="21"/>
                      <w:lang w:eastAsia="zh-CN" w:bidi="zh-CN"/>
                      <w14:textFill>
                        <w14:solidFill>
                          <w14:schemeClr w14:val="tx1"/>
                        </w14:solidFill>
                      </w14:textFill>
                    </w:rPr>
                    <w:t>3个月</w:t>
                  </w:r>
                </w:p>
              </w:tc>
            </w:tr>
          </w:tbl>
          <w:p w14:paraId="719A4280">
            <w:pPr>
              <w:pStyle w:val="60"/>
              <w:keepNext w:val="0"/>
              <w:keepLines w:val="0"/>
              <w:pageBreakBefore w:val="0"/>
              <w:widowControl/>
              <w:kinsoku/>
              <w:wordWrap/>
              <w:overflowPunct/>
              <w:topLinePunct w:val="0"/>
              <w:autoSpaceDE w:val="0"/>
              <w:autoSpaceDN w:val="0"/>
              <w:bidi w:val="0"/>
              <w:adjustRightInd/>
              <w:snapToGrid/>
              <w:spacing w:before="0" w:line="360" w:lineRule="auto"/>
              <w:ind w:left="0" w:leftChars="0" w:firstLine="480" w:firstLineChars="200"/>
              <w:textAlignment w:val="baseline"/>
              <w:rPr>
                <w:rFonts w:hint="default" w:ascii="Times New Roman" w:hAnsi="Times New Roman" w:eastAsia="宋体" w:cs="Times New Roman"/>
                <w:color w:val="000000" w:themeColor="text1"/>
                <w:kern w:val="2"/>
                <w:sz w:val="24"/>
                <w:lang w:eastAsia="zh-CN"/>
                <w14:textFill>
                  <w14:solidFill>
                    <w14:schemeClr w14:val="tx1"/>
                  </w14:solidFill>
                </w14:textFill>
              </w:rPr>
            </w:pPr>
            <w:r>
              <w:rPr>
                <w:rFonts w:hint="default" w:ascii="Times New Roman" w:hAnsi="Times New Roman" w:eastAsia="宋体" w:cs="Times New Roman"/>
                <w:color w:val="000000" w:themeColor="text1"/>
                <w:kern w:val="2"/>
                <w:sz w:val="24"/>
                <w:lang w:eastAsia="zh-CN"/>
                <w14:textFill>
                  <w14:solidFill>
                    <w14:schemeClr w14:val="tx1"/>
                  </w14:solidFill>
                </w14:textFill>
              </w:rPr>
              <w:t>环境管理要求：</w:t>
            </w:r>
          </w:p>
          <w:p w14:paraId="45F6251B">
            <w:pPr>
              <w:pStyle w:val="60"/>
              <w:pageBreakBefore w:val="0"/>
              <w:widowControl/>
              <w:kinsoku/>
              <w:wordWrap w:val="0"/>
              <w:overflowPunct/>
              <w:topLinePunct w:val="0"/>
              <w:autoSpaceDE w:val="0"/>
              <w:autoSpaceDN w:val="0"/>
              <w:bidi w:val="0"/>
              <w:adjustRightInd/>
              <w:snapToGrid/>
              <w:spacing w:before="0" w:line="360" w:lineRule="auto"/>
              <w:ind w:firstLine="480" w:firstLineChars="200"/>
              <w:textAlignment w:val="baseline"/>
              <w:rPr>
                <w:rFonts w:hint="default" w:ascii="Times New Roman" w:hAnsi="Times New Roman" w:eastAsia="宋体" w:cs="Times New Roman"/>
                <w:color w:val="000000" w:themeColor="text1"/>
                <w:kern w:val="2"/>
                <w:sz w:val="24"/>
                <w:lang w:eastAsia="zh-CN" w:bidi="ar"/>
                <w14:textFill>
                  <w14:solidFill>
                    <w14:schemeClr w14:val="tx1"/>
                  </w14:solidFill>
                </w14:textFill>
              </w:rPr>
            </w:pPr>
            <w:r>
              <w:rPr>
                <w:rFonts w:hint="default" w:ascii="Times New Roman" w:hAnsi="Times New Roman" w:eastAsia="宋体" w:cs="Times New Roman"/>
                <w:color w:val="000000" w:themeColor="text1"/>
                <w:kern w:val="2"/>
                <w:sz w:val="24"/>
                <w:lang w:eastAsia="zh-CN" w:bidi="ar"/>
                <w14:textFill>
                  <w14:solidFill>
                    <w14:schemeClr w14:val="tx1"/>
                  </w14:solidFill>
                </w14:textFill>
              </w:rPr>
              <w:t>项目一般固体废物存放一般固废暂存间，暂存场地的设置应符合《一般工业固体废物贮存和填埋污染控制标准》（GB18599-2020）中的规定。</w:t>
            </w:r>
          </w:p>
          <w:p w14:paraId="0EFA5959">
            <w:pPr>
              <w:pStyle w:val="60"/>
              <w:pageBreakBefore w:val="0"/>
              <w:widowControl/>
              <w:kinsoku/>
              <w:wordWrap w:val="0"/>
              <w:overflowPunct/>
              <w:topLinePunct w:val="0"/>
              <w:autoSpaceDE w:val="0"/>
              <w:autoSpaceDN w:val="0"/>
              <w:bidi w:val="0"/>
              <w:adjustRightInd/>
              <w:snapToGrid/>
              <w:spacing w:before="0" w:line="360" w:lineRule="auto"/>
              <w:ind w:firstLineChars="200"/>
              <w:textAlignment w:val="baseline"/>
              <w:rPr>
                <w:rFonts w:hint="default" w:ascii="Times New Roman" w:hAnsi="Times New Roman" w:eastAsia="宋体" w:cs="Times New Roman"/>
                <w:b/>
                <w:bCs/>
                <w:color w:val="000000" w:themeColor="text1"/>
                <w:kern w:val="2"/>
                <w:sz w:val="24"/>
                <w:lang w:eastAsia="zh-CN" w:bidi="ar"/>
                <w14:textFill>
                  <w14:solidFill>
                    <w14:schemeClr w14:val="tx1"/>
                  </w14:solidFill>
                </w14:textFill>
              </w:rPr>
            </w:pPr>
            <w:r>
              <w:rPr>
                <w:rFonts w:hint="default" w:ascii="Times New Roman" w:hAnsi="Times New Roman" w:eastAsia="宋体" w:cs="Times New Roman"/>
                <w:b/>
                <w:bCs/>
                <w:color w:val="000000" w:themeColor="text1"/>
                <w:kern w:val="2"/>
                <w:sz w:val="24"/>
                <w:lang w:eastAsia="zh-CN" w:bidi="ar"/>
                <w14:textFill>
                  <w14:solidFill>
                    <w14:schemeClr w14:val="tx1"/>
                  </w14:solidFill>
                </w14:textFill>
              </w:rPr>
              <w:t>一般固废暂存间设置要求做到以下几点：</w:t>
            </w:r>
          </w:p>
          <w:p w14:paraId="35426B52">
            <w:pPr>
              <w:pStyle w:val="60"/>
              <w:pageBreakBefore w:val="0"/>
              <w:widowControl/>
              <w:kinsoku/>
              <w:overflowPunct/>
              <w:topLinePunct w:val="0"/>
              <w:autoSpaceDE w:val="0"/>
              <w:autoSpaceDN w:val="0"/>
              <w:bidi w:val="0"/>
              <w:adjustRightInd/>
              <w:snapToGrid/>
              <w:spacing w:before="0" w:line="360" w:lineRule="auto"/>
              <w:ind w:firstLine="480" w:firstLineChars="200"/>
              <w:textAlignment w:val="baseline"/>
              <w:rPr>
                <w:rFonts w:hint="default" w:ascii="Times New Roman" w:hAnsi="Times New Roman" w:eastAsia="宋体" w:cs="Times New Roman"/>
                <w:color w:val="000000" w:themeColor="text1"/>
                <w:kern w:val="2"/>
                <w:sz w:val="24"/>
                <w:lang w:eastAsia="zh-CN" w:bidi="ar"/>
                <w14:textFill>
                  <w14:solidFill>
                    <w14:schemeClr w14:val="tx1"/>
                  </w14:solidFill>
                </w14:textFill>
              </w:rPr>
            </w:pPr>
            <w:r>
              <w:rPr>
                <w:rFonts w:hint="default" w:ascii="Times New Roman" w:hAnsi="Times New Roman" w:eastAsia="宋体" w:cs="Times New Roman"/>
                <w:color w:val="000000" w:themeColor="text1"/>
                <w:kern w:val="2"/>
                <w:sz w:val="24"/>
                <w:lang w:eastAsia="zh-CN" w:bidi="ar"/>
                <w14:textFill>
                  <w14:solidFill>
                    <w14:schemeClr w14:val="tx1"/>
                  </w14:solidFill>
                </w14:textFill>
              </w:rPr>
              <w:t>（1）贮存场、填埋场的环境保护图形标志应符合GB15562.2的规定，并应定期检查和维护。</w:t>
            </w:r>
          </w:p>
          <w:p w14:paraId="501C0746">
            <w:pPr>
              <w:pStyle w:val="60"/>
              <w:pageBreakBefore w:val="0"/>
              <w:widowControl/>
              <w:kinsoku/>
              <w:overflowPunct/>
              <w:topLinePunct w:val="0"/>
              <w:autoSpaceDE w:val="0"/>
              <w:autoSpaceDN w:val="0"/>
              <w:bidi w:val="0"/>
              <w:adjustRightInd/>
              <w:snapToGrid/>
              <w:spacing w:before="0" w:line="360" w:lineRule="auto"/>
              <w:ind w:firstLine="480" w:firstLineChars="200"/>
              <w:textAlignment w:val="baseline"/>
              <w:rPr>
                <w:rFonts w:hint="default" w:ascii="Times New Roman" w:hAnsi="Times New Roman" w:eastAsia="宋体" w:cs="Times New Roman"/>
                <w:color w:val="000000" w:themeColor="text1"/>
                <w:kern w:val="2"/>
                <w:sz w:val="24"/>
                <w:lang w:eastAsia="zh-CN" w:bidi="ar"/>
                <w14:textFill>
                  <w14:solidFill>
                    <w14:schemeClr w14:val="tx1"/>
                  </w14:solidFill>
                </w14:textFill>
              </w:rPr>
            </w:pPr>
            <w:r>
              <w:rPr>
                <w:rFonts w:hint="default" w:ascii="Times New Roman" w:hAnsi="Times New Roman" w:eastAsia="宋体" w:cs="Times New Roman"/>
                <w:color w:val="000000" w:themeColor="text1"/>
                <w:kern w:val="2"/>
                <w:sz w:val="24"/>
                <w:lang w:eastAsia="zh-CN" w:bidi="ar"/>
                <w14:textFill>
                  <w14:solidFill>
                    <w14:schemeClr w14:val="tx1"/>
                  </w14:solidFill>
                </w14:textFill>
              </w:rPr>
              <w:t>（2）不相容的一般工业固体废物应设置不同的分区进行贮存和填埋作业。</w:t>
            </w:r>
          </w:p>
          <w:p w14:paraId="5E4FE424">
            <w:pPr>
              <w:pStyle w:val="60"/>
              <w:pageBreakBefore w:val="0"/>
              <w:widowControl/>
              <w:kinsoku/>
              <w:overflowPunct/>
              <w:topLinePunct w:val="0"/>
              <w:autoSpaceDE w:val="0"/>
              <w:autoSpaceDN w:val="0"/>
              <w:bidi w:val="0"/>
              <w:adjustRightInd/>
              <w:snapToGrid/>
              <w:spacing w:before="0" w:line="360" w:lineRule="auto"/>
              <w:ind w:firstLine="480" w:firstLineChars="200"/>
              <w:textAlignment w:val="baseline"/>
              <w:rPr>
                <w:rFonts w:hint="default" w:ascii="Times New Roman" w:hAnsi="Times New Roman" w:eastAsia="宋体" w:cs="Times New Roman"/>
                <w:color w:val="000000" w:themeColor="text1"/>
                <w:sz w:val="24"/>
                <w:lang w:eastAsia="zh-CN" w:bidi="ar"/>
                <w14:textFill>
                  <w14:solidFill>
                    <w14:schemeClr w14:val="tx1"/>
                  </w14:solidFill>
                </w14:textFill>
              </w:rPr>
            </w:pPr>
            <w:r>
              <w:rPr>
                <w:rFonts w:hint="default" w:ascii="Times New Roman" w:hAnsi="Times New Roman" w:eastAsia="宋体" w:cs="Times New Roman"/>
                <w:color w:val="000000" w:themeColor="text1"/>
                <w:kern w:val="2"/>
                <w:sz w:val="24"/>
                <w:lang w:eastAsia="zh-CN" w:bidi="ar"/>
                <w14:textFill>
                  <w14:solidFill>
                    <w14:schemeClr w14:val="tx1"/>
                  </w14:solidFill>
                </w14:textFill>
              </w:rPr>
              <w:t>（3）</w:t>
            </w:r>
            <w:r>
              <w:rPr>
                <w:rFonts w:hint="default" w:ascii="Times New Roman" w:hAnsi="Times New Roman" w:eastAsia="宋体" w:cs="Times New Roman"/>
                <w:color w:val="000000" w:themeColor="text1"/>
                <w:sz w:val="24"/>
                <w:lang w:eastAsia="zh-CN" w:bidi="ar"/>
                <w14:textFill>
                  <w14:solidFill>
                    <w14:schemeClr w14:val="tx1"/>
                  </w14:solidFill>
                </w14:textFill>
              </w:rPr>
              <w:t>危险废物和生活垃圾不得进入一般工业固体废物贮存场及填埋场。</w:t>
            </w:r>
          </w:p>
          <w:p w14:paraId="39F01F81">
            <w:pPr>
              <w:pStyle w:val="60"/>
              <w:pageBreakBefore w:val="0"/>
              <w:widowControl/>
              <w:kinsoku/>
              <w:overflowPunct/>
              <w:topLinePunct w:val="0"/>
              <w:autoSpaceDE w:val="0"/>
              <w:autoSpaceDN w:val="0"/>
              <w:bidi w:val="0"/>
              <w:adjustRightInd/>
              <w:snapToGrid/>
              <w:spacing w:before="0" w:line="360" w:lineRule="auto"/>
              <w:ind w:firstLine="480" w:firstLineChars="200"/>
              <w:textAlignment w:val="baseline"/>
              <w:rPr>
                <w:rFonts w:hint="default" w:ascii="Times New Roman" w:hAnsi="Times New Roman" w:eastAsia="宋体" w:cs="Times New Roman"/>
                <w:color w:val="000000" w:themeColor="text1"/>
                <w:kern w:val="2"/>
                <w:sz w:val="24"/>
                <w:lang w:eastAsia="zh-CN"/>
                <w14:textFill>
                  <w14:solidFill>
                    <w14:schemeClr w14:val="tx1"/>
                  </w14:solidFill>
                </w14:textFill>
              </w:rPr>
            </w:pPr>
            <w:r>
              <w:rPr>
                <w:rFonts w:hint="default" w:ascii="Times New Roman" w:hAnsi="Times New Roman" w:eastAsia="宋体" w:cs="Times New Roman"/>
                <w:color w:val="000000" w:themeColor="text1"/>
                <w:kern w:val="2"/>
                <w:sz w:val="24"/>
                <w:lang w:eastAsia="zh-CN"/>
                <w14:textFill>
                  <w14:solidFill>
                    <w14:schemeClr w14:val="tx1"/>
                  </w14:solidFill>
                </w14:textFill>
              </w:rPr>
              <w:t>（4）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p w14:paraId="4BF57D51">
            <w:pPr>
              <w:pStyle w:val="60"/>
              <w:pageBreakBefore w:val="0"/>
              <w:widowControl/>
              <w:kinsoku/>
              <w:overflowPunct/>
              <w:topLinePunct w:val="0"/>
              <w:autoSpaceDE w:val="0"/>
              <w:autoSpaceDN w:val="0"/>
              <w:bidi w:val="0"/>
              <w:adjustRightInd/>
              <w:snapToGrid/>
              <w:spacing w:before="0" w:line="360" w:lineRule="auto"/>
              <w:ind w:firstLine="480" w:firstLineChars="200"/>
              <w:textAlignment w:val="baseline"/>
              <w:rPr>
                <w:rFonts w:hint="default" w:ascii="Times New Roman" w:hAnsi="Times New Roman" w:eastAsia="宋体" w:cs="Times New Roman"/>
                <w:color w:val="000000" w:themeColor="text1"/>
                <w:kern w:val="2"/>
                <w:sz w:val="24"/>
                <w:lang w:eastAsia="zh-CN"/>
                <w14:textFill>
                  <w14:solidFill>
                    <w14:schemeClr w14:val="tx1"/>
                  </w14:solidFill>
                </w14:textFill>
              </w:rPr>
            </w:pPr>
            <w:r>
              <w:rPr>
                <w:rFonts w:hint="default" w:ascii="Times New Roman" w:hAnsi="Times New Roman" w:eastAsia="宋体" w:cs="Times New Roman"/>
                <w:color w:val="000000" w:themeColor="text1"/>
                <w:kern w:val="2"/>
                <w:sz w:val="24"/>
                <w:lang w:eastAsia="zh-CN"/>
                <w14:textFill>
                  <w14:solidFill>
                    <w14:schemeClr w14:val="tx1"/>
                  </w14:solidFill>
                </w14:textFill>
              </w:rPr>
              <w:t>（5）产生工业固体废物的单位委托他人运输、利用、处置工业固体废物的，应当对受托方的主体资格和技术能力进行核实，依法签订书面合同，在合同中约定污染防治要求。</w:t>
            </w:r>
          </w:p>
          <w:p w14:paraId="23D56405">
            <w:pPr>
              <w:pStyle w:val="60"/>
              <w:pageBreakBefore w:val="0"/>
              <w:widowControl/>
              <w:kinsoku/>
              <w:overflowPunct/>
              <w:topLinePunct w:val="0"/>
              <w:autoSpaceDE w:val="0"/>
              <w:autoSpaceDN w:val="0"/>
              <w:bidi w:val="0"/>
              <w:adjustRightInd/>
              <w:snapToGrid/>
              <w:spacing w:before="0" w:line="360" w:lineRule="auto"/>
              <w:ind w:firstLine="480" w:firstLineChars="200"/>
              <w:textAlignment w:val="baseline"/>
              <w:rPr>
                <w:rFonts w:hint="default" w:ascii="Times New Roman" w:hAnsi="Times New Roman" w:eastAsia="宋体" w:cs="Times New Roman"/>
                <w:color w:val="000000" w:themeColor="text1"/>
                <w:kern w:val="2"/>
                <w:sz w:val="24"/>
                <w:lang w:eastAsia="zh-CN"/>
                <w14:textFill>
                  <w14:solidFill>
                    <w14:schemeClr w14:val="tx1"/>
                  </w14:solidFill>
                </w14:textFill>
              </w:rPr>
            </w:pPr>
            <w:r>
              <w:rPr>
                <w:rFonts w:hint="default" w:ascii="Times New Roman" w:hAnsi="Times New Roman" w:eastAsia="宋体" w:cs="Times New Roman"/>
                <w:color w:val="000000" w:themeColor="text1"/>
                <w:kern w:val="2"/>
                <w:sz w:val="24"/>
                <w:lang w:eastAsia="zh-CN"/>
                <w14:textFill>
                  <w14:solidFill>
                    <w14:schemeClr w14:val="tx1"/>
                  </w14:solidFill>
                </w14:textFill>
              </w:rPr>
              <w:t>受托方运输、利用、处置工业固体废物，应当依照有关法律法规的规定和合同约定履行污染防治要求，并将运输、利用、处置情况告知产生工业固体废物的单位。</w:t>
            </w:r>
          </w:p>
          <w:p w14:paraId="4C6AD441">
            <w:pPr>
              <w:pStyle w:val="60"/>
              <w:pageBreakBefore w:val="0"/>
              <w:widowControl/>
              <w:kinsoku/>
              <w:wordWrap w:val="0"/>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kern w:val="2"/>
                <w:sz w:val="24"/>
                <w:lang w:eastAsia="zh-CN" w:bidi="ar"/>
                <w14:textFill>
                  <w14:solidFill>
                    <w14:schemeClr w14:val="tx1"/>
                  </w14:solidFill>
                </w14:textFill>
              </w:rPr>
            </w:pPr>
            <w:r>
              <w:rPr>
                <w:rFonts w:hint="default" w:ascii="Times New Roman" w:hAnsi="Times New Roman" w:eastAsia="宋体" w:cs="Times New Roman"/>
                <w:color w:val="000000" w:themeColor="text1"/>
                <w:kern w:val="2"/>
                <w:sz w:val="24"/>
                <w:lang w:eastAsia="zh-CN" w:bidi="ar"/>
                <w14:textFill>
                  <w14:solidFill>
                    <w14:schemeClr w14:val="tx1"/>
                  </w14:solidFill>
                </w14:textFill>
              </w:rPr>
              <w:t>（6）产生工业固体废物的单位应当取得排污许可证。排污许可的具体办法和实施步骤由国务院规定。</w:t>
            </w:r>
          </w:p>
          <w:p w14:paraId="395DA38C">
            <w:pPr>
              <w:pStyle w:val="60"/>
              <w:pageBreakBefore w:val="0"/>
              <w:widowControl/>
              <w:kinsoku/>
              <w:wordWrap w:val="0"/>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kern w:val="2"/>
                <w:sz w:val="24"/>
                <w:lang w:eastAsia="zh-CN" w:bidi="ar"/>
                <w14:textFill>
                  <w14:solidFill>
                    <w14:schemeClr w14:val="tx1"/>
                  </w14:solidFill>
                </w14:textFill>
              </w:rPr>
            </w:pPr>
            <w:r>
              <w:rPr>
                <w:rFonts w:hint="default" w:ascii="Times New Roman" w:hAnsi="Times New Roman" w:eastAsia="宋体" w:cs="Times New Roman"/>
                <w:color w:val="000000" w:themeColor="text1"/>
                <w:kern w:val="2"/>
                <w:sz w:val="24"/>
                <w:lang w:eastAsia="zh-CN" w:bidi="ar"/>
                <w14:textFill>
                  <w14:solidFill>
                    <w14:schemeClr w14:val="tx1"/>
                  </w14:solidFill>
                </w14:textFill>
              </w:rPr>
              <w:t>产生工业固体废物的单位应当向所在地生态环境主管部门提供工业固体废物的种类、数量、流向、贮存、利用、处置等有关资料，以及减少工业固体废物产生、促进综合利用的具体措施，并执行排污许可管理制度的相关规定。</w:t>
            </w:r>
          </w:p>
          <w:p w14:paraId="2A23E728">
            <w:pPr>
              <w:keepNext w:val="0"/>
              <w:keepLines w:val="0"/>
              <w:pageBreakBefore w:val="0"/>
              <w:widowControl/>
              <w:kinsoku/>
              <w:wordWrap w:val="0"/>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b/>
                <w:bCs/>
                <w:color w:val="000000" w:themeColor="text1"/>
                <w:kern w:val="2"/>
                <w:sz w:val="24"/>
                <w:lang w:eastAsia="zh-CN" w:bidi="ar"/>
                <w14:textFill>
                  <w14:solidFill>
                    <w14:schemeClr w14:val="tx1"/>
                  </w14:solidFill>
                </w14:textFill>
              </w:rPr>
            </w:pPr>
            <w:r>
              <w:rPr>
                <w:rFonts w:hint="default" w:ascii="Times New Roman" w:hAnsi="Times New Roman" w:eastAsia="宋体" w:cs="Times New Roman"/>
                <w:color w:val="000000" w:themeColor="text1"/>
                <w:sz w:val="24"/>
                <w:lang w:eastAsia="zh-CN" w:bidi="ar"/>
                <w14:textFill>
                  <w14:solidFill>
                    <w14:schemeClr w14:val="tx1"/>
                  </w14:solidFill>
                </w14:textFill>
              </w:rPr>
              <w:t>（7）产生工业固体废物的单位应当根据经济、技术条件对工业固体废物加以利用；对暂时不利用或者不能利用的，应当按照国务院生态环境等主管部门的规定建设贮存设施、场所，安全分类存放，或者采取无害化处置措施。贮存工业固体废物应当采取符合国家环境保护标准的防护措施。</w:t>
            </w:r>
          </w:p>
          <w:p w14:paraId="4158EB25">
            <w:pPr>
              <w:pStyle w:val="60"/>
              <w:keepNext w:val="0"/>
              <w:keepLines w:val="0"/>
              <w:pageBreakBefore w:val="0"/>
              <w:widowControl/>
              <w:kinsoku/>
              <w:wordWrap w:val="0"/>
              <w:overflowPunct/>
              <w:topLinePunct w:val="0"/>
              <w:autoSpaceDE w:val="0"/>
              <w:autoSpaceDN w:val="0"/>
              <w:bidi w:val="0"/>
              <w:adjustRightInd/>
              <w:snapToGrid/>
              <w:spacing w:before="0" w:line="360" w:lineRule="auto"/>
              <w:ind w:firstLineChars="200"/>
              <w:textAlignment w:val="baseline"/>
              <w:rPr>
                <w:rFonts w:hint="default" w:ascii="Times New Roman" w:hAnsi="Times New Roman" w:eastAsia="宋体" w:cs="Times New Roman"/>
                <w:b/>
                <w:bCs/>
                <w:color w:val="000000" w:themeColor="text1"/>
                <w:kern w:val="2"/>
                <w:sz w:val="24"/>
                <w:lang w:eastAsia="zh-CN" w:bidi="ar"/>
                <w14:textFill>
                  <w14:solidFill>
                    <w14:schemeClr w14:val="tx1"/>
                  </w14:solidFill>
                </w14:textFill>
              </w:rPr>
            </w:pPr>
            <w:r>
              <w:rPr>
                <w:rFonts w:hint="default" w:ascii="Times New Roman" w:hAnsi="Times New Roman" w:eastAsia="宋体" w:cs="Times New Roman"/>
                <w:b/>
                <w:bCs/>
                <w:color w:val="000000" w:themeColor="text1"/>
                <w:kern w:val="2"/>
                <w:sz w:val="24"/>
                <w:lang w:eastAsia="zh-CN" w:bidi="ar"/>
                <w14:textFill>
                  <w14:solidFill>
                    <w14:schemeClr w14:val="tx1"/>
                  </w14:solidFill>
                </w14:textFill>
              </w:rPr>
              <w:t>危险废物暂存间设置要求做到以下几点：</w:t>
            </w:r>
          </w:p>
          <w:p w14:paraId="044636EB">
            <w:pPr>
              <w:keepNext w:val="0"/>
              <w:keepLines w:val="0"/>
              <w:pageBreakBefore w:val="0"/>
              <w:widowControl/>
              <w:kinsoku/>
              <w:wordWrap w:val="0"/>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sz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4"/>
                <w:lang w:eastAsia="zh-CN" w:bidi="ar"/>
                <w14:textFill>
                  <w14:solidFill>
                    <w14:schemeClr w14:val="tx1"/>
                  </w14:solidFill>
                </w14:textFill>
              </w:rPr>
              <w:t>本项目拟在</w:t>
            </w:r>
            <w:r>
              <w:rPr>
                <w:rFonts w:hint="default" w:ascii="Times New Roman" w:hAnsi="Times New Roman" w:eastAsia="宋体" w:cs="Times New Roman"/>
                <w:color w:val="000000" w:themeColor="text1"/>
                <w:sz w:val="24"/>
                <w:lang w:val="en-US" w:eastAsia="zh-CN" w:bidi="ar"/>
                <w14:textFill>
                  <w14:solidFill>
                    <w14:schemeClr w14:val="tx1"/>
                  </w14:solidFill>
                </w14:textFill>
              </w:rPr>
              <w:t>2#厂房西侧设立一座10m</w:t>
            </w:r>
            <w:r>
              <w:rPr>
                <w:rFonts w:hint="default" w:ascii="Times New Roman" w:hAnsi="Times New Roman" w:eastAsia="宋体" w:cs="Times New Roman"/>
                <w:color w:val="000000" w:themeColor="text1"/>
                <w:sz w:val="24"/>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sz w:val="24"/>
                <w:vertAlign w:val="baseline"/>
                <w:lang w:val="en-US" w:eastAsia="zh-CN" w:bidi="ar"/>
                <w14:textFill>
                  <w14:solidFill>
                    <w14:schemeClr w14:val="tx1"/>
                  </w14:solidFill>
                </w14:textFill>
              </w:rPr>
              <w:t>危废间，危废间的建筑材料应坚固、防渗，必须与危险废物相容，内部应设置导流槽及集水坑，门口应设置围堰，防止液体泄漏‌。</w:t>
            </w:r>
          </w:p>
          <w:p w14:paraId="0B41BAC5">
            <w:pPr>
              <w:keepNext w:val="0"/>
              <w:keepLines w:val="0"/>
              <w:pageBreakBefore w:val="0"/>
              <w:widowControl/>
              <w:kinsoku/>
              <w:wordWrap w:val="0"/>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sz w:val="24"/>
                <w:lang w:eastAsia="zh-CN" w:bidi="ar"/>
                <w14:textFill>
                  <w14:solidFill>
                    <w14:schemeClr w14:val="tx1"/>
                  </w14:solidFill>
                </w14:textFill>
              </w:rPr>
            </w:pPr>
            <w:r>
              <w:rPr>
                <w:rFonts w:hint="default" w:ascii="Times New Roman" w:hAnsi="Times New Roman" w:eastAsia="宋体" w:cs="Times New Roman"/>
                <w:color w:val="000000" w:themeColor="text1"/>
                <w:sz w:val="24"/>
                <w:lang w:eastAsia="zh-CN" w:bidi="ar"/>
                <w14:textFill>
                  <w14:solidFill>
                    <w14:schemeClr w14:val="tx1"/>
                  </w14:solidFill>
                </w14:textFill>
              </w:rPr>
              <w:t>危险废物暂存场地的设置应符合《危险废物贮存污染控制标准》（GB18597-2023）中的规定。</w:t>
            </w:r>
          </w:p>
          <w:p w14:paraId="73A6C040">
            <w:pPr>
              <w:pageBreakBefore w:val="0"/>
              <w:widowControl/>
              <w:kinsoku/>
              <w:wordWrap w:val="0"/>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sz w:val="24"/>
                <w:lang w:eastAsia="zh-CN" w:bidi="ar"/>
                <w14:textFill>
                  <w14:solidFill>
                    <w14:schemeClr w14:val="tx1"/>
                  </w14:solidFill>
                </w14:textFill>
              </w:rPr>
            </w:pPr>
            <w:r>
              <w:rPr>
                <w:rFonts w:hint="default" w:ascii="Times New Roman" w:hAnsi="Times New Roman" w:eastAsia="宋体" w:cs="Times New Roman"/>
                <w:color w:val="000000" w:themeColor="text1"/>
                <w:sz w:val="24"/>
                <w:lang w:eastAsia="zh-CN" w:bidi="ar"/>
                <w14:textFill>
                  <w14:solidFill>
                    <w14:schemeClr w14:val="tx1"/>
                  </w14:solidFill>
                </w14:textFill>
              </w:rPr>
              <w:t>（1）危险废物贮存设施必须按《危险废物识别标志设置技术规范》（HJ1276-2022）中规定设置警示标志；</w:t>
            </w:r>
          </w:p>
          <w:p w14:paraId="1CC188FD">
            <w:pPr>
              <w:keepNext w:val="0"/>
              <w:keepLines w:val="0"/>
              <w:pageBreakBefore w:val="0"/>
              <w:widowControl/>
              <w:kinsoku/>
              <w:wordWrap w:val="0"/>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sz w:val="24"/>
                <w:lang w:eastAsia="zh-CN" w:bidi="ar"/>
                <w14:textFill>
                  <w14:solidFill>
                    <w14:schemeClr w14:val="tx1"/>
                  </w14:solidFill>
                </w14:textFill>
              </w:rPr>
            </w:pPr>
            <w:r>
              <w:rPr>
                <w:rFonts w:hint="default" w:ascii="Times New Roman" w:hAnsi="Times New Roman" w:eastAsia="宋体" w:cs="Times New Roman"/>
                <w:color w:val="000000" w:themeColor="text1"/>
                <w:sz w:val="24"/>
                <w:lang w:eastAsia="zh-CN" w:bidi="ar"/>
                <w14:textFill>
                  <w14:solidFill>
                    <w14:schemeClr w14:val="tx1"/>
                  </w14:solidFill>
                </w14:textFill>
              </w:rPr>
              <w:t>（</w:t>
            </w:r>
            <w:r>
              <w:rPr>
                <w:rFonts w:hint="default" w:ascii="Times New Roman" w:hAnsi="Times New Roman" w:eastAsia="宋体" w:cs="Times New Roman"/>
                <w:color w:val="000000" w:themeColor="text1"/>
                <w:sz w:val="24"/>
                <w:lang w:val="en-US" w:eastAsia="zh-CN" w:bidi="ar"/>
                <w14:textFill>
                  <w14:solidFill>
                    <w14:schemeClr w14:val="tx1"/>
                  </w14:solidFill>
                </w14:textFill>
              </w:rPr>
              <w:t>2</w:t>
            </w:r>
            <w:r>
              <w:rPr>
                <w:rFonts w:hint="default" w:ascii="Times New Roman" w:hAnsi="Times New Roman" w:eastAsia="宋体" w:cs="Times New Roman"/>
                <w:color w:val="000000" w:themeColor="text1"/>
                <w:sz w:val="24"/>
                <w:lang w:eastAsia="zh-CN" w:bidi="ar"/>
                <w14:textFill>
                  <w14:solidFill>
                    <w14:schemeClr w14:val="tx1"/>
                  </w14:solidFill>
                </w14:textFill>
              </w:rPr>
              <w:t>）危废间基础必须防渗，其防渗层等效为至少6米厚粘土层（渗透系数≤10</w:t>
            </w:r>
            <w:r>
              <w:rPr>
                <w:rFonts w:hint="default" w:ascii="Times New Roman" w:hAnsi="Times New Roman" w:eastAsia="宋体" w:cs="Times New Roman"/>
                <w:color w:val="000000" w:themeColor="text1"/>
                <w:sz w:val="24"/>
                <w:vertAlign w:val="superscript"/>
                <w:lang w:eastAsia="zh-CN" w:bidi="ar"/>
                <w14:textFill>
                  <w14:solidFill>
                    <w14:schemeClr w14:val="tx1"/>
                  </w14:solidFill>
                </w14:textFill>
              </w:rPr>
              <w:t>-7</w:t>
            </w:r>
            <w:r>
              <w:rPr>
                <w:rFonts w:hint="default" w:ascii="Times New Roman" w:hAnsi="Times New Roman" w:eastAsia="宋体" w:cs="Times New Roman"/>
                <w:color w:val="000000" w:themeColor="text1"/>
                <w:sz w:val="24"/>
                <w:lang w:eastAsia="zh-CN" w:bidi="ar"/>
                <w14:textFill>
                  <w14:solidFill>
                    <w14:schemeClr w14:val="tx1"/>
                  </w14:solidFill>
                </w14:textFill>
              </w:rPr>
              <w:t>cm/s），或2mm厚高密度聚乙烯，或至少2mm厚的其它人工材料，渗透系数≤10</w:t>
            </w:r>
            <w:r>
              <w:rPr>
                <w:rFonts w:hint="default" w:ascii="Times New Roman" w:hAnsi="Times New Roman" w:eastAsia="宋体" w:cs="Times New Roman"/>
                <w:color w:val="000000" w:themeColor="text1"/>
                <w:sz w:val="24"/>
                <w:vertAlign w:val="superscript"/>
                <w:lang w:eastAsia="zh-CN" w:bidi="ar"/>
                <w14:textFill>
                  <w14:solidFill>
                    <w14:schemeClr w14:val="tx1"/>
                  </w14:solidFill>
                </w14:textFill>
              </w:rPr>
              <w:t>-10</w:t>
            </w:r>
            <w:r>
              <w:rPr>
                <w:rFonts w:hint="default" w:ascii="Times New Roman" w:hAnsi="Times New Roman" w:eastAsia="宋体" w:cs="Times New Roman"/>
                <w:color w:val="000000" w:themeColor="text1"/>
                <w:sz w:val="24"/>
                <w:lang w:eastAsia="zh-CN" w:bidi="ar"/>
                <w14:textFill>
                  <w14:solidFill>
                    <w14:schemeClr w14:val="tx1"/>
                  </w14:solidFill>
                </w14:textFill>
              </w:rPr>
              <w:t>cm/s。</w:t>
            </w:r>
          </w:p>
          <w:p w14:paraId="5F2A494A">
            <w:pPr>
              <w:pageBreakBefore w:val="0"/>
              <w:widowControl/>
              <w:kinsoku/>
              <w:wordWrap w:val="0"/>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sz w:val="24"/>
                <w:lang w:eastAsia="zh-CN" w:bidi="ar"/>
                <w14:textFill>
                  <w14:solidFill>
                    <w14:schemeClr w14:val="tx1"/>
                  </w14:solidFill>
                </w14:textFill>
              </w:rPr>
            </w:pPr>
            <w:r>
              <w:rPr>
                <w:rFonts w:hint="default" w:ascii="Times New Roman" w:hAnsi="Times New Roman" w:eastAsia="宋体" w:cs="Times New Roman"/>
                <w:color w:val="000000" w:themeColor="text1"/>
                <w:sz w:val="24"/>
                <w:lang w:eastAsia="zh-CN" w:bidi="ar"/>
                <w14:textFill>
                  <w14:solidFill>
                    <w14:schemeClr w14:val="tx1"/>
                  </w14:solidFill>
                </w14:textFill>
              </w:rPr>
              <w:t>（</w:t>
            </w:r>
            <w:r>
              <w:rPr>
                <w:rFonts w:hint="default" w:ascii="Times New Roman" w:hAnsi="Times New Roman" w:eastAsia="宋体" w:cs="Times New Roman"/>
                <w:color w:val="000000" w:themeColor="text1"/>
                <w:sz w:val="24"/>
                <w:lang w:val="en-US" w:eastAsia="zh-CN" w:bidi="ar"/>
                <w14:textFill>
                  <w14:solidFill>
                    <w14:schemeClr w14:val="tx1"/>
                  </w14:solidFill>
                </w14:textFill>
              </w:rPr>
              <w:t>3</w:t>
            </w:r>
            <w:r>
              <w:rPr>
                <w:rFonts w:hint="default" w:ascii="Times New Roman" w:hAnsi="Times New Roman" w:eastAsia="宋体" w:cs="Times New Roman"/>
                <w:color w:val="000000" w:themeColor="text1"/>
                <w:sz w:val="24"/>
                <w:lang w:eastAsia="zh-CN" w:bidi="ar"/>
                <w14:textFill>
                  <w14:solidFill>
                    <w14:schemeClr w14:val="tx1"/>
                  </w14:solidFill>
                </w14:textFill>
              </w:rPr>
              <w:t>）企业须健全危险废物相关管理制度，并严格落实。</w:t>
            </w:r>
          </w:p>
          <w:p w14:paraId="744A8767">
            <w:pPr>
              <w:pageBreakBefore w:val="0"/>
              <w:widowControl/>
              <w:kinsoku/>
              <w:wordWrap w:val="0"/>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sz w:val="24"/>
                <w:lang w:eastAsia="zh-CN" w:bidi="ar"/>
                <w14:textFill>
                  <w14:solidFill>
                    <w14:schemeClr w14:val="tx1"/>
                  </w14:solidFill>
                </w14:textFill>
              </w:rPr>
            </w:pPr>
            <w:r>
              <w:rPr>
                <w:rFonts w:hint="default" w:ascii="Times New Roman" w:hAnsi="Times New Roman" w:eastAsia="宋体" w:cs="Times New Roman"/>
                <w:color w:val="000000" w:themeColor="text1"/>
                <w:sz w:val="24"/>
                <w:lang w:eastAsia="zh-CN" w:bidi="ar"/>
                <w14:textFill>
                  <w14:solidFill>
                    <w14:schemeClr w14:val="tx1"/>
                  </w14:solidFill>
                </w14:textFill>
              </w:rPr>
              <w:t>①企业须对危险废物储运场所张贴警示标识，危险废物包装物张贴警示标签；</w:t>
            </w:r>
          </w:p>
          <w:p w14:paraId="6A396D5B">
            <w:pPr>
              <w:pageBreakBefore w:val="0"/>
              <w:widowControl/>
              <w:kinsoku/>
              <w:wordWrap w:val="0"/>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sz w:val="24"/>
                <w:lang w:eastAsia="zh-CN" w:bidi="ar"/>
                <w14:textFill>
                  <w14:solidFill>
                    <w14:schemeClr w14:val="tx1"/>
                  </w14:solidFill>
                </w14:textFill>
              </w:rPr>
            </w:pPr>
            <w:r>
              <w:rPr>
                <w:rFonts w:hint="default" w:ascii="Times New Roman" w:hAnsi="Times New Roman" w:eastAsia="宋体" w:cs="Times New Roman"/>
                <w:color w:val="000000" w:themeColor="text1"/>
                <w:sz w:val="24"/>
                <w:lang w:eastAsia="zh-CN" w:bidi="ar"/>
                <w14:textFill>
                  <w14:solidFill>
                    <w14:schemeClr w14:val="tx1"/>
                  </w14:solidFill>
                </w14:textFill>
              </w:rPr>
              <w:t>②规范危险废物台账记录、建立危险废物收集及储运有关档案，认真填写《危险废物项目区内转运记录表》，做好危险废物台账的记录，记录上须注明危险废物的名称、来源、数量、特性和包装容器的类别、入库日期、存放库位、废物出库日期及接收单位名称等，并即时存档以备查阅。</w:t>
            </w:r>
          </w:p>
          <w:p w14:paraId="38252E7A">
            <w:pPr>
              <w:pageBreakBefore w:val="0"/>
              <w:widowControl/>
              <w:kinsoku/>
              <w:wordWrap w:val="0"/>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sz w:val="24"/>
                <w:lang w:eastAsia="zh-CN" w:bidi="ar"/>
                <w14:textFill>
                  <w14:solidFill>
                    <w14:schemeClr w14:val="tx1"/>
                  </w14:solidFill>
                </w14:textFill>
              </w:rPr>
            </w:pPr>
            <w:r>
              <w:rPr>
                <w:rFonts w:hint="default" w:ascii="Times New Roman" w:hAnsi="Times New Roman" w:eastAsia="宋体" w:cs="Times New Roman"/>
                <w:color w:val="000000" w:themeColor="text1"/>
                <w:sz w:val="24"/>
                <w:lang w:eastAsia="zh-CN" w:bidi="ar"/>
                <w14:textFill>
                  <w14:solidFill>
                    <w14:schemeClr w14:val="tx1"/>
                  </w14:solidFill>
                </w14:textFill>
              </w:rPr>
              <w:t>（</w:t>
            </w:r>
            <w:r>
              <w:rPr>
                <w:rFonts w:hint="default" w:ascii="Times New Roman" w:hAnsi="Times New Roman" w:eastAsia="宋体" w:cs="Times New Roman"/>
                <w:color w:val="000000" w:themeColor="text1"/>
                <w:sz w:val="24"/>
                <w:lang w:val="en-US" w:eastAsia="zh-CN" w:bidi="ar"/>
                <w14:textFill>
                  <w14:solidFill>
                    <w14:schemeClr w14:val="tx1"/>
                  </w14:solidFill>
                </w14:textFill>
              </w:rPr>
              <w:t>4</w:t>
            </w:r>
            <w:r>
              <w:rPr>
                <w:rFonts w:hint="default" w:ascii="Times New Roman" w:hAnsi="Times New Roman" w:eastAsia="宋体" w:cs="Times New Roman"/>
                <w:color w:val="000000" w:themeColor="text1"/>
                <w:sz w:val="24"/>
                <w:lang w:eastAsia="zh-CN" w:bidi="ar"/>
                <w14:textFill>
                  <w14:solidFill>
                    <w14:schemeClr w14:val="tx1"/>
                  </w14:solidFill>
                </w14:textFill>
              </w:rPr>
              <w:t>）危险废物存储和管理的相关要求。</w:t>
            </w:r>
          </w:p>
          <w:p w14:paraId="0574BFD0">
            <w:pPr>
              <w:pageBreakBefore w:val="0"/>
              <w:widowControl/>
              <w:kinsoku/>
              <w:wordWrap w:val="0"/>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sz w:val="24"/>
                <w:lang w:eastAsia="zh-CN" w:bidi="ar"/>
                <w14:textFill>
                  <w14:solidFill>
                    <w14:schemeClr w14:val="tx1"/>
                  </w14:solidFill>
                </w14:textFill>
              </w:rPr>
            </w:pPr>
            <w:r>
              <w:rPr>
                <w:rFonts w:hint="default" w:ascii="Times New Roman" w:hAnsi="Times New Roman" w:eastAsia="宋体" w:cs="Times New Roman"/>
                <w:color w:val="000000" w:themeColor="text1"/>
                <w:sz w:val="24"/>
                <w:lang w:eastAsia="zh-CN" w:bidi="ar"/>
                <w14:textFill>
                  <w14:solidFill>
                    <w14:schemeClr w14:val="tx1"/>
                  </w14:solidFill>
                </w14:textFill>
              </w:rPr>
              <w:t>①必须将危险废物装入容器内密封装运，盛装危险废物的容器应当符合标准，材质要满足相应的强度要求且必须完好无损，容器材质和衬里要与危险废物相容（不相互反应）；</w:t>
            </w:r>
          </w:p>
          <w:p w14:paraId="6AEF3898">
            <w:pPr>
              <w:pageBreakBefore w:val="0"/>
              <w:widowControl/>
              <w:kinsoku/>
              <w:wordWrap w:val="0"/>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sz w:val="24"/>
                <w:lang w:eastAsia="zh-CN" w:bidi="ar"/>
                <w14:textFill>
                  <w14:solidFill>
                    <w14:schemeClr w14:val="tx1"/>
                  </w14:solidFill>
                </w14:textFill>
              </w:rPr>
            </w:pPr>
            <w:r>
              <w:rPr>
                <w:rFonts w:hint="default" w:ascii="Times New Roman" w:hAnsi="Times New Roman" w:eastAsia="宋体" w:cs="Times New Roman"/>
                <w:color w:val="000000" w:themeColor="text1"/>
                <w:sz w:val="24"/>
                <w:lang w:eastAsia="zh-CN" w:bidi="ar"/>
                <w14:textFill>
                  <w14:solidFill>
                    <w14:schemeClr w14:val="tx1"/>
                  </w14:solidFill>
                </w14:textFill>
              </w:rPr>
              <w:t>②危险废物转移过程严格落实《危险废物转移管理办法》的相关规定，规范危险废物转移，做好每次外运处置废物的运输登记。</w:t>
            </w:r>
          </w:p>
          <w:p w14:paraId="3A45C130">
            <w:pPr>
              <w:pageBreakBefore w:val="0"/>
              <w:widowControl/>
              <w:kinsoku/>
              <w:wordWrap w:val="0"/>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eastAsia="zh-CN" w:bidi="ar"/>
                <w14:textFill>
                  <w14:solidFill>
                    <w14:schemeClr w14:val="tx1"/>
                  </w14:solidFill>
                </w14:textFill>
              </w:rPr>
              <w:t>项目固体废物处置符合《一般工业固体废物贮存和填埋污染控制标准》（GB18599--2020）、《危险废物贮存污染控制标准》（GB18597-2023）中相关要求，各固体废物均能得到妥善解决，对周围环境影响较小。</w:t>
            </w:r>
          </w:p>
          <w:p w14:paraId="72B77CB6">
            <w:pPr>
              <w:pageBreakBefore w:val="0"/>
              <w:widowControl/>
              <w:kinsoku/>
              <w:wordWrap w:val="0"/>
              <w:overflowPunct/>
              <w:topLinePunct w:val="0"/>
              <w:autoSpaceDE w:val="0"/>
              <w:autoSpaceDN w:val="0"/>
              <w:bidi w:val="0"/>
              <w:adjustRightInd/>
              <w:snapToGrid/>
              <w:spacing w:line="360" w:lineRule="auto"/>
              <w:ind w:firstLine="482" w:firstLineChars="200"/>
              <w:textAlignment w:val="baseline"/>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固废治理：</w:t>
            </w:r>
            <w:r>
              <w:rPr>
                <w:rFonts w:hint="default" w:ascii="Times New Roman" w:hAnsi="Times New Roman" w:eastAsia="宋体" w:cs="Times New Roman"/>
                <w:color w:val="000000" w:themeColor="text1"/>
                <w:sz w:val="24"/>
                <w:lang w:val="en-US" w:eastAsia="zh-CN"/>
                <w14:textFill>
                  <w14:solidFill>
                    <w14:schemeClr w14:val="tx1"/>
                  </w14:solidFill>
                </w14:textFill>
              </w:rPr>
              <w:t>原项目设有1个危险废物暂存间，约10m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。原项目危险废物为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废胶桶0.15</w:t>
            </w:r>
            <w:r>
              <w:rPr>
                <w:rFonts w:hint="default" w:ascii="Times New Roman" w:hAnsi="Times New Roman" w:eastAsia="宋体" w:cs="Times New Roman"/>
                <w:color w:val="000000" w:themeColor="text1"/>
                <w:sz w:val="24"/>
                <w:lang w:val="en-US" w:eastAsia="zh-CN"/>
                <w14:textFill>
                  <w14:solidFill>
                    <w14:schemeClr w14:val="tx1"/>
                  </w14:solidFill>
                </w14:textFill>
              </w:rPr>
              <w:t>t/a，</w:t>
            </w:r>
            <w:r>
              <w:rPr>
                <w:rFonts w:hint="default" w:ascii="Times New Roman" w:hAnsi="Times New Roman" w:eastAsia="宋体" w:cs="Times New Roman"/>
                <w:color w:val="000000" w:themeColor="text1"/>
                <w:sz w:val="24"/>
                <w:szCs w:val="24"/>
                <w:lang w:eastAsia="zh-CN"/>
                <w14:textFill>
                  <w14:solidFill>
                    <w14:schemeClr w14:val="tx1"/>
                  </w14:solidFill>
                </w14:textFill>
              </w:rPr>
              <w:t>废活性炭</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0.47</w:t>
            </w:r>
            <w:r>
              <w:rPr>
                <w:rFonts w:hint="default" w:ascii="Times New Roman" w:hAnsi="Times New Roman" w:eastAsia="宋体" w:cs="Times New Roman"/>
                <w:color w:val="000000" w:themeColor="text1"/>
                <w:sz w:val="24"/>
                <w:lang w:val="en-US" w:eastAsia="zh-CN"/>
                <w14:textFill>
                  <w14:solidFill>
                    <w14:schemeClr w14:val="tx1"/>
                  </w14:solidFill>
                </w14:textFill>
              </w:rPr>
              <w:t>t/a；本次扩建项目危险废物为废胶桶1.5t/a，废活性炭0.426t/a，废气水喷淋废水1.82t/a。项目暂存危险废物为固态，危废暂存间面积10m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，按照单位面积储存量为1.5t/m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计算，危废暂存间最大可容纳危险废物15t/a。扩建后全厂危险废物产生量为3.746t/a，危险废物预计90天转运一次，故每月危险废物产生量远小于危废暂存间最大储存量，因此项目依托原有危废暂存间可行</w:t>
            </w:r>
          </w:p>
          <w:p w14:paraId="203EAA81">
            <w:pPr>
              <w:pStyle w:val="60"/>
              <w:pageBreakBefore w:val="0"/>
              <w:widowControl/>
              <w:kinsoku/>
              <w:overflowPunct/>
              <w:topLinePunct w:val="0"/>
              <w:autoSpaceDE w:val="0"/>
              <w:autoSpaceDN w:val="0"/>
              <w:bidi w:val="0"/>
              <w:adjustRightInd/>
              <w:snapToGrid/>
              <w:spacing w:before="0" w:line="360" w:lineRule="auto"/>
              <w:ind w:firstLine="0"/>
              <w:textAlignment w:val="baseline"/>
              <w:rPr>
                <w:rFonts w:hint="default" w:ascii="Times New Roman" w:hAnsi="Times New Roman" w:eastAsia="宋体" w:cs="Times New Roman"/>
                <w:b/>
                <w:bCs/>
                <w:color w:val="000000" w:themeColor="text1"/>
                <w:kern w:val="2"/>
                <w:sz w:val="24"/>
                <w:lang w:eastAsia="zh-CN"/>
                <w14:textFill>
                  <w14:solidFill>
                    <w14:schemeClr w14:val="tx1"/>
                  </w14:solidFill>
                </w14:textFill>
              </w:rPr>
            </w:pPr>
            <w:r>
              <w:rPr>
                <w:rFonts w:hint="default" w:ascii="Times New Roman" w:hAnsi="Times New Roman" w:eastAsia="宋体" w:cs="Times New Roman"/>
                <w:b/>
                <w:bCs/>
                <w:color w:val="000000" w:themeColor="text1"/>
                <w:kern w:val="2"/>
                <w:sz w:val="24"/>
                <w:lang w:eastAsia="zh-CN"/>
                <w14:textFill>
                  <w14:solidFill>
                    <w14:schemeClr w14:val="tx1"/>
                  </w14:solidFill>
                </w14:textFill>
              </w:rPr>
              <w:t>5、地下水、土壤</w:t>
            </w:r>
          </w:p>
          <w:p w14:paraId="1F1FDC53">
            <w:pPr>
              <w:pStyle w:val="60"/>
              <w:pageBreakBefore w:val="0"/>
              <w:widowControl/>
              <w:kinsoku/>
              <w:overflowPunct/>
              <w:topLinePunct w:val="0"/>
              <w:autoSpaceDE w:val="0"/>
              <w:autoSpaceDN w:val="0"/>
              <w:bidi w:val="0"/>
              <w:adjustRightInd/>
              <w:snapToGrid/>
              <w:spacing w:before="0" w:line="360" w:lineRule="auto"/>
              <w:ind w:firstLine="480" w:firstLineChars="200"/>
              <w:textAlignment w:val="baseline"/>
              <w:rPr>
                <w:rFonts w:hint="default" w:ascii="Times New Roman" w:hAnsi="Times New Roman" w:eastAsia="宋体" w:cs="Times New Roman"/>
                <w:color w:val="0000FF"/>
                <w:kern w:val="2"/>
                <w:sz w:val="24"/>
                <w:lang w:eastAsia="zh-CN"/>
              </w:rPr>
            </w:pPr>
            <w:r>
              <w:rPr>
                <w:rFonts w:hint="default" w:ascii="Times New Roman" w:hAnsi="Times New Roman" w:eastAsia="宋体" w:cs="Times New Roman"/>
                <w:color w:val="000000" w:themeColor="text1"/>
                <w:kern w:val="2"/>
                <w:sz w:val="24"/>
                <w:lang w:eastAsia="zh-CN"/>
                <w14:textFill>
                  <w14:solidFill>
                    <w14:schemeClr w14:val="tx1"/>
                  </w14:solidFill>
                </w14:textFill>
              </w:rPr>
              <w:t>厂区危废暂存间等处若防渗措施不到位，会污染地下水、土壤。</w:t>
            </w:r>
          </w:p>
          <w:p w14:paraId="24541E3E">
            <w:pPr>
              <w:pStyle w:val="60"/>
              <w:pageBreakBefore w:val="0"/>
              <w:widowControl/>
              <w:kinsoku/>
              <w:overflowPunct/>
              <w:topLinePunct w:val="0"/>
              <w:autoSpaceDE w:val="0"/>
              <w:autoSpaceDN w:val="0"/>
              <w:bidi w:val="0"/>
              <w:adjustRightInd/>
              <w:snapToGrid/>
              <w:spacing w:before="0" w:line="360" w:lineRule="auto"/>
              <w:ind w:firstLine="480" w:firstLineChars="200"/>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kern w:val="2"/>
                <w:sz w:val="24"/>
                <w:lang w:eastAsia="zh-CN"/>
                <w14:textFill>
                  <w14:solidFill>
                    <w14:schemeClr w14:val="tx1"/>
                  </w14:solidFill>
                </w14:textFill>
              </w:rPr>
              <w:t>项目在建设过程中，将危废暂存间、</w:t>
            </w:r>
            <w:r>
              <w:rPr>
                <w:rFonts w:hint="default" w:ascii="Times New Roman" w:hAnsi="Times New Roman" w:eastAsia="宋体" w:cs="Times New Roman"/>
                <w:color w:val="000000" w:themeColor="text1"/>
                <w:kern w:val="2"/>
                <w:sz w:val="24"/>
                <w:lang w:val="en-US" w:eastAsia="zh-CN"/>
                <w14:textFill>
                  <w14:solidFill>
                    <w14:schemeClr w14:val="tx1"/>
                  </w14:solidFill>
                </w14:textFill>
              </w:rPr>
              <w:t>废气处理措施水喷淋区</w:t>
            </w:r>
            <w:r>
              <w:rPr>
                <w:rFonts w:hint="default" w:ascii="Times New Roman" w:hAnsi="Times New Roman" w:eastAsia="宋体" w:cs="Times New Roman"/>
                <w:color w:val="000000" w:themeColor="text1"/>
                <w:kern w:val="2"/>
                <w:sz w:val="24"/>
                <w:lang w:eastAsia="zh-CN"/>
                <w14:textFill>
                  <w14:solidFill>
                    <w14:schemeClr w14:val="tx1"/>
                  </w14:solidFill>
                </w14:textFill>
              </w:rPr>
              <w:t>等区域划分为重点防渗区。防渗层需满足等效黏土防水层Mb≥6.0m，K≤1.0×10</w:t>
            </w:r>
            <w:r>
              <w:rPr>
                <w:rFonts w:hint="default" w:ascii="Times New Roman" w:hAnsi="Times New Roman" w:eastAsia="宋体" w:cs="Times New Roman"/>
                <w:color w:val="000000" w:themeColor="text1"/>
                <w:kern w:val="2"/>
                <w:sz w:val="24"/>
                <w:vertAlign w:val="superscript"/>
                <w:lang w:eastAsia="zh-CN"/>
                <w14:textFill>
                  <w14:solidFill>
                    <w14:schemeClr w14:val="tx1"/>
                  </w14:solidFill>
                </w14:textFill>
              </w:rPr>
              <w:t>-7</w:t>
            </w:r>
            <w:r>
              <w:rPr>
                <w:rFonts w:hint="default" w:ascii="Times New Roman" w:hAnsi="Times New Roman" w:eastAsia="宋体" w:cs="Times New Roman"/>
                <w:color w:val="000000" w:themeColor="text1"/>
                <w:kern w:val="2"/>
                <w:sz w:val="24"/>
                <w:lang w:eastAsia="zh-CN"/>
                <w14:textFill>
                  <w14:solidFill>
                    <w14:schemeClr w14:val="tx1"/>
                  </w14:solidFill>
                </w14:textFill>
              </w:rPr>
              <w:t>cm/s；或参照《危险</w:t>
            </w:r>
            <w:r>
              <w:rPr>
                <w:rFonts w:hint="default" w:ascii="Times New Roman" w:hAnsi="Times New Roman" w:eastAsia="宋体" w:cs="Times New Roman"/>
                <w:color w:val="000000" w:themeColor="text1"/>
                <w:sz w:val="24"/>
                <w:szCs w:val="24"/>
                <w:lang w:eastAsia="zh-CN"/>
                <w14:textFill>
                  <w14:solidFill>
                    <w14:schemeClr w14:val="tx1"/>
                  </w14:solidFill>
                </w14:textFill>
              </w:rPr>
              <w:t>废物填埋场污染控制标准》（GB18598-2023）中对防渗层的要求为“人工合成材料衬层可以采用高密度聚乙烯（HDPE），其渗透系数不大于10</w:t>
            </w:r>
            <w:r>
              <w:rPr>
                <w:rFonts w:hint="default" w:ascii="Times New Roman" w:hAnsi="Times New Roman" w:eastAsia="宋体" w:cs="Times New Roman"/>
                <w:color w:val="000000" w:themeColor="text1"/>
                <w:sz w:val="24"/>
                <w:szCs w:val="24"/>
                <w:vertAlign w:val="superscript"/>
                <w:lang w:eastAsia="zh-CN"/>
                <w14:textFill>
                  <w14:solidFill>
                    <w14:schemeClr w14:val="tx1"/>
                  </w14:solidFill>
                </w14:textFill>
              </w:rPr>
              <w:t>-10</w:t>
            </w:r>
            <w:r>
              <w:rPr>
                <w:rFonts w:hint="default" w:ascii="Times New Roman" w:hAnsi="Times New Roman" w:eastAsia="宋体" w:cs="Times New Roman"/>
                <w:color w:val="000000" w:themeColor="text1"/>
                <w:sz w:val="24"/>
                <w:szCs w:val="24"/>
                <w:lang w:eastAsia="zh-CN"/>
                <w14:textFill>
                  <w14:solidFill>
                    <w14:schemeClr w14:val="tx1"/>
                  </w14:solidFill>
                </w14:textFill>
              </w:rPr>
              <w:t>cm/s，厚度不小于1.5mm。”建议防渗层的设置必须达到“双人工衬层，且人工衬层的材料渗透系数不大于10</w:t>
            </w:r>
            <w:r>
              <w:rPr>
                <w:rFonts w:hint="default" w:ascii="Times New Roman" w:hAnsi="Times New Roman" w:eastAsia="宋体" w:cs="Times New Roman"/>
                <w:color w:val="000000" w:themeColor="text1"/>
                <w:sz w:val="24"/>
                <w:szCs w:val="24"/>
                <w:vertAlign w:val="superscript"/>
                <w:lang w:eastAsia="zh-CN"/>
                <w14:textFill>
                  <w14:solidFill>
                    <w14:schemeClr w14:val="tx1"/>
                  </w14:solidFill>
                </w14:textFill>
              </w:rPr>
              <w:t>-10</w:t>
            </w:r>
            <w:r>
              <w:rPr>
                <w:rFonts w:hint="default" w:ascii="Times New Roman" w:hAnsi="Times New Roman" w:eastAsia="宋体" w:cs="Times New Roman"/>
                <w:color w:val="000000" w:themeColor="text1"/>
                <w:sz w:val="24"/>
                <w:szCs w:val="24"/>
                <w:lang w:eastAsia="zh-CN"/>
                <w14:textFill>
                  <w14:solidFill>
                    <w14:schemeClr w14:val="tx1"/>
                  </w14:solidFill>
                </w14:textFill>
              </w:rPr>
              <w:t>cm/s”的要求。</w:t>
            </w:r>
          </w:p>
          <w:p w14:paraId="4A18EBF1">
            <w:pPr>
              <w:pStyle w:val="60"/>
              <w:pageBreakBefore w:val="0"/>
              <w:widowControl/>
              <w:kinsoku/>
              <w:overflowPunct/>
              <w:topLinePunct w:val="0"/>
              <w:autoSpaceDE w:val="0"/>
              <w:autoSpaceDN w:val="0"/>
              <w:bidi w:val="0"/>
              <w:adjustRightInd/>
              <w:snapToGrid/>
              <w:spacing w:before="0" w:line="360" w:lineRule="auto"/>
              <w:ind w:firstLine="480" w:firstLineChars="200"/>
              <w:textAlignment w:val="baseline"/>
              <w:rPr>
                <w:rFonts w:hint="default" w:ascii="Times New Roman" w:hAnsi="Times New Roman" w:eastAsia="宋体" w:cs="Times New Roman"/>
                <w:color w:val="000000" w:themeColor="text1"/>
                <w:kern w:val="2"/>
                <w:sz w:val="24"/>
                <w:lang w:eastAsia="zh-CN"/>
                <w14:textFill>
                  <w14:solidFill>
                    <w14:schemeClr w14:val="tx1"/>
                  </w14:solidFill>
                </w14:textFill>
              </w:rPr>
            </w:pPr>
            <w:r>
              <w:rPr>
                <w:rFonts w:hint="default" w:ascii="Times New Roman" w:hAnsi="Times New Roman" w:eastAsia="宋体" w:cs="Times New Roman"/>
                <w:color w:val="000000" w:themeColor="text1"/>
                <w:kern w:val="2"/>
                <w:sz w:val="24"/>
                <w:lang w:eastAsia="zh-CN"/>
                <w14:textFill>
                  <w14:solidFill>
                    <w14:schemeClr w14:val="tx1"/>
                  </w14:solidFill>
                </w14:textFill>
              </w:rPr>
              <w:t>生产车间划分为一般防渗区，防渗层需满足等效黏土防水层Mb≥0.75m，K≤1.0×10</w:t>
            </w:r>
            <w:r>
              <w:rPr>
                <w:rFonts w:hint="default" w:ascii="Times New Roman" w:hAnsi="Times New Roman" w:eastAsia="宋体" w:cs="Times New Roman"/>
                <w:color w:val="000000" w:themeColor="text1"/>
                <w:kern w:val="2"/>
                <w:sz w:val="24"/>
                <w:vertAlign w:val="superscript"/>
                <w:lang w:eastAsia="zh-CN"/>
                <w14:textFill>
                  <w14:solidFill>
                    <w14:schemeClr w14:val="tx1"/>
                  </w14:solidFill>
                </w14:textFill>
              </w:rPr>
              <w:t>-7</w:t>
            </w:r>
            <w:r>
              <w:rPr>
                <w:rFonts w:hint="default" w:ascii="Times New Roman" w:hAnsi="Times New Roman" w:eastAsia="宋体" w:cs="Times New Roman"/>
                <w:color w:val="000000" w:themeColor="text1"/>
                <w:kern w:val="2"/>
                <w:sz w:val="24"/>
                <w:lang w:eastAsia="zh-CN"/>
                <w14:textFill>
                  <w14:solidFill>
                    <w14:schemeClr w14:val="tx1"/>
                  </w14:solidFill>
                </w14:textFill>
              </w:rPr>
              <w:t>cm/s；或参照《一般工业固体废物贮存和填埋污染控制标准》（GB18599-2020）中Ⅱ类场的要求：“当天然基础层的渗透系统大于1.0×10</w:t>
            </w:r>
            <w:r>
              <w:rPr>
                <w:rFonts w:hint="default" w:ascii="Times New Roman" w:hAnsi="Times New Roman" w:eastAsia="宋体" w:cs="Times New Roman"/>
                <w:color w:val="000000" w:themeColor="text1"/>
                <w:kern w:val="2"/>
                <w:sz w:val="24"/>
                <w:vertAlign w:val="superscript"/>
                <w:lang w:eastAsia="zh-CN"/>
                <w14:textFill>
                  <w14:solidFill>
                    <w14:schemeClr w14:val="tx1"/>
                  </w14:solidFill>
                </w14:textFill>
              </w:rPr>
              <w:t>-7</w:t>
            </w:r>
            <w:r>
              <w:rPr>
                <w:rFonts w:hint="default" w:ascii="Times New Roman" w:hAnsi="Times New Roman" w:eastAsia="宋体" w:cs="Times New Roman"/>
                <w:color w:val="000000" w:themeColor="text1"/>
                <w:kern w:val="2"/>
                <w:sz w:val="24"/>
                <w:lang w:eastAsia="zh-CN"/>
                <w14:textFill>
                  <w14:solidFill>
                    <w14:schemeClr w14:val="tx1"/>
                  </w14:solidFill>
                </w14:textFill>
              </w:rPr>
              <w:t>cm/s时，应采用天然或人工材料构筑防渗层，防渗层的厚度应相当于渗透系数1.0×10</w:t>
            </w:r>
            <w:r>
              <w:rPr>
                <w:rFonts w:hint="default" w:ascii="Times New Roman" w:hAnsi="Times New Roman" w:eastAsia="宋体" w:cs="Times New Roman"/>
                <w:color w:val="000000" w:themeColor="text1"/>
                <w:kern w:val="2"/>
                <w:sz w:val="24"/>
                <w:vertAlign w:val="superscript"/>
                <w:lang w:eastAsia="zh-CN"/>
                <w14:textFill>
                  <w14:solidFill>
                    <w14:schemeClr w14:val="tx1"/>
                  </w14:solidFill>
                </w14:textFill>
              </w:rPr>
              <w:t>-7</w:t>
            </w:r>
            <w:r>
              <w:rPr>
                <w:rFonts w:hint="default" w:ascii="Times New Roman" w:hAnsi="Times New Roman" w:eastAsia="宋体" w:cs="Times New Roman"/>
                <w:color w:val="000000" w:themeColor="text1"/>
                <w:kern w:val="2"/>
                <w:sz w:val="24"/>
                <w:lang w:eastAsia="zh-CN"/>
                <w14:textFill>
                  <w14:solidFill>
                    <w14:schemeClr w14:val="tx1"/>
                  </w14:solidFill>
                </w14:textFill>
              </w:rPr>
              <w:t>cm/s和厚度1.5m的粘土层的防渗性能”。</w:t>
            </w:r>
          </w:p>
          <w:p w14:paraId="6F27AF70">
            <w:pPr>
              <w:pStyle w:val="60"/>
              <w:pageBreakBefore w:val="0"/>
              <w:widowControl/>
              <w:kinsoku/>
              <w:overflowPunct/>
              <w:topLinePunct w:val="0"/>
              <w:autoSpaceDE w:val="0"/>
              <w:autoSpaceDN w:val="0"/>
              <w:bidi w:val="0"/>
              <w:adjustRightInd/>
              <w:snapToGrid/>
              <w:spacing w:before="0" w:line="360" w:lineRule="auto"/>
              <w:ind w:firstLine="480" w:firstLineChars="200"/>
              <w:textAlignment w:val="baseline"/>
              <w:rPr>
                <w:rFonts w:hint="default" w:ascii="Times New Roman" w:hAnsi="Times New Roman" w:eastAsia="宋体" w:cs="Times New Roman"/>
                <w:b/>
                <w:bCs/>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kern w:val="2"/>
                <w:sz w:val="24"/>
                <w:lang w:eastAsia="zh-CN"/>
                <w14:textFill>
                  <w14:solidFill>
                    <w14:schemeClr w14:val="tx1"/>
                  </w14:solidFill>
                </w14:textFill>
              </w:rPr>
              <w:t>根据以上分区情况，对本项目场区防渗分区见下表。</w:t>
            </w:r>
          </w:p>
          <w:p w14:paraId="28DB6949">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000000" w:themeColor="text1"/>
                <w:sz w:val="24"/>
                <w:lang w:eastAsia="zh-CN"/>
                <w14:textFill>
                  <w14:solidFill>
                    <w14:schemeClr w14:val="tx1"/>
                  </w14:solidFill>
                </w14:textFill>
              </w:rPr>
            </w:pPr>
            <w:r>
              <w:rPr>
                <w:rFonts w:hint="default" w:ascii="Times New Roman" w:hAnsi="Times New Roman" w:eastAsia="宋体" w:cs="Times New Roman"/>
                <w:b/>
                <w:bCs/>
                <w:color w:val="000000" w:themeColor="text1"/>
                <w:sz w:val="24"/>
                <w:lang w:eastAsia="zh-CN"/>
                <w14:textFill>
                  <w14:solidFill>
                    <w14:schemeClr w14:val="tx1"/>
                  </w14:solidFill>
                </w14:textFill>
              </w:rPr>
              <w:t>表4-</w:t>
            </w:r>
            <w:r>
              <w:rPr>
                <w:rFonts w:hint="default" w:ascii="Times New Roman" w:hAnsi="Times New Roman" w:eastAsia="宋体" w:cs="Times New Roman"/>
                <w:b/>
                <w:bCs/>
                <w:color w:val="000000" w:themeColor="text1"/>
                <w:sz w:val="24"/>
                <w:lang w:val="en-US" w:eastAsia="zh-CN"/>
                <w14:textFill>
                  <w14:solidFill>
                    <w14:schemeClr w14:val="tx1"/>
                  </w14:solidFill>
                </w14:textFill>
              </w:rPr>
              <w:t>14</w:t>
            </w:r>
            <w:r>
              <w:rPr>
                <w:rFonts w:hint="default" w:ascii="Times New Roman" w:hAnsi="Times New Roman" w:eastAsia="宋体" w:cs="Times New Roman"/>
                <w:b/>
                <w:bCs/>
                <w:color w:val="000000" w:themeColor="text1"/>
                <w:sz w:val="24"/>
                <w:lang w:eastAsia="zh-CN"/>
                <w14:textFill>
                  <w14:solidFill>
                    <w14:schemeClr w14:val="tx1"/>
                  </w14:solidFill>
                </w14:textFill>
              </w:rPr>
              <w:t xml:space="preserve"> 地下水污染防渗分区参照表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121"/>
              <w:gridCol w:w="885"/>
              <w:gridCol w:w="850"/>
              <w:gridCol w:w="4368"/>
            </w:tblGrid>
            <w:tr w14:paraId="62894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tcBorders>
                    <w:top w:val="single" w:color="auto" w:sz="4" w:space="0"/>
                    <w:left w:val="single" w:color="auto" w:sz="4" w:space="0"/>
                    <w:bottom w:val="single" w:color="auto" w:sz="4" w:space="0"/>
                    <w:right w:val="single" w:color="auto" w:sz="4" w:space="0"/>
                  </w:tcBorders>
                  <w:vAlign w:val="center"/>
                </w:tcPr>
                <w:p w14:paraId="0462E519">
                  <w:pPr>
                    <w:pStyle w:val="65"/>
                    <w:pageBreakBefore w:val="0"/>
                    <w:widowControl/>
                    <w:kinsoku/>
                    <w:overflowPunct/>
                    <w:topLinePunct w:val="0"/>
                    <w:autoSpaceDE w:val="0"/>
                    <w:autoSpaceDN w:val="0"/>
                    <w:bidi w:val="0"/>
                    <w:spacing w:line="240" w:lineRule="auto"/>
                    <w:ind w:firstLine="0" w:firstLineChars="0"/>
                    <w:jc w:val="center"/>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场区内建构筑物</w:t>
                  </w:r>
                </w:p>
              </w:tc>
              <w:tc>
                <w:tcPr>
                  <w:tcW w:w="1121" w:type="dxa"/>
                  <w:tcBorders>
                    <w:top w:val="single" w:color="auto" w:sz="4" w:space="0"/>
                    <w:left w:val="nil"/>
                    <w:bottom w:val="single" w:color="auto" w:sz="4" w:space="0"/>
                    <w:right w:val="single" w:color="auto" w:sz="4" w:space="0"/>
                  </w:tcBorders>
                  <w:vAlign w:val="center"/>
                </w:tcPr>
                <w:p w14:paraId="60FB9FCF">
                  <w:pPr>
                    <w:pStyle w:val="65"/>
                    <w:pageBreakBefore w:val="0"/>
                    <w:widowControl/>
                    <w:kinsoku/>
                    <w:overflowPunct/>
                    <w:topLinePunct w:val="0"/>
                    <w:autoSpaceDE w:val="0"/>
                    <w:autoSpaceDN w:val="0"/>
                    <w:bidi w:val="0"/>
                    <w:spacing w:line="240" w:lineRule="auto"/>
                    <w:ind w:firstLine="0" w:firstLineChars="0"/>
                    <w:jc w:val="center"/>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污染控制难易程度</w:t>
                  </w:r>
                </w:p>
              </w:tc>
              <w:tc>
                <w:tcPr>
                  <w:tcW w:w="885" w:type="dxa"/>
                  <w:tcBorders>
                    <w:top w:val="single" w:color="auto" w:sz="4" w:space="0"/>
                    <w:left w:val="nil"/>
                    <w:bottom w:val="single" w:color="auto" w:sz="4" w:space="0"/>
                    <w:right w:val="single" w:color="auto" w:sz="4" w:space="0"/>
                  </w:tcBorders>
                  <w:vAlign w:val="center"/>
                </w:tcPr>
                <w:p w14:paraId="302EBD17">
                  <w:pPr>
                    <w:pStyle w:val="65"/>
                    <w:pageBreakBefore w:val="0"/>
                    <w:widowControl/>
                    <w:kinsoku/>
                    <w:overflowPunct/>
                    <w:topLinePunct w:val="0"/>
                    <w:autoSpaceDE w:val="0"/>
                    <w:autoSpaceDN w:val="0"/>
                    <w:bidi w:val="0"/>
                    <w:spacing w:line="240" w:lineRule="auto"/>
                    <w:ind w:firstLine="0" w:firstLineChars="0"/>
                    <w:jc w:val="center"/>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污染物类型</w:t>
                  </w:r>
                </w:p>
              </w:tc>
              <w:tc>
                <w:tcPr>
                  <w:tcW w:w="850" w:type="dxa"/>
                  <w:tcBorders>
                    <w:top w:val="single" w:color="auto" w:sz="4" w:space="0"/>
                    <w:left w:val="nil"/>
                    <w:bottom w:val="single" w:color="auto" w:sz="4" w:space="0"/>
                    <w:right w:val="single" w:color="auto" w:sz="4" w:space="0"/>
                  </w:tcBorders>
                  <w:vAlign w:val="center"/>
                </w:tcPr>
                <w:p w14:paraId="0C18DC9F">
                  <w:pPr>
                    <w:pStyle w:val="65"/>
                    <w:pageBreakBefore w:val="0"/>
                    <w:widowControl/>
                    <w:kinsoku/>
                    <w:overflowPunct/>
                    <w:topLinePunct w:val="0"/>
                    <w:autoSpaceDE w:val="0"/>
                    <w:autoSpaceDN w:val="0"/>
                    <w:bidi w:val="0"/>
                    <w:spacing w:line="240" w:lineRule="auto"/>
                    <w:ind w:firstLine="0" w:firstLineChars="0"/>
                    <w:jc w:val="center"/>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防渗分区</w:t>
                  </w:r>
                </w:p>
              </w:tc>
              <w:tc>
                <w:tcPr>
                  <w:tcW w:w="4368" w:type="dxa"/>
                  <w:tcBorders>
                    <w:top w:val="single" w:color="auto" w:sz="4" w:space="0"/>
                    <w:left w:val="nil"/>
                    <w:bottom w:val="single" w:color="auto" w:sz="4" w:space="0"/>
                    <w:right w:val="single" w:color="auto" w:sz="4" w:space="0"/>
                  </w:tcBorders>
                  <w:vAlign w:val="center"/>
                </w:tcPr>
                <w:p w14:paraId="30D47B42">
                  <w:pPr>
                    <w:pStyle w:val="65"/>
                    <w:pageBreakBefore w:val="0"/>
                    <w:widowControl/>
                    <w:kinsoku/>
                    <w:overflowPunct/>
                    <w:topLinePunct w:val="0"/>
                    <w:autoSpaceDE w:val="0"/>
                    <w:autoSpaceDN w:val="0"/>
                    <w:bidi w:val="0"/>
                    <w:spacing w:line="240" w:lineRule="auto"/>
                    <w:ind w:firstLine="0" w:firstLineChars="0"/>
                    <w:jc w:val="center"/>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防渗技术要求</w:t>
                  </w:r>
                </w:p>
              </w:tc>
            </w:tr>
            <w:tr w14:paraId="0A8A6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tcBorders>
                    <w:top w:val="single" w:color="auto" w:sz="4" w:space="0"/>
                    <w:left w:val="single" w:color="auto" w:sz="4" w:space="0"/>
                    <w:bottom w:val="single" w:color="auto" w:sz="4" w:space="0"/>
                    <w:right w:val="single" w:color="auto" w:sz="4" w:space="0"/>
                  </w:tcBorders>
                  <w:vAlign w:val="center"/>
                </w:tcPr>
                <w:p w14:paraId="48A85312">
                  <w:pPr>
                    <w:pStyle w:val="65"/>
                    <w:pageBreakBefore w:val="0"/>
                    <w:widowControl/>
                    <w:kinsoku/>
                    <w:overflowPunct/>
                    <w:topLinePunct w:val="0"/>
                    <w:autoSpaceDE w:val="0"/>
                    <w:autoSpaceDN w:val="0"/>
                    <w:bidi w:val="0"/>
                    <w:spacing w:line="240" w:lineRule="auto"/>
                    <w:ind w:firstLine="0" w:firstLineChars="0"/>
                    <w:jc w:val="center"/>
                    <w:textAlignment w:val="baseline"/>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危废暂存间、</w:t>
                  </w:r>
                  <w:r>
                    <w:rPr>
                      <w:rFonts w:hint="default" w:ascii="Times New Roman" w:hAnsi="Times New Roman" w:eastAsia="宋体" w:cs="Times New Roman"/>
                      <w:color w:val="000000" w:themeColor="text1"/>
                      <w:lang w:val="en-US" w:eastAsia="zh-CN"/>
                      <w14:textFill>
                        <w14:solidFill>
                          <w14:schemeClr w14:val="tx1"/>
                        </w14:solidFill>
                      </w14:textFill>
                    </w:rPr>
                    <w:t>废气处理措施水喷淋区</w:t>
                  </w:r>
                </w:p>
              </w:tc>
              <w:tc>
                <w:tcPr>
                  <w:tcW w:w="1121" w:type="dxa"/>
                  <w:tcBorders>
                    <w:top w:val="single" w:color="auto" w:sz="4" w:space="0"/>
                    <w:left w:val="nil"/>
                    <w:bottom w:val="single" w:color="auto" w:sz="4" w:space="0"/>
                    <w:right w:val="single" w:color="auto" w:sz="4" w:space="0"/>
                  </w:tcBorders>
                  <w:vAlign w:val="center"/>
                </w:tcPr>
                <w:p w14:paraId="7C87A97C">
                  <w:pPr>
                    <w:pStyle w:val="65"/>
                    <w:pageBreakBefore w:val="0"/>
                    <w:widowControl/>
                    <w:kinsoku/>
                    <w:overflowPunct/>
                    <w:topLinePunct w:val="0"/>
                    <w:autoSpaceDE w:val="0"/>
                    <w:autoSpaceDN w:val="0"/>
                    <w:bidi w:val="0"/>
                    <w:spacing w:line="240" w:lineRule="auto"/>
                    <w:ind w:firstLine="0" w:firstLineChars="0"/>
                    <w:jc w:val="center"/>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难</w:t>
                  </w:r>
                </w:p>
              </w:tc>
              <w:tc>
                <w:tcPr>
                  <w:tcW w:w="885" w:type="dxa"/>
                  <w:tcBorders>
                    <w:top w:val="single" w:color="auto" w:sz="4" w:space="0"/>
                    <w:left w:val="nil"/>
                    <w:bottom w:val="single" w:color="auto" w:sz="4" w:space="0"/>
                    <w:right w:val="single" w:color="auto" w:sz="4" w:space="0"/>
                  </w:tcBorders>
                  <w:vAlign w:val="center"/>
                </w:tcPr>
                <w:p w14:paraId="7B7DF2FA">
                  <w:pPr>
                    <w:pStyle w:val="65"/>
                    <w:pageBreakBefore w:val="0"/>
                    <w:widowControl/>
                    <w:kinsoku/>
                    <w:overflowPunct/>
                    <w:topLinePunct w:val="0"/>
                    <w:autoSpaceDE w:val="0"/>
                    <w:autoSpaceDN w:val="0"/>
                    <w:bidi w:val="0"/>
                    <w:spacing w:line="240" w:lineRule="auto"/>
                    <w:ind w:firstLine="0" w:firstLineChars="0"/>
                    <w:jc w:val="center"/>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其他类型</w:t>
                  </w:r>
                </w:p>
              </w:tc>
              <w:tc>
                <w:tcPr>
                  <w:tcW w:w="850" w:type="dxa"/>
                  <w:tcBorders>
                    <w:top w:val="single" w:color="auto" w:sz="4" w:space="0"/>
                    <w:left w:val="nil"/>
                    <w:bottom w:val="single" w:color="auto" w:sz="4" w:space="0"/>
                    <w:right w:val="single" w:color="auto" w:sz="4" w:space="0"/>
                  </w:tcBorders>
                  <w:vAlign w:val="center"/>
                </w:tcPr>
                <w:p w14:paraId="29DF679E">
                  <w:pPr>
                    <w:pStyle w:val="65"/>
                    <w:pageBreakBefore w:val="0"/>
                    <w:widowControl/>
                    <w:kinsoku/>
                    <w:overflowPunct/>
                    <w:topLinePunct w:val="0"/>
                    <w:autoSpaceDE w:val="0"/>
                    <w:autoSpaceDN w:val="0"/>
                    <w:bidi w:val="0"/>
                    <w:spacing w:line="240" w:lineRule="auto"/>
                    <w:ind w:firstLine="0" w:firstLineChars="0"/>
                    <w:jc w:val="center"/>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重点防渗区</w:t>
                  </w:r>
                </w:p>
              </w:tc>
              <w:tc>
                <w:tcPr>
                  <w:tcW w:w="4368" w:type="dxa"/>
                  <w:tcBorders>
                    <w:top w:val="single" w:color="auto" w:sz="4" w:space="0"/>
                    <w:left w:val="nil"/>
                    <w:bottom w:val="single" w:color="auto" w:sz="4" w:space="0"/>
                    <w:right w:val="single" w:color="auto" w:sz="4" w:space="0"/>
                  </w:tcBorders>
                  <w:vAlign w:val="center"/>
                </w:tcPr>
                <w:p w14:paraId="7A96E98B">
                  <w:pPr>
                    <w:pageBreakBefore w:val="0"/>
                    <w:widowControl/>
                    <w:kinsoku/>
                    <w:overflowPunct/>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基础必须防渗，防渗层等效为至少</w:t>
                  </w:r>
                  <w:r>
                    <w:rPr>
                      <w:rFonts w:hint="default" w:ascii="Times New Roman" w:hAnsi="Times New Roman" w:eastAsia="宋体" w:cs="Times New Roman"/>
                      <w:color w:val="000000" w:themeColor="text1"/>
                      <w:lang w:val="en-US" w:eastAsia="zh-CN"/>
                      <w14:textFill>
                        <w14:solidFill>
                          <w14:schemeClr w14:val="tx1"/>
                        </w14:solidFill>
                      </w14:textFill>
                    </w:rPr>
                    <w:t>6</w:t>
                  </w:r>
                  <w:r>
                    <w:rPr>
                      <w:rFonts w:hint="default" w:ascii="Times New Roman" w:hAnsi="Times New Roman" w:eastAsia="宋体" w:cs="Times New Roman"/>
                      <w:color w:val="000000" w:themeColor="text1"/>
                      <w:lang w:eastAsia="zh-CN"/>
                      <w14:textFill>
                        <w14:solidFill>
                          <w14:schemeClr w14:val="tx1"/>
                        </w14:solidFill>
                      </w14:textFill>
                    </w:rPr>
                    <w:t>米厚粘土层（渗透系数≤10</w:t>
                  </w:r>
                  <w:r>
                    <w:rPr>
                      <w:rFonts w:hint="default" w:ascii="Times New Roman" w:hAnsi="Times New Roman" w:eastAsia="宋体" w:cs="Times New Roman"/>
                      <w:color w:val="000000" w:themeColor="text1"/>
                      <w:vertAlign w:val="superscript"/>
                      <w:lang w:eastAsia="zh-CN"/>
                      <w14:textFill>
                        <w14:solidFill>
                          <w14:schemeClr w14:val="tx1"/>
                        </w14:solidFill>
                      </w14:textFill>
                    </w:rPr>
                    <w:t>-7</w:t>
                  </w:r>
                  <w:r>
                    <w:rPr>
                      <w:rFonts w:hint="default" w:ascii="Times New Roman" w:hAnsi="Times New Roman" w:eastAsia="宋体" w:cs="Times New Roman"/>
                      <w:color w:val="000000" w:themeColor="text1"/>
                      <w:lang w:eastAsia="zh-CN"/>
                      <w14:textFill>
                        <w14:solidFill>
                          <w14:schemeClr w14:val="tx1"/>
                        </w14:solidFill>
                      </w14:textFill>
                    </w:rPr>
                    <w:t>cm/s），或2mm厚高密度聚乙烯，或至少2mm厚的其它人工材料，渗透系数≤10</w:t>
                  </w:r>
                  <w:r>
                    <w:rPr>
                      <w:rFonts w:hint="default" w:ascii="Times New Roman" w:hAnsi="Times New Roman" w:eastAsia="宋体" w:cs="Times New Roman"/>
                      <w:color w:val="000000" w:themeColor="text1"/>
                      <w:vertAlign w:val="superscript"/>
                      <w:lang w:eastAsia="zh-CN"/>
                      <w14:textFill>
                        <w14:solidFill>
                          <w14:schemeClr w14:val="tx1"/>
                        </w14:solidFill>
                      </w14:textFill>
                    </w:rPr>
                    <w:t>-10</w:t>
                  </w:r>
                  <w:r>
                    <w:rPr>
                      <w:rFonts w:hint="default" w:ascii="Times New Roman" w:hAnsi="Times New Roman" w:eastAsia="宋体" w:cs="Times New Roman"/>
                      <w:color w:val="000000" w:themeColor="text1"/>
                      <w:lang w:eastAsia="zh-CN"/>
                      <w14:textFill>
                        <w14:solidFill>
                          <w14:schemeClr w14:val="tx1"/>
                        </w14:solidFill>
                      </w14:textFill>
                    </w:rPr>
                    <w:t>cm/s</w:t>
                  </w:r>
                </w:p>
              </w:tc>
            </w:tr>
            <w:tr w14:paraId="74E36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tcBorders>
                    <w:top w:val="single" w:color="auto" w:sz="4" w:space="0"/>
                    <w:left w:val="single" w:color="auto" w:sz="4" w:space="0"/>
                    <w:bottom w:val="single" w:color="auto" w:sz="4" w:space="0"/>
                    <w:right w:val="single" w:color="auto" w:sz="4" w:space="0"/>
                  </w:tcBorders>
                  <w:vAlign w:val="center"/>
                </w:tcPr>
                <w:p w14:paraId="7BCACC99">
                  <w:pPr>
                    <w:pStyle w:val="65"/>
                    <w:pageBreakBefore w:val="0"/>
                    <w:widowControl/>
                    <w:kinsoku/>
                    <w:overflowPunct/>
                    <w:topLinePunct w:val="0"/>
                    <w:autoSpaceDE w:val="0"/>
                    <w:autoSpaceDN w:val="0"/>
                    <w:bidi w:val="0"/>
                    <w:spacing w:line="240" w:lineRule="auto"/>
                    <w:ind w:firstLine="0" w:firstLineChars="0"/>
                    <w:jc w:val="center"/>
                    <w:textAlignment w:val="baseline"/>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生产区</w:t>
                  </w:r>
                </w:p>
              </w:tc>
              <w:tc>
                <w:tcPr>
                  <w:tcW w:w="1121" w:type="dxa"/>
                  <w:tcBorders>
                    <w:top w:val="single" w:color="auto" w:sz="4" w:space="0"/>
                    <w:left w:val="nil"/>
                    <w:bottom w:val="single" w:color="auto" w:sz="4" w:space="0"/>
                    <w:right w:val="single" w:color="auto" w:sz="4" w:space="0"/>
                  </w:tcBorders>
                  <w:vAlign w:val="center"/>
                </w:tcPr>
                <w:p w14:paraId="2E180703">
                  <w:pPr>
                    <w:pStyle w:val="65"/>
                    <w:pageBreakBefore w:val="0"/>
                    <w:widowControl/>
                    <w:kinsoku/>
                    <w:overflowPunct/>
                    <w:topLinePunct w:val="0"/>
                    <w:autoSpaceDE w:val="0"/>
                    <w:autoSpaceDN w:val="0"/>
                    <w:bidi w:val="0"/>
                    <w:spacing w:line="240" w:lineRule="auto"/>
                    <w:ind w:firstLine="0" w:firstLineChars="0"/>
                    <w:jc w:val="center"/>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难</w:t>
                  </w:r>
                </w:p>
              </w:tc>
              <w:tc>
                <w:tcPr>
                  <w:tcW w:w="885" w:type="dxa"/>
                  <w:tcBorders>
                    <w:top w:val="single" w:color="auto" w:sz="4" w:space="0"/>
                    <w:left w:val="nil"/>
                    <w:bottom w:val="single" w:color="auto" w:sz="4" w:space="0"/>
                    <w:right w:val="single" w:color="auto" w:sz="4" w:space="0"/>
                  </w:tcBorders>
                  <w:vAlign w:val="center"/>
                </w:tcPr>
                <w:p w14:paraId="6AD1DAA0">
                  <w:pPr>
                    <w:pStyle w:val="65"/>
                    <w:pageBreakBefore w:val="0"/>
                    <w:widowControl/>
                    <w:kinsoku/>
                    <w:overflowPunct/>
                    <w:topLinePunct w:val="0"/>
                    <w:autoSpaceDE w:val="0"/>
                    <w:autoSpaceDN w:val="0"/>
                    <w:bidi w:val="0"/>
                    <w:spacing w:line="240" w:lineRule="auto"/>
                    <w:ind w:firstLine="0" w:firstLineChars="0"/>
                    <w:jc w:val="center"/>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其他类型</w:t>
                  </w:r>
                </w:p>
              </w:tc>
              <w:tc>
                <w:tcPr>
                  <w:tcW w:w="850" w:type="dxa"/>
                  <w:tcBorders>
                    <w:top w:val="single" w:color="auto" w:sz="4" w:space="0"/>
                    <w:left w:val="nil"/>
                    <w:bottom w:val="single" w:color="auto" w:sz="4" w:space="0"/>
                    <w:right w:val="single" w:color="auto" w:sz="4" w:space="0"/>
                  </w:tcBorders>
                  <w:vAlign w:val="center"/>
                </w:tcPr>
                <w:p w14:paraId="0FBD127B">
                  <w:pPr>
                    <w:pStyle w:val="65"/>
                    <w:pageBreakBefore w:val="0"/>
                    <w:widowControl/>
                    <w:kinsoku/>
                    <w:overflowPunct/>
                    <w:topLinePunct w:val="0"/>
                    <w:autoSpaceDE w:val="0"/>
                    <w:autoSpaceDN w:val="0"/>
                    <w:bidi w:val="0"/>
                    <w:spacing w:line="240" w:lineRule="auto"/>
                    <w:ind w:firstLine="0" w:firstLineChars="0"/>
                    <w:jc w:val="center"/>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一般防渗区</w:t>
                  </w:r>
                </w:p>
              </w:tc>
              <w:tc>
                <w:tcPr>
                  <w:tcW w:w="4368" w:type="dxa"/>
                  <w:tcBorders>
                    <w:top w:val="nil"/>
                    <w:left w:val="nil"/>
                    <w:bottom w:val="single" w:color="auto" w:sz="4" w:space="0"/>
                    <w:right w:val="single" w:color="auto" w:sz="4" w:space="0"/>
                  </w:tcBorders>
                  <w:vAlign w:val="center"/>
                </w:tcPr>
                <w:p w14:paraId="637AB0F4">
                  <w:pPr>
                    <w:pStyle w:val="65"/>
                    <w:pageBreakBefore w:val="0"/>
                    <w:widowControl/>
                    <w:kinsoku/>
                    <w:overflowPunct/>
                    <w:topLinePunct w:val="0"/>
                    <w:autoSpaceDE w:val="0"/>
                    <w:autoSpaceDN w:val="0"/>
                    <w:bidi w:val="0"/>
                    <w:spacing w:line="240" w:lineRule="auto"/>
                    <w:ind w:firstLine="0" w:firstLineChars="0"/>
                    <w:jc w:val="center"/>
                    <w:textAlignment w:val="baseline"/>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应采用天然或人工材料构筑防渗层，防渗层的厚度应相当于渗透系数1.0×10</w:t>
                  </w:r>
                  <w:r>
                    <w:rPr>
                      <w:rFonts w:hint="default" w:ascii="Times New Roman" w:hAnsi="Times New Roman" w:eastAsia="宋体" w:cs="Times New Roman"/>
                      <w:color w:val="000000" w:themeColor="text1"/>
                      <w:vertAlign w:val="superscript"/>
                      <w:lang w:eastAsia="zh-CN"/>
                      <w14:textFill>
                        <w14:solidFill>
                          <w14:schemeClr w14:val="tx1"/>
                        </w14:solidFill>
                      </w14:textFill>
                    </w:rPr>
                    <w:t>-7</w:t>
                  </w:r>
                  <w:r>
                    <w:rPr>
                      <w:rFonts w:hint="default" w:ascii="Times New Roman" w:hAnsi="Times New Roman" w:eastAsia="宋体" w:cs="Times New Roman"/>
                      <w:color w:val="000000" w:themeColor="text1"/>
                      <w:lang w:eastAsia="zh-CN"/>
                      <w14:textFill>
                        <w14:solidFill>
                          <w14:schemeClr w14:val="tx1"/>
                        </w14:solidFill>
                      </w14:textFill>
                    </w:rPr>
                    <w:t>cm/s和厚度1.5m的粘土层的防渗性能</w:t>
                  </w:r>
                </w:p>
              </w:tc>
            </w:tr>
          </w:tbl>
          <w:p w14:paraId="53717711">
            <w:pPr>
              <w:pStyle w:val="60"/>
              <w:pageBreakBefore w:val="0"/>
              <w:widowControl/>
              <w:kinsoku/>
              <w:overflowPunct/>
              <w:topLinePunct w:val="0"/>
              <w:autoSpaceDE w:val="0"/>
              <w:autoSpaceDN w:val="0"/>
              <w:bidi w:val="0"/>
              <w:adjustRightInd/>
              <w:snapToGrid/>
              <w:spacing w:before="0" w:line="360" w:lineRule="auto"/>
              <w:ind w:firstLine="0"/>
              <w:textAlignment w:val="baseline"/>
              <w:rPr>
                <w:rFonts w:hint="default" w:ascii="Times New Roman" w:hAnsi="Times New Roman" w:eastAsia="宋体" w:cs="Times New Roman"/>
                <w:b/>
                <w:bCs/>
                <w:color w:val="000000" w:themeColor="text1"/>
                <w:kern w:val="2"/>
                <w:sz w:val="24"/>
                <w:lang w:eastAsia="zh-CN"/>
                <w14:textFill>
                  <w14:solidFill>
                    <w14:schemeClr w14:val="tx1"/>
                  </w14:solidFill>
                </w14:textFill>
              </w:rPr>
            </w:pPr>
            <w:r>
              <w:rPr>
                <w:rFonts w:hint="default" w:ascii="Times New Roman" w:hAnsi="Times New Roman" w:eastAsia="宋体" w:cs="Times New Roman"/>
                <w:b/>
                <w:bCs/>
                <w:color w:val="000000" w:themeColor="text1"/>
                <w:kern w:val="2"/>
                <w:sz w:val="24"/>
                <w:lang w:eastAsia="zh-CN"/>
                <w14:textFill>
                  <w14:solidFill>
                    <w14:schemeClr w14:val="tx1"/>
                  </w14:solidFill>
                </w14:textFill>
              </w:rPr>
              <w:t>6、环境风险评价</w:t>
            </w:r>
          </w:p>
          <w:p w14:paraId="28EBB9F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highlight w:val="none"/>
                <w:lang w:val="en-US" w:eastAsia="zh-CN"/>
                <w14:textFill>
                  <w14:solidFill>
                    <w14:schemeClr w14:val="tx1"/>
                  </w14:solidFill>
                </w14:textFill>
              </w:rPr>
              <w:t>（1）物质风险性调查</w:t>
            </w:r>
          </w:p>
          <w:p w14:paraId="39CBDD2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本次评价将针对项目涉及的原辅材料、三废、产品等进行物质危险性识别，根据《建设项目环境风险评价技术导则》（HJ/T169-2018）附录B及《重大危险源辨识》（GB18218-2018），</w:t>
            </w:r>
            <w:r>
              <w:rPr>
                <w:rFonts w:hint="default" w:ascii="Times New Roman" w:hAnsi="Times New Roman" w:eastAsia="宋体" w:cs="Times New Roman"/>
                <w:snapToGrid/>
                <w:color w:val="000000" w:themeColor="text1"/>
                <w:spacing w:val="0"/>
                <w:kern w:val="0"/>
                <w:position w:val="0"/>
                <w:sz w:val="24"/>
                <w:szCs w:val="24"/>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无危险物质</w:t>
            </w:r>
            <w:r>
              <w:rPr>
                <w:rFonts w:hint="default" w:ascii="Times New Roman" w:hAnsi="Times New Roman" w:eastAsia="宋体" w:cs="Times New Roman"/>
                <w:snapToGrid/>
                <w:color w:val="000000" w:themeColor="text1"/>
                <w:spacing w:val="0"/>
                <w:kern w:val="0"/>
                <w:position w:val="0"/>
                <w:sz w:val="24"/>
                <w:szCs w:val="24"/>
                <w:highlight w:val="none"/>
                <w:lang w:val="en-US" w:eastAsia="zh-CN"/>
                <w14:textFill>
                  <w14:solidFill>
                    <w14:schemeClr w14:val="tx1"/>
                  </w14:solidFill>
                </w14:textFill>
              </w:rPr>
              <w:t>。</w:t>
            </w:r>
          </w:p>
          <w:p w14:paraId="12EB6C7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（2）风险潜势初判</w:t>
            </w:r>
          </w:p>
          <w:p w14:paraId="4FB490F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计算所涉及的每种危险物质在厂界内的最大存在总量与其在《建设项目环境风险评价技术导则》（HJ169-2018）附录B中对应临界量的比值Q。在不同厂区的同一种物质，按其在厂界内的最大存在总量计算。</w:t>
            </w:r>
          </w:p>
          <w:p w14:paraId="2D671E5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当只涉及一种危险物质时，计算该物质的总量与其临界量比值，即为Q；</w:t>
            </w:r>
          </w:p>
          <w:p w14:paraId="70D211E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当存在多种危险物质时，则按下式计算物质总量与其临界量比值Q；</w:t>
            </w:r>
          </w:p>
          <w:p w14:paraId="7B24957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position w:val="-30"/>
                <w:sz w:val="24"/>
                <w:szCs w:val="24"/>
                <w:highlight w:val="none"/>
                <w:lang w:val="en-US" w:eastAsia="zh-CN"/>
                <w14:textFill>
                  <w14:solidFill>
                    <w14:schemeClr w14:val="tx1"/>
                  </w14:solidFill>
                </w14:textFill>
              </w:rPr>
              <w:object>
                <v:shape id="_x0000_i1025" o:spt="75" type="#_x0000_t75" style="height:34pt;width:100pt;" o:ole="t" filled="f" o:preferrelative="t" stroked="f" coordsize="21600,21600">
                  <v:path/>
                  <v:fill on="f" focussize="0,0"/>
                  <v:stroke on="f"/>
                  <v:imagedata r:id="rId29" o:title=""/>
                  <o:lock v:ext="edit" aspectratio="t"/>
                  <w10:wrap type="none"/>
                  <w10:anchorlock/>
                </v:shape>
                <o:OLEObject Type="Embed" ProgID="Equation.KSEE3" ShapeID="_x0000_i1025" DrawAspect="Content" ObjectID="_1468075725" r:id="rId28">
                  <o:LockedField>false</o:LockedField>
                </o:OLEObject>
              </w:object>
            </w:r>
          </w:p>
          <w:p w14:paraId="1A77E1D6">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式中：q</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、q</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…q</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n</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每种危险废物实际存在量，</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w:t>
            </w:r>
          </w:p>
          <w:p w14:paraId="5EBDC5E7">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Q</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、Q</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…Q</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n</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14:textFill>
                  <w14:solidFill>
                    <w14:schemeClr w14:val="tx1"/>
                  </w14:solidFill>
                </w14:textFill>
              </w:rPr>
              <w:t>——与各危险物质相对应的生产场所或贮存区的临界量，t。</w:t>
            </w:r>
          </w:p>
          <w:p w14:paraId="5625558C">
            <w:pPr>
              <w:keepNext w:val="0"/>
              <w:keepLines w:val="0"/>
              <w:pageBreakBefore w:val="0"/>
              <w:widowControl/>
              <w:kinsoku/>
              <w:wordWrap/>
              <w:overflowPunct/>
              <w:topLinePunct w:val="0"/>
              <w:autoSpaceDE w:val="0"/>
              <w:autoSpaceDN w:val="0"/>
              <w:bidi w:val="0"/>
              <w:adjustRightInd/>
              <w:snapToGrid/>
              <w:spacing w:line="360" w:lineRule="auto"/>
              <w:ind w:firstLine="482" w:firstLineChars="200"/>
              <w:jc w:val="both"/>
              <w:textAlignment w:val="baseline"/>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当</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Q&lt;1时，该项目风险潜势为Ⅰ。</w:t>
            </w:r>
          </w:p>
          <w:p w14:paraId="5CCA6EF7">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环境风险识别：</w:t>
            </w:r>
          </w:p>
          <w:p w14:paraId="014C7B4F">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（1）风险物质识别</w:t>
            </w:r>
          </w:p>
          <w:p w14:paraId="770B8294">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本项目的原辅材料主要是</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水性复合胶</w:t>
            </w:r>
            <w:r>
              <w:rPr>
                <w:rFonts w:hint="default" w:ascii="Times New Roman" w:hAnsi="Times New Roman" w:eastAsia="宋体" w:cs="Times New Roman"/>
                <w:color w:val="000000" w:themeColor="text1"/>
                <w:sz w:val="24"/>
                <w:szCs w:val="24"/>
                <w:lang w:eastAsia="zh-CN"/>
                <w14:textFill>
                  <w14:solidFill>
                    <w14:schemeClr w14:val="tx1"/>
                  </w14:solidFill>
                </w14:textFill>
              </w:rPr>
              <w:t>，与《建设项目环境风险评价技术导则》（HJ169-2018）附录B中重点关注的危险物质进行对比，确定本项目无其中重点关注的危险物质。</w:t>
            </w:r>
          </w:p>
          <w:p w14:paraId="18014275">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（2）生产过程潜在危险性识别</w:t>
            </w:r>
          </w:p>
          <w:p w14:paraId="35791343">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根据生产企业的一般工艺特点，生产设施可划分为七大单元，具体见下表：</w:t>
            </w:r>
          </w:p>
          <w:p w14:paraId="41049CA8">
            <w:pPr>
              <w:pStyle w:val="79"/>
              <w:spacing w:before="120" w:beforeLines="5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表4</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eastAsia" w:eastAsia="宋体" w:cs="Times New Roman"/>
                <w:color w:val="000000" w:themeColor="text1"/>
                <w:lang w:val="en-US" w:eastAsia="zh-CN"/>
                <w14:textFill>
                  <w14:solidFill>
                    <w14:schemeClr w14:val="tx1"/>
                  </w14:solidFill>
                </w14:textFill>
              </w:rPr>
              <w:t>15</w:t>
            </w:r>
            <w:r>
              <w:rPr>
                <w:rFonts w:hint="default" w:ascii="Times New Roman" w:hAnsi="Times New Roman" w:eastAsia="宋体" w:cs="Times New Roman"/>
                <w:color w:val="000000" w:themeColor="text1"/>
                <w14:textFill>
                  <w14:solidFill>
                    <w14:schemeClr w14:val="tx1"/>
                  </w14:solidFill>
                </w14:textFill>
              </w:rPr>
              <w:t>生产设施划分表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1155"/>
              <w:gridCol w:w="5596"/>
              <w:gridCol w:w="722"/>
            </w:tblGrid>
            <w:tr w14:paraId="004A9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857" w:type="dxa"/>
                  <w:noWrap w:val="0"/>
                  <w:vAlign w:val="center"/>
                </w:tcPr>
                <w:p w14:paraId="53210C03">
                  <w:pPr>
                    <w:pStyle w:val="77"/>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序号</w:t>
                  </w:r>
                </w:p>
              </w:tc>
              <w:tc>
                <w:tcPr>
                  <w:tcW w:w="1155" w:type="dxa"/>
                  <w:noWrap w:val="0"/>
                  <w:vAlign w:val="center"/>
                </w:tcPr>
                <w:p w14:paraId="15616C43">
                  <w:pPr>
                    <w:pStyle w:val="77"/>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系统名称</w:t>
                  </w:r>
                </w:p>
              </w:tc>
              <w:tc>
                <w:tcPr>
                  <w:tcW w:w="5596" w:type="dxa"/>
                  <w:noWrap w:val="0"/>
                  <w:vAlign w:val="center"/>
                </w:tcPr>
                <w:p w14:paraId="719390C3">
                  <w:pPr>
                    <w:pStyle w:val="77"/>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涉及功能单元</w:t>
                  </w:r>
                </w:p>
              </w:tc>
              <w:tc>
                <w:tcPr>
                  <w:tcW w:w="722" w:type="dxa"/>
                  <w:noWrap w:val="0"/>
                  <w:vAlign w:val="center"/>
                </w:tcPr>
                <w:p w14:paraId="13B99AD3">
                  <w:pPr>
                    <w:pStyle w:val="77"/>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备注</w:t>
                  </w:r>
                </w:p>
              </w:tc>
            </w:tr>
            <w:tr w14:paraId="35711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7" w:type="dxa"/>
                  <w:noWrap w:val="0"/>
                  <w:vAlign w:val="center"/>
                </w:tcPr>
                <w:p w14:paraId="65293169">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w:t>
                  </w:r>
                </w:p>
              </w:tc>
              <w:tc>
                <w:tcPr>
                  <w:tcW w:w="1155" w:type="dxa"/>
                  <w:noWrap w:val="0"/>
                  <w:vAlign w:val="center"/>
                </w:tcPr>
                <w:p w14:paraId="5DC5B767">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生产装置</w:t>
                  </w:r>
                </w:p>
              </w:tc>
              <w:tc>
                <w:tcPr>
                  <w:tcW w:w="5596" w:type="dxa"/>
                  <w:noWrap w:val="0"/>
                  <w:vAlign w:val="center"/>
                </w:tcPr>
                <w:p w14:paraId="477DD49F">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各生产工段的主要设备和原料输送管道</w:t>
                  </w:r>
                </w:p>
              </w:tc>
              <w:tc>
                <w:tcPr>
                  <w:tcW w:w="722" w:type="dxa"/>
                  <w:vMerge w:val="restart"/>
                  <w:noWrap w:val="0"/>
                  <w:vAlign w:val="center"/>
                </w:tcPr>
                <w:p w14:paraId="6CBCFA91">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功能系统</w:t>
                  </w:r>
                </w:p>
              </w:tc>
            </w:tr>
            <w:tr w14:paraId="6C97C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857" w:type="dxa"/>
                  <w:noWrap w:val="0"/>
                  <w:vAlign w:val="center"/>
                </w:tcPr>
                <w:p w14:paraId="6857C1BC">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w:t>
                  </w:r>
                </w:p>
              </w:tc>
              <w:tc>
                <w:tcPr>
                  <w:tcW w:w="1155" w:type="dxa"/>
                  <w:noWrap w:val="0"/>
                  <w:vAlign w:val="center"/>
                </w:tcPr>
                <w:p w14:paraId="68EE2D53">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储运装置</w:t>
                  </w:r>
                </w:p>
              </w:tc>
              <w:tc>
                <w:tcPr>
                  <w:tcW w:w="5596" w:type="dxa"/>
                  <w:noWrap w:val="0"/>
                  <w:vAlign w:val="center"/>
                </w:tcPr>
                <w:p w14:paraId="56211762">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原料、产品的运输及储存</w:t>
                  </w:r>
                </w:p>
              </w:tc>
              <w:tc>
                <w:tcPr>
                  <w:tcW w:w="722" w:type="dxa"/>
                  <w:vMerge w:val="continue"/>
                  <w:noWrap w:val="0"/>
                  <w:vAlign w:val="center"/>
                </w:tcPr>
                <w:p w14:paraId="0A033E80">
                  <w:pPr>
                    <w:pStyle w:val="77"/>
                    <w:rPr>
                      <w:rFonts w:hint="default" w:ascii="Times New Roman" w:hAnsi="Times New Roman" w:eastAsia="宋体" w:cs="Times New Roman"/>
                      <w:color w:val="000000" w:themeColor="text1"/>
                      <w14:textFill>
                        <w14:solidFill>
                          <w14:schemeClr w14:val="tx1"/>
                        </w14:solidFill>
                      </w14:textFill>
                    </w:rPr>
                  </w:pPr>
                </w:p>
              </w:tc>
            </w:tr>
            <w:tr w14:paraId="0AF7E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857" w:type="dxa"/>
                  <w:noWrap w:val="0"/>
                  <w:vAlign w:val="center"/>
                </w:tcPr>
                <w:p w14:paraId="4C3F2519">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w:t>
                  </w:r>
                </w:p>
              </w:tc>
              <w:tc>
                <w:tcPr>
                  <w:tcW w:w="1155" w:type="dxa"/>
                  <w:noWrap w:val="0"/>
                  <w:vAlign w:val="center"/>
                </w:tcPr>
                <w:p w14:paraId="767F4102">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公用工程</w:t>
                  </w:r>
                </w:p>
              </w:tc>
              <w:tc>
                <w:tcPr>
                  <w:tcW w:w="5596" w:type="dxa"/>
                  <w:noWrap w:val="0"/>
                  <w:vAlign w:val="center"/>
                </w:tcPr>
                <w:p w14:paraId="6BD14AA7">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水、电等</w:t>
                  </w:r>
                </w:p>
              </w:tc>
              <w:tc>
                <w:tcPr>
                  <w:tcW w:w="722" w:type="dxa"/>
                  <w:vMerge w:val="continue"/>
                  <w:noWrap w:val="0"/>
                  <w:vAlign w:val="center"/>
                </w:tcPr>
                <w:p w14:paraId="2B85EA0A">
                  <w:pPr>
                    <w:pStyle w:val="77"/>
                    <w:rPr>
                      <w:rFonts w:hint="default" w:ascii="Times New Roman" w:hAnsi="Times New Roman" w:eastAsia="宋体" w:cs="Times New Roman"/>
                      <w:color w:val="000000" w:themeColor="text1"/>
                      <w14:textFill>
                        <w14:solidFill>
                          <w14:schemeClr w14:val="tx1"/>
                        </w14:solidFill>
                      </w14:textFill>
                    </w:rPr>
                  </w:pPr>
                </w:p>
              </w:tc>
            </w:tr>
            <w:tr w14:paraId="54244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857" w:type="dxa"/>
                  <w:noWrap w:val="0"/>
                  <w:vAlign w:val="center"/>
                </w:tcPr>
                <w:p w14:paraId="3B84FB41">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4</w:t>
                  </w:r>
                </w:p>
              </w:tc>
              <w:tc>
                <w:tcPr>
                  <w:tcW w:w="1155" w:type="dxa"/>
                  <w:noWrap w:val="0"/>
                  <w:vAlign w:val="center"/>
                </w:tcPr>
                <w:p w14:paraId="5159394D">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生产辅助</w:t>
                  </w:r>
                </w:p>
              </w:tc>
              <w:tc>
                <w:tcPr>
                  <w:tcW w:w="5596" w:type="dxa"/>
                  <w:noWrap w:val="0"/>
                  <w:vAlign w:val="center"/>
                </w:tcPr>
                <w:p w14:paraId="76CA2FFB">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机械、设备、仪表维修等</w:t>
                  </w:r>
                </w:p>
              </w:tc>
              <w:tc>
                <w:tcPr>
                  <w:tcW w:w="722" w:type="dxa"/>
                  <w:vMerge w:val="continue"/>
                  <w:noWrap w:val="0"/>
                  <w:vAlign w:val="center"/>
                </w:tcPr>
                <w:p w14:paraId="39AD11DA">
                  <w:pPr>
                    <w:pStyle w:val="77"/>
                    <w:rPr>
                      <w:rFonts w:hint="default" w:ascii="Times New Roman" w:hAnsi="Times New Roman" w:eastAsia="宋体" w:cs="Times New Roman"/>
                      <w:color w:val="000000" w:themeColor="text1"/>
                      <w14:textFill>
                        <w14:solidFill>
                          <w14:schemeClr w14:val="tx1"/>
                        </w14:solidFill>
                      </w14:textFill>
                    </w:rPr>
                  </w:pPr>
                </w:p>
              </w:tc>
            </w:tr>
            <w:tr w14:paraId="04BA1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857" w:type="dxa"/>
                  <w:noWrap w:val="0"/>
                  <w:vAlign w:val="center"/>
                </w:tcPr>
                <w:p w14:paraId="286A9A41">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5</w:t>
                  </w:r>
                </w:p>
              </w:tc>
              <w:tc>
                <w:tcPr>
                  <w:tcW w:w="1155" w:type="dxa"/>
                  <w:noWrap w:val="0"/>
                  <w:vAlign w:val="center"/>
                </w:tcPr>
                <w:p w14:paraId="7447FBCA">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环保工程</w:t>
                  </w:r>
                </w:p>
              </w:tc>
              <w:tc>
                <w:tcPr>
                  <w:tcW w:w="5596" w:type="dxa"/>
                  <w:noWrap w:val="0"/>
                  <w:vAlign w:val="center"/>
                </w:tcPr>
                <w:p w14:paraId="215D2227">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厂区布置和废气、废水、噪声、固体废物等处理处置装置等</w:t>
                  </w:r>
                </w:p>
              </w:tc>
              <w:tc>
                <w:tcPr>
                  <w:tcW w:w="722" w:type="dxa"/>
                  <w:vMerge w:val="continue"/>
                  <w:noWrap w:val="0"/>
                  <w:vAlign w:val="center"/>
                </w:tcPr>
                <w:p w14:paraId="3B63E0E7">
                  <w:pPr>
                    <w:pStyle w:val="77"/>
                    <w:rPr>
                      <w:rFonts w:hint="default" w:ascii="Times New Roman" w:hAnsi="Times New Roman" w:eastAsia="宋体" w:cs="Times New Roman"/>
                      <w:color w:val="000000" w:themeColor="text1"/>
                      <w14:textFill>
                        <w14:solidFill>
                          <w14:schemeClr w14:val="tx1"/>
                        </w14:solidFill>
                      </w14:textFill>
                    </w:rPr>
                  </w:pPr>
                </w:p>
              </w:tc>
            </w:tr>
            <w:tr w14:paraId="40BB3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857" w:type="dxa"/>
                  <w:noWrap w:val="0"/>
                  <w:vAlign w:val="center"/>
                </w:tcPr>
                <w:p w14:paraId="0EA358C2">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6</w:t>
                  </w:r>
                </w:p>
              </w:tc>
              <w:tc>
                <w:tcPr>
                  <w:tcW w:w="1155" w:type="dxa"/>
                  <w:noWrap w:val="0"/>
                  <w:vAlign w:val="center"/>
                </w:tcPr>
                <w:p w14:paraId="3B09D461">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安全消防</w:t>
                  </w:r>
                </w:p>
              </w:tc>
              <w:tc>
                <w:tcPr>
                  <w:tcW w:w="5596" w:type="dxa"/>
                  <w:noWrap w:val="0"/>
                  <w:vAlign w:val="center"/>
                </w:tcPr>
                <w:p w14:paraId="7656340C">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安全制度、安全教育、安全检查、消防器材、警报系统、消防管理等</w:t>
                  </w:r>
                </w:p>
              </w:tc>
              <w:tc>
                <w:tcPr>
                  <w:tcW w:w="722" w:type="dxa"/>
                  <w:vMerge w:val="continue"/>
                  <w:noWrap w:val="0"/>
                  <w:vAlign w:val="center"/>
                </w:tcPr>
                <w:p w14:paraId="30E71537">
                  <w:pPr>
                    <w:pStyle w:val="77"/>
                    <w:rPr>
                      <w:rFonts w:hint="default" w:ascii="Times New Roman" w:hAnsi="Times New Roman" w:eastAsia="宋体" w:cs="Times New Roman"/>
                      <w:color w:val="000000" w:themeColor="text1"/>
                      <w14:textFill>
                        <w14:solidFill>
                          <w14:schemeClr w14:val="tx1"/>
                        </w14:solidFill>
                      </w14:textFill>
                    </w:rPr>
                  </w:pPr>
                </w:p>
              </w:tc>
            </w:tr>
            <w:tr w14:paraId="7FB58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857" w:type="dxa"/>
                  <w:noWrap w:val="0"/>
                  <w:vAlign w:val="center"/>
                </w:tcPr>
                <w:p w14:paraId="07B32668">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7</w:t>
                  </w:r>
                </w:p>
              </w:tc>
              <w:tc>
                <w:tcPr>
                  <w:tcW w:w="1155" w:type="dxa"/>
                  <w:noWrap w:val="0"/>
                  <w:vAlign w:val="center"/>
                </w:tcPr>
                <w:p w14:paraId="2757E44C">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工业卫生</w:t>
                  </w:r>
                </w:p>
              </w:tc>
              <w:tc>
                <w:tcPr>
                  <w:tcW w:w="5596" w:type="dxa"/>
                  <w:noWrap w:val="0"/>
                  <w:vAlign w:val="center"/>
                </w:tcPr>
                <w:p w14:paraId="49BABB76">
                  <w:pPr>
                    <w:pStyle w:val="7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工业卫生管理、劳防用品等</w:t>
                  </w:r>
                </w:p>
              </w:tc>
              <w:tc>
                <w:tcPr>
                  <w:tcW w:w="722" w:type="dxa"/>
                  <w:vMerge w:val="continue"/>
                  <w:noWrap w:val="0"/>
                  <w:vAlign w:val="center"/>
                </w:tcPr>
                <w:p w14:paraId="14245500">
                  <w:pPr>
                    <w:pStyle w:val="77"/>
                    <w:rPr>
                      <w:rFonts w:hint="default" w:ascii="Times New Roman" w:hAnsi="Times New Roman" w:eastAsia="宋体" w:cs="Times New Roman"/>
                      <w:color w:val="000000" w:themeColor="text1"/>
                      <w14:textFill>
                        <w14:solidFill>
                          <w14:schemeClr w14:val="tx1"/>
                        </w14:solidFill>
                      </w14:textFill>
                    </w:rPr>
                  </w:pPr>
                </w:p>
              </w:tc>
            </w:tr>
          </w:tbl>
          <w:p w14:paraId="66BF0DDA">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根据分析，本项目在生产过程中发生的主要环境风险事故为，废气的事故性排放、火灾。</w:t>
            </w:r>
          </w:p>
          <w:p w14:paraId="25F9FC19">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（3）向环境转移途径</w:t>
            </w:r>
          </w:p>
          <w:p w14:paraId="61F492CE">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空气、水体和土壤等环境要素是危险性物质向环境转移的最基本的途径，同时这三种要素之间又随时发生着物质和能量的传递，污染物进入环境后，随着空气和水体环境发生推流迁移、分散稀释和降解转化运动。本项目事故状态下气态污染物可进入大气环境。</w:t>
            </w:r>
          </w:p>
          <w:p w14:paraId="38C4F09A">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环境风险分析：</w:t>
            </w:r>
          </w:p>
          <w:p w14:paraId="499A40EC">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（1）废气事故性排放对大气环境影响分析</w:t>
            </w:r>
          </w:p>
          <w:p w14:paraId="3E4F1A7E">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在废气治理设施故障，废气事故排放的情况下，各污染物浓度相对正常排放情况，浓度增值将增加。非正常排放情况下将对外界环境造成一定影响，对各关心点的影响也大大增加。因此，为了减轻本项目对周围环境的影响程度和范围，保证该地区的可持续发展，建设方须建立严格、规范的大气污染应急预案，加强废气净化设施的日常管理、维护。当废气处理设备出现故障不能正常运行时，应尽快停产进行维修，避免对周围环境造成污染影响。</w:t>
            </w:r>
          </w:p>
          <w:p w14:paraId="40B219F0">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（2）火灾风险分析</w:t>
            </w:r>
          </w:p>
          <w:p w14:paraId="0F994484">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项目生产的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原辅材料</w:t>
            </w:r>
            <w:r>
              <w:rPr>
                <w:rFonts w:hint="default" w:ascii="Times New Roman" w:hAnsi="Times New Roman" w:eastAsia="宋体" w:cs="Times New Roman"/>
                <w:color w:val="000000" w:themeColor="text1"/>
                <w:sz w:val="24"/>
                <w:szCs w:val="24"/>
                <w:lang w:eastAsia="zh-CN"/>
                <w14:textFill>
                  <w14:solidFill>
                    <w14:schemeClr w14:val="tx1"/>
                  </w14:solidFill>
                </w14:textFill>
              </w:rPr>
              <w:t>属于可燃物质，如发生火灾或爆炸，将在短时期内释放大量能量，造成建筑破坏及人员伤亡。</w:t>
            </w:r>
          </w:p>
          <w:p w14:paraId="122D5D72">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（3）废水风险分析</w:t>
            </w:r>
          </w:p>
          <w:p w14:paraId="5CEE70AE">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项目为金属结构制造，生产过程无废水产生。项目所产生的生活废水均得到有效处理，因此项目不存在废水泄漏导致水体污染的风险事故较小。</w:t>
            </w:r>
          </w:p>
          <w:p w14:paraId="2142364A">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环境风险防范措施及应急要求：</w:t>
            </w:r>
          </w:p>
          <w:p w14:paraId="1948F8B9">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为了减轻危险物品发生泄漏事故的危害后果、频率、影响程度和范围，达到同行业可接受水平，建设单位必须采取相应的风险防范措施，本评价提出以下建议：</w:t>
            </w:r>
          </w:p>
          <w:p w14:paraId="2201CEBB">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①总图布置和建筑安全方面</w:t>
            </w:r>
          </w:p>
          <w:p w14:paraId="26D4663E">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在总平面布置中配套设置应急救援设施、救援通道、应急疏散避难所等防护措施。根据火灾危险性等级和防火、防爆要求，建筑物的防火等级均采用国家现行规范要求按一、二级耐火等级设计，满足建筑防火要求。凡禁火区均设置明显标识牌。各种易燃易爆物料储存于阴凉、通风处，远离火源。</w:t>
            </w:r>
          </w:p>
          <w:p w14:paraId="360C2E22">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根据生产装置的特点，在生产车间按物料性质和人身可能意外接触到有害物质而引起烧伤、刺激或伤害皮肤的区域内，均设置紧急淋雨和洗眼器，并加以明显标记。并在装置区设置救护箱，工作人员配备必要的个人防护用品。</w:t>
            </w:r>
          </w:p>
          <w:p w14:paraId="1A5DDECE">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②日常管理方面</w:t>
            </w:r>
          </w:p>
          <w:p w14:paraId="4F753050">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在日常生产过程中对物料的储存、使用等方面做好管理；操作人员必须经过专门培训，严格遵守操作规程。</w:t>
            </w:r>
          </w:p>
          <w:p w14:paraId="0055C2B8">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③废气事故性排放对策</w:t>
            </w:r>
          </w:p>
          <w:p w14:paraId="1EF8765F">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 xml:space="preserve">A.专人负责指挥协调废气处理设施的启停和运行，确保废气处理设施处理效率达标； </w:t>
            </w:r>
          </w:p>
          <w:p w14:paraId="7726FF99">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 xml:space="preserve">B.加强巡视检查，认真填写废气处理设施运行情况表，做好数据分析并及时上报。确保活性炭的数量和品质，并保留好采购合同和采购记录； </w:t>
            </w:r>
          </w:p>
          <w:p w14:paraId="53AC6EBE">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C.制订和完善废气处理运行、维护等技术规程，规范废气处理设施的运行，合理安排设备大小修和消缺。</w:t>
            </w:r>
          </w:p>
          <w:p w14:paraId="7D66698C">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④火灾防范措施</w:t>
            </w:r>
          </w:p>
          <w:p w14:paraId="79C2FD2D">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 xml:space="preserve">A.建立安全生产岗位责任制，制定全套切实可行的安全生产规律和安全操作规程，并设专人负责安全；定期对职工进行安全方面知识的教育。 </w:t>
            </w:r>
          </w:p>
          <w:p w14:paraId="2742FD57">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 xml:space="preserve">B.厂房按有关规范要求配置干粉泡沫化学灭火器和消防栓。厂房内禁止一切烟火，并有相应的防火安全措施，设置防火标识牌。 </w:t>
            </w:r>
          </w:p>
          <w:p w14:paraId="03B36018">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 xml:space="preserve">C.加强对公司职工方教育培训，实行上岗证制度，增强职工风险意识，提高事故自救能力，制定和强化各种安全管理、安全生产的规程，减少人为风险事故（如误操作）的发生。 </w:t>
            </w:r>
          </w:p>
          <w:p w14:paraId="497E18B6">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D.制订发生事故时迅速撤离人员至安全区的方案，一旦发生事故，则要根据具体情况采取应急措施，切断火源，控制事故扩大，立即报警。</w:t>
            </w:r>
          </w:p>
          <w:p w14:paraId="30DDCCA5">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⑤制定严格的事故应急预案并经常演练使之启动运转及时，是减轻风险事故环境影响的有效措施。</w:t>
            </w:r>
          </w:p>
          <w:p w14:paraId="29D9E0BC">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环境风险评价小结</w:t>
            </w:r>
          </w:p>
          <w:p w14:paraId="0CC53887">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根据项目环境风险评价分析，项目主要的风险来自废气事故排放以及火灾。本环评要求企业必须加强安全管理，严格落实环评报告提出的风险防范措施和应急措施。经采取环评报告提出的风险防范措施和管理措施后，项目建成后全厂的环境风险在可控制和承受的范围之内。</w:t>
            </w:r>
          </w:p>
          <w:p w14:paraId="2C3277C4">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b/>
                <w:bCs/>
                <w:color w:val="000000" w:themeColor="text1"/>
                <w:kern w:val="2"/>
                <w:sz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为保证公司员工和周围居民的生命财产安全，防止重、特大事故的发生，并能在事故发生后迅速有效的控制处理，防止事故扩大，根据公司实际情况，本着“安全第一，预防为主；统一指挥，分工负责”的原则，需要制定《突发环境事件应急预案》</w:t>
            </w:r>
            <w:r>
              <w:rPr>
                <w:rFonts w:hint="default" w:ascii="Times New Roman" w:hAnsi="Times New Roman" w:eastAsia="宋体" w:cs="Times New Roman"/>
                <w:color w:val="000000" w:themeColor="text1"/>
                <w14:textFill>
                  <w14:solidFill>
                    <w14:schemeClr w14:val="tx1"/>
                  </w14:solidFill>
                </w14:textFill>
              </w:rPr>
              <w:t>。</w:t>
            </w:r>
          </w:p>
          <w:p w14:paraId="3F831C11">
            <w:pPr>
              <w:keepNext w:val="0"/>
              <w:keepLines w:val="0"/>
              <w:pageBreakBefore w:val="0"/>
              <w:widowControl/>
              <w:kinsoku/>
              <w:wordWrap/>
              <w:overflowPunct/>
              <w:topLinePunct w:val="0"/>
              <w:autoSpaceDE w:val="0"/>
              <w:autoSpaceDN w:val="0"/>
              <w:bidi w:val="0"/>
              <w:adjustRightInd/>
              <w:snapToGrid/>
              <w:spacing w:line="360" w:lineRule="auto"/>
              <w:ind w:firstLine="482" w:firstLineChars="200"/>
              <w:jc w:val="both"/>
              <w:textAlignment w:val="baseline"/>
              <w:rPr>
                <w:rFonts w:hint="default" w:ascii="Times New Roman" w:hAnsi="Times New Roman" w:eastAsia="宋体" w:cs="Times New Roman"/>
                <w:b/>
                <w:bCs/>
                <w:color w:val="000000" w:themeColor="text1"/>
                <w:kern w:val="2"/>
                <w:sz w:val="24"/>
                <w:lang w:eastAsia="zh-CN"/>
                <w14:textFill>
                  <w14:solidFill>
                    <w14:schemeClr w14:val="tx1"/>
                  </w14:solidFill>
                </w14:textFill>
              </w:rPr>
            </w:pPr>
            <w:r>
              <w:rPr>
                <w:rFonts w:hint="default" w:ascii="Times New Roman" w:hAnsi="Times New Roman" w:eastAsia="宋体" w:cs="Times New Roman"/>
                <w:b/>
                <w:bCs/>
                <w:color w:val="000000" w:themeColor="text1"/>
                <w:kern w:val="2"/>
                <w:sz w:val="24"/>
                <w:lang w:eastAsia="zh-CN"/>
                <w14:textFill>
                  <w14:solidFill>
                    <w14:schemeClr w14:val="tx1"/>
                  </w14:solidFill>
                </w14:textFill>
              </w:rPr>
              <w:t>7、电磁辐射</w:t>
            </w:r>
          </w:p>
          <w:p w14:paraId="23D896BD">
            <w:pPr>
              <w:pStyle w:val="60"/>
              <w:keepNext w:val="0"/>
              <w:keepLines w:val="0"/>
              <w:pageBreakBefore w:val="0"/>
              <w:widowControl/>
              <w:kinsoku/>
              <w:wordWrap/>
              <w:overflowPunct/>
              <w:topLinePunct w:val="0"/>
              <w:autoSpaceDE w:val="0"/>
              <w:autoSpaceDN w:val="0"/>
              <w:bidi w:val="0"/>
              <w:adjustRightInd/>
              <w:snapToGrid/>
              <w:spacing w:before="0" w:line="360" w:lineRule="auto"/>
              <w:ind w:firstLine="440" w:firstLineChars="200"/>
              <w:textAlignment w:val="baseline"/>
              <w:rPr>
                <w:rFonts w:hint="default" w:ascii="Times New Roman" w:hAnsi="Times New Roman" w:eastAsia="宋体" w:cs="Times New Roman"/>
                <w:bCs/>
                <w:color w:val="000000" w:themeColor="text1"/>
                <w:spacing w:val="-10"/>
                <w:sz w:val="24"/>
                <w:szCs w:val="24"/>
                <w:lang w:eastAsia="zh-CN"/>
                <w14:textFill>
                  <w14:solidFill>
                    <w14:schemeClr w14:val="tx1"/>
                  </w14:solidFill>
                </w14:textFill>
              </w:rPr>
            </w:pPr>
            <w:r>
              <w:rPr>
                <w:rFonts w:hint="default" w:ascii="Times New Roman" w:hAnsi="Times New Roman" w:eastAsia="宋体" w:cs="Times New Roman"/>
                <w:bCs/>
                <w:color w:val="000000" w:themeColor="text1"/>
                <w:spacing w:val="-10"/>
                <w:sz w:val="24"/>
                <w:szCs w:val="24"/>
                <w:lang w:eastAsia="zh-CN"/>
                <w14:textFill>
                  <w14:solidFill>
                    <w14:schemeClr w14:val="tx1"/>
                  </w14:solidFill>
                </w14:textFill>
              </w:rPr>
              <w:t>本项目不涉及电磁辐射，故不对该部分内容进行分析。</w:t>
            </w:r>
          </w:p>
          <w:p w14:paraId="598DEF03">
            <w:pPr>
              <w:pStyle w:val="60"/>
              <w:keepNext w:val="0"/>
              <w:keepLines w:val="0"/>
              <w:pageBreakBefore w:val="0"/>
              <w:widowControl/>
              <w:kinsoku/>
              <w:wordWrap/>
              <w:overflowPunct/>
              <w:topLinePunct w:val="0"/>
              <w:autoSpaceDE w:val="0"/>
              <w:autoSpaceDN w:val="0"/>
              <w:bidi w:val="0"/>
              <w:adjustRightInd/>
              <w:snapToGrid/>
              <w:spacing w:before="0" w:line="360" w:lineRule="auto"/>
              <w:ind w:firstLine="482" w:firstLineChars="200"/>
              <w:textAlignment w:val="baseline"/>
              <w:rPr>
                <w:rFonts w:hint="default" w:ascii="Times New Roman" w:hAnsi="Times New Roman" w:eastAsia="宋体" w:cs="Times New Roman"/>
                <w:b/>
                <w:bCs/>
                <w:color w:val="000000" w:themeColor="text1"/>
                <w:kern w:val="2"/>
                <w:sz w:val="24"/>
                <w:lang w:eastAsia="zh-CN"/>
                <w14:textFill>
                  <w14:solidFill>
                    <w14:schemeClr w14:val="tx1"/>
                  </w14:solidFill>
                </w14:textFill>
              </w:rPr>
            </w:pPr>
            <w:r>
              <w:rPr>
                <w:rFonts w:hint="default" w:ascii="Times New Roman" w:hAnsi="Times New Roman" w:eastAsia="宋体" w:cs="Times New Roman"/>
                <w:b/>
                <w:bCs/>
                <w:color w:val="000000" w:themeColor="text1"/>
                <w:kern w:val="2"/>
                <w:sz w:val="24"/>
                <w:lang w:val="en-US" w:eastAsia="zh-CN"/>
                <w14:textFill>
                  <w14:solidFill>
                    <w14:schemeClr w14:val="tx1"/>
                  </w14:solidFill>
                </w14:textFill>
              </w:rPr>
              <w:t>8、</w:t>
            </w:r>
            <w:r>
              <w:rPr>
                <w:rFonts w:hint="default" w:ascii="Times New Roman" w:hAnsi="Times New Roman" w:eastAsia="宋体" w:cs="Times New Roman"/>
                <w:b/>
                <w:bCs/>
                <w:color w:val="000000" w:themeColor="text1"/>
                <w:kern w:val="2"/>
                <w:sz w:val="24"/>
                <w:lang w:eastAsia="zh-CN"/>
                <w14:textFill>
                  <w14:solidFill>
                    <w14:schemeClr w14:val="tx1"/>
                  </w14:solidFill>
                </w14:textFill>
              </w:rPr>
              <w:t>环境管理计划</w:t>
            </w:r>
          </w:p>
          <w:p w14:paraId="5646E083">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（1）环境管理</w:t>
            </w:r>
          </w:p>
          <w:p w14:paraId="56FAEA41">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企业工程投入运营后，应设置环境管理机构，为公司的生产管理和环境管理提供保证，确保建设项目经济、环境和社会效益协调发展；环境管理机构负责项目运行期的环境管理与环境监测工作，掌握公司各污染源治理措施工艺、设备、运行及维护等资料，检查公司各环保设备的运行情况，领导和组织公司内部的环境监测工作。制定应急防范措施，一旦发生非正常污染应及时组织做好污染监测工作，并分析原因总结经验教训，杜绝污染事故的再次发生；监督拟建工程环保设备的安装调试等工作，坚持“三同时 ”原则，保障环保设施的设计、施工、运行与主体工程同时进行。编制主要生产设施和污染防治设施的环境管理台账等。</w:t>
            </w:r>
          </w:p>
          <w:p w14:paraId="434DA132">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eastAsia="zh-CN"/>
                <w14:textFill>
                  <w14:solidFill>
                    <w14:schemeClr w14:val="tx1"/>
                  </w14:solidFill>
                </w14:textFill>
              </w:rPr>
              <w:t>）排污口规范化要求</w:t>
            </w:r>
          </w:p>
          <w:p w14:paraId="2539914C">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①废水排放口</w:t>
            </w:r>
          </w:p>
          <w:p w14:paraId="0780F5F0">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本项目总排口应设置明显的标志牌。</w:t>
            </w:r>
          </w:p>
          <w:p w14:paraId="43B3A42A">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②废气排放口</w:t>
            </w:r>
          </w:p>
          <w:p w14:paraId="2EAA8C12">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项目建成后，应在现有项目排气筒附近地面醒目处设置环保图形标志牌，标明排气筒高度﹑出口内径﹑排放污染物种类等。废气排放口必须符合规定的高度和按《污染源监测技术规范》便于采样﹑监测的要求，排气筒应设置永久采样孔，并安装采样监测平台，其采样口由授权的环境监察支队和环境监测中心站共同确认。</w:t>
            </w:r>
          </w:p>
          <w:p w14:paraId="102065B5">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③固定噪声排放源</w:t>
            </w:r>
          </w:p>
          <w:p w14:paraId="58E5B69F">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按规定对固定噪声进行治理，并在边界噪声敏感点且对外界影响最大处设 置标志牌。</w:t>
            </w:r>
          </w:p>
          <w:p w14:paraId="50A01CD4">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④固定废物贮存场</w:t>
            </w:r>
          </w:p>
          <w:p w14:paraId="2E19C530">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对各种固体废物应分别收集﹑贮存和运输，设置专用危险废物暂存场所， 有防止雨淋﹑防扬散﹑防流失﹑防渗漏等措施，并设置标志牌。</w:t>
            </w:r>
          </w:p>
          <w:p w14:paraId="531F2A38">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⑤设置标志牌要求</w:t>
            </w:r>
          </w:p>
          <w:p w14:paraId="4A91EFF7">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项目废气、废水排放口及固废暂存处需按照国家相关规定进行建设，并设 置相关识标牌，排污口图形符号见下表。</w:t>
            </w:r>
          </w:p>
          <w:p w14:paraId="6957992C">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排污口图形符号见下表。</w:t>
            </w:r>
          </w:p>
          <w:p w14:paraId="32E04D66">
            <w:pPr>
              <w:pStyle w:val="45"/>
              <w:spacing w:before="181" w:line="213" w:lineRule="auto"/>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表4-</w:t>
            </w:r>
            <w:r>
              <w:rPr>
                <w:rFonts w:hint="eastAsia" w:ascii="Times New Roman" w:hAnsi="Times New Roman" w:cs="Times New Roman"/>
                <w:b/>
                <w:bCs/>
                <w:color w:val="000000" w:themeColor="text1"/>
                <w:sz w:val="24"/>
                <w:szCs w:val="24"/>
                <w:lang w:val="en-US" w:eastAsia="zh-CN"/>
                <w14:textFill>
                  <w14:solidFill>
                    <w14:schemeClr w14:val="tx1"/>
                  </w14:solidFill>
                </w14:textFill>
              </w:rPr>
              <w:t>16</w:t>
            </w:r>
            <w:r>
              <w:rPr>
                <w:rFonts w:hint="default" w:ascii="Times New Roman" w:hAnsi="Times New Roman" w:eastAsia="宋体" w:cs="Times New Roman"/>
                <w:b/>
                <w:bCs/>
                <w:color w:val="000000" w:themeColor="text1"/>
                <w:spacing w:val="-2"/>
                <w14:textFill>
                  <w14:solidFill>
                    <w14:schemeClr w14:val="tx1"/>
                  </w14:solidFill>
                </w14:textFill>
              </w:rPr>
              <w:t>厂区排污口图形符号（提示标志）一览表</w:t>
            </w:r>
          </w:p>
          <w:tbl>
            <w:tblPr>
              <w:tblStyle w:val="44"/>
              <w:tblW w:w="8149"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6"/>
              <w:gridCol w:w="1520"/>
              <w:gridCol w:w="1659"/>
              <w:gridCol w:w="1551"/>
              <w:gridCol w:w="2673"/>
            </w:tblGrid>
            <w:tr w14:paraId="605F8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746" w:type="dxa"/>
                  <w:vAlign w:val="center"/>
                </w:tcPr>
                <w:p w14:paraId="07AD4D81">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序号</w:t>
                  </w:r>
                </w:p>
              </w:tc>
              <w:tc>
                <w:tcPr>
                  <w:tcW w:w="1520" w:type="dxa"/>
                  <w:vAlign w:val="center"/>
                </w:tcPr>
                <w:p w14:paraId="70794BEA">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提示图形符号</w:t>
                  </w:r>
                </w:p>
              </w:tc>
              <w:tc>
                <w:tcPr>
                  <w:tcW w:w="1659" w:type="dxa"/>
                  <w:vAlign w:val="center"/>
                </w:tcPr>
                <w:p w14:paraId="19E8B5A6">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警告图形符号</w:t>
                  </w:r>
                </w:p>
              </w:tc>
              <w:tc>
                <w:tcPr>
                  <w:tcW w:w="1551" w:type="dxa"/>
                  <w:vAlign w:val="center"/>
                </w:tcPr>
                <w:p w14:paraId="03B927C7">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名称</w:t>
                  </w:r>
                </w:p>
              </w:tc>
              <w:tc>
                <w:tcPr>
                  <w:tcW w:w="2673" w:type="dxa"/>
                  <w:vAlign w:val="center"/>
                </w:tcPr>
                <w:p w14:paraId="198EDE1E">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功能</w:t>
                  </w:r>
                </w:p>
              </w:tc>
            </w:tr>
            <w:tr w14:paraId="28C07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746" w:type="dxa"/>
                  <w:vAlign w:val="center"/>
                </w:tcPr>
                <w:p w14:paraId="363BE218">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14:textFill>
                        <w14:solidFill>
                          <w14:schemeClr w14:val="tx1"/>
                        </w14:solidFill>
                      </w14:textFill>
                    </w:rPr>
                  </w:pPr>
                </w:p>
                <w:p w14:paraId="4E95A2BA">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w:t>
                  </w:r>
                </w:p>
              </w:tc>
              <w:tc>
                <w:tcPr>
                  <w:tcW w:w="1520" w:type="dxa"/>
                  <w:vAlign w:val="center"/>
                </w:tcPr>
                <w:p w14:paraId="311C669A">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drawing>
                      <wp:inline distT="0" distB="0" distL="0" distR="0">
                        <wp:extent cx="575945" cy="579120"/>
                        <wp:effectExtent l="0" t="0" r="14605" b="1143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30"/>
                                <a:stretch>
                                  <a:fillRect/>
                                </a:stretch>
                              </pic:blipFill>
                              <pic:spPr>
                                <a:xfrm>
                                  <a:off x="0" y="0"/>
                                  <a:ext cx="576072" cy="579120"/>
                                </a:xfrm>
                                <a:prstGeom prst="rect">
                                  <a:avLst/>
                                </a:prstGeom>
                              </pic:spPr>
                            </pic:pic>
                          </a:graphicData>
                        </a:graphic>
                      </wp:inline>
                    </w:drawing>
                  </w:r>
                </w:p>
              </w:tc>
              <w:tc>
                <w:tcPr>
                  <w:tcW w:w="1659" w:type="dxa"/>
                  <w:vAlign w:val="center"/>
                </w:tcPr>
                <w:p w14:paraId="388754F4">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drawing>
                      <wp:inline distT="0" distB="0" distL="0" distR="0">
                        <wp:extent cx="617220" cy="553085"/>
                        <wp:effectExtent l="0" t="0" r="11430" b="18415"/>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31"/>
                                <a:stretch>
                                  <a:fillRect/>
                                </a:stretch>
                              </pic:blipFill>
                              <pic:spPr>
                                <a:xfrm>
                                  <a:off x="0" y="0"/>
                                  <a:ext cx="617220" cy="553211"/>
                                </a:xfrm>
                                <a:prstGeom prst="rect">
                                  <a:avLst/>
                                </a:prstGeom>
                              </pic:spPr>
                            </pic:pic>
                          </a:graphicData>
                        </a:graphic>
                      </wp:inline>
                    </w:drawing>
                  </w:r>
                </w:p>
              </w:tc>
              <w:tc>
                <w:tcPr>
                  <w:tcW w:w="1551" w:type="dxa"/>
                  <w:vAlign w:val="center"/>
                </w:tcPr>
                <w:p w14:paraId="05954D0C">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废水排放口</w:t>
                  </w:r>
                </w:p>
              </w:tc>
              <w:tc>
                <w:tcPr>
                  <w:tcW w:w="2673" w:type="dxa"/>
                  <w:vAlign w:val="center"/>
                </w:tcPr>
                <w:p w14:paraId="30C8A579">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废水向水体排放</w:t>
                  </w:r>
                </w:p>
              </w:tc>
            </w:tr>
            <w:tr w14:paraId="7B0703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746" w:type="dxa"/>
                  <w:vAlign w:val="center"/>
                </w:tcPr>
                <w:p w14:paraId="3ACEA15A">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14:textFill>
                        <w14:solidFill>
                          <w14:schemeClr w14:val="tx1"/>
                        </w14:solidFill>
                      </w14:textFill>
                    </w:rPr>
                  </w:pPr>
                </w:p>
                <w:p w14:paraId="0D029EE9">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w:t>
                  </w:r>
                </w:p>
              </w:tc>
              <w:tc>
                <w:tcPr>
                  <w:tcW w:w="1520" w:type="dxa"/>
                  <w:vAlign w:val="center"/>
                </w:tcPr>
                <w:p w14:paraId="340C07D4">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drawing>
                      <wp:inline distT="0" distB="0" distL="0" distR="0">
                        <wp:extent cx="571500" cy="566420"/>
                        <wp:effectExtent l="0" t="0" r="0" b="508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32"/>
                                <a:stretch>
                                  <a:fillRect/>
                                </a:stretch>
                              </pic:blipFill>
                              <pic:spPr>
                                <a:xfrm>
                                  <a:off x="0" y="0"/>
                                  <a:ext cx="571500" cy="566420"/>
                                </a:xfrm>
                                <a:prstGeom prst="rect">
                                  <a:avLst/>
                                </a:prstGeom>
                              </pic:spPr>
                            </pic:pic>
                          </a:graphicData>
                        </a:graphic>
                      </wp:inline>
                    </w:drawing>
                  </w:r>
                </w:p>
              </w:tc>
              <w:tc>
                <w:tcPr>
                  <w:tcW w:w="1659" w:type="dxa"/>
                  <w:vAlign w:val="center"/>
                </w:tcPr>
                <w:p w14:paraId="41690EC1">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drawing>
                      <wp:inline distT="0" distB="0" distL="0" distR="0">
                        <wp:extent cx="621665" cy="543560"/>
                        <wp:effectExtent l="0" t="0" r="6985" b="889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33"/>
                                <a:stretch>
                                  <a:fillRect/>
                                </a:stretch>
                              </pic:blipFill>
                              <pic:spPr>
                                <a:xfrm>
                                  <a:off x="0" y="0"/>
                                  <a:ext cx="621791" cy="544067"/>
                                </a:xfrm>
                                <a:prstGeom prst="rect">
                                  <a:avLst/>
                                </a:prstGeom>
                              </pic:spPr>
                            </pic:pic>
                          </a:graphicData>
                        </a:graphic>
                      </wp:inline>
                    </w:drawing>
                  </w:r>
                </w:p>
              </w:tc>
              <w:tc>
                <w:tcPr>
                  <w:tcW w:w="1551" w:type="dxa"/>
                  <w:vAlign w:val="center"/>
                </w:tcPr>
                <w:p w14:paraId="00D4203F">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废气排放口</w:t>
                  </w:r>
                </w:p>
              </w:tc>
              <w:tc>
                <w:tcPr>
                  <w:tcW w:w="2673" w:type="dxa"/>
                  <w:vAlign w:val="center"/>
                </w:tcPr>
                <w:p w14:paraId="09825B4C">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废气向大气环境排放</w:t>
                  </w:r>
                </w:p>
              </w:tc>
            </w:tr>
            <w:tr w14:paraId="03A72A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746" w:type="dxa"/>
                  <w:vAlign w:val="center"/>
                </w:tcPr>
                <w:p w14:paraId="09F41723">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14:textFill>
                        <w14:solidFill>
                          <w14:schemeClr w14:val="tx1"/>
                        </w14:solidFill>
                      </w14:textFill>
                    </w:rPr>
                  </w:pPr>
                </w:p>
                <w:p w14:paraId="49C81752">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w:t>
                  </w:r>
                </w:p>
              </w:tc>
              <w:tc>
                <w:tcPr>
                  <w:tcW w:w="1520" w:type="dxa"/>
                  <w:vAlign w:val="center"/>
                </w:tcPr>
                <w:p w14:paraId="786807E4">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drawing>
                      <wp:inline distT="0" distB="0" distL="0" distR="0">
                        <wp:extent cx="572770" cy="551180"/>
                        <wp:effectExtent l="0" t="0" r="17780" b="127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34"/>
                                <a:stretch>
                                  <a:fillRect/>
                                </a:stretch>
                              </pic:blipFill>
                              <pic:spPr>
                                <a:xfrm>
                                  <a:off x="0" y="0"/>
                                  <a:ext cx="573023" cy="551688"/>
                                </a:xfrm>
                                <a:prstGeom prst="rect">
                                  <a:avLst/>
                                </a:prstGeom>
                              </pic:spPr>
                            </pic:pic>
                          </a:graphicData>
                        </a:graphic>
                      </wp:inline>
                    </w:drawing>
                  </w:r>
                </w:p>
              </w:tc>
              <w:tc>
                <w:tcPr>
                  <w:tcW w:w="1659" w:type="dxa"/>
                  <w:vAlign w:val="center"/>
                </w:tcPr>
                <w:p w14:paraId="26D35754">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drawing>
                      <wp:inline distT="0" distB="0" distL="0" distR="0">
                        <wp:extent cx="639445" cy="555625"/>
                        <wp:effectExtent l="0" t="0" r="8255" b="15875"/>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35"/>
                                <a:stretch>
                                  <a:fillRect/>
                                </a:stretch>
                              </pic:blipFill>
                              <pic:spPr>
                                <a:xfrm>
                                  <a:off x="0" y="0"/>
                                  <a:ext cx="640079" cy="556259"/>
                                </a:xfrm>
                                <a:prstGeom prst="rect">
                                  <a:avLst/>
                                </a:prstGeom>
                              </pic:spPr>
                            </pic:pic>
                          </a:graphicData>
                        </a:graphic>
                      </wp:inline>
                    </w:drawing>
                  </w:r>
                </w:p>
              </w:tc>
              <w:tc>
                <w:tcPr>
                  <w:tcW w:w="1551" w:type="dxa"/>
                  <w:vAlign w:val="center"/>
                </w:tcPr>
                <w:p w14:paraId="189B0BE7">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一般固体废物</w:t>
                  </w:r>
                </w:p>
              </w:tc>
              <w:tc>
                <w:tcPr>
                  <w:tcW w:w="2673" w:type="dxa"/>
                  <w:vAlign w:val="center"/>
                </w:tcPr>
                <w:p w14:paraId="1308B23F">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一般固体废物贮存、处置场</w:t>
                  </w:r>
                </w:p>
              </w:tc>
            </w:tr>
            <w:tr w14:paraId="14B978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746" w:type="dxa"/>
                  <w:vAlign w:val="center"/>
                </w:tcPr>
                <w:p w14:paraId="5DFD975F">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14:textFill>
                        <w14:solidFill>
                          <w14:schemeClr w14:val="tx1"/>
                        </w14:solidFill>
                      </w14:textFill>
                    </w:rPr>
                  </w:pPr>
                </w:p>
                <w:p w14:paraId="4694F6DC">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4</w:t>
                  </w:r>
                </w:p>
              </w:tc>
              <w:tc>
                <w:tcPr>
                  <w:tcW w:w="1520" w:type="dxa"/>
                  <w:vAlign w:val="center"/>
                </w:tcPr>
                <w:p w14:paraId="51F659E0">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drawing>
                      <wp:inline distT="0" distB="0" distL="0" distR="0">
                        <wp:extent cx="565150" cy="565150"/>
                        <wp:effectExtent l="0" t="0" r="6350" b="635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36"/>
                                <a:stretch>
                                  <a:fillRect/>
                                </a:stretch>
                              </pic:blipFill>
                              <pic:spPr>
                                <a:xfrm>
                                  <a:off x="0" y="0"/>
                                  <a:ext cx="565404" cy="565658"/>
                                </a:xfrm>
                                <a:prstGeom prst="rect">
                                  <a:avLst/>
                                </a:prstGeom>
                              </pic:spPr>
                            </pic:pic>
                          </a:graphicData>
                        </a:graphic>
                      </wp:inline>
                    </w:drawing>
                  </w:r>
                </w:p>
              </w:tc>
              <w:tc>
                <w:tcPr>
                  <w:tcW w:w="1659" w:type="dxa"/>
                  <w:vAlign w:val="center"/>
                </w:tcPr>
                <w:p w14:paraId="1EF86C3A">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drawing>
                      <wp:inline distT="0" distB="0" distL="0" distR="0">
                        <wp:extent cx="650240" cy="565150"/>
                        <wp:effectExtent l="0" t="0" r="16510" b="635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37"/>
                                <a:stretch>
                                  <a:fillRect/>
                                </a:stretch>
                              </pic:blipFill>
                              <pic:spPr>
                                <a:xfrm>
                                  <a:off x="0" y="0"/>
                                  <a:ext cx="650747" cy="565403"/>
                                </a:xfrm>
                                <a:prstGeom prst="rect">
                                  <a:avLst/>
                                </a:prstGeom>
                              </pic:spPr>
                            </pic:pic>
                          </a:graphicData>
                        </a:graphic>
                      </wp:inline>
                    </w:drawing>
                  </w:r>
                </w:p>
              </w:tc>
              <w:tc>
                <w:tcPr>
                  <w:tcW w:w="1551" w:type="dxa"/>
                  <w:vAlign w:val="center"/>
                </w:tcPr>
                <w:p w14:paraId="7BCB8D43">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噪声排放源</w:t>
                  </w:r>
                </w:p>
              </w:tc>
              <w:tc>
                <w:tcPr>
                  <w:tcW w:w="2673" w:type="dxa"/>
                  <w:vAlign w:val="center"/>
                </w:tcPr>
                <w:p w14:paraId="6DEE6910">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噪声向外环境排放</w:t>
                  </w:r>
                </w:p>
              </w:tc>
            </w:tr>
            <w:tr w14:paraId="56B514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9" w:hRule="atLeast"/>
              </w:trPr>
              <w:tc>
                <w:tcPr>
                  <w:tcW w:w="746" w:type="dxa"/>
                  <w:vAlign w:val="center"/>
                </w:tcPr>
                <w:p w14:paraId="1BE6462F">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14:textFill>
                        <w14:solidFill>
                          <w14:schemeClr w14:val="tx1"/>
                        </w14:solidFill>
                      </w14:textFill>
                    </w:rPr>
                  </w:pPr>
                </w:p>
                <w:p w14:paraId="6DAB18C2">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5</w:t>
                  </w:r>
                </w:p>
              </w:tc>
              <w:tc>
                <w:tcPr>
                  <w:tcW w:w="1520" w:type="dxa"/>
                  <w:vAlign w:val="center"/>
                </w:tcPr>
                <w:p w14:paraId="7A3E91D7">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1659" w:type="dxa"/>
                  <w:vAlign w:val="center"/>
                </w:tcPr>
                <w:p w14:paraId="74DA987B">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drawing>
                      <wp:inline distT="0" distB="0" distL="0" distR="0">
                        <wp:extent cx="718820" cy="614045"/>
                        <wp:effectExtent l="0" t="0" r="5080" b="14605"/>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38"/>
                                <a:stretch>
                                  <a:fillRect/>
                                </a:stretch>
                              </pic:blipFill>
                              <pic:spPr>
                                <a:xfrm>
                                  <a:off x="0" y="0"/>
                                  <a:ext cx="719328" cy="614172"/>
                                </a:xfrm>
                                <a:prstGeom prst="rect">
                                  <a:avLst/>
                                </a:prstGeom>
                              </pic:spPr>
                            </pic:pic>
                          </a:graphicData>
                        </a:graphic>
                      </wp:inline>
                    </w:drawing>
                  </w:r>
                </w:p>
              </w:tc>
              <w:tc>
                <w:tcPr>
                  <w:tcW w:w="1551" w:type="dxa"/>
                  <w:vAlign w:val="center"/>
                </w:tcPr>
                <w:p w14:paraId="1D379FA2">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危险废物</w:t>
                  </w:r>
                </w:p>
              </w:tc>
              <w:tc>
                <w:tcPr>
                  <w:tcW w:w="2673" w:type="dxa"/>
                  <w:vAlign w:val="center"/>
                </w:tcPr>
                <w:p w14:paraId="30ADC566">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危险废物贮存、处置场</w:t>
                  </w:r>
                </w:p>
              </w:tc>
            </w:tr>
          </w:tbl>
          <w:p w14:paraId="29E012A5">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pacing w:val="-1"/>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建设单位应将有关排污口的情况如：排污口的性质、编号、排污口的位置； 主要排放的污染物种类、数量、浓度、排放规律、排放去向；污染治理设施的运行情况等进行建档管理。</w:t>
            </w:r>
          </w:p>
          <w:p w14:paraId="471B8CFA">
            <w:pPr>
              <w:pStyle w:val="60"/>
              <w:keepNext w:val="0"/>
              <w:keepLines w:val="0"/>
              <w:pageBreakBefore w:val="0"/>
              <w:widowControl/>
              <w:numPr>
                <w:ilvl w:val="0"/>
                <w:numId w:val="0"/>
              </w:numPr>
              <w:kinsoku/>
              <w:wordWrap/>
              <w:overflowPunct/>
              <w:topLinePunct w:val="0"/>
              <w:autoSpaceDE w:val="0"/>
              <w:autoSpaceDN w:val="0"/>
              <w:bidi w:val="0"/>
              <w:adjustRightInd/>
              <w:snapToGrid/>
              <w:spacing w:before="0" w:line="360" w:lineRule="auto"/>
              <w:textAlignment w:val="baseline"/>
              <w:rPr>
                <w:rFonts w:hint="default" w:ascii="Times New Roman" w:hAnsi="Times New Roman" w:eastAsia="宋体" w:cs="Times New Roman"/>
                <w:b/>
                <w:bCs/>
                <w:color w:val="000000" w:themeColor="text1"/>
                <w:kern w:val="2"/>
                <w:sz w:val="24"/>
                <w:lang w:eastAsia="zh-CN"/>
                <w14:textFill>
                  <w14:solidFill>
                    <w14:schemeClr w14:val="tx1"/>
                  </w14:solidFill>
                </w14:textFill>
              </w:rPr>
            </w:pPr>
            <w:r>
              <w:rPr>
                <w:rFonts w:hint="default" w:ascii="Times New Roman" w:hAnsi="Times New Roman" w:eastAsia="宋体" w:cs="Times New Roman"/>
                <w:b/>
                <w:bCs/>
                <w:color w:val="000000" w:themeColor="text1"/>
                <w:kern w:val="2"/>
                <w:sz w:val="24"/>
                <w:lang w:val="en-US" w:eastAsia="zh-CN"/>
                <w14:textFill>
                  <w14:solidFill>
                    <w14:schemeClr w14:val="tx1"/>
                  </w14:solidFill>
                </w14:textFill>
              </w:rPr>
              <w:t>9、</w:t>
            </w:r>
            <w:r>
              <w:rPr>
                <w:rFonts w:hint="default" w:ascii="Times New Roman" w:hAnsi="Times New Roman" w:eastAsia="宋体" w:cs="Times New Roman"/>
                <w:b/>
                <w:bCs/>
                <w:color w:val="000000" w:themeColor="text1"/>
                <w:kern w:val="2"/>
                <w:sz w:val="24"/>
                <w:lang w:eastAsia="zh-CN"/>
                <w14:textFill>
                  <w14:solidFill>
                    <w14:schemeClr w14:val="tx1"/>
                  </w14:solidFill>
                </w14:textFill>
              </w:rPr>
              <w:t>建设项目环保投资概算</w:t>
            </w:r>
          </w:p>
          <w:p w14:paraId="18F65299">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本项目环保设施投资概算见下表。</w:t>
            </w:r>
          </w:p>
          <w:p w14:paraId="148EF275">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表4-</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17</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本项目环保设施投资概算</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2324"/>
              <w:gridCol w:w="3553"/>
              <w:gridCol w:w="1068"/>
            </w:tblGrid>
            <w:tr w14:paraId="45D63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385" w:type="dxa"/>
                  <w:tcBorders>
                    <w:top w:val="single" w:color="auto" w:sz="4" w:space="0"/>
                    <w:left w:val="single" w:color="auto" w:sz="4" w:space="0"/>
                    <w:bottom w:val="single" w:color="auto" w:sz="4" w:space="0"/>
                    <w:right w:val="single" w:color="auto" w:sz="4" w:space="0"/>
                  </w:tcBorders>
                  <w:vAlign w:val="center"/>
                </w:tcPr>
                <w:p w14:paraId="4AF82036">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b/>
                      <w:bCs/>
                      <w:color w:val="000000" w:themeColor="text1"/>
                      <w:kern w:val="24"/>
                      <w14:textFill>
                        <w14:solidFill>
                          <w14:schemeClr w14:val="tx1"/>
                        </w14:solidFill>
                      </w14:textFill>
                    </w:rPr>
                  </w:pPr>
                  <w:r>
                    <w:rPr>
                      <w:rFonts w:hint="default" w:ascii="Times New Roman" w:hAnsi="Times New Roman" w:eastAsia="宋体" w:cs="Times New Roman"/>
                      <w:b/>
                      <w:bCs/>
                      <w:color w:val="000000" w:themeColor="text1"/>
                      <w:kern w:val="24"/>
                      <w14:textFill>
                        <w14:solidFill>
                          <w14:schemeClr w14:val="tx1"/>
                        </w14:solidFill>
                      </w14:textFill>
                    </w:rPr>
                    <w:t>项目名称</w:t>
                  </w:r>
                </w:p>
              </w:tc>
              <w:tc>
                <w:tcPr>
                  <w:tcW w:w="2324" w:type="dxa"/>
                  <w:tcBorders>
                    <w:top w:val="single" w:color="auto" w:sz="4" w:space="0"/>
                    <w:left w:val="single" w:color="auto" w:sz="4" w:space="0"/>
                    <w:bottom w:val="single" w:color="auto" w:sz="4" w:space="0"/>
                    <w:right w:val="single" w:color="auto" w:sz="4" w:space="0"/>
                  </w:tcBorders>
                  <w:vAlign w:val="center"/>
                </w:tcPr>
                <w:p w14:paraId="2BF889D1">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b/>
                      <w:bCs/>
                      <w:color w:val="000000" w:themeColor="text1"/>
                      <w:kern w:val="24"/>
                      <w14:textFill>
                        <w14:solidFill>
                          <w14:schemeClr w14:val="tx1"/>
                        </w14:solidFill>
                      </w14:textFill>
                    </w:rPr>
                  </w:pPr>
                  <w:r>
                    <w:rPr>
                      <w:rFonts w:hint="default" w:ascii="Times New Roman" w:hAnsi="Times New Roman" w:eastAsia="宋体" w:cs="Times New Roman"/>
                      <w:b/>
                      <w:bCs/>
                      <w:color w:val="000000" w:themeColor="text1"/>
                      <w:kern w:val="24"/>
                      <w14:textFill>
                        <w14:solidFill>
                          <w14:schemeClr w14:val="tx1"/>
                        </w14:solidFill>
                      </w14:textFill>
                    </w:rPr>
                    <w:t>治理对象</w:t>
                  </w:r>
                </w:p>
              </w:tc>
              <w:tc>
                <w:tcPr>
                  <w:tcW w:w="3553" w:type="dxa"/>
                  <w:tcBorders>
                    <w:top w:val="single" w:color="auto" w:sz="4" w:space="0"/>
                    <w:left w:val="single" w:color="auto" w:sz="4" w:space="0"/>
                    <w:bottom w:val="single" w:color="auto" w:sz="4" w:space="0"/>
                    <w:right w:val="single" w:color="auto" w:sz="4" w:space="0"/>
                  </w:tcBorders>
                  <w:vAlign w:val="center"/>
                </w:tcPr>
                <w:p w14:paraId="78CBD45D">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b/>
                      <w:bCs/>
                      <w:color w:val="000000" w:themeColor="text1"/>
                      <w:kern w:val="24"/>
                      <w14:textFill>
                        <w14:solidFill>
                          <w14:schemeClr w14:val="tx1"/>
                        </w14:solidFill>
                      </w14:textFill>
                    </w:rPr>
                  </w:pPr>
                  <w:r>
                    <w:rPr>
                      <w:rFonts w:hint="default" w:ascii="Times New Roman" w:hAnsi="Times New Roman" w:eastAsia="宋体" w:cs="Times New Roman"/>
                      <w:b/>
                      <w:bCs/>
                      <w:color w:val="000000" w:themeColor="text1"/>
                      <w:kern w:val="24"/>
                      <w14:textFill>
                        <w14:solidFill>
                          <w14:schemeClr w14:val="tx1"/>
                        </w14:solidFill>
                      </w14:textFill>
                    </w:rPr>
                    <w:t>建设内容</w:t>
                  </w:r>
                </w:p>
              </w:tc>
              <w:tc>
                <w:tcPr>
                  <w:tcW w:w="1068" w:type="dxa"/>
                  <w:tcBorders>
                    <w:top w:val="single" w:color="auto" w:sz="4" w:space="0"/>
                    <w:left w:val="single" w:color="auto" w:sz="4" w:space="0"/>
                    <w:bottom w:val="single" w:color="auto" w:sz="4" w:space="0"/>
                    <w:right w:val="single" w:color="auto" w:sz="4" w:space="0"/>
                  </w:tcBorders>
                  <w:vAlign w:val="center"/>
                </w:tcPr>
                <w:p w14:paraId="3E9EF1E4">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b/>
                      <w:bCs/>
                      <w:color w:val="000000" w:themeColor="text1"/>
                      <w:kern w:val="24"/>
                      <w14:textFill>
                        <w14:solidFill>
                          <w14:schemeClr w14:val="tx1"/>
                        </w14:solidFill>
                      </w14:textFill>
                    </w:rPr>
                  </w:pPr>
                  <w:r>
                    <w:rPr>
                      <w:rFonts w:hint="default" w:ascii="Times New Roman" w:hAnsi="Times New Roman" w:eastAsia="宋体" w:cs="Times New Roman"/>
                      <w:b/>
                      <w:bCs/>
                      <w:color w:val="000000" w:themeColor="text1"/>
                      <w:kern w:val="24"/>
                      <w14:textFill>
                        <w14:solidFill>
                          <w14:schemeClr w14:val="tx1"/>
                        </w14:solidFill>
                      </w14:textFill>
                    </w:rPr>
                    <w:t>投资</w:t>
                  </w:r>
                </w:p>
                <w:p w14:paraId="72B28646">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b/>
                      <w:bCs/>
                      <w:color w:val="000000" w:themeColor="text1"/>
                      <w:kern w:val="24"/>
                      <w14:textFill>
                        <w14:solidFill>
                          <w14:schemeClr w14:val="tx1"/>
                        </w14:solidFill>
                      </w14:textFill>
                    </w:rPr>
                  </w:pPr>
                  <w:r>
                    <w:rPr>
                      <w:rFonts w:hint="default" w:ascii="Times New Roman" w:hAnsi="Times New Roman" w:eastAsia="宋体" w:cs="Times New Roman"/>
                      <w:b/>
                      <w:bCs/>
                      <w:color w:val="000000" w:themeColor="text1"/>
                      <w:kern w:val="24"/>
                      <w14:textFill>
                        <w14:solidFill>
                          <w14:schemeClr w14:val="tx1"/>
                        </w14:solidFill>
                      </w14:textFill>
                    </w:rPr>
                    <w:t>（万元）</w:t>
                  </w:r>
                </w:p>
              </w:tc>
            </w:tr>
            <w:tr w14:paraId="6064C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385" w:type="dxa"/>
                  <w:tcBorders>
                    <w:top w:val="single" w:color="auto" w:sz="4" w:space="0"/>
                    <w:left w:val="single" w:color="auto" w:sz="4" w:space="0"/>
                    <w:bottom w:val="single" w:color="auto" w:sz="4" w:space="0"/>
                    <w:right w:val="single" w:color="auto" w:sz="4" w:space="0"/>
                  </w:tcBorders>
                  <w:vAlign w:val="center"/>
                </w:tcPr>
                <w:p w14:paraId="455A4BE8">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kern w:val="24"/>
                      <w14:textFill>
                        <w14:solidFill>
                          <w14:schemeClr w14:val="tx1"/>
                        </w14:solidFill>
                      </w14:textFill>
                    </w:rPr>
                  </w:pPr>
                  <w:r>
                    <w:rPr>
                      <w:rFonts w:hint="default" w:ascii="Times New Roman" w:hAnsi="Times New Roman" w:eastAsia="宋体" w:cs="Times New Roman"/>
                      <w:color w:val="000000" w:themeColor="text1"/>
                      <w:kern w:val="24"/>
                      <w14:textFill>
                        <w14:solidFill>
                          <w14:schemeClr w14:val="tx1"/>
                        </w14:solidFill>
                      </w14:textFill>
                    </w:rPr>
                    <w:t>废水治理</w:t>
                  </w:r>
                </w:p>
              </w:tc>
              <w:tc>
                <w:tcPr>
                  <w:tcW w:w="2324" w:type="dxa"/>
                  <w:tcBorders>
                    <w:top w:val="single" w:color="auto" w:sz="4" w:space="0"/>
                    <w:left w:val="single" w:color="auto" w:sz="4" w:space="0"/>
                    <w:bottom w:val="single" w:color="auto" w:sz="4" w:space="0"/>
                    <w:right w:val="single" w:color="auto" w:sz="4" w:space="0"/>
                  </w:tcBorders>
                  <w:vAlign w:val="center"/>
                </w:tcPr>
                <w:p w14:paraId="341ECCDD">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kern w:val="24"/>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生活污水</w:t>
                  </w:r>
                </w:p>
              </w:tc>
              <w:tc>
                <w:tcPr>
                  <w:tcW w:w="3553" w:type="dxa"/>
                  <w:tcBorders>
                    <w:top w:val="single" w:color="auto" w:sz="4" w:space="0"/>
                    <w:left w:val="single" w:color="auto" w:sz="4" w:space="0"/>
                    <w:bottom w:val="single" w:color="auto" w:sz="4" w:space="0"/>
                    <w:right w:val="single" w:color="auto" w:sz="4" w:space="0"/>
                  </w:tcBorders>
                  <w:vAlign w:val="center"/>
                </w:tcPr>
                <w:p w14:paraId="1CA5FC00">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隔油池+化粪池（依托原有）</w:t>
                  </w:r>
                </w:p>
              </w:tc>
              <w:tc>
                <w:tcPr>
                  <w:tcW w:w="1068" w:type="dxa"/>
                  <w:tcBorders>
                    <w:top w:val="single" w:color="auto" w:sz="4" w:space="0"/>
                    <w:left w:val="single" w:color="auto" w:sz="4" w:space="0"/>
                    <w:bottom w:val="single" w:color="auto" w:sz="4" w:space="0"/>
                    <w:right w:val="single" w:color="auto" w:sz="4" w:space="0"/>
                  </w:tcBorders>
                  <w:vAlign w:val="center"/>
                </w:tcPr>
                <w:p w14:paraId="26C14AF1">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w:t>
                  </w:r>
                </w:p>
              </w:tc>
            </w:tr>
            <w:tr w14:paraId="3A0E3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385" w:type="dxa"/>
                  <w:tcBorders>
                    <w:top w:val="single" w:color="auto" w:sz="4" w:space="0"/>
                    <w:left w:val="single" w:color="auto" w:sz="4" w:space="0"/>
                    <w:right w:val="single" w:color="auto" w:sz="4" w:space="0"/>
                  </w:tcBorders>
                  <w:vAlign w:val="center"/>
                </w:tcPr>
                <w:p w14:paraId="1587BEF0">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kern w:val="24"/>
                      <w14:textFill>
                        <w14:solidFill>
                          <w14:schemeClr w14:val="tx1"/>
                        </w14:solidFill>
                      </w14:textFill>
                    </w:rPr>
                  </w:pPr>
                  <w:r>
                    <w:rPr>
                      <w:rFonts w:hint="default" w:ascii="Times New Roman" w:hAnsi="Times New Roman" w:eastAsia="宋体" w:cs="Times New Roman"/>
                      <w:color w:val="000000" w:themeColor="text1"/>
                      <w:kern w:val="24"/>
                      <w14:textFill>
                        <w14:solidFill>
                          <w14:schemeClr w14:val="tx1"/>
                        </w14:solidFill>
                      </w14:textFill>
                    </w:rPr>
                    <w:t>废气治理</w:t>
                  </w:r>
                </w:p>
              </w:tc>
              <w:tc>
                <w:tcPr>
                  <w:tcW w:w="2324" w:type="dxa"/>
                  <w:tcBorders>
                    <w:top w:val="single" w:color="auto" w:sz="4" w:space="0"/>
                    <w:left w:val="single" w:color="auto" w:sz="4" w:space="0"/>
                    <w:bottom w:val="single" w:color="auto" w:sz="4" w:space="0"/>
                    <w:right w:val="single" w:color="auto" w:sz="4" w:space="0"/>
                  </w:tcBorders>
                  <w:shd w:val="clear" w:color="auto" w:fill="auto"/>
                  <w:vAlign w:val="center"/>
                </w:tcPr>
                <w:p w14:paraId="13B4B802">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3"/>
                      <w:lang w:val="en-US" w:eastAsia="zh-CN"/>
                      <w14:textFill>
                        <w14:solidFill>
                          <w14:schemeClr w14:val="tx1"/>
                        </w14:solidFill>
                      </w14:textFill>
                    </w:rPr>
                    <w:t>涂胶、烘干、复合废气</w:t>
                  </w:r>
                </w:p>
              </w:tc>
              <w:tc>
                <w:tcPr>
                  <w:tcW w:w="3553" w:type="dxa"/>
                  <w:tcBorders>
                    <w:top w:val="single" w:color="auto" w:sz="4" w:space="0"/>
                    <w:left w:val="single" w:color="auto" w:sz="4" w:space="0"/>
                    <w:right w:val="single" w:color="auto" w:sz="4" w:space="0"/>
                  </w:tcBorders>
                  <w:shd w:val="clear" w:color="auto" w:fill="auto"/>
                  <w:vAlign w:val="center"/>
                </w:tcPr>
                <w:p w14:paraId="647E0A3B">
                  <w:pPr>
                    <w:kinsoku/>
                    <w:jc w:val="center"/>
                    <w:rPr>
                      <w:rFonts w:hint="default" w:ascii="Times New Roman" w:hAnsi="Times New Roman" w:eastAsia="宋体" w:cs="Times New Roman"/>
                      <w:snapToGrid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3"/>
                      <w:lang w:val="en-US" w:eastAsia="zh-CN"/>
                      <w14:textFill>
                        <w14:solidFill>
                          <w14:schemeClr w14:val="tx1"/>
                        </w14:solidFill>
                      </w14:textFill>
                    </w:rPr>
                    <w:t>集气罩+二级活性炭吸附装置处理后通过15m高排气筒DA003排放</w:t>
                  </w:r>
                </w:p>
              </w:tc>
              <w:tc>
                <w:tcPr>
                  <w:tcW w:w="1068" w:type="dxa"/>
                  <w:tcBorders>
                    <w:top w:val="single" w:color="auto" w:sz="4" w:space="0"/>
                    <w:left w:val="single" w:color="auto" w:sz="4" w:space="0"/>
                    <w:right w:val="single" w:color="auto" w:sz="4" w:space="0"/>
                  </w:tcBorders>
                  <w:vAlign w:val="center"/>
                </w:tcPr>
                <w:p w14:paraId="56C4181A">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kern w:val="24"/>
                      <w:lang w:val="en-US" w:eastAsia="zh-CN"/>
                      <w14:textFill>
                        <w14:solidFill>
                          <w14:schemeClr w14:val="tx1"/>
                        </w14:solidFill>
                      </w14:textFill>
                    </w:rPr>
                  </w:pPr>
                  <w:r>
                    <w:rPr>
                      <w:rFonts w:hint="default" w:ascii="Times New Roman" w:hAnsi="Times New Roman" w:eastAsia="宋体" w:cs="Times New Roman"/>
                      <w:color w:val="000000" w:themeColor="text1"/>
                      <w:kern w:val="24"/>
                      <w:lang w:val="en-US" w:eastAsia="zh-CN"/>
                      <w14:textFill>
                        <w14:solidFill>
                          <w14:schemeClr w14:val="tx1"/>
                        </w14:solidFill>
                      </w14:textFill>
                    </w:rPr>
                    <w:t>10</w:t>
                  </w:r>
                </w:p>
              </w:tc>
            </w:tr>
            <w:tr w14:paraId="77B7D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385" w:type="dxa"/>
                  <w:tcBorders>
                    <w:top w:val="single" w:color="auto" w:sz="4" w:space="0"/>
                    <w:left w:val="single" w:color="auto" w:sz="4" w:space="0"/>
                    <w:bottom w:val="single" w:color="auto" w:sz="4" w:space="0"/>
                    <w:right w:val="single" w:color="auto" w:sz="4" w:space="0"/>
                  </w:tcBorders>
                  <w:vAlign w:val="center"/>
                </w:tcPr>
                <w:p w14:paraId="116F907F">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kern w:val="24"/>
                      <w14:textFill>
                        <w14:solidFill>
                          <w14:schemeClr w14:val="tx1"/>
                        </w14:solidFill>
                      </w14:textFill>
                    </w:rPr>
                  </w:pPr>
                  <w:r>
                    <w:rPr>
                      <w:rFonts w:hint="default" w:ascii="Times New Roman" w:hAnsi="Times New Roman" w:eastAsia="宋体" w:cs="Times New Roman"/>
                      <w:color w:val="000000" w:themeColor="text1"/>
                      <w:kern w:val="24"/>
                      <w14:textFill>
                        <w14:solidFill>
                          <w14:schemeClr w14:val="tx1"/>
                        </w14:solidFill>
                      </w14:textFill>
                    </w:rPr>
                    <w:t>噪声治理</w:t>
                  </w:r>
                </w:p>
              </w:tc>
              <w:tc>
                <w:tcPr>
                  <w:tcW w:w="2324" w:type="dxa"/>
                  <w:tcBorders>
                    <w:top w:val="single" w:color="auto" w:sz="4" w:space="0"/>
                    <w:left w:val="single" w:color="auto" w:sz="4" w:space="0"/>
                    <w:bottom w:val="single" w:color="auto" w:sz="4" w:space="0"/>
                    <w:right w:val="single" w:color="auto" w:sz="4" w:space="0"/>
                  </w:tcBorders>
                  <w:vAlign w:val="center"/>
                </w:tcPr>
                <w:p w14:paraId="00071E33">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设备运转噪声</w:t>
                  </w:r>
                </w:p>
              </w:tc>
              <w:tc>
                <w:tcPr>
                  <w:tcW w:w="3553" w:type="dxa"/>
                  <w:tcBorders>
                    <w:top w:val="single" w:color="auto" w:sz="4" w:space="0"/>
                    <w:left w:val="single" w:color="auto" w:sz="4" w:space="0"/>
                    <w:bottom w:val="single" w:color="auto" w:sz="4" w:space="0"/>
                    <w:right w:val="single" w:color="auto" w:sz="4" w:space="0"/>
                  </w:tcBorders>
                  <w:vAlign w:val="center"/>
                </w:tcPr>
                <w:p w14:paraId="2C1E37A3">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合理布局、减振、隔声</w:t>
                  </w:r>
                </w:p>
              </w:tc>
              <w:tc>
                <w:tcPr>
                  <w:tcW w:w="1068" w:type="dxa"/>
                  <w:tcBorders>
                    <w:top w:val="single" w:color="auto" w:sz="4" w:space="0"/>
                    <w:left w:val="single" w:color="auto" w:sz="4" w:space="0"/>
                    <w:bottom w:val="single" w:color="auto" w:sz="4" w:space="0"/>
                    <w:right w:val="single" w:color="auto" w:sz="4" w:space="0"/>
                  </w:tcBorders>
                  <w:vAlign w:val="center"/>
                </w:tcPr>
                <w:p w14:paraId="1E492908">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kern w:val="24"/>
                      <w:lang w:eastAsia="zh-CN"/>
                      <w14:textFill>
                        <w14:solidFill>
                          <w14:schemeClr w14:val="tx1"/>
                        </w14:solidFill>
                      </w14:textFill>
                    </w:rPr>
                  </w:pPr>
                  <w:r>
                    <w:rPr>
                      <w:rFonts w:hint="default" w:ascii="Times New Roman" w:hAnsi="Times New Roman" w:eastAsia="宋体" w:cs="Times New Roman"/>
                      <w:color w:val="000000" w:themeColor="text1"/>
                      <w:kern w:val="24"/>
                      <w:lang w:val="en-US" w:eastAsia="zh-CN"/>
                      <w14:textFill>
                        <w14:solidFill>
                          <w14:schemeClr w14:val="tx1"/>
                        </w14:solidFill>
                      </w14:textFill>
                    </w:rPr>
                    <w:t>5</w:t>
                  </w:r>
                </w:p>
              </w:tc>
            </w:tr>
            <w:tr w14:paraId="06D90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385" w:type="dxa"/>
                  <w:tcBorders>
                    <w:top w:val="single" w:color="auto" w:sz="4" w:space="0"/>
                    <w:left w:val="single" w:color="auto" w:sz="4" w:space="0"/>
                    <w:bottom w:val="single" w:color="auto" w:sz="4" w:space="0"/>
                    <w:right w:val="single" w:color="auto" w:sz="4" w:space="0"/>
                  </w:tcBorders>
                  <w:vAlign w:val="center"/>
                </w:tcPr>
                <w:p w14:paraId="63BCC0D8">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kern w:val="24"/>
                      <w14:textFill>
                        <w14:solidFill>
                          <w14:schemeClr w14:val="tx1"/>
                        </w14:solidFill>
                      </w14:textFill>
                    </w:rPr>
                  </w:pPr>
                  <w:r>
                    <w:rPr>
                      <w:rFonts w:hint="default" w:ascii="Times New Roman" w:hAnsi="Times New Roman" w:eastAsia="宋体" w:cs="Times New Roman"/>
                      <w:color w:val="000000" w:themeColor="text1"/>
                      <w:kern w:val="24"/>
                      <w14:textFill>
                        <w14:solidFill>
                          <w14:schemeClr w14:val="tx1"/>
                        </w14:solidFill>
                      </w14:textFill>
                    </w:rPr>
                    <w:t>固废治理</w:t>
                  </w:r>
                </w:p>
              </w:tc>
              <w:tc>
                <w:tcPr>
                  <w:tcW w:w="2324" w:type="dxa"/>
                  <w:tcBorders>
                    <w:top w:val="single" w:color="auto" w:sz="4" w:space="0"/>
                    <w:left w:val="single" w:color="auto" w:sz="4" w:space="0"/>
                    <w:bottom w:val="single" w:color="auto" w:sz="4" w:space="0"/>
                    <w:right w:val="single" w:color="auto" w:sz="4" w:space="0"/>
                  </w:tcBorders>
                  <w:vAlign w:val="center"/>
                </w:tcPr>
                <w:p w14:paraId="5B3F1A53">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生活垃圾、危险废物、一般固体废物</w:t>
                  </w:r>
                </w:p>
              </w:tc>
              <w:tc>
                <w:tcPr>
                  <w:tcW w:w="3553" w:type="dxa"/>
                  <w:tcBorders>
                    <w:top w:val="single" w:color="auto" w:sz="4" w:space="0"/>
                    <w:left w:val="single" w:color="auto" w:sz="4" w:space="0"/>
                    <w:bottom w:val="single" w:color="auto" w:sz="4" w:space="0"/>
                    <w:right w:val="single" w:color="auto" w:sz="4" w:space="0"/>
                  </w:tcBorders>
                  <w:vAlign w:val="center"/>
                </w:tcPr>
                <w:p w14:paraId="1EE1C5A9">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设置垃圾桶，一般固废暂存间，危险废物暂存间</w:t>
                  </w:r>
                </w:p>
              </w:tc>
              <w:tc>
                <w:tcPr>
                  <w:tcW w:w="1068" w:type="dxa"/>
                  <w:tcBorders>
                    <w:top w:val="single" w:color="auto" w:sz="4" w:space="0"/>
                    <w:left w:val="single" w:color="auto" w:sz="4" w:space="0"/>
                    <w:bottom w:val="single" w:color="auto" w:sz="4" w:space="0"/>
                    <w:right w:val="single" w:color="auto" w:sz="4" w:space="0"/>
                  </w:tcBorders>
                  <w:vAlign w:val="center"/>
                </w:tcPr>
                <w:p w14:paraId="5668A043">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kern w:val="24"/>
                      <w:lang w:val="en-US" w:eastAsia="zh-CN"/>
                      <w14:textFill>
                        <w14:solidFill>
                          <w14:schemeClr w14:val="tx1"/>
                        </w14:solidFill>
                      </w14:textFill>
                    </w:rPr>
                  </w:pPr>
                  <w:r>
                    <w:rPr>
                      <w:rFonts w:hint="default" w:ascii="Times New Roman" w:hAnsi="Times New Roman" w:eastAsia="宋体" w:cs="Times New Roman"/>
                      <w:color w:val="000000" w:themeColor="text1"/>
                      <w:kern w:val="24"/>
                      <w:lang w:val="en-US" w:eastAsia="zh-CN"/>
                      <w14:textFill>
                        <w14:solidFill>
                          <w14:schemeClr w14:val="tx1"/>
                        </w14:solidFill>
                      </w14:textFill>
                    </w:rPr>
                    <w:t>2</w:t>
                  </w:r>
                </w:p>
              </w:tc>
            </w:tr>
            <w:tr w14:paraId="0B5E1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385" w:type="dxa"/>
                  <w:tcBorders>
                    <w:top w:val="single" w:color="auto" w:sz="4" w:space="0"/>
                    <w:left w:val="single" w:color="auto" w:sz="4" w:space="0"/>
                    <w:bottom w:val="single" w:color="auto" w:sz="4" w:space="0"/>
                    <w:right w:val="single" w:color="auto" w:sz="4" w:space="0"/>
                  </w:tcBorders>
                  <w:vAlign w:val="center"/>
                </w:tcPr>
                <w:p w14:paraId="4F42C1B8">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kern w:val="24"/>
                      <w14:textFill>
                        <w14:solidFill>
                          <w14:schemeClr w14:val="tx1"/>
                        </w14:solidFill>
                      </w14:textFill>
                    </w:rPr>
                  </w:pPr>
                  <w:r>
                    <w:rPr>
                      <w:rFonts w:hint="default" w:ascii="Times New Roman" w:hAnsi="Times New Roman" w:eastAsia="宋体" w:cs="Times New Roman"/>
                      <w:color w:val="000000" w:themeColor="text1"/>
                      <w:kern w:val="24"/>
                      <w14:textFill>
                        <w14:solidFill>
                          <w14:schemeClr w14:val="tx1"/>
                        </w14:solidFill>
                      </w14:textFill>
                    </w:rPr>
                    <w:t>地下水及土壤</w:t>
                  </w:r>
                </w:p>
              </w:tc>
              <w:tc>
                <w:tcPr>
                  <w:tcW w:w="2324" w:type="dxa"/>
                  <w:tcBorders>
                    <w:top w:val="single" w:color="auto" w:sz="4" w:space="0"/>
                    <w:left w:val="single" w:color="auto" w:sz="4" w:space="0"/>
                    <w:bottom w:val="single" w:color="auto" w:sz="4" w:space="0"/>
                    <w:right w:val="single" w:color="auto" w:sz="4" w:space="0"/>
                  </w:tcBorders>
                  <w:vAlign w:val="center"/>
                </w:tcPr>
                <w:p w14:paraId="4F0E81AA">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地下水及土壤</w:t>
                  </w:r>
                </w:p>
              </w:tc>
              <w:tc>
                <w:tcPr>
                  <w:tcW w:w="3553" w:type="dxa"/>
                  <w:tcBorders>
                    <w:top w:val="single" w:color="auto" w:sz="4" w:space="0"/>
                    <w:left w:val="single" w:color="auto" w:sz="4" w:space="0"/>
                    <w:bottom w:val="single" w:color="auto" w:sz="4" w:space="0"/>
                    <w:right w:val="single" w:color="auto" w:sz="4" w:space="0"/>
                  </w:tcBorders>
                  <w:vAlign w:val="center"/>
                </w:tcPr>
                <w:p w14:paraId="7A913E15">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厂区分区防渗：危险废物暂存间等重点防渗</w:t>
                  </w:r>
                </w:p>
              </w:tc>
              <w:tc>
                <w:tcPr>
                  <w:tcW w:w="1068" w:type="dxa"/>
                  <w:tcBorders>
                    <w:top w:val="single" w:color="auto" w:sz="4" w:space="0"/>
                    <w:left w:val="single" w:color="auto" w:sz="4" w:space="0"/>
                    <w:bottom w:val="single" w:color="auto" w:sz="4" w:space="0"/>
                    <w:right w:val="single" w:color="auto" w:sz="4" w:space="0"/>
                  </w:tcBorders>
                  <w:vAlign w:val="center"/>
                </w:tcPr>
                <w:p w14:paraId="310797FA">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kern w:val="24"/>
                      <w:lang w:val="en-US" w:eastAsia="zh-CN"/>
                      <w14:textFill>
                        <w14:solidFill>
                          <w14:schemeClr w14:val="tx1"/>
                        </w14:solidFill>
                      </w14:textFill>
                    </w:rPr>
                  </w:pPr>
                  <w:r>
                    <w:rPr>
                      <w:rFonts w:hint="default" w:ascii="Times New Roman" w:hAnsi="Times New Roman" w:eastAsia="宋体" w:cs="Times New Roman"/>
                      <w:color w:val="000000" w:themeColor="text1"/>
                      <w:kern w:val="24"/>
                      <w:lang w:val="en-US" w:eastAsia="zh-CN"/>
                      <w14:textFill>
                        <w14:solidFill>
                          <w14:schemeClr w14:val="tx1"/>
                        </w14:solidFill>
                      </w14:textFill>
                    </w:rPr>
                    <w:t>15</w:t>
                  </w:r>
                </w:p>
              </w:tc>
            </w:tr>
            <w:tr w14:paraId="5B2A7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385" w:type="dxa"/>
                  <w:tcBorders>
                    <w:top w:val="single" w:color="auto" w:sz="4" w:space="0"/>
                    <w:left w:val="single" w:color="auto" w:sz="4" w:space="0"/>
                    <w:bottom w:val="single" w:color="auto" w:sz="4" w:space="0"/>
                    <w:right w:val="single" w:color="auto" w:sz="4" w:space="0"/>
                  </w:tcBorders>
                  <w:vAlign w:val="center"/>
                </w:tcPr>
                <w:p w14:paraId="34C3DAD4">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kern w:val="24"/>
                      <w14:textFill>
                        <w14:solidFill>
                          <w14:schemeClr w14:val="tx1"/>
                        </w14:solidFill>
                      </w14:textFill>
                    </w:rPr>
                  </w:pPr>
                  <w:r>
                    <w:rPr>
                      <w:rFonts w:hint="default" w:ascii="Times New Roman" w:hAnsi="Times New Roman" w:eastAsia="宋体" w:cs="Times New Roman"/>
                      <w:color w:val="000000" w:themeColor="text1"/>
                      <w:kern w:val="24"/>
                      <w14:textFill>
                        <w14:solidFill>
                          <w14:schemeClr w14:val="tx1"/>
                        </w14:solidFill>
                      </w14:textFill>
                    </w:rPr>
                    <w:t>环境风险</w:t>
                  </w:r>
                </w:p>
              </w:tc>
              <w:tc>
                <w:tcPr>
                  <w:tcW w:w="2324" w:type="dxa"/>
                  <w:tcBorders>
                    <w:top w:val="single" w:color="auto" w:sz="4" w:space="0"/>
                    <w:left w:val="single" w:color="auto" w:sz="4" w:space="0"/>
                    <w:bottom w:val="single" w:color="auto" w:sz="4" w:space="0"/>
                    <w:right w:val="single" w:color="auto" w:sz="4" w:space="0"/>
                  </w:tcBorders>
                  <w:vAlign w:val="center"/>
                </w:tcPr>
                <w:p w14:paraId="58AECCCF">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环境风险</w:t>
                  </w:r>
                </w:p>
              </w:tc>
              <w:tc>
                <w:tcPr>
                  <w:tcW w:w="3553" w:type="dxa"/>
                  <w:tcBorders>
                    <w:top w:val="single" w:color="auto" w:sz="4" w:space="0"/>
                    <w:left w:val="single" w:color="auto" w:sz="4" w:space="0"/>
                    <w:bottom w:val="single" w:color="auto" w:sz="4" w:space="0"/>
                    <w:right w:val="single" w:color="auto" w:sz="4" w:space="0"/>
                  </w:tcBorders>
                  <w:vAlign w:val="center"/>
                </w:tcPr>
                <w:p w14:paraId="44F3FA37">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编制应急预案，并设置危废间等</w:t>
                  </w:r>
                </w:p>
              </w:tc>
              <w:tc>
                <w:tcPr>
                  <w:tcW w:w="1068" w:type="dxa"/>
                  <w:tcBorders>
                    <w:top w:val="single" w:color="auto" w:sz="4" w:space="0"/>
                    <w:left w:val="single" w:color="auto" w:sz="4" w:space="0"/>
                    <w:bottom w:val="single" w:color="auto" w:sz="4" w:space="0"/>
                    <w:right w:val="single" w:color="auto" w:sz="4" w:space="0"/>
                  </w:tcBorders>
                  <w:vAlign w:val="center"/>
                </w:tcPr>
                <w:p w14:paraId="5ED2E1BA">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kern w:val="24"/>
                      <w:lang w:val="en-US" w:eastAsia="zh-CN"/>
                      <w14:textFill>
                        <w14:solidFill>
                          <w14:schemeClr w14:val="tx1"/>
                        </w14:solidFill>
                      </w14:textFill>
                    </w:rPr>
                  </w:pPr>
                  <w:r>
                    <w:rPr>
                      <w:rFonts w:hint="default" w:ascii="Times New Roman" w:hAnsi="Times New Roman" w:eastAsia="宋体" w:cs="Times New Roman"/>
                      <w:color w:val="000000" w:themeColor="text1"/>
                      <w:kern w:val="24"/>
                      <w:lang w:val="en-US" w:eastAsia="zh-CN"/>
                      <w14:textFill>
                        <w14:solidFill>
                          <w14:schemeClr w14:val="tx1"/>
                        </w14:solidFill>
                      </w14:textFill>
                    </w:rPr>
                    <w:t>20</w:t>
                  </w:r>
                </w:p>
              </w:tc>
            </w:tr>
            <w:tr w14:paraId="6DFD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262" w:type="dxa"/>
                  <w:gridSpan w:val="3"/>
                  <w:tcBorders>
                    <w:top w:val="single" w:color="auto" w:sz="4" w:space="0"/>
                    <w:left w:val="single" w:color="auto" w:sz="4" w:space="0"/>
                    <w:bottom w:val="single" w:color="auto" w:sz="4" w:space="0"/>
                    <w:right w:val="single" w:color="auto" w:sz="4" w:space="0"/>
                  </w:tcBorders>
                  <w:vAlign w:val="center"/>
                </w:tcPr>
                <w:p w14:paraId="08078092">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24"/>
                      <w14:textFill>
                        <w14:solidFill>
                          <w14:schemeClr w14:val="tx1"/>
                        </w14:solidFill>
                      </w14:textFill>
                    </w:rPr>
                    <w:t>总计</w:t>
                  </w:r>
                </w:p>
              </w:tc>
              <w:tc>
                <w:tcPr>
                  <w:tcW w:w="1068" w:type="dxa"/>
                  <w:tcBorders>
                    <w:top w:val="single" w:color="auto" w:sz="4" w:space="0"/>
                    <w:left w:val="single" w:color="auto" w:sz="4" w:space="0"/>
                    <w:bottom w:val="single" w:color="auto" w:sz="4" w:space="0"/>
                    <w:right w:val="single" w:color="auto" w:sz="4" w:space="0"/>
                  </w:tcBorders>
                  <w:vAlign w:val="center"/>
                </w:tcPr>
                <w:p w14:paraId="22DC06CE">
                  <w:pPr>
                    <w:pageBreakBefore w:val="0"/>
                    <w:widowControl/>
                    <w:kinsoku/>
                    <w:overflowPunct/>
                    <w:topLinePunct w:val="0"/>
                    <w:autoSpaceDE w:val="0"/>
                    <w:autoSpaceDN w:val="0"/>
                    <w:bidi w:val="0"/>
                    <w:jc w:val="center"/>
                    <w:textAlignment w:val="baseline"/>
                    <w:rPr>
                      <w:rFonts w:hint="default" w:ascii="Times New Roman" w:hAnsi="Times New Roman" w:eastAsia="宋体" w:cs="Times New Roman"/>
                      <w:color w:val="000000" w:themeColor="text1"/>
                      <w:kern w:val="24"/>
                      <w:lang w:val="en-US" w:eastAsia="zh-CN"/>
                      <w14:textFill>
                        <w14:solidFill>
                          <w14:schemeClr w14:val="tx1"/>
                        </w14:solidFill>
                      </w14:textFill>
                    </w:rPr>
                  </w:pPr>
                  <w:r>
                    <w:rPr>
                      <w:rFonts w:hint="default" w:ascii="Times New Roman" w:hAnsi="Times New Roman" w:eastAsia="宋体" w:cs="Times New Roman"/>
                      <w:color w:val="000000" w:themeColor="text1"/>
                      <w:kern w:val="24"/>
                      <w:lang w:val="en-US" w:eastAsia="zh-CN"/>
                      <w14:textFill>
                        <w14:solidFill>
                          <w14:schemeClr w14:val="tx1"/>
                        </w14:solidFill>
                      </w14:textFill>
                    </w:rPr>
                    <w:t>57</w:t>
                  </w:r>
                </w:p>
              </w:tc>
            </w:tr>
          </w:tbl>
          <w:p w14:paraId="391E1B49">
            <w:pPr>
              <w:pStyle w:val="60"/>
              <w:pageBreakBefore w:val="0"/>
              <w:widowControl/>
              <w:kinsoku/>
              <w:overflowPunct/>
              <w:topLinePunct w:val="0"/>
              <w:autoSpaceDE w:val="0"/>
              <w:autoSpaceDN w:val="0"/>
              <w:bidi w:val="0"/>
              <w:spacing w:before="0" w:line="360" w:lineRule="auto"/>
              <w:textAlignment w:val="baseline"/>
              <w:rPr>
                <w:rFonts w:hint="default" w:ascii="Times New Roman" w:hAnsi="Times New Roman" w:eastAsia="宋体" w:cs="Times New Roman"/>
                <w:color w:val="0000FF"/>
                <w:sz w:val="24"/>
                <w:szCs w:val="20"/>
                <w:lang w:eastAsia="zh-CN"/>
              </w:rPr>
            </w:pPr>
          </w:p>
        </w:tc>
      </w:tr>
    </w:tbl>
    <w:p w14:paraId="095CEA52">
      <w:pPr>
        <w:pStyle w:val="24"/>
        <w:spacing w:before="0" w:beforeAutospacing="0"/>
        <w:jc w:val="both"/>
        <w:outlineLvl w:val="9"/>
        <w:rPr>
          <w:rFonts w:hint="default" w:ascii="Times New Roman" w:hAnsi="Times New Roman" w:eastAsia="宋体" w:cs="Times New Roman"/>
          <w:color w:val="0000FF"/>
          <w:sz w:val="30"/>
          <w:szCs w:val="30"/>
          <w:lang w:eastAsia="zh-CN"/>
        </w:rPr>
      </w:pPr>
    </w:p>
    <w:p w14:paraId="5356E31C">
      <w:pPr>
        <w:pStyle w:val="24"/>
        <w:spacing w:before="0" w:beforeAutospacing="0"/>
        <w:jc w:val="center"/>
        <w:outlineLvl w:val="0"/>
        <w:rPr>
          <w:rFonts w:hint="default" w:ascii="Times New Roman" w:hAnsi="Times New Roman" w:eastAsia="宋体" w:cs="Times New Roman"/>
          <w:color w:val="000000" w:themeColor="text1"/>
          <w:sz w:val="30"/>
          <w:szCs w:val="30"/>
          <w:lang w:eastAsia="zh-CN"/>
          <w14:textFill>
            <w14:solidFill>
              <w14:schemeClr w14:val="tx1"/>
            </w14:solidFill>
          </w14:textFill>
        </w:rPr>
      </w:pPr>
      <w:r>
        <w:rPr>
          <w:rFonts w:hint="default" w:ascii="Times New Roman" w:hAnsi="Times New Roman" w:eastAsia="宋体" w:cs="Times New Roman"/>
          <w:color w:val="000000" w:themeColor="text1"/>
          <w:sz w:val="30"/>
          <w:szCs w:val="30"/>
          <w:lang w:eastAsia="zh-CN"/>
          <w14:textFill>
            <w14:solidFill>
              <w14:schemeClr w14:val="tx1"/>
            </w14:solidFill>
          </w14:textFill>
        </w:rPr>
        <w:t>五、</w:t>
      </w:r>
      <w:bookmarkStart w:id="3" w:name="_Hlk54167917"/>
      <w:r>
        <w:rPr>
          <w:rFonts w:hint="default" w:ascii="Times New Roman" w:hAnsi="Times New Roman" w:eastAsia="宋体" w:cs="Times New Roman"/>
          <w:color w:val="000000" w:themeColor="text1"/>
          <w:sz w:val="30"/>
          <w:szCs w:val="30"/>
          <w:lang w:eastAsia="zh-CN"/>
          <w14:textFill>
            <w14:solidFill>
              <w14:schemeClr w14:val="tx1"/>
            </w14:solidFill>
          </w14:textFill>
        </w:rPr>
        <w:t>环境保护措施监督检查清单</w:t>
      </w:r>
      <w:bookmarkEnd w:id="3"/>
    </w:p>
    <w:tbl>
      <w:tblPr>
        <w:tblStyle w:val="26"/>
        <w:tblW w:w="94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1758"/>
        <w:gridCol w:w="1517"/>
        <w:gridCol w:w="2090"/>
        <w:gridCol w:w="3348"/>
      </w:tblGrid>
      <w:tr w14:paraId="24331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56" w:type="dxa"/>
            <w:vAlign w:val="center"/>
          </w:tcPr>
          <w:p w14:paraId="47538D47">
            <w:pPr>
              <w:pStyle w:val="9"/>
              <w:keepNext w:val="0"/>
              <w:keepLines w:val="0"/>
              <w:pageBreakBefore w:val="0"/>
              <w:widowControl/>
              <w:kinsoku/>
              <w:wordWrap/>
              <w:overflowPunct/>
              <w:topLinePunct w:val="0"/>
              <w:autoSpaceDE w:val="0"/>
              <w:autoSpaceDN w:val="0"/>
              <w:bidi w:val="0"/>
              <w:adjustRightInd/>
              <w:snapToGrid/>
              <w:spacing w:before="0" w:after="0" w:line="240" w:lineRule="auto"/>
              <w:ind w:right="0" w:firstLine="0" w:firstLineChars="0"/>
              <w:jc w:val="center"/>
              <w:textAlignment w:val="baseline"/>
              <w:rPr>
                <w:rFonts w:hint="default" w:ascii="Times New Roman" w:hAnsi="Times New Roman" w:eastAsia="宋体" w:cs="Times New Roman"/>
                <w:b/>
                <w:bCs w:val="0"/>
                <w:color w:val="000000" w:themeColor="text1"/>
                <w:sz w:val="24"/>
                <w:szCs w:val="24"/>
                <w14:textFill>
                  <w14:solidFill>
                    <w14:schemeClr w14:val="tx1"/>
                  </w14:solidFill>
                </w14:textFill>
              </w:rPr>
            </w:pPr>
            <w:r>
              <w:rPr>
                <w:rFonts w:hint="default" w:ascii="Times New Roman" w:hAnsi="Times New Roman" w:eastAsia="宋体" w:cs="Times New Roman"/>
                <w:b/>
                <w:bCs w:val="0"/>
                <w:color w:val="000000" w:themeColor="text1"/>
                <w:sz w:val="24"/>
                <w:szCs w:val="24"/>
                <w14:textFill>
                  <w14:solidFill>
                    <w14:schemeClr w14:val="tx1"/>
                  </w14:solidFill>
                </w14:textFill>
              </w:rPr>
              <w:t>内容要素</w:t>
            </w:r>
          </w:p>
        </w:tc>
        <w:tc>
          <w:tcPr>
            <w:tcW w:w="1758" w:type="dxa"/>
            <w:vAlign w:val="center"/>
          </w:tcPr>
          <w:p w14:paraId="6B5FAA0B">
            <w:pPr>
              <w:pStyle w:val="9"/>
              <w:keepNext w:val="0"/>
              <w:keepLines w:val="0"/>
              <w:pageBreakBefore w:val="0"/>
              <w:widowControl/>
              <w:kinsoku/>
              <w:wordWrap/>
              <w:overflowPunct/>
              <w:topLinePunct w:val="0"/>
              <w:autoSpaceDE w:val="0"/>
              <w:autoSpaceDN w:val="0"/>
              <w:bidi w:val="0"/>
              <w:adjustRightInd/>
              <w:snapToGrid/>
              <w:spacing w:before="0" w:after="0" w:line="240" w:lineRule="auto"/>
              <w:ind w:right="0" w:firstLine="0" w:firstLineChars="0"/>
              <w:jc w:val="center"/>
              <w:textAlignment w:val="baseline"/>
              <w:rPr>
                <w:rFonts w:hint="default" w:ascii="Times New Roman" w:hAnsi="Times New Roman" w:eastAsia="宋体" w:cs="Times New Roman"/>
                <w:b/>
                <w:bCs w:val="0"/>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lang w:eastAsia="zh-CN"/>
                <w14:textFill>
                  <w14:solidFill>
                    <w14:schemeClr w14:val="tx1"/>
                  </w14:solidFill>
                </w14:textFill>
              </w:rPr>
              <w:t>排放口（编号、名称）/污染源</w:t>
            </w:r>
          </w:p>
        </w:tc>
        <w:tc>
          <w:tcPr>
            <w:tcW w:w="1517" w:type="dxa"/>
            <w:vAlign w:val="center"/>
          </w:tcPr>
          <w:p w14:paraId="500B4C40">
            <w:pPr>
              <w:pStyle w:val="9"/>
              <w:keepNext w:val="0"/>
              <w:keepLines w:val="0"/>
              <w:pageBreakBefore w:val="0"/>
              <w:widowControl/>
              <w:kinsoku/>
              <w:wordWrap/>
              <w:overflowPunct/>
              <w:topLinePunct w:val="0"/>
              <w:autoSpaceDE w:val="0"/>
              <w:autoSpaceDN w:val="0"/>
              <w:bidi w:val="0"/>
              <w:adjustRightInd/>
              <w:snapToGrid/>
              <w:spacing w:before="0" w:after="0" w:line="240" w:lineRule="auto"/>
              <w:ind w:right="0" w:firstLine="0" w:firstLineChars="0"/>
              <w:jc w:val="center"/>
              <w:textAlignment w:val="baseline"/>
              <w:rPr>
                <w:rFonts w:hint="default" w:ascii="Times New Roman" w:hAnsi="Times New Roman" w:eastAsia="宋体" w:cs="Times New Roman"/>
                <w:b/>
                <w:bCs w:val="0"/>
                <w:color w:val="000000" w:themeColor="text1"/>
                <w:sz w:val="24"/>
                <w:szCs w:val="24"/>
                <w14:textFill>
                  <w14:solidFill>
                    <w14:schemeClr w14:val="tx1"/>
                  </w14:solidFill>
                </w14:textFill>
              </w:rPr>
            </w:pPr>
            <w:r>
              <w:rPr>
                <w:rFonts w:hint="default" w:ascii="Times New Roman" w:hAnsi="Times New Roman" w:eastAsia="宋体" w:cs="Times New Roman"/>
                <w:b/>
                <w:bCs w:val="0"/>
                <w:color w:val="000000" w:themeColor="text1"/>
                <w:sz w:val="24"/>
                <w:szCs w:val="24"/>
                <w14:textFill>
                  <w14:solidFill>
                    <w14:schemeClr w14:val="tx1"/>
                  </w14:solidFill>
                </w14:textFill>
              </w:rPr>
              <w:t>污染物项目</w:t>
            </w:r>
          </w:p>
        </w:tc>
        <w:tc>
          <w:tcPr>
            <w:tcW w:w="2090" w:type="dxa"/>
            <w:vAlign w:val="center"/>
          </w:tcPr>
          <w:p w14:paraId="5C790E96">
            <w:pPr>
              <w:pStyle w:val="9"/>
              <w:keepNext w:val="0"/>
              <w:keepLines w:val="0"/>
              <w:pageBreakBefore w:val="0"/>
              <w:widowControl/>
              <w:kinsoku/>
              <w:wordWrap/>
              <w:overflowPunct/>
              <w:topLinePunct w:val="0"/>
              <w:autoSpaceDE w:val="0"/>
              <w:autoSpaceDN w:val="0"/>
              <w:bidi w:val="0"/>
              <w:adjustRightInd/>
              <w:snapToGrid/>
              <w:spacing w:before="0" w:after="0" w:line="240" w:lineRule="auto"/>
              <w:ind w:right="0" w:firstLine="0" w:firstLineChars="0"/>
              <w:jc w:val="center"/>
              <w:textAlignment w:val="baseline"/>
              <w:rPr>
                <w:rFonts w:hint="default" w:ascii="Times New Roman" w:hAnsi="Times New Roman" w:eastAsia="宋体" w:cs="Times New Roman"/>
                <w:b/>
                <w:bCs w:val="0"/>
                <w:color w:val="000000" w:themeColor="text1"/>
                <w:sz w:val="24"/>
                <w:szCs w:val="24"/>
                <w14:textFill>
                  <w14:solidFill>
                    <w14:schemeClr w14:val="tx1"/>
                  </w14:solidFill>
                </w14:textFill>
              </w:rPr>
            </w:pPr>
            <w:r>
              <w:rPr>
                <w:rFonts w:hint="default" w:ascii="Times New Roman" w:hAnsi="Times New Roman" w:eastAsia="宋体" w:cs="Times New Roman"/>
                <w:b/>
                <w:bCs w:val="0"/>
                <w:color w:val="000000" w:themeColor="text1"/>
                <w:sz w:val="24"/>
                <w:szCs w:val="24"/>
                <w14:textFill>
                  <w14:solidFill>
                    <w14:schemeClr w14:val="tx1"/>
                  </w14:solidFill>
                </w14:textFill>
              </w:rPr>
              <w:t>环境保护措施</w:t>
            </w:r>
          </w:p>
        </w:tc>
        <w:tc>
          <w:tcPr>
            <w:tcW w:w="3348" w:type="dxa"/>
            <w:vAlign w:val="center"/>
          </w:tcPr>
          <w:p w14:paraId="2B317A71">
            <w:pPr>
              <w:pStyle w:val="9"/>
              <w:keepNext w:val="0"/>
              <w:keepLines w:val="0"/>
              <w:pageBreakBefore w:val="0"/>
              <w:widowControl/>
              <w:kinsoku/>
              <w:wordWrap/>
              <w:overflowPunct/>
              <w:topLinePunct w:val="0"/>
              <w:autoSpaceDE w:val="0"/>
              <w:autoSpaceDN w:val="0"/>
              <w:bidi w:val="0"/>
              <w:adjustRightInd/>
              <w:snapToGrid/>
              <w:spacing w:before="0" w:after="0" w:line="240" w:lineRule="auto"/>
              <w:ind w:right="0" w:firstLine="0" w:firstLineChars="0"/>
              <w:jc w:val="center"/>
              <w:textAlignment w:val="baseline"/>
              <w:rPr>
                <w:rFonts w:hint="default" w:ascii="Times New Roman" w:hAnsi="Times New Roman" w:eastAsia="宋体" w:cs="Times New Roman"/>
                <w:b/>
                <w:bCs w:val="0"/>
                <w:color w:val="000000" w:themeColor="text1"/>
                <w:sz w:val="24"/>
                <w:szCs w:val="24"/>
                <w14:textFill>
                  <w14:solidFill>
                    <w14:schemeClr w14:val="tx1"/>
                  </w14:solidFill>
                </w14:textFill>
              </w:rPr>
            </w:pPr>
            <w:r>
              <w:rPr>
                <w:rFonts w:hint="default" w:ascii="Times New Roman" w:hAnsi="Times New Roman" w:eastAsia="宋体" w:cs="Times New Roman"/>
                <w:b/>
                <w:bCs w:val="0"/>
                <w:color w:val="000000" w:themeColor="text1"/>
                <w:sz w:val="24"/>
                <w:szCs w:val="24"/>
                <w14:textFill>
                  <w14:solidFill>
                    <w14:schemeClr w14:val="tx1"/>
                  </w14:solidFill>
                </w14:textFill>
              </w:rPr>
              <w:t>执行标准</w:t>
            </w:r>
          </w:p>
        </w:tc>
      </w:tr>
      <w:tr w14:paraId="02685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56" w:type="dxa"/>
            <w:vAlign w:val="center"/>
          </w:tcPr>
          <w:p w14:paraId="56AFB91B">
            <w:pPr>
              <w:keepNext w:val="0"/>
              <w:keepLines w:val="0"/>
              <w:pageBreakBefore w:val="0"/>
              <w:widowControl/>
              <w:kinsoku/>
              <w:wordWrap/>
              <w:overflowPunct/>
              <w:topLinePunct w:val="0"/>
              <w:autoSpaceDE w:val="0"/>
              <w:autoSpaceDN w:val="0"/>
              <w:bidi w:val="0"/>
              <w:adjustRightInd/>
              <w:snapToGrid/>
              <w:spacing w:line="240" w:lineRule="auto"/>
              <w:ind w:right="0" w:firstLine="0" w:firstLineChars="0"/>
              <w:jc w:val="center"/>
              <w:textAlignment w:val="baseline"/>
              <w:outlineLvl w:val="0"/>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大气污染</w:t>
            </w:r>
          </w:p>
          <w:p w14:paraId="2E5D12DB">
            <w:pPr>
              <w:keepNext w:val="0"/>
              <w:keepLines w:val="0"/>
              <w:pageBreakBefore w:val="0"/>
              <w:widowControl/>
              <w:kinsoku/>
              <w:wordWrap/>
              <w:overflowPunct/>
              <w:topLinePunct w:val="0"/>
              <w:autoSpaceDE w:val="0"/>
              <w:autoSpaceDN w:val="0"/>
              <w:bidi w:val="0"/>
              <w:adjustRightInd/>
              <w:snapToGrid/>
              <w:spacing w:line="240" w:lineRule="auto"/>
              <w:ind w:right="0" w:firstLine="0" w:firstLineChars="0"/>
              <w:jc w:val="center"/>
              <w:textAlignment w:val="baseline"/>
              <w:outlineLvl w:val="0"/>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物</w:t>
            </w:r>
          </w:p>
        </w:tc>
        <w:tc>
          <w:tcPr>
            <w:tcW w:w="1758" w:type="dxa"/>
            <w:tcBorders>
              <w:bottom w:val="single" w:color="000000" w:sz="2" w:space="0"/>
            </w:tcBorders>
            <w:shd w:val="clear" w:color="auto" w:fill="auto"/>
            <w:vAlign w:val="center"/>
          </w:tcPr>
          <w:p w14:paraId="43A9316D">
            <w:pPr>
              <w:keepNext w:val="0"/>
              <w:keepLines w:val="0"/>
              <w:pageBreakBefore w:val="0"/>
              <w:widowControl/>
              <w:kinsoku/>
              <w:wordWrap/>
              <w:overflowPunct/>
              <w:topLinePunct w:val="0"/>
              <w:autoSpaceDE w:val="0"/>
              <w:autoSpaceDN w:val="0"/>
              <w:bidi w:val="0"/>
              <w:adjustRightInd/>
              <w:snapToGrid/>
              <w:spacing w:line="240" w:lineRule="auto"/>
              <w:ind w:right="0" w:firstLine="0" w:firstLineChars="0"/>
              <w:jc w:val="center"/>
              <w:textAlignment w:val="baseline"/>
              <w:outlineLvl w:val="0"/>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涂胶、烘干、复合废气</w:t>
            </w:r>
          </w:p>
        </w:tc>
        <w:tc>
          <w:tcPr>
            <w:tcW w:w="1517" w:type="dxa"/>
            <w:tcBorders>
              <w:bottom w:val="single" w:color="000000" w:sz="2" w:space="0"/>
            </w:tcBorders>
            <w:shd w:val="clear" w:color="auto" w:fill="auto"/>
            <w:vAlign w:val="center"/>
          </w:tcPr>
          <w:p w14:paraId="4CDA0295">
            <w:pPr>
              <w:keepNext w:val="0"/>
              <w:keepLines w:val="0"/>
              <w:pageBreakBefore w:val="0"/>
              <w:widowControl/>
              <w:kinsoku/>
              <w:wordWrap/>
              <w:overflowPunct/>
              <w:topLinePunct w:val="0"/>
              <w:autoSpaceDE w:val="0"/>
              <w:autoSpaceDN w:val="0"/>
              <w:bidi w:val="0"/>
              <w:adjustRightInd/>
              <w:snapToGrid/>
              <w:spacing w:line="240" w:lineRule="auto"/>
              <w:ind w:right="0" w:firstLine="0" w:firstLineChars="0"/>
              <w:jc w:val="center"/>
              <w:textAlignment w:val="baseline"/>
              <w:outlineLvl w:val="0"/>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非甲烷总烃</w:t>
            </w:r>
          </w:p>
        </w:tc>
        <w:tc>
          <w:tcPr>
            <w:tcW w:w="2090" w:type="dxa"/>
            <w:tcBorders>
              <w:bottom w:val="single" w:color="000000" w:sz="2" w:space="0"/>
            </w:tcBorders>
            <w:shd w:val="clear" w:color="auto" w:fill="auto"/>
            <w:vAlign w:val="center"/>
          </w:tcPr>
          <w:p w14:paraId="62A1DBC1">
            <w:pPr>
              <w:keepNext w:val="0"/>
              <w:keepLines w:val="0"/>
              <w:pageBreakBefore w:val="0"/>
              <w:widowControl/>
              <w:kinsoku/>
              <w:wordWrap/>
              <w:overflowPunct/>
              <w:topLinePunct w:val="0"/>
              <w:autoSpaceDE w:val="0"/>
              <w:autoSpaceDN w:val="0"/>
              <w:bidi w:val="0"/>
              <w:adjustRightInd/>
              <w:snapToGrid/>
              <w:spacing w:line="240" w:lineRule="auto"/>
              <w:ind w:right="0" w:firstLine="0" w:firstLineChars="0"/>
              <w:jc w:val="center"/>
              <w:textAlignment w:val="baseline"/>
              <w:outlineLvl w:val="0"/>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集气罩收集后进入一套集气系统+水喷淋+二级活性炭吸附装置处理后由一根高为15米的排气筒排放</w:t>
            </w:r>
          </w:p>
        </w:tc>
        <w:tc>
          <w:tcPr>
            <w:tcW w:w="3348" w:type="dxa"/>
            <w:vAlign w:val="center"/>
          </w:tcPr>
          <w:p w14:paraId="76785BD8">
            <w:pPr>
              <w:keepNext w:val="0"/>
              <w:keepLines w:val="0"/>
              <w:pageBreakBefore w:val="0"/>
              <w:widowControl/>
              <w:kinsoku/>
              <w:wordWrap/>
              <w:overflowPunct/>
              <w:topLinePunct w:val="0"/>
              <w:autoSpaceDE w:val="0"/>
              <w:autoSpaceDN w:val="0"/>
              <w:bidi w:val="0"/>
              <w:adjustRightInd/>
              <w:snapToGrid/>
              <w:spacing w:line="240" w:lineRule="auto"/>
              <w:ind w:right="0" w:firstLine="0" w:firstLineChars="0"/>
              <w:jc w:val="center"/>
              <w:textAlignment w:val="baseline"/>
              <w:outlineLvl w:val="0"/>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本项目涂胶、烘干、复合废气产生的非甲烷总烃执行执行《固定源挥发性有机物综合排放标准第1部分:涂料、油墨及胶粘剂工业》（DB34/4812.1-2024）表1排放限值要求；厂界无组织执行《大气污染物综合排放标准》（GB16297-1996）中要求具体标准</w:t>
            </w:r>
            <w:r>
              <w:rPr>
                <w:rFonts w:hint="default" w:ascii="Times New Roman" w:hAnsi="Times New Roman" w:eastAsia="宋体" w:cs="Times New Roman"/>
                <w:bCs/>
                <w:color w:val="000000" w:themeColor="text1"/>
                <w:sz w:val="24"/>
                <w:szCs w:val="24"/>
                <w:lang w:val="zh-CN" w:eastAsia="zh-CN"/>
                <w14:textFill>
                  <w14:solidFill>
                    <w14:schemeClr w14:val="tx1"/>
                  </w14:solidFill>
                </w14:textFill>
              </w:rPr>
              <w:t>要求；</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厂区内监控点处1h平均浓度值、任意一次浓度值执行《固定源挥发性有机物综合排放标准第1部分:涂料、油墨及胶粘剂工业》（DB34/4812.1-2024）表4厂区内VOCs无组织排放限值相应规定</w:t>
            </w:r>
          </w:p>
        </w:tc>
      </w:tr>
      <w:tr w14:paraId="7F906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9" w:hRule="atLeast"/>
          <w:jc w:val="center"/>
        </w:trPr>
        <w:tc>
          <w:tcPr>
            <w:tcW w:w="756" w:type="dxa"/>
            <w:vAlign w:val="center"/>
          </w:tcPr>
          <w:p w14:paraId="48F18402">
            <w:pPr>
              <w:keepNext w:val="0"/>
              <w:keepLines w:val="0"/>
              <w:pageBreakBefore w:val="0"/>
              <w:widowControl/>
              <w:kinsoku/>
              <w:wordWrap/>
              <w:overflowPunct/>
              <w:topLinePunct w:val="0"/>
              <w:autoSpaceDE w:val="0"/>
              <w:autoSpaceDN w:val="0"/>
              <w:bidi w:val="0"/>
              <w:adjustRightInd/>
              <w:snapToGrid/>
              <w:spacing w:line="240" w:lineRule="auto"/>
              <w:ind w:right="0" w:firstLine="0" w:firstLineChars="0"/>
              <w:jc w:val="center"/>
              <w:textAlignment w:val="baseline"/>
              <w:outlineLvl w:val="0"/>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水污染物</w:t>
            </w:r>
          </w:p>
        </w:tc>
        <w:tc>
          <w:tcPr>
            <w:tcW w:w="1758" w:type="dxa"/>
            <w:vAlign w:val="center"/>
          </w:tcPr>
          <w:p w14:paraId="746229C6">
            <w:pPr>
              <w:keepNext w:val="0"/>
              <w:keepLines w:val="0"/>
              <w:pageBreakBefore w:val="0"/>
              <w:widowControl/>
              <w:kinsoku/>
              <w:wordWrap/>
              <w:overflowPunct/>
              <w:topLinePunct w:val="0"/>
              <w:autoSpaceDE w:val="0"/>
              <w:autoSpaceDN w:val="0"/>
              <w:bidi w:val="0"/>
              <w:adjustRightInd/>
              <w:snapToGrid/>
              <w:spacing w:line="240" w:lineRule="auto"/>
              <w:ind w:right="0" w:firstLine="0" w:firstLineChars="0"/>
              <w:jc w:val="center"/>
              <w:textAlignment w:val="baseline"/>
              <w:outlineLvl w:val="0"/>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DW001/生活污水</w:t>
            </w:r>
          </w:p>
        </w:tc>
        <w:tc>
          <w:tcPr>
            <w:tcW w:w="1517" w:type="dxa"/>
            <w:vAlign w:val="center"/>
          </w:tcPr>
          <w:p w14:paraId="74E98417">
            <w:pPr>
              <w:keepNext w:val="0"/>
              <w:keepLines w:val="0"/>
              <w:pageBreakBefore w:val="0"/>
              <w:widowControl/>
              <w:kinsoku/>
              <w:wordWrap/>
              <w:overflowPunct/>
              <w:topLinePunct w:val="0"/>
              <w:autoSpaceDE w:val="0"/>
              <w:autoSpaceDN w:val="0"/>
              <w:bidi w:val="0"/>
              <w:adjustRightInd/>
              <w:snapToGrid/>
              <w:spacing w:line="240" w:lineRule="auto"/>
              <w:ind w:right="0" w:firstLine="0" w:firstLineChars="0"/>
              <w:jc w:val="center"/>
              <w:textAlignment w:val="baseline"/>
              <w:outlineLvl w:val="0"/>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pH、COD、BOD5、SS、NH3-N</w:t>
            </w:r>
          </w:p>
        </w:tc>
        <w:tc>
          <w:tcPr>
            <w:tcW w:w="2090" w:type="dxa"/>
            <w:vAlign w:val="center"/>
          </w:tcPr>
          <w:p w14:paraId="3D7D6D9A">
            <w:pPr>
              <w:keepNext w:val="0"/>
              <w:keepLines w:val="0"/>
              <w:pageBreakBefore w:val="0"/>
              <w:widowControl/>
              <w:kinsoku/>
              <w:wordWrap/>
              <w:overflowPunct/>
              <w:topLinePunct w:val="0"/>
              <w:autoSpaceDE w:val="0"/>
              <w:autoSpaceDN w:val="0"/>
              <w:bidi w:val="0"/>
              <w:adjustRightInd/>
              <w:snapToGrid/>
              <w:spacing w:line="240" w:lineRule="auto"/>
              <w:ind w:right="0" w:firstLine="0" w:firstLineChars="0"/>
              <w:jc w:val="center"/>
              <w:textAlignment w:val="baseline"/>
              <w:outlineLvl w:val="0"/>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生活污水经化粪池处理后，排入园区污水管网</w:t>
            </w:r>
          </w:p>
        </w:tc>
        <w:tc>
          <w:tcPr>
            <w:tcW w:w="3348" w:type="dxa"/>
            <w:vAlign w:val="center"/>
          </w:tcPr>
          <w:p w14:paraId="0FE2818B">
            <w:pPr>
              <w:keepNext w:val="0"/>
              <w:keepLines w:val="0"/>
              <w:pageBreakBefore w:val="0"/>
              <w:widowControl/>
              <w:kinsoku/>
              <w:wordWrap/>
              <w:overflowPunct/>
              <w:topLinePunct w:val="0"/>
              <w:autoSpaceDE w:val="0"/>
              <w:autoSpaceDN w:val="0"/>
              <w:bidi w:val="0"/>
              <w:adjustRightInd/>
              <w:snapToGrid/>
              <w:spacing w:line="240" w:lineRule="auto"/>
              <w:ind w:right="0" w:firstLine="0" w:firstLineChars="0"/>
              <w:jc w:val="center"/>
              <w:textAlignment w:val="baseline"/>
              <w:outlineLvl w:val="0"/>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生活污水经隔油池+化粪池处理后达到《污水综合排放标准》（GB8978-1996）中三级标准并满足埇桥区经济开发区污水处理厂接管要求，进入埇桥区经济开发区污水处理厂进一步处理，达标后排放至运淝河。</w:t>
            </w:r>
          </w:p>
        </w:tc>
      </w:tr>
      <w:tr w14:paraId="24F4E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 w:hRule="atLeast"/>
          <w:jc w:val="center"/>
        </w:trPr>
        <w:tc>
          <w:tcPr>
            <w:tcW w:w="756" w:type="dxa"/>
            <w:vAlign w:val="center"/>
          </w:tcPr>
          <w:p w14:paraId="61E8D158">
            <w:pPr>
              <w:keepNext w:val="0"/>
              <w:keepLines w:val="0"/>
              <w:pageBreakBefore w:val="0"/>
              <w:widowControl/>
              <w:kinsoku/>
              <w:wordWrap/>
              <w:overflowPunct/>
              <w:topLinePunct w:val="0"/>
              <w:autoSpaceDE w:val="0"/>
              <w:autoSpaceDN w:val="0"/>
              <w:bidi w:val="0"/>
              <w:adjustRightInd/>
              <w:snapToGrid/>
              <w:spacing w:line="240" w:lineRule="auto"/>
              <w:ind w:right="0" w:firstLine="0" w:firstLineChars="0"/>
              <w:jc w:val="center"/>
              <w:textAlignment w:val="baseline"/>
              <w:outlineLvl w:val="0"/>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声环境</w:t>
            </w:r>
          </w:p>
        </w:tc>
        <w:tc>
          <w:tcPr>
            <w:tcW w:w="1758" w:type="dxa"/>
            <w:vAlign w:val="center"/>
          </w:tcPr>
          <w:p w14:paraId="3BB3F768">
            <w:pPr>
              <w:keepNext w:val="0"/>
              <w:keepLines w:val="0"/>
              <w:pageBreakBefore w:val="0"/>
              <w:widowControl/>
              <w:kinsoku/>
              <w:wordWrap/>
              <w:overflowPunct/>
              <w:topLinePunct w:val="0"/>
              <w:autoSpaceDE w:val="0"/>
              <w:autoSpaceDN w:val="0"/>
              <w:bidi w:val="0"/>
              <w:adjustRightInd/>
              <w:snapToGrid/>
              <w:spacing w:line="240" w:lineRule="auto"/>
              <w:ind w:right="0" w:firstLine="0" w:firstLineChars="0"/>
              <w:jc w:val="center"/>
              <w:textAlignment w:val="baseline"/>
              <w:outlineLvl w:val="0"/>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生产设备</w:t>
            </w:r>
          </w:p>
        </w:tc>
        <w:tc>
          <w:tcPr>
            <w:tcW w:w="1517" w:type="dxa"/>
            <w:vAlign w:val="center"/>
          </w:tcPr>
          <w:p w14:paraId="022733D7">
            <w:pPr>
              <w:keepNext w:val="0"/>
              <w:keepLines w:val="0"/>
              <w:pageBreakBefore w:val="0"/>
              <w:widowControl/>
              <w:kinsoku/>
              <w:wordWrap/>
              <w:overflowPunct/>
              <w:topLinePunct w:val="0"/>
              <w:autoSpaceDE w:val="0"/>
              <w:autoSpaceDN w:val="0"/>
              <w:bidi w:val="0"/>
              <w:adjustRightInd/>
              <w:snapToGrid/>
              <w:spacing w:line="240" w:lineRule="auto"/>
              <w:ind w:right="0" w:firstLine="0" w:firstLineChars="0"/>
              <w:jc w:val="center"/>
              <w:textAlignment w:val="baseline"/>
              <w:outlineLvl w:val="0"/>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设备噪声</w:t>
            </w:r>
          </w:p>
        </w:tc>
        <w:tc>
          <w:tcPr>
            <w:tcW w:w="2090" w:type="dxa"/>
            <w:vAlign w:val="center"/>
          </w:tcPr>
          <w:p w14:paraId="34FC7787">
            <w:pPr>
              <w:keepNext w:val="0"/>
              <w:keepLines w:val="0"/>
              <w:pageBreakBefore w:val="0"/>
              <w:widowControl/>
              <w:kinsoku/>
              <w:wordWrap/>
              <w:overflowPunct/>
              <w:topLinePunct w:val="0"/>
              <w:autoSpaceDE w:val="0"/>
              <w:autoSpaceDN w:val="0"/>
              <w:bidi w:val="0"/>
              <w:adjustRightInd/>
              <w:snapToGrid/>
              <w:spacing w:line="240" w:lineRule="auto"/>
              <w:ind w:right="0" w:firstLine="0" w:firstLineChars="0"/>
              <w:jc w:val="center"/>
              <w:textAlignment w:val="baseline"/>
              <w:outlineLvl w:val="0"/>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生产车间内噪声源经生产车间隔声及距离衰减，随时进行检修，使其保持正常的工作状态</w:t>
            </w:r>
          </w:p>
        </w:tc>
        <w:tc>
          <w:tcPr>
            <w:tcW w:w="3348" w:type="dxa"/>
            <w:vAlign w:val="center"/>
          </w:tcPr>
          <w:p w14:paraId="54824744">
            <w:pPr>
              <w:keepNext w:val="0"/>
              <w:keepLines w:val="0"/>
              <w:pageBreakBefore w:val="0"/>
              <w:widowControl/>
              <w:kinsoku/>
              <w:wordWrap/>
              <w:overflowPunct/>
              <w:topLinePunct w:val="0"/>
              <w:autoSpaceDE w:val="0"/>
              <w:autoSpaceDN w:val="0"/>
              <w:bidi w:val="0"/>
              <w:adjustRightInd/>
              <w:snapToGrid/>
              <w:spacing w:line="240" w:lineRule="auto"/>
              <w:ind w:right="0" w:firstLine="0" w:firstLineChars="0"/>
              <w:jc w:val="center"/>
              <w:textAlignment w:val="baseline"/>
              <w:outlineLvl w:val="0"/>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各厂界满足《工业企业厂界环境噪声排放标准》（GB12348-2008）中2类标准。</w:t>
            </w:r>
          </w:p>
        </w:tc>
      </w:tr>
      <w:tr w14:paraId="245EE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756" w:type="dxa"/>
            <w:vAlign w:val="center"/>
          </w:tcPr>
          <w:p w14:paraId="628E0630">
            <w:pPr>
              <w:keepNext w:val="0"/>
              <w:keepLines w:val="0"/>
              <w:pageBreakBefore w:val="0"/>
              <w:widowControl/>
              <w:kinsoku/>
              <w:wordWrap/>
              <w:overflowPunct/>
              <w:topLinePunct w:val="0"/>
              <w:autoSpaceDE w:val="0"/>
              <w:autoSpaceDN w:val="0"/>
              <w:bidi w:val="0"/>
              <w:adjustRightInd/>
              <w:snapToGrid/>
              <w:spacing w:line="240" w:lineRule="auto"/>
              <w:ind w:right="0" w:firstLine="0" w:firstLineChars="0"/>
              <w:jc w:val="center"/>
              <w:textAlignment w:val="baseline"/>
              <w:outlineLvl w:val="0"/>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固体废物</w:t>
            </w:r>
          </w:p>
        </w:tc>
        <w:tc>
          <w:tcPr>
            <w:tcW w:w="8713" w:type="dxa"/>
            <w:gridSpan w:val="4"/>
            <w:vAlign w:val="center"/>
          </w:tcPr>
          <w:p w14:paraId="7D905020">
            <w:pPr>
              <w:keepNext w:val="0"/>
              <w:keepLines w:val="0"/>
              <w:pageBreakBefore w:val="0"/>
              <w:widowControl/>
              <w:kinsoku/>
              <w:wordWrap/>
              <w:overflowPunct/>
              <w:topLinePunct w:val="0"/>
              <w:autoSpaceDE w:val="0"/>
              <w:autoSpaceDN w:val="0"/>
              <w:bidi w:val="0"/>
              <w:adjustRightInd/>
              <w:snapToGrid/>
              <w:spacing w:line="240" w:lineRule="auto"/>
              <w:ind w:right="0" w:firstLine="0" w:firstLineChars="0"/>
              <w:jc w:val="left"/>
              <w:textAlignment w:val="baseline"/>
              <w:outlineLvl w:val="0"/>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危险废物废胶桶、</w:t>
            </w:r>
            <w:r>
              <w:rPr>
                <w:rFonts w:hint="default" w:ascii="Times New Roman" w:hAnsi="Times New Roman" w:eastAsia="宋体" w:cs="Times New Roman"/>
                <w:bCs/>
                <w:color w:val="000000" w:themeColor="text1"/>
                <w:sz w:val="24"/>
                <w:szCs w:val="24"/>
                <w:lang w:eastAsia="zh-CN"/>
                <w14:textFill>
                  <w14:solidFill>
                    <w14:schemeClr w14:val="tx1"/>
                  </w14:solidFill>
                </w14:textFill>
              </w:rPr>
              <w:t>废活性炭</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以及喷淋废水在厂区危废暂存间暂存后委托有资质单位处置；一般固废不合格品、边角料</w:t>
            </w:r>
            <w:r>
              <w:rPr>
                <w:rFonts w:hint="default" w:ascii="Times New Roman" w:hAnsi="Times New Roman" w:eastAsia="宋体" w:cs="Times New Roman"/>
                <w:bCs/>
                <w:color w:val="000000" w:themeColor="text1"/>
                <w:sz w:val="24"/>
                <w:szCs w:val="24"/>
                <w:lang w:eastAsia="zh-CN"/>
                <w14:textFill>
                  <w14:solidFill>
                    <w14:schemeClr w14:val="tx1"/>
                  </w14:solidFill>
                </w14:textFill>
              </w:rPr>
              <w:t>经收集后暂存于一般固废暂存间，定期外售；</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生活垃圾交由环卫部门处置。</w:t>
            </w:r>
          </w:p>
        </w:tc>
      </w:tr>
      <w:tr w14:paraId="1DB1F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56" w:type="dxa"/>
            <w:vAlign w:val="center"/>
          </w:tcPr>
          <w:p w14:paraId="67381958">
            <w:pPr>
              <w:keepNext w:val="0"/>
              <w:keepLines w:val="0"/>
              <w:pageBreakBefore w:val="0"/>
              <w:widowControl/>
              <w:kinsoku/>
              <w:wordWrap/>
              <w:overflowPunct/>
              <w:topLinePunct w:val="0"/>
              <w:autoSpaceDE w:val="0"/>
              <w:autoSpaceDN w:val="0"/>
              <w:bidi w:val="0"/>
              <w:adjustRightInd/>
              <w:snapToGrid/>
              <w:spacing w:line="240" w:lineRule="auto"/>
              <w:ind w:right="0" w:firstLine="0" w:firstLineChars="0"/>
              <w:jc w:val="center"/>
              <w:textAlignment w:val="baseline"/>
              <w:outlineLvl w:val="0"/>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土壤及地下水污染防治措施</w:t>
            </w:r>
          </w:p>
        </w:tc>
        <w:tc>
          <w:tcPr>
            <w:tcW w:w="8713" w:type="dxa"/>
            <w:gridSpan w:val="4"/>
            <w:vAlign w:val="center"/>
          </w:tcPr>
          <w:p w14:paraId="6E313FB3">
            <w:pPr>
              <w:keepNext w:val="0"/>
              <w:keepLines w:val="0"/>
              <w:pageBreakBefore w:val="0"/>
              <w:widowControl/>
              <w:kinsoku/>
              <w:wordWrap/>
              <w:overflowPunct/>
              <w:topLinePunct w:val="0"/>
              <w:autoSpaceDE w:val="0"/>
              <w:autoSpaceDN w:val="0"/>
              <w:bidi w:val="0"/>
              <w:adjustRightInd/>
              <w:snapToGrid/>
              <w:spacing w:line="240" w:lineRule="auto"/>
              <w:ind w:right="0" w:firstLine="0" w:firstLineChars="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分区防渗：</w:t>
            </w:r>
          </w:p>
          <w:p w14:paraId="39D6BCAB">
            <w:pPr>
              <w:keepNext w:val="0"/>
              <w:keepLines w:val="0"/>
              <w:pageBreakBefore w:val="0"/>
              <w:widowControl/>
              <w:kinsoku/>
              <w:wordWrap/>
              <w:overflowPunct/>
              <w:topLinePunct w:val="0"/>
              <w:autoSpaceDE w:val="0"/>
              <w:autoSpaceDN w:val="0"/>
              <w:bidi w:val="0"/>
              <w:adjustRightInd/>
              <w:snapToGrid/>
              <w:spacing w:line="240" w:lineRule="auto"/>
              <w:ind w:right="0" w:firstLine="0" w:firstLineChars="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（1）重点防渗：基础必须防渗，防渗层等效为至少</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bCs/>
                <w:color w:val="000000" w:themeColor="text1"/>
                <w:sz w:val="24"/>
                <w:szCs w:val="24"/>
                <w:lang w:eastAsia="zh-CN"/>
                <w14:textFill>
                  <w14:solidFill>
                    <w14:schemeClr w14:val="tx1"/>
                  </w14:solidFill>
                </w14:textFill>
              </w:rPr>
              <w:t>米厚粘土层（渗透系数≤10</w:t>
            </w:r>
            <w:r>
              <w:rPr>
                <w:rFonts w:hint="default" w:ascii="Times New Roman" w:hAnsi="Times New Roman" w:eastAsia="宋体" w:cs="Times New Roman"/>
                <w:bCs/>
                <w:color w:val="000000" w:themeColor="text1"/>
                <w:sz w:val="24"/>
                <w:szCs w:val="24"/>
                <w:vertAlign w:val="superscript"/>
                <w:lang w:eastAsia="zh-CN"/>
                <w14:textFill>
                  <w14:solidFill>
                    <w14:schemeClr w14:val="tx1"/>
                  </w14:solidFill>
                </w14:textFill>
              </w:rPr>
              <w:t>-7</w:t>
            </w:r>
            <w:r>
              <w:rPr>
                <w:rFonts w:hint="default" w:ascii="Times New Roman" w:hAnsi="Times New Roman" w:eastAsia="宋体" w:cs="Times New Roman"/>
                <w:bCs/>
                <w:color w:val="000000" w:themeColor="text1"/>
                <w:sz w:val="24"/>
                <w:szCs w:val="24"/>
                <w:lang w:eastAsia="zh-CN"/>
                <w14:textFill>
                  <w14:solidFill>
                    <w14:schemeClr w14:val="tx1"/>
                  </w14:solidFill>
                </w14:textFill>
              </w:rPr>
              <w:t>cm/s），或2mm厚高密度聚乙烯，或至少2mm厚的其它人工材料，渗透系数≤10</w:t>
            </w:r>
            <w:r>
              <w:rPr>
                <w:rFonts w:hint="default" w:ascii="Times New Roman" w:hAnsi="Times New Roman" w:eastAsia="宋体" w:cs="Times New Roman"/>
                <w:bCs/>
                <w:color w:val="000000" w:themeColor="text1"/>
                <w:sz w:val="24"/>
                <w:szCs w:val="24"/>
                <w:vertAlign w:val="superscript"/>
                <w:lang w:eastAsia="zh-CN"/>
                <w14:textFill>
                  <w14:solidFill>
                    <w14:schemeClr w14:val="tx1"/>
                  </w14:solidFill>
                </w14:textFill>
              </w:rPr>
              <w:t>-10</w:t>
            </w:r>
            <w:r>
              <w:rPr>
                <w:rFonts w:hint="default" w:ascii="Times New Roman" w:hAnsi="Times New Roman" w:eastAsia="宋体" w:cs="Times New Roman"/>
                <w:bCs/>
                <w:color w:val="000000" w:themeColor="text1"/>
                <w:sz w:val="24"/>
                <w:szCs w:val="24"/>
                <w:lang w:eastAsia="zh-CN"/>
                <w14:textFill>
                  <w14:solidFill>
                    <w14:schemeClr w14:val="tx1"/>
                  </w14:solidFill>
                </w14:textFill>
              </w:rPr>
              <w:t>cm/s。</w:t>
            </w:r>
          </w:p>
          <w:p w14:paraId="4055267A">
            <w:pPr>
              <w:keepNext w:val="0"/>
              <w:keepLines w:val="0"/>
              <w:pageBreakBefore w:val="0"/>
              <w:widowControl/>
              <w:kinsoku/>
              <w:wordWrap/>
              <w:overflowPunct/>
              <w:topLinePunct w:val="0"/>
              <w:autoSpaceDE w:val="0"/>
              <w:autoSpaceDN w:val="0"/>
              <w:bidi w:val="0"/>
              <w:adjustRightInd/>
              <w:snapToGrid/>
              <w:spacing w:line="240" w:lineRule="auto"/>
              <w:ind w:right="0" w:firstLine="0" w:firstLineChars="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（2）一般防渗：采用天然或人工材料构筑防渗层，防渗层的厚度应相当于渗透系数1.0×10</w:t>
            </w:r>
            <w:r>
              <w:rPr>
                <w:rFonts w:hint="default" w:ascii="Times New Roman" w:hAnsi="Times New Roman" w:eastAsia="宋体" w:cs="Times New Roman"/>
                <w:bCs/>
                <w:color w:val="000000" w:themeColor="text1"/>
                <w:sz w:val="24"/>
                <w:szCs w:val="24"/>
                <w:vertAlign w:val="superscript"/>
                <w:lang w:eastAsia="zh-CN"/>
                <w14:textFill>
                  <w14:solidFill>
                    <w14:schemeClr w14:val="tx1"/>
                  </w14:solidFill>
                </w14:textFill>
              </w:rPr>
              <w:t>-7</w:t>
            </w:r>
            <w:r>
              <w:rPr>
                <w:rFonts w:hint="default" w:ascii="Times New Roman" w:hAnsi="Times New Roman" w:eastAsia="宋体" w:cs="Times New Roman"/>
                <w:bCs/>
                <w:color w:val="000000" w:themeColor="text1"/>
                <w:sz w:val="24"/>
                <w:szCs w:val="24"/>
                <w:lang w:eastAsia="zh-CN"/>
                <w14:textFill>
                  <w14:solidFill>
                    <w14:schemeClr w14:val="tx1"/>
                  </w14:solidFill>
                </w14:textFill>
              </w:rPr>
              <w:t>cm/s和厚度1.5m的粘土层的防渗性能。</w:t>
            </w:r>
          </w:p>
        </w:tc>
      </w:tr>
      <w:tr w14:paraId="5F2AC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756" w:type="dxa"/>
            <w:shd w:val="clear" w:color="auto" w:fill="auto"/>
            <w:vAlign w:val="top"/>
          </w:tcPr>
          <w:p w14:paraId="2C67EE56">
            <w:pPr>
              <w:keepNext w:val="0"/>
              <w:keepLines w:val="0"/>
              <w:pageBreakBefore w:val="0"/>
              <w:widowControl/>
              <w:kinsoku/>
              <w:wordWrap/>
              <w:overflowPunct/>
              <w:topLinePunct w:val="0"/>
              <w:autoSpaceDE w:val="0"/>
              <w:autoSpaceDN w:val="0"/>
              <w:bidi w:val="0"/>
              <w:adjustRightInd/>
              <w:snapToGrid/>
              <w:spacing w:line="240" w:lineRule="auto"/>
              <w:ind w:right="0" w:firstLine="0" w:firstLineChars="0"/>
              <w:jc w:val="center"/>
              <w:textAlignment w:val="baseline"/>
              <w:outlineLvl w:val="0"/>
              <w:rPr>
                <w:rFonts w:hint="default" w:ascii="Times New Roman" w:hAnsi="Times New Roman" w:eastAsia="宋体" w:cs="Times New Roman"/>
                <w:bCs/>
                <w:color w:val="000000" w:themeColor="text1"/>
                <w:sz w:val="24"/>
                <w:szCs w:val="24"/>
                <w:lang w:val="en-US" w:eastAsia="en-US"/>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生态保护措施</w:t>
            </w:r>
          </w:p>
        </w:tc>
        <w:tc>
          <w:tcPr>
            <w:tcW w:w="8713" w:type="dxa"/>
            <w:gridSpan w:val="4"/>
            <w:shd w:val="clear" w:color="auto" w:fill="auto"/>
            <w:vAlign w:val="top"/>
          </w:tcPr>
          <w:p w14:paraId="6EA1B80F">
            <w:pPr>
              <w:keepNext w:val="0"/>
              <w:keepLines w:val="0"/>
              <w:pageBreakBefore w:val="0"/>
              <w:widowControl/>
              <w:kinsoku/>
              <w:wordWrap/>
              <w:overflowPunct/>
              <w:topLinePunct w:val="0"/>
              <w:autoSpaceDE w:val="0"/>
              <w:autoSpaceDN w:val="0"/>
              <w:bidi w:val="0"/>
              <w:adjustRightInd/>
              <w:snapToGrid/>
              <w:spacing w:line="240" w:lineRule="auto"/>
              <w:ind w:right="0" w:firstLine="0" w:firstLineChars="0"/>
              <w:jc w:val="center"/>
              <w:textAlignment w:val="baseline"/>
              <w:outlineLvl w:val="0"/>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项目区域附近无自然保护区，人文景观和名胜古迹等环境敏感点，周围没有需要特殊保护的生态环境。项目建设不会对周围生态环境造成影响。</w:t>
            </w:r>
          </w:p>
        </w:tc>
      </w:tr>
      <w:tr w14:paraId="67B4E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dxa"/>
            <w:vAlign w:val="center"/>
          </w:tcPr>
          <w:p w14:paraId="4F4E5B72">
            <w:pPr>
              <w:keepNext w:val="0"/>
              <w:keepLines w:val="0"/>
              <w:pageBreakBefore w:val="0"/>
              <w:widowControl/>
              <w:kinsoku/>
              <w:wordWrap/>
              <w:overflowPunct/>
              <w:topLinePunct w:val="0"/>
              <w:autoSpaceDE w:val="0"/>
              <w:autoSpaceDN w:val="0"/>
              <w:bidi w:val="0"/>
              <w:adjustRightInd/>
              <w:snapToGrid/>
              <w:spacing w:line="240" w:lineRule="auto"/>
              <w:ind w:right="0" w:firstLine="0" w:firstLineChars="0"/>
              <w:jc w:val="center"/>
              <w:textAlignment w:val="baseline"/>
              <w:outlineLvl w:val="0"/>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环境风险管控措施</w:t>
            </w:r>
          </w:p>
        </w:tc>
        <w:tc>
          <w:tcPr>
            <w:tcW w:w="8713" w:type="dxa"/>
            <w:gridSpan w:val="4"/>
            <w:vAlign w:val="center"/>
          </w:tcPr>
          <w:p w14:paraId="0C16F4AA">
            <w:pPr>
              <w:keepNext w:val="0"/>
              <w:keepLines w:val="0"/>
              <w:pageBreakBefore w:val="0"/>
              <w:widowControl/>
              <w:kinsoku/>
              <w:wordWrap/>
              <w:overflowPunct/>
              <w:topLinePunct w:val="0"/>
              <w:autoSpaceDE w:val="0"/>
              <w:autoSpaceDN w:val="0"/>
              <w:bidi w:val="0"/>
              <w:adjustRightInd/>
              <w:snapToGrid/>
              <w:spacing w:line="240" w:lineRule="auto"/>
              <w:ind w:right="0" w:firstLine="240" w:firstLineChars="10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建设单位须制订环境突发事故应急预案，一旦突发环境风险事故，必须立即按应急预案提到的紧急处理、救援、监测方案等进行紧急救援，救援人员采取相应的防护措施，以避免造成人员伤亡事故。</w:t>
            </w:r>
          </w:p>
        </w:tc>
      </w:tr>
      <w:tr w14:paraId="5829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2" w:hRule="atLeast"/>
          <w:jc w:val="center"/>
        </w:trPr>
        <w:tc>
          <w:tcPr>
            <w:tcW w:w="756" w:type="dxa"/>
            <w:vAlign w:val="center"/>
          </w:tcPr>
          <w:p w14:paraId="21E238E8">
            <w:pPr>
              <w:keepNext w:val="0"/>
              <w:keepLines w:val="0"/>
              <w:pageBreakBefore w:val="0"/>
              <w:widowControl/>
              <w:kinsoku/>
              <w:wordWrap/>
              <w:overflowPunct/>
              <w:topLinePunct w:val="0"/>
              <w:autoSpaceDE w:val="0"/>
              <w:autoSpaceDN w:val="0"/>
              <w:bidi w:val="0"/>
              <w:adjustRightInd/>
              <w:snapToGrid/>
              <w:spacing w:line="240" w:lineRule="auto"/>
              <w:ind w:right="0" w:firstLine="0" w:firstLineChars="0"/>
              <w:jc w:val="center"/>
              <w:textAlignment w:val="baseline"/>
              <w:outlineLvl w:val="0"/>
              <w:rPr>
                <w:rFonts w:hint="default" w:ascii="Times New Roman" w:hAnsi="Times New Roman" w:eastAsia="宋体" w:cs="Times New Roman"/>
                <w:b/>
                <w:bCs/>
                <w:color w:val="0000FF"/>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t>其他环境管理要求</w:t>
            </w:r>
          </w:p>
        </w:tc>
        <w:tc>
          <w:tcPr>
            <w:tcW w:w="8713" w:type="dxa"/>
            <w:gridSpan w:val="4"/>
            <w:vAlign w:val="center"/>
          </w:tcPr>
          <w:p w14:paraId="5624B5AB">
            <w:pPr>
              <w:keepNext w:val="0"/>
              <w:keepLines w:val="0"/>
              <w:pageBreakBefore w:val="0"/>
              <w:widowControl/>
              <w:kinsoku/>
              <w:wordWrap/>
              <w:overflowPunct/>
              <w:topLinePunct w:val="0"/>
              <w:autoSpaceDE w:val="0"/>
              <w:autoSpaceDN w:val="0"/>
              <w:bidi w:val="0"/>
              <w:adjustRightInd/>
              <w:snapToGrid/>
              <w:spacing w:line="240" w:lineRule="auto"/>
              <w:ind w:right="0" w:firstLine="241" w:firstLineChars="100"/>
              <w:jc w:val="left"/>
              <w:textAlignment w:val="baseline"/>
              <w:outlineLvl w:val="0"/>
              <w:rPr>
                <w:rFonts w:hint="default" w:ascii="Times New Roman" w:hAnsi="Times New Roman" w:eastAsia="宋体" w:cs="Times New Roman"/>
                <w:b/>
                <w:bCs w:val="0"/>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lang w:eastAsia="zh-CN"/>
                <w14:textFill>
                  <w14:solidFill>
                    <w14:schemeClr w14:val="tx1"/>
                  </w14:solidFill>
                </w14:textFill>
              </w:rPr>
              <w:t>1、排放口规范化及信息公开化</w:t>
            </w:r>
          </w:p>
          <w:p w14:paraId="0A534C14">
            <w:pPr>
              <w:keepNext w:val="0"/>
              <w:keepLines w:val="0"/>
              <w:pageBreakBefore w:val="0"/>
              <w:widowControl/>
              <w:kinsoku/>
              <w:wordWrap/>
              <w:overflowPunct/>
              <w:topLinePunct w:val="0"/>
              <w:autoSpaceDE w:val="0"/>
              <w:autoSpaceDN w:val="0"/>
              <w:bidi w:val="0"/>
              <w:adjustRightInd/>
              <w:snapToGrid/>
              <w:spacing w:line="240" w:lineRule="auto"/>
              <w:ind w:right="0" w:firstLine="240" w:firstLineChars="10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根据《关于开展排放口规范化整治工作的通知》（环发〔1999〕24号）、《排污口规范化整治技术要求》（环监〔1996〕470号）、《固定污染源废气监测点位设置技术规范》（DB37/T 3535-2019）等规定的要求，一切新建、改造、扩建的排污单位以及限期治理的排污单位必须在建设污染治理设施的同时，建设规范化排放口。因此，建设项目产生的各类污染物的排放口必须规范化，并且规范化工作的完成必须与污染治理设施同步。</w:t>
            </w:r>
          </w:p>
          <w:p w14:paraId="54845F9E">
            <w:pPr>
              <w:keepNext w:val="0"/>
              <w:keepLines w:val="0"/>
              <w:pageBreakBefore w:val="0"/>
              <w:widowControl/>
              <w:kinsoku/>
              <w:wordWrap/>
              <w:overflowPunct/>
              <w:topLinePunct w:val="0"/>
              <w:autoSpaceDE w:val="0"/>
              <w:autoSpaceDN w:val="0"/>
              <w:bidi w:val="0"/>
              <w:adjustRightInd/>
              <w:snapToGrid/>
              <w:spacing w:line="240" w:lineRule="auto"/>
              <w:ind w:right="0" w:firstLine="241" w:firstLineChars="100"/>
              <w:jc w:val="left"/>
              <w:textAlignment w:val="baseline"/>
              <w:outlineLvl w:val="0"/>
              <w:rPr>
                <w:rFonts w:hint="default" w:ascii="Times New Roman" w:hAnsi="Times New Roman" w:eastAsia="宋体" w:cs="Times New Roman"/>
                <w:b/>
                <w:bCs w:val="0"/>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lang w:eastAsia="zh-CN"/>
                <w14:textFill>
                  <w14:solidFill>
                    <w14:schemeClr w14:val="tx1"/>
                  </w14:solidFill>
                </w14:textFill>
              </w:rPr>
              <w:t>2、与排污许可证制度衔接</w:t>
            </w:r>
          </w:p>
          <w:p w14:paraId="579E13B4">
            <w:pPr>
              <w:keepNext w:val="0"/>
              <w:keepLines w:val="0"/>
              <w:pageBreakBefore w:val="0"/>
              <w:widowControl/>
              <w:kinsoku/>
              <w:wordWrap/>
              <w:overflowPunct/>
              <w:topLinePunct w:val="0"/>
              <w:autoSpaceDE w:val="0"/>
              <w:autoSpaceDN w:val="0"/>
              <w:bidi w:val="0"/>
              <w:adjustRightInd/>
              <w:snapToGrid/>
              <w:spacing w:line="240" w:lineRule="auto"/>
              <w:ind w:right="0" w:firstLine="240" w:firstLineChars="10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根据《固定污染源排污许可分类管理名录》（2019年版），本项目属于“二十八、金属制品业</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 xml:space="preserve">33 </w:t>
            </w:r>
            <w:r>
              <w:rPr>
                <w:rFonts w:hint="default" w:ascii="Times New Roman" w:hAnsi="Times New Roman" w:eastAsia="宋体" w:cs="Times New Roman"/>
                <w:bCs/>
                <w:color w:val="000000" w:themeColor="text1"/>
                <w:sz w:val="24"/>
                <w:szCs w:val="24"/>
                <w:lang w:eastAsia="zh-CN"/>
                <w14:textFill>
                  <w14:solidFill>
                    <w14:schemeClr w14:val="tx1"/>
                  </w14:solidFill>
                </w14:textFill>
              </w:rPr>
              <w:t>80结构性金属制品制造331，金属工具制造332，集装箱及金属包装容器制造333，金属丝绳及其制品制造334，建筑、安全用金属制品制造335，搪瓷制品制造337，金属制日用品制造338，铸造及其他金属制品制造339（除黑色金属铸造3391、有色金属铸造3392）”。其中“涉及通用工序重点管理的”为重点管理，“涉及通用工序简化管理的”为简化管理，“其他”为登记管理。本项目属于</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C3399其他未列明金属制品制造</w:t>
            </w:r>
            <w:r>
              <w:rPr>
                <w:rFonts w:hint="default" w:ascii="Times New Roman" w:hAnsi="Times New Roman" w:eastAsia="宋体" w:cs="Times New Roman"/>
                <w:bCs/>
                <w:color w:val="000000" w:themeColor="text1"/>
                <w:sz w:val="24"/>
                <w:szCs w:val="24"/>
                <w:lang w:eastAsia="zh-CN"/>
                <w14:textFill>
                  <w14:solidFill>
                    <w14:schemeClr w14:val="tx1"/>
                  </w14:solidFill>
                </w14:textFill>
              </w:rPr>
              <w:t>铸造及其他金属制品制造339（除黑色金属铸造3391、有色金属铸造3392），</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不涉及</w:t>
            </w:r>
            <w:r>
              <w:rPr>
                <w:rFonts w:hint="default" w:ascii="Times New Roman" w:hAnsi="Times New Roman" w:eastAsia="宋体" w:cs="Times New Roman"/>
                <w:bCs/>
                <w:color w:val="000000" w:themeColor="text1"/>
                <w:sz w:val="24"/>
                <w:szCs w:val="24"/>
                <w:lang w:eastAsia="zh-CN"/>
                <w14:textFill>
                  <w14:solidFill>
                    <w14:schemeClr w14:val="tx1"/>
                  </w14:solidFill>
                </w14:textFill>
              </w:rPr>
              <w:t>通用工序</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eastAsia="zh-CN"/>
                <w14:textFill>
                  <w14:solidFill>
                    <w14:schemeClr w14:val="tx1"/>
                  </w14:solidFill>
                </w14:textFill>
              </w:rPr>
              <w:t>项目产品为</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铝箔复合膜、牛皮纸加筋铝箔制造，</w:t>
            </w:r>
            <w:r>
              <w:rPr>
                <w:rFonts w:hint="default" w:ascii="Times New Roman" w:hAnsi="Times New Roman" w:eastAsia="宋体" w:cs="Times New Roman"/>
                <w:bCs/>
                <w:color w:val="000000" w:themeColor="text1"/>
                <w:sz w:val="24"/>
                <w:szCs w:val="24"/>
                <w:lang w:eastAsia="zh-CN"/>
                <w14:textFill>
                  <w14:solidFill>
                    <w14:schemeClr w14:val="tx1"/>
                  </w14:solidFill>
                </w14:textFill>
              </w:rPr>
              <w:t>因此本项目排污许可实行登记管理。</w:t>
            </w:r>
          </w:p>
          <w:p w14:paraId="25CF30ED">
            <w:pPr>
              <w:keepNext w:val="0"/>
              <w:keepLines w:val="0"/>
              <w:pageBreakBefore w:val="0"/>
              <w:widowControl/>
              <w:kinsoku/>
              <w:wordWrap/>
              <w:overflowPunct/>
              <w:topLinePunct w:val="0"/>
              <w:autoSpaceDE w:val="0"/>
              <w:autoSpaceDN w:val="0"/>
              <w:bidi w:val="0"/>
              <w:adjustRightInd/>
              <w:snapToGrid/>
              <w:spacing w:line="240" w:lineRule="auto"/>
              <w:ind w:right="0" w:firstLine="240" w:firstLineChars="10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,本环评要求企业在建成正式投产排污前履行排污许可手续。</w:t>
            </w:r>
          </w:p>
          <w:p w14:paraId="17D5A76A">
            <w:pPr>
              <w:keepNext w:val="0"/>
              <w:keepLines w:val="0"/>
              <w:pageBreakBefore w:val="0"/>
              <w:widowControl/>
              <w:kinsoku/>
              <w:wordWrap/>
              <w:overflowPunct/>
              <w:topLinePunct w:val="0"/>
              <w:autoSpaceDE w:val="0"/>
              <w:autoSpaceDN w:val="0"/>
              <w:bidi w:val="0"/>
              <w:adjustRightInd/>
              <w:snapToGrid/>
              <w:spacing w:line="240" w:lineRule="auto"/>
              <w:ind w:right="0" w:firstLine="241" w:firstLineChars="100"/>
              <w:jc w:val="left"/>
              <w:textAlignment w:val="baseline"/>
              <w:outlineLvl w:val="0"/>
              <w:rPr>
                <w:rFonts w:hint="default" w:ascii="Times New Roman" w:hAnsi="Times New Roman" w:eastAsia="宋体" w:cs="Times New Roman"/>
                <w:b/>
                <w:bCs w:val="0"/>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lang w:eastAsia="zh-CN"/>
                <w14:textFill>
                  <w14:solidFill>
                    <w14:schemeClr w14:val="tx1"/>
                  </w14:solidFill>
                </w14:textFill>
              </w:rPr>
              <w:t>3、竣工环境保护设施验收</w:t>
            </w:r>
          </w:p>
          <w:p w14:paraId="7858395B">
            <w:pPr>
              <w:keepNext w:val="0"/>
              <w:keepLines w:val="0"/>
              <w:pageBreakBefore w:val="0"/>
              <w:widowControl/>
              <w:kinsoku/>
              <w:wordWrap/>
              <w:overflowPunct/>
              <w:topLinePunct w:val="0"/>
              <w:autoSpaceDE w:val="0"/>
              <w:autoSpaceDN w:val="0"/>
              <w:bidi w:val="0"/>
              <w:adjustRightInd/>
              <w:snapToGrid/>
              <w:spacing w:line="240" w:lineRule="auto"/>
              <w:ind w:right="0" w:firstLine="240" w:firstLineChars="10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根据《建设项目竣工环境保护验收暂行办法》的规定，建设项目竣工后，建设单位应当如实查验、监测、记载建设项目环境保护设施的建设和调试情况，编制验收监测报告。</w:t>
            </w:r>
          </w:p>
          <w:p w14:paraId="678936F4">
            <w:pPr>
              <w:keepNext w:val="0"/>
              <w:keepLines w:val="0"/>
              <w:pageBreakBefore w:val="0"/>
              <w:widowControl/>
              <w:kinsoku/>
              <w:wordWrap/>
              <w:overflowPunct/>
              <w:topLinePunct w:val="0"/>
              <w:autoSpaceDE w:val="0"/>
              <w:autoSpaceDN w:val="0"/>
              <w:bidi w:val="0"/>
              <w:adjustRightInd/>
              <w:snapToGrid/>
              <w:spacing w:line="240" w:lineRule="auto"/>
              <w:ind w:right="0" w:firstLine="241" w:firstLineChars="100"/>
              <w:jc w:val="left"/>
              <w:textAlignment w:val="baseline"/>
              <w:outlineLvl w:val="0"/>
              <w:rPr>
                <w:rFonts w:hint="default" w:ascii="Times New Roman" w:hAnsi="Times New Roman" w:eastAsia="宋体" w:cs="Times New Roman"/>
                <w:b/>
                <w:bCs w:val="0"/>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lang w:eastAsia="zh-CN"/>
                <w14:textFill>
                  <w14:solidFill>
                    <w14:schemeClr w14:val="tx1"/>
                  </w14:solidFill>
                </w14:textFill>
              </w:rPr>
              <w:t>4、环境管理与监测计划</w:t>
            </w:r>
          </w:p>
          <w:p w14:paraId="35D11F2F">
            <w:pPr>
              <w:keepNext w:val="0"/>
              <w:keepLines w:val="0"/>
              <w:pageBreakBefore w:val="0"/>
              <w:widowControl/>
              <w:kinsoku/>
              <w:wordWrap/>
              <w:overflowPunct/>
              <w:topLinePunct w:val="0"/>
              <w:autoSpaceDE w:val="0"/>
              <w:autoSpaceDN w:val="0"/>
              <w:bidi w:val="0"/>
              <w:adjustRightInd/>
              <w:snapToGrid/>
              <w:spacing w:line="240" w:lineRule="auto"/>
              <w:ind w:right="0" w:firstLine="240" w:firstLineChars="10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 xml:space="preserve">（1）环境管理 </w:t>
            </w:r>
          </w:p>
          <w:p w14:paraId="5F90647E">
            <w:pPr>
              <w:keepNext w:val="0"/>
              <w:keepLines w:val="0"/>
              <w:pageBreakBefore w:val="0"/>
              <w:widowControl/>
              <w:kinsoku/>
              <w:wordWrap/>
              <w:overflowPunct/>
              <w:topLinePunct w:val="0"/>
              <w:autoSpaceDE w:val="0"/>
              <w:autoSpaceDN w:val="0"/>
              <w:bidi w:val="0"/>
              <w:adjustRightInd/>
              <w:snapToGrid/>
              <w:spacing w:line="240" w:lineRule="auto"/>
              <w:ind w:right="0" w:firstLine="240" w:firstLineChars="10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 xml:space="preserve">①环境管理机构 </w:t>
            </w:r>
          </w:p>
          <w:p w14:paraId="69A627F4">
            <w:pPr>
              <w:keepNext w:val="0"/>
              <w:keepLines w:val="0"/>
              <w:pageBreakBefore w:val="0"/>
              <w:widowControl/>
              <w:kinsoku/>
              <w:wordWrap/>
              <w:overflowPunct/>
              <w:topLinePunct w:val="0"/>
              <w:autoSpaceDE w:val="0"/>
              <w:autoSpaceDN w:val="0"/>
              <w:bidi w:val="0"/>
              <w:adjustRightInd/>
              <w:snapToGrid/>
              <w:spacing w:line="240" w:lineRule="auto"/>
              <w:ind w:right="0" w:firstLine="240" w:firstLineChars="10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 xml:space="preserve">根据我国有关环保法规的规定，企业内应设置环境保护管理机构，配备专职人员和必要的监测仪器。其基本任务是负责企业的环境管理、环境监测和事故应急处理。并逐步完善环境管理制度，以便使环境管理工作走上正规化、科学化的轨道。专职管理人员的主要职责是： </w:t>
            </w:r>
          </w:p>
          <w:p w14:paraId="34F0B462">
            <w:pPr>
              <w:keepNext w:val="0"/>
              <w:keepLines w:val="0"/>
              <w:pageBreakBefore w:val="0"/>
              <w:widowControl/>
              <w:kinsoku/>
              <w:wordWrap/>
              <w:overflowPunct/>
              <w:topLinePunct w:val="0"/>
              <w:autoSpaceDE w:val="0"/>
              <w:autoSpaceDN w:val="0"/>
              <w:bidi w:val="0"/>
              <w:adjustRightInd/>
              <w:snapToGrid/>
              <w:spacing w:line="240" w:lineRule="auto"/>
              <w:ind w:right="0" w:firstLine="240" w:firstLineChars="10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 xml:space="preserve">a.贯彻执行环境保护法规和标准； </w:t>
            </w:r>
          </w:p>
          <w:p w14:paraId="76186BC0">
            <w:pPr>
              <w:keepNext w:val="0"/>
              <w:keepLines w:val="0"/>
              <w:pageBreakBefore w:val="0"/>
              <w:widowControl/>
              <w:kinsoku/>
              <w:wordWrap/>
              <w:overflowPunct/>
              <w:topLinePunct w:val="0"/>
              <w:autoSpaceDE w:val="0"/>
              <w:autoSpaceDN w:val="0"/>
              <w:bidi w:val="0"/>
              <w:adjustRightInd/>
              <w:snapToGrid/>
              <w:spacing w:line="240" w:lineRule="auto"/>
              <w:ind w:right="0" w:firstLine="240" w:firstLineChars="10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 xml:space="preserve">b.组织制定和修改企业的日常环境管理制度并负责监督执行； </w:t>
            </w:r>
          </w:p>
          <w:p w14:paraId="3B1562A0">
            <w:pPr>
              <w:keepNext w:val="0"/>
              <w:keepLines w:val="0"/>
              <w:pageBreakBefore w:val="0"/>
              <w:widowControl/>
              <w:kinsoku/>
              <w:wordWrap/>
              <w:overflowPunct/>
              <w:topLinePunct w:val="0"/>
              <w:autoSpaceDE w:val="0"/>
              <w:autoSpaceDN w:val="0"/>
              <w:bidi w:val="0"/>
              <w:adjustRightInd/>
              <w:snapToGrid/>
              <w:spacing w:line="240" w:lineRule="auto"/>
              <w:ind w:right="0" w:firstLine="240" w:firstLineChars="10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 xml:space="preserve">c.制定并组织实施企业环境保护规划和计划； </w:t>
            </w:r>
          </w:p>
          <w:p w14:paraId="6D17939F">
            <w:pPr>
              <w:keepNext w:val="0"/>
              <w:keepLines w:val="0"/>
              <w:pageBreakBefore w:val="0"/>
              <w:widowControl/>
              <w:kinsoku/>
              <w:wordWrap/>
              <w:overflowPunct/>
              <w:topLinePunct w:val="0"/>
              <w:autoSpaceDE w:val="0"/>
              <w:autoSpaceDN w:val="0"/>
              <w:bidi w:val="0"/>
              <w:adjustRightInd/>
              <w:snapToGrid/>
              <w:spacing w:line="240" w:lineRule="auto"/>
              <w:ind w:right="0" w:firstLine="240" w:firstLineChars="10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 xml:space="preserve">d.开展企业日常的环境监测工作、负责整理和统计企业污染源资料、日常监测资料，并及时上报地方生态环境部门； </w:t>
            </w:r>
          </w:p>
          <w:p w14:paraId="25F3B555">
            <w:pPr>
              <w:keepNext w:val="0"/>
              <w:keepLines w:val="0"/>
              <w:pageBreakBefore w:val="0"/>
              <w:widowControl/>
              <w:kinsoku/>
              <w:wordWrap/>
              <w:overflowPunct/>
              <w:topLinePunct w:val="0"/>
              <w:autoSpaceDE w:val="0"/>
              <w:autoSpaceDN w:val="0"/>
              <w:bidi w:val="0"/>
              <w:adjustRightInd/>
              <w:snapToGrid/>
              <w:spacing w:line="240" w:lineRule="auto"/>
              <w:ind w:right="0" w:firstLine="240" w:firstLineChars="10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 xml:space="preserve">e.检查企业环境保护设施的运行情况； </w:t>
            </w:r>
          </w:p>
          <w:p w14:paraId="02DD6D17">
            <w:pPr>
              <w:keepNext w:val="0"/>
              <w:keepLines w:val="0"/>
              <w:pageBreakBefore w:val="0"/>
              <w:widowControl/>
              <w:kinsoku/>
              <w:wordWrap/>
              <w:overflowPunct/>
              <w:topLinePunct w:val="0"/>
              <w:autoSpaceDE w:val="0"/>
              <w:autoSpaceDN w:val="0"/>
              <w:bidi w:val="0"/>
              <w:adjustRightInd/>
              <w:snapToGrid/>
              <w:spacing w:line="240" w:lineRule="auto"/>
              <w:ind w:right="0" w:firstLine="240" w:firstLineChars="10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 xml:space="preserve">f.做好污染物产排、环保设施运行等环境管理台账； </w:t>
            </w:r>
          </w:p>
          <w:p w14:paraId="4E31C304">
            <w:pPr>
              <w:keepNext w:val="0"/>
              <w:keepLines w:val="0"/>
              <w:pageBreakBefore w:val="0"/>
              <w:widowControl/>
              <w:kinsoku/>
              <w:wordWrap/>
              <w:overflowPunct/>
              <w:topLinePunct w:val="0"/>
              <w:autoSpaceDE w:val="0"/>
              <w:autoSpaceDN w:val="0"/>
              <w:bidi w:val="0"/>
              <w:adjustRightInd/>
              <w:snapToGrid/>
              <w:spacing w:line="240" w:lineRule="auto"/>
              <w:ind w:right="0" w:firstLine="240" w:firstLineChars="10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 xml:space="preserve">g.落实企业污染物排放许可。加强对污染治理设施、治理效果以及治理后的污染物排放状况的监测检查； </w:t>
            </w:r>
          </w:p>
          <w:p w14:paraId="2E9DB53C">
            <w:pPr>
              <w:keepNext w:val="0"/>
              <w:keepLines w:val="0"/>
              <w:pageBreakBefore w:val="0"/>
              <w:widowControl/>
              <w:kinsoku/>
              <w:wordWrap/>
              <w:overflowPunct/>
              <w:topLinePunct w:val="0"/>
              <w:autoSpaceDE w:val="0"/>
              <w:autoSpaceDN w:val="0"/>
              <w:bidi w:val="0"/>
              <w:adjustRightInd/>
              <w:snapToGrid/>
              <w:spacing w:line="240" w:lineRule="auto"/>
              <w:ind w:right="0" w:firstLine="240" w:firstLineChars="10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 xml:space="preserve">h.组织开展企业的环保宣传工作及环保专业技术培训，用以提高全体员工环境保护意识及素质水平。 </w:t>
            </w:r>
          </w:p>
          <w:p w14:paraId="1082C7DD">
            <w:pPr>
              <w:keepNext w:val="0"/>
              <w:keepLines w:val="0"/>
              <w:pageBreakBefore w:val="0"/>
              <w:widowControl/>
              <w:kinsoku/>
              <w:wordWrap/>
              <w:overflowPunct/>
              <w:topLinePunct w:val="0"/>
              <w:autoSpaceDE w:val="0"/>
              <w:autoSpaceDN w:val="0"/>
              <w:bidi w:val="0"/>
              <w:adjustRightInd/>
              <w:snapToGrid/>
              <w:spacing w:line="240" w:lineRule="auto"/>
              <w:ind w:right="0" w:firstLine="240" w:firstLineChars="10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 xml:space="preserve">②环保管理制度的建立 </w:t>
            </w:r>
          </w:p>
          <w:p w14:paraId="3075F724">
            <w:pPr>
              <w:keepNext w:val="0"/>
              <w:keepLines w:val="0"/>
              <w:pageBreakBefore w:val="0"/>
              <w:widowControl/>
              <w:kinsoku/>
              <w:wordWrap/>
              <w:overflowPunct/>
              <w:topLinePunct w:val="0"/>
              <w:autoSpaceDE w:val="0"/>
              <w:autoSpaceDN w:val="0"/>
              <w:bidi w:val="0"/>
              <w:adjustRightInd/>
              <w:snapToGrid/>
              <w:spacing w:line="240" w:lineRule="auto"/>
              <w:ind w:right="0" w:firstLine="240" w:firstLineChars="10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 xml:space="preserve">企业应建立健全环境管理制度体系，将环保纳入考核体系，确保在日常运行中将环保目标落实到实处。 </w:t>
            </w:r>
          </w:p>
          <w:p w14:paraId="43A036D2">
            <w:pPr>
              <w:keepNext w:val="0"/>
              <w:keepLines w:val="0"/>
              <w:pageBreakBefore w:val="0"/>
              <w:widowControl/>
              <w:kinsoku/>
              <w:wordWrap/>
              <w:overflowPunct/>
              <w:topLinePunct w:val="0"/>
              <w:autoSpaceDE w:val="0"/>
              <w:autoSpaceDN w:val="0"/>
              <w:bidi w:val="0"/>
              <w:adjustRightInd/>
              <w:snapToGrid/>
              <w:spacing w:line="240" w:lineRule="auto"/>
              <w:ind w:right="0" w:firstLine="240" w:firstLineChars="10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 xml:space="preserve">a.“三同时”制度 </w:t>
            </w:r>
          </w:p>
          <w:p w14:paraId="14E22231">
            <w:pPr>
              <w:keepNext w:val="0"/>
              <w:keepLines w:val="0"/>
              <w:pageBreakBefore w:val="0"/>
              <w:widowControl/>
              <w:kinsoku/>
              <w:wordWrap/>
              <w:overflowPunct/>
              <w:topLinePunct w:val="0"/>
              <w:autoSpaceDE w:val="0"/>
              <w:autoSpaceDN w:val="0"/>
              <w:bidi w:val="0"/>
              <w:adjustRightInd/>
              <w:snapToGrid/>
              <w:spacing w:line="240" w:lineRule="auto"/>
              <w:ind w:right="0" w:firstLine="240" w:firstLineChars="10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 xml:space="preserve">根据《建设项目环境保护管理条例》，建设项目需要配套建设的环境保护设施，必须与主体工程同时设计、同时施工、同时投产使用。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验收报告应依法向社会公开。本项目配套建设的环境保护设施经验收合格，方可投入生产或者使用。 </w:t>
            </w:r>
          </w:p>
          <w:p w14:paraId="3EA825B1">
            <w:pPr>
              <w:keepNext w:val="0"/>
              <w:keepLines w:val="0"/>
              <w:pageBreakBefore w:val="0"/>
              <w:widowControl/>
              <w:kinsoku/>
              <w:wordWrap/>
              <w:overflowPunct/>
              <w:topLinePunct w:val="0"/>
              <w:autoSpaceDE w:val="0"/>
              <w:autoSpaceDN w:val="0"/>
              <w:bidi w:val="0"/>
              <w:adjustRightInd/>
              <w:snapToGrid/>
              <w:spacing w:line="240" w:lineRule="auto"/>
              <w:ind w:right="0" w:firstLine="240" w:firstLineChars="10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 xml:space="preserve">b. 排污许可证制度 </w:t>
            </w:r>
          </w:p>
          <w:p w14:paraId="482B9EE7">
            <w:pPr>
              <w:keepNext w:val="0"/>
              <w:keepLines w:val="0"/>
              <w:pageBreakBefore w:val="0"/>
              <w:widowControl/>
              <w:kinsoku/>
              <w:wordWrap/>
              <w:overflowPunct/>
              <w:topLinePunct w:val="0"/>
              <w:autoSpaceDE w:val="0"/>
              <w:autoSpaceDN w:val="0"/>
              <w:bidi w:val="0"/>
              <w:adjustRightInd/>
              <w:snapToGrid/>
              <w:spacing w:line="240" w:lineRule="auto"/>
              <w:ind w:right="0" w:firstLine="240" w:firstLineChars="10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 xml:space="preserve">根据《排污许可管理办法（试行）》（环境保护部令48号）的要求，排污单位应当依法持有排污许可证，并按照排污许可证的规定排放污染物；纳入固定污染源排污许可分类管理名录的企业事业单位和其他生产经营者（以下简称排污单位）应当按照规定的时限申请并取得排污许可证；未纳入固定污染源排污许可分类管理名录的排污单位，暂不需申请排污许可证。 </w:t>
            </w:r>
          </w:p>
          <w:p w14:paraId="5C8BF818">
            <w:pPr>
              <w:keepNext w:val="0"/>
              <w:keepLines w:val="0"/>
              <w:pageBreakBefore w:val="0"/>
              <w:widowControl/>
              <w:kinsoku/>
              <w:wordWrap/>
              <w:overflowPunct/>
              <w:topLinePunct w:val="0"/>
              <w:autoSpaceDE w:val="0"/>
              <w:autoSpaceDN w:val="0"/>
              <w:bidi w:val="0"/>
              <w:adjustRightInd/>
              <w:snapToGrid/>
              <w:spacing w:line="240" w:lineRule="auto"/>
              <w:ind w:right="0" w:firstLine="240" w:firstLineChars="10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根据《固定污染源排污许可分类管理名录（2019年版）》，国家根据排放污染物的企业事业单位和其他生产经营者（以下简称排污单位）污染物产生量、排放量、对环境的影响程度等因素，实行排污许可重点管理、简化管理和登记管理。</w:t>
            </w:r>
          </w:p>
          <w:p w14:paraId="4D4F9FFC">
            <w:pPr>
              <w:keepNext w:val="0"/>
              <w:keepLines w:val="0"/>
              <w:pageBreakBefore w:val="0"/>
              <w:widowControl/>
              <w:kinsoku/>
              <w:wordWrap/>
              <w:overflowPunct/>
              <w:topLinePunct w:val="0"/>
              <w:autoSpaceDE w:val="0"/>
              <w:autoSpaceDN w:val="0"/>
              <w:bidi w:val="0"/>
              <w:adjustRightInd/>
              <w:snapToGrid/>
              <w:spacing w:line="240" w:lineRule="auto"/>
              <w:ind w:right="0" w:firstLine="240" w:firstLineChars="10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本项目属于</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C3399其他未列明金属制品制造</w:t>
            </w:r>
            <w:r>
              <w:rPr>
                <w:rFonts w:hint="default" w:ascii="Times New Roman" w:hAnsi="Times New Roman" w:eastAsia="宋体" w:cs="Times New Roman"/>
                <w:bCs/>
                <w:color w:val="000000" w:themeColor="text1"/>
                <w:sz w:val="24"/>
                <w:szCs w:val="24"/>
                <w:lang w:eastAsia="zh-CN"/>
                <w14:textFill>
                  <w14:solidFill>
                    <w14:schemeClr w14:val="tx1"/>
                  </w14:solidFill>
                </w14:textFill>
              </w:rPr>
              <w:t>铸造及其他金属制品制造339（除黑色金属铸造3391、有色金属铸造3392），</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不涉及</w:t>
            </w:r>
            <w:r>
              <w:rPr>
                <w:rFonts w:hint="default" w:ascii="Times New Roman" w:hAnsi="Times New Roman" w:eastAsia="宋体" w:cs="Times New Roman"/>
                <w:bCs/>
                <w:color w:val="000000" w:themeColor="text1"/>
                <w:sz w:val="24"/>
                <w:szCs w:val="24"/>
                <w:lang w:eastAsia="zh-CN"/>
                <w14:textFill>
                  <w14:solidFill>
                    <w14:schemeClr w14:val="tx1"/>
                  </w14:solidFill>
                </w14:textFill>
              </w:rPr>
              <w:t>通用工序</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eastAsia="zh-CN"/>
                <w14:textFill>
                  <w14:solidFill>
                    <w14:schemeClr w14:val="tx1"/>
                  </w14:solidFill>
                </w14:textFill>
              </w:rPr>
              <w:t>项目产品为</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铝箔复合膜、牛皮纸加筋铝箔制造，</w:t>
            </w:r>
            <w:r>
              <w:rPr>
                <w:rFonts w:hint="default" w:ascii="Times New Roman" w:hAnsi="Times New Roman" w:eastAsia="宋体" w:cs="Times New Roman"/>
                <w:bCs/>
                <w:color w:val="000000" w:themeColor="text1"/>
                <w:sz w:val="24"/>
                <w:szCs w:val="24"/>
                <w:lang w:eastAsia="zh-CN"/>
                <w14:textFill>
                  <w14:solidFill>
                    <w14:schemeClr w14:val="tx1"/>
                  </w14:solidFill>
                </w14:textFill>
              </w:rPr>
              <w:t>因此本项目排污许可实行登记管理。</w:t>
            </w:r>
          </w:p>
          <w:p w14:paraId="0BF08B89">
            <w:pPr>
              <w:keepNext w:val="0"/>
              <w:keepLines w:val="0"/>
              <w:pageBreakBefore w:val="0"/>
              <w:widowControl/>
              <w:kinsoku/>
              <w:wordWrap/>
              <w:overflowPunct/>
              <w:topLinePunct w:val="0"/>
              <w:autoSpaceDE w:val="0"/>
              <w:autoSpaceDN w:val="0"/>
              <w:bidi w:val="0"/>
              <w:adjustRightInd/>
              <w:snapToGrid/>
              <w:spacing w:line="240" w:lineRule="auto"/>
              <w:ind w:right="0" w:firstLine="240" w:firstLineChars="10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 xml:space="preserve">c. 环保台账制度 </w:t>
            </w:r>
          </w:p>
          <w:p w14:paraId="1C011E3D">
            <w:pPr>
              <w:keepNext w:val="0"/>
              <w:keepLines w:val="0"/>
              <w:pageBreakBefore w:val="0"/>
              <w:widowControl/>
              <w:kinsoku/>
              <w:wordWrap/>
              <w:overflowPunct/>
              <w:topLinePunct w:val="0"/>
              <w:autoSpaceDE w:val="0"/>
              <w:autoSpaceDN w:val="0"/>
              <w:bidi w:val="0"/>
              <w:adjustRightInd/>
              <w:snapToGrid/>
              <w:spacing w:line="240" w:lineRule="auto"/>
              <w:ind w:right="0" w:firstLine="240" w:firstLineChars="10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 xml:space="preserve">厂内需完善记录制度和档案保存制度，有利于环境管理质量的追踪和持续改进；记录和台帐包括设施运行和维护记录、危险废物进出台帐、废水、废气污染物监测台帐、突发性事件的处理、调查记录等，妥善保存所有记录、台帐及污染物排放监测资料、环境管理档案资料等。 </w:t>
            </w:r>
          </w:p>
          <w:p w14:paraId="33E646BF">
            <w:pPr>
              <w:keepNext w:val="0"/>
              <w:keepLines w:val="0"/>
              <w:pageBreakBefore w:val="0"/>
              <w:widowControl/>
              <w:kinsoku/>
              <w:wordWrap/>
              <w:overflowPunct/>
              <w:topLinePunct w:val="0"/>
              <w:autoSpaceDE w:val="0"/>
              <w:autoSpaceDN w:val="0"/>
              <w:bidi w:val="0"/>
              <w:adjustRightInd/>
              <w:snapToGrid/>
              <w:spacing w:line="240" w:lineRule="auto"/>
              <w:ind w:right="0" w:firstLine="240" w:firstLineChars="10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 xml:space="preserve">d. 污染治理设施管理制度 </w:t>
            </w:r>
          </w:p>
          <w:p w14:paraId="306928B6">
            <w:pPr>
              <w:keepNext w:val="0"/>
              <w:keepLines w:val="0"/>
              <w:pageBreakBefore w:val="0"/>
              <w:widowControl/>
              <w:kinsoku/>
              <w:wordWrap/>
              <w:overflowPunct/>
              <w:topLinePunct w:val="0"/>
              <w:autoSpaceDE w:val="0"/>
              <w:autoSpaceDN w:val="0"/>
              <w:bidi w:val="0"/>
              <w:adjustRightInd/>
              <w:snapToGrid/>
              <w:spacing w:line="240" w:lineRule="auto"/>
              <w:ind w:right="0" w:firstLine="240" w:firstLineChars="10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 xml:space="preserve">项目建成后，必须确保污染处理设施长期、稳定、有效地运行，不得擅自拆除或者闲置污染处理设施，不得故意不正常使用污染处理设施。污染处理设施的管理必须与生产经营活动一起纳入单位日常管理工作的范畴，落实责任人、操作人员、维修人员、运行经费、设备的备品备件、化学药剂和其他原辅材料。同时要建立岗位责任制、制定操作规程、建立管理台帐。 </w:t>
            </w:r>
          </w:p>
          <w:p w14:paraId="346B9B9C">
            <w:pPr>
              <w:keepNext w:val="0"/>
              <w:keepLines w:val="0"/>
              <w:pageBreakBefore w:val="0"/>
              <w:widowControl/>
              <w:kinsoku/>
              <w:wordWrap/>
              <w:overflowPunct/>
              <w:topLinePunct w:val="0"/>
              <w:autoSpaceDE w:val="0"/>
              <w:autoSpaceDN w:val="0"/>
              <w:bidi w:val="0"/>
              <w:adjustRightInd/>
              <w:snapToGrid/>
              <w:spacing w:line="240" w:lineRule="auto"/>
              <w:ind w:right="0" w:firstLine="240" w:firstLineChars="10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 xml:space="preserve">e. 固体废物环境保护制度 </w:t>
            </w:r>
          </w:p>
          <w:p w14:paraId="78B25A67">
            <w:pPr>
              <w:keepNext w:val="0"/>
              <w:keepLines w:val="0"/>
              <w:pageBreakBefore w:val="0"/>
              <w:widowControl/>
              <w:kinsoku/>
              <w:wordWrap/>
              <w:overflowPunct/>
              <w:topLinePunct w:val="0"/>
              <w:autoSpaceDE w:val="0"/>
              <w:autoSpaceDN w:val="0"/>
              <w:bidi w:val="0"/>
              <w:adjustRightInd/>
              <w:snapToGrid/>
              <w:spacing w:line="240" w:lineRule="auto"/>
              <w:ind w:right="0" w:firstLine="240" w:firstLineChars="10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建设单位应通过“安徽省危险废物动态管理信息系统”进行危险废物申报登记。将危险废物的实际产生、贮存、利用、处置等情况纳入生产记录，建立危险废物管理台账和企业内部产生和收集、贮存、转移等部门危险废物交接制度。</w:t>
            </w:r>
          </w:p>
          <w:p w14:paraId="397F2330">
            <w:pPr>
              <w:keepNext w:val="0"/>
              <w:keepLines w:val="0"/>
              <w:pageBreakBefore w:val="0"/>
              <w:widowControl/>
              <w:kinsoku/>
              <w:wordWrap/>
              <w:overflowPunct/>
              <w:topLinePunct w:val="0"/>
              <w:autoSpaceDE w:val="0"/>
              <w:autoSpaceDN w:val="0"/>
              <w:bidi w:val="0"/>
              <w:adjustRightInd/>
              <w:snapToGrid/>
              <w:spacing w:line="240" w:lineRule="auto"/>
              <w:ind w:right="0" w:firstLine="240" w:firstLineChars="10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 xml:space="preserve">明确建设单位为固体废物污染防治的责任主体，要求企业建立风险管理及应急救援体系，执行环境监测计划、转移联单管理制度及国家和省有关转移管理的相关规定、处置过程安全操作规程、人员培训考核制度、档案管理制度、 处置全过程管理制度等。 </w:t>
            </w:r>
          </w:p>
          <w:p w14:paraId="4847022D">
            <w:pPr>
              <w:keepNext w:val="0"/>
              <w:keepLines w:val="0"/>
              <w:pageBreakBefore w:val="0"/>
              <w:widowControl/>
              <w:kinsoku/>
              <w:wordWrap/>
              <w:overflowPunct/>
              <w:topLinePunct w:val="0"/>
              <w:autoSpaceDE w:val="0"/>
              <w:autoSpaceDN w:val="0"/>
              <w:bidi w:val="0"/>
              <w:adjustRightInd/>
              <w:snapToGrid/>
              <w:spacing w:line="240" w:lineRule="auto"/>
              <w:ind w:right="0" w:firstLine="240" w:firstLineChars="10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 xml:space="preserve">f. 报告制度 </w:t>
            </w:r>
          </w:p>
          <w:p w14:paraId="19706362">
            <w:pPr>
              <w:keepNext w:val="0"/>
              <w:keepLines w:val="0"/>
              <w:pageBreakBefore w:val="0"/>
              <w:widowControl/>
              <w:kinsoku/>
              <w:wordWrap/>
              <w:overflowPunct/>
              <w:topLinePunct w:val="0"/>
              <w:autoSpaceDE w:val="0"/>
              <w:autoSpaceDN w:val="0"/>
              <w:bidi w:val="0"/>
              <w:adjustRightInd/>
              <w:snapToGrid/>
              <w:spacing w:line="240" w:lineRule="auto"/>
              <w:ind w:right="0" w:firstLine="240" w:firstLineChars="10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执行</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年</w:t>
            </w:r>
            <w:r>
              <w:rPr>
                <w:rFonts w:hint="default" w:ascii="Times New Roman" w:hAnsi="Times New Roman" w:eastAsia="宋体" w:cs="Times New Roman"/>
                <w:bCs/>
                <w:color w:val="000000" w:themeColor="text1"/>
                <w:sz w:val="24"/>
                <w:szCs w:val="24"/>
                <w:lang w:eastAsia="zh-CN"/>
                <w14:textFill>
                  <w14:solidFill>
                    <w14:schemeClr w14:val="tx1"/>
                  </w14:solidFill>
                </w14:textFill>
              </w:rPr>
              <w:t>报制度。</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年</w:t>
            </w:r>
            <w:r>
              <w:rPr>
                <w:rFonts w:hint="default" w:ascii="Times New Roman" w:hAnsi="Times New Roman" w:eastAsia="宋体" w:cs="Times New Roman"/>
                <w:bCs/>
                <w:color w:val="000000" w:themeColor="text1"/>
                <w:sz w:val="24"/>
                <w:szCs w:val="24"/>
                <w:lang w:eastAsia="zh-CN"/>
                <w14:textFill>
                  <w14:solidFill>
                    <w14:schemeClr w14:val="tx1"/>
                  </w14:solidFill>
                </w14:textFill>
              </w:rPr>
              <w:t>报内容主要为污染治理设施的运行情况、污染物排放情况以及污染事故或污染纠纷等。厂内环境保护相关的所有记录、台帐及污染物排放监测资料、环境管理档案资料等应妥善保存并定期上报，发现污染因子超标，要在监测数据出来后以书面形式上报公司管理层，快速果断采取应对措施。</w:t>
            </w:r>
          </w:p>
          <w:p w14:paraId="5E35678C">
            <w:pPr>
              <w:keepNext w:val="0"/>
              <w:keepLines w:val="0"/>
              <w:pageBreakBefore w:val="0"/>
              <w:widowControl/>
              <w:kinsoku/>
              <w:wordWrap/>
              <w:overflowPunct/>
              <w:topLinePunct w:val="0"/>
              <w:autoSpaceDE w:val="0"/>
              <w:autoSpaceDN w:val="0"/>
              <w:bidi w:val="0"/>
              <w:adjustRightInd/>
              <w:snapToGrid/>
              <w:spacing w:line="240" w:lineRule="auto"/>
              <w:ind w:right="0" w:firstLine="240" w:firstLineChars="10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 xml:space="preserve">建设单位应定期向当地政府生态环境部门报告污染治理设施运行情况、污染物排放情况以及污染事故、污染纠纷等情况，便于生态环境部门和企业管理人员及时了解企业污染动态，利于采取相应的对策措施。本项目的性质、规模、地点、生产工艺和环境保护措施等发生变动的，必须向生态环境部门报告，并履行相关手续，如发生重大变动并且可能导致环境影响显著变化（特别是不利环境影响加重）的，应当重新报批环评。 </w:t>
            </w:r>
          </w:p>
          <w:p w14:paraId="7229B9A7">
            <w:pPr>
              <w:keepNext w:val="0"/>
              <w:keepLines w:val="0"/>
              <w:pageBreakBefore w:val="0"/>
              <w:widowControl/>
              <w:kinsoku/>
              <w:wordWrap/>
              <w:overflowPunct/>
              <w:topLinePunct w:val="0"/>
              <w:autoSpaceDE w:val="0"/>
              <w:autoSpaceDN w:val="0"/>
              <w:bidi w:val="0"/>
              <w:adjustRightInd/>
              <w:snapToGrid/>
              <w:spacing w:line="240" w:lineRule="auto"/>
              <w:ind w:right="0" w:firstLine="240" w:firstLineChars="10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按《建设项目环境保护管理条例》中第二十条和第二十三条规定，本项目在正式投产前，应向负责审批的生态环境部门提交“环境保护设施竣工验收告”，经验收合格后方可投产。</w:t>
            </w:r>
          </w:p>
          <w:p w14:paraId="21A78718">
            <w:pPr>
              <w:keepNext w:val="0"/>
              <w:keepLines w:val="0"/>
              <w:pageBreakBefore w:val="0"/>
              <w:widowControl/>
              <w:kinsoku/>
              <w:wordWrap/>
              <w:overflowPunct/>
              <w:topLinePunct w:val="0"/>
              <w:autoSpaceDE w:val="0"/>
              <w:autoSpaceDN w:val="0"/>
              <w:bidi w:val="0"/>
              <w:adjustRightInd/>
              <w:snapToGrid/>
              <w:spacing w:line="240" w:lineRule="auto"/>
              <w:ind w:right="0" w:firstLine="240" w:firstLineChars="10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g. 环保奖惩制度</w:t>
            </w:r>
          </w:p>
          <w:p w14:paraId="036DF872">
            <w:pPr>
              <w:keepNext w:val="0"/>
              <w:keepLines w:val="0"/>
              <w:pageBreakBefore w:val="0"/>
              <w:widowControl/>
              <w:kinsoku/>
              <w:wordWrap/>
              <w:overflowPunct/>
              <w:topLinePunct w:val="0"/>
              <w:autoSpaceDE w:val="0"/>
              <w:autoSpaceDN w:val="0"/>
              <w:bidi w:val="0"/>
              <w:adjustRightInd/>
              <w:snapToGrid/>
              <w:spacing w:line="240" w:lineRule="auto"/>
              <w:ind w:right="0" w:firstLine="240" w:firstLineChars="10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企业应加强宣传教育，提高员工的污染隐患意识和环境风险意识；制定员工参与环保技术培训的计划，提高员工技术素质水平；设立岗位实责制，制定严格的奖、罚制度。建议企业设置环境保护奖励条例，纳入人员考核体系。对爱护环保设施、节能降耗、改善环境者实行奖励；对环保观念淡薄、不按环保管理要求，造成环保设施损坏、环境污染及资源和能源浪费者一律处以重罚。</w:t>
            </w:r>
          </w:p>
          <w:p w14:paraId="52BE61BF">
            <w:pPr>
              <w:keepNext w:val="0"/>
              <w:keepLines w:val="0"/>
              <w:pageBreakBefore w:val="0"/>
              <w:widowControl/>
              <w:kinsoku/>
              <w:wordWrap/>
              <w:overflowPunct/>
              <w:topLinePunct w:val="0"/>
              <w:autoSpaceDE w:val="0"/>
              <w:autoSpaceDN w:val="0"/>
              <w:bidi w:val="0"/>
              <w:adjustRightInd/>
              <w:snapToGrid/>
              <w:spacing w:line="240" w:lineRule="auto"/>
              <w:ind w:right="0" w:firstLine="240" w:firstLineChars="10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h. 信息公开制度</w:t>
            </w:r>
          </w:p>
          <w:p w14:paraId="73BA29E9">
            <w:pPr>
              <w:keepNext w:val="0"/>
              <w:keepLines w:val="0"/>
              <w:pageBreakBefore w:val="0"/>
              <w:widowControl/>
              <w:kinsoku/>
              <w:wordWrap/>
              <w:overflowPunct/>
              <w:topLinePunct w:val="0"/>
              <w:autoSpaceDE w:val="0"/>
              <w:autoSpaceDN w:val="0"/>
              <w:bidi w:val="0"/>
              <w:adjustRightInd/>
              <w:snapToGrid/>
              <w:spacing w:line="240" w:lineRule="auto"/>
              <w:ind w:right="0" w:firstLine="240" w:firstLineChars="10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建设单位在环评编制、审批、排污许可证申请、竣工环保验收、正常运行等各阶段均应按照有关要求，通过网站或者其他便于公众知悉的方式，依法向社会公开本项目污染物排放清单，明确污染物排放的管理要求。包括工程组成及原辅材料组分要求，建设项目拟采取的环境保护措施及主要运行参数，排放的污染物种类、排放浓度和总量指标，排污口信息，执行的环境标准，环境风险防范措施以及环境监测等相关内容。</w:t>
            </w:r>
          </w:p>
          <w:p w14:paraId="2D5A0048">
            <w:pPr>
              <w:keepNext w:val="0"/>
              <w:keepLines w:val="0"/>
              <w:pageBreakBefore w:val="0"/>
              <w:widowControl/>
              <w:kinsoku/>
              <w:wordWrap/>
              <w:overflowPunct/>
              <w:topLinePunct w:val="0"/>
              <w:autoSpaceDE w:val="0"/>
              <w:autoSpaceDN w:val="0"/>
              <w:bidi w:val="0"/>
              <w:adjustRightInd/>
              <w:snapToGrid/>
              <w:spacing w:line="240" w:lineRule="auto"/>
              <w:ind w:right="0" w:firstLine="240" w:firstLineChars="10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③运营期环境管理</w:t>
            </w:r>
          </w:p>
          <w:p w14:paraId="1E6BCE1B">
            <w:pPr>
              <w:keepNext w:val="0"/>
              <w:keepLines w:val="0"/>
              <w:pageBreakBefore w:val="0"/>
              <w:widowControl/>
              <w:kinsoku/>
              <w:wordWrap/>
              <w:overflowPunct/>
              <w:topLinePunct w:val="0"/>
              <w:autoSpaceDE w:val="0"/>
              <w:autoSpaceDN w:val="0"/>
              <w:bidi w:val="0"/>
              <w:adjustRightInd/>
              <w:snapToGrid/>
              <w:spacing w:line="240" w:lineRule="auto"/>
              <w:ind w:right="0" w:firstLine="240" w:firstLineChars="10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 xml:space="preserve">本项目建成后，将对周围环境产生一定的影响，因此建设单位应在加强环境管理的同时，定期进行环境监测，以便及时了解本项目对环境造成影响的情况，并采取相应措施，消除不利因素，减轻环境污染，使各项环保措施落到实处，以期达到预定的目标。 </w:t>
            </w:r>
          </w:p>
          <w:p w14:paraId="6661CD09">
            <w:pPr>
              <w:keepNext w:val="0"/>
              <w:keepLines w:val="0"/>
              <w:pageBreakBefore w:val="0"/>
              <w:widowControl/>
              <w:kinsoku/>
              <w:wordWrap/>
              <w:overflowPunct/>
              <w:topLinePunct w:val="0"/>
              <w:autoSpaceDE w:val="0"/>
              <w:autoSpaceDN w:val="0"/>
              <w:bidi w:val="0"/>
              <w:adjustRightInd/>
              <w:snapToGrid/>
              <w:spacing w:line="240" w:lineRule="auto"/>
              <w:ind w:right="0" w:firstLine="240" w:firstLineChars="10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 xml:space="preserve">环境监测工作应包括污染源强（所有排污口）与环境质量状况两部分内容，对水、气、声等几方面进行监控，本项目的重点为废气及噪声。 </w:t>
            </w:r>
          </w:p>
          <w:p w14:paraId="12A09E24">
            <w:pPr>
              <w:keepNext w:val="0"/>
              <w:keepLines w:val="0"/>
              <w:pageBreakBefore w:val="0"/>
              <w:widowControl/>
              <w:kinsoku/>
              <w:wordWrap/>
              <w:overflowPunct/>
              <w:topLinePunct w:val="0"/>
              <w:autoSpaceDE w:val="0"/>
              <w:autoSpaceDN w:val="0"/>
              <w:bidi w:val="0"/>
              <w:adjustRightInd/>
              <w:snapToGrid/>
              <w:spacing w:line="240" w:lineRule="auto"/>
              <w:ind w:right="0" w:firstLine="240" w:firstLineChars="10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 xml:space="preserve">应注重监测数据的完整性和准确性，建立环保档案，搞好数据积累工作，监测结果定期向有关部门上报，发现问题及时解决，将环境监测与节能降耗、产品质量、生产安全等职能部门的工作相结合，为企业决策提供依据。 </w:t>
            </w:r>
          </w:p>
          <w:p w14:paraId="08BDB864">
            <w:pPr>
              <w:keepNext w:val="0"/>
              <w:keepLines w:val="0"/>
              <w:pageBreakBefore w:val="0"/>
              <w:widowControl/>
              <w:kinsoku/>
              <w:wordWrap/>
              <w:overflowPunct/>
              <w:topLinePunct w:val="0"/>
              <w:autoSpaceDE w:val="0"/>
              <w:autoSpaceDN w:val="0"/>
              <w:bidi w:val="0"/>
              <w:adjustRightInd/>
              <w:snapToGrid/>
              <w:spacing w:line="240" w:lineRule="auto"/>
              <w:ind w:right="0" w:firstLine="240" w:firstLineChars="10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 xml:space="preserve">对环保治理工程设施的运行状态与处理效果进行管理与监控。发现不正常排放或事故泄漏时应立即向环境管理者代表报告，并加强不正常事故排放期间的噪声、大气监测。环境管理代表除应立即采取事故排放的应急措施外，还应立即向当地环保主管部门报告。 </w:t>
            </w:r>
          </w:p>
          <w:p w14:paraId="10F6FD0C">
            <w:pPr>
              <w:keepNext w:val="0"/>
              <w:keepLines w:val="0"/>
              <w:pageBreakBefore w:val="0"/>
              <w:widowControl/>
              <w:kinsoku/>
              <w:wordWrap/>
              <w:overflowPunct/>
              <w:topLinePunct w:val="0"/>
              <w:autoSpaceDE w:val="0"/>
              <w:autoSpaceDN w:val="0"/>
              <w:bidi w:val="0"/>
              <w:adjustRightInd/>
              <w:snapToGrid/>
              <w:spacing w:line="240" w:lineRule="auto"/>
              <w:ind w:right="0" w:firstLine="240" w:firstLineChars="10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④环境管理建议</w:t>
            </w:r>
          </w:p>
          <w:p w14:paraId="7977CF2B">
            <w:pPr>
              <w:keepNext w:val="0"/>
              <w:keepLines w:val="0"/>
              <w:pageBreakBefore w:val="0"/>
              <w:widowControl/>
              <w:kinsoku/>
              <w:wordWrap/>
              <w:overflowPunct/>
              <w:topLinePunct w:val="0"/>
              <w:autoSpaceDE w:val="0"/>
              <w:autoSpaceDN w:val="0"/>
              <w:bidi w:val="0"/>
              <w:adjustRightInd/>
              <w:snapToGrid/>
              <w:spacing w:line="240" w:lineRule="auto"/>
              <w:ind w:right="0" w:firstLine="240" w:firstLineChars="100"/>
              <w:jc w:val="left"/>
              <w:textAlignment w:val="baseline"/>
              <w:outlineLvl w:val="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建设单位应加强项目的环境管理，按照本报告提出的污染防治措施和对策，制定出切实可行的环境污染防治办法和措施；做好环境教育和宣传工作，提高各级管理人员和操作人员的环境保护意识，加强员工对环境污染防治的责任性，自觉遵守和执行各项环境保护的规章制度；定期对环境保护设施进行维 护和保养，确保环境保护设施的正常运行，防止污染事故的发生；加强与环境保护管理部门的沟通，主动接受环境保护主管部门的管理、指导和监督。</w:t>
            </w:r>
          </w:p>
          <w:p w14:paraId="7CF28705">
            <w:pPr>
              <w:keepNext w:val="0"/>
              <w:keepLines w:val="0"/>
              <w:pageBreakBefore w:val="0"/>
              <w:widowControl/>
              <w:kinsoku/>
              <w:wordWrap/>
              <w:overflowPunct/>
              <w:topLinePunct w:val="0"/>
              <w:autoSpaceDE w:val="0"/>
              <w:autoSpaceDN w:val="0"/>
              <w:bidi w:val="0"/>
              <w:adjustRightInd/>
              <w:snapToGrid/>
              <w:spacing w:line="240" w:lineRule="auto"/>
              <w:ind w:right="0" w:firstLine="0" w:firstLineChars="0"/>
              <w:textAlignment w:val="baseline"/>
              <w:rPr>
                <w:rFonts w:hint="default" w:ascii="Times New Roman" w:hAnsi="Times New Roman" w:eastAsia="宋体" w:cs="Times New Roman"/>
                <w:color w:val="000000" w:themeColor="text1"/>
                <w:sz w:val="24"/>
                <w:szCs w:val="24"/>
                <w:lang w:eastAsia="zh-CN" w:bidi="ar"/>
                <w14:textFill>
                  <w14:solidFill>
                    <w14:schemeClr w14:val="tx1"/>
                  </w14:solidFill>
                </w14:textFill>
              </w:rPr>
            </w:pPr>
          </w:p>
          <w:p w14:paraId="485BDFFC">
            <w:pPr>
              <w:keepNext w:val="0"/>
              <w:keepLines w:val="0"/>
              <w:pageBreakBefore w:val="0"/>
              <w:widowControl/>
              <w:kinsoku/>
              <w:wordWrap/>
              <w:overflowPunct/>
              <w:topLinePunct w:val="0"/>
              <w:autoSpaceDE w:val="0"/>
              <w:autoSpaceDN w:val="0"/>
              <w:bidi w:val="0"/>
              <w:adjustRightInd/>
              <w:snapToGrid/>
              <w:spacing w:line="240" w:lineRule="auto"/>
              <w:ind w:right="0" w:firstLine="0" w:firstLineChars="0"/>
              <w:textAlignment w:val="baseline"/>
              <w:rPr>
                <w:rFonts w:hint="default" w:ascii="Times New Roman" w:hAnsi="Times New Roman" w:eastAsia="宋体" w:cs="Times New Roman"/>
                <w:color w:val="0000FF"/>
                <w:sz w:val="24"/>
                <w:szCs w:val="24"/>
                <w:lang w:eastAsia="zh-CN"/>
              </w:rPr>
            </w:pPr>
          </w:p>
          <w:p w14:paraId="07ACB046">
            <w:pPr>
              <w:keepNext w:val="0"/>
              <w:keepLines w:val="0"/>
              <w:pageBreakBefore w:val="0"/>
              <w:widowControl/>
              <w:kinsoku/>
              <w:wordWrap/>
              <w:overflowPunct/>
              <w:topLinePunct w:val="0"/>
              <w:autoSpaceDE w:val="0"/>
              <w:autoSpaceDN w:val="0"/>
              <w:bidi w:val="0"/>
              <w:adjustRightInd/>
              <w:snapToGrid/>
              <w:spacing w:line="240" w:lineRule="auto"/>
              <w:ind w:right="0" w:firstLine="0" w:firstLineChars="0"/>
              <w:textAlignment w:val="baseline"/>
              <w:rPr>
                <w:rFonts w:hint="default" w:ascii="Times New Roman" w:hAnsi="Times New Roman" w:eastAsia="宋体" w:cs="Times New Roman"/>
                <w:color w:val="0000FF"/>
                <w:sz w:val="24"/>
                <w:szCs w:val="24"/>
                <w:lang w:eastAsia="zh-CN"/>
              </w:rPr>
            </w:pPr>
          </w:p>
          <w:p w14:paraId="06F32C39">
            <w:pPr>
              <w:keepNext w:val="0"/>
              <w:keepLines w:val="0"/>
              <w:pageBreakBefore w:val="0"/>
              <w:widowControl/>
              <w:kinsoku/>
              <w:wordWrap/>
              <w:overflowPunct/>
              <w:topLinePunct w:val="0"/>
              <w:autoSpaceDE w:val="0"/>
              <w:autoSpaceDN w:val="0"/>
              <w:bidi w:val="0"/>
              <w:adjustRightInd/>
              <w:snapToGrid/>
              <w:spacing w:line="240" w:lineRule="auto"/>
              <w:ind w:right="0" w:firstLine="0" w:firstLineChars="0"/>
              <w:textAlignment w:val="baseline"/>
              <w:rPr>
                <w:rFonts w:hint="default" w:ascii="Times New Roman" w:hAnsi="Times New Roman" w:eastAsia="宋体" w:cs="Times New Roman"/>
                <w:color w:val="0000FF"/>
                <w:sz w:val="24"/>
                <w:szCs w:val="24"/>
                <w:lang w:eastAsia="zh-CN"/>
              </w:rPr>
            </w:pPr>
          </w:p>
          <w:p w14:paraId="554877D3">
            <w:pPr>
              <w:keepNext w:val="0"/>
              <w:keepLines w:val="0"/>
              <w:pageBreakBefore w:val="0"/>
              <w:widowControl/>
              <w:kinsoku/>
              <w:wordWrap/>
              <w:overflowPunct/>
              <w:topLinePunct w:val="0"/>
              <w:autoSpaceDE w:val="0"/>
              <w:autoSpaceDN w:val="0"/>
              <w:bidi w:val="0"/>
              <w:adjustRightInd/>
              <w:snapToGrid/>
              <w:spacing w:line="240" w:lineRule="auto"/>
              <w:ind w:right="0" w:firstLine="0" w:firstLineChars="0"/>
              <w:textAlignment w:val="baseline"/>
              <w:rPr>
                <w:rFonts w:hint="default" w:ascii="Times New Roman" w:hAnsi="Times New Roman" w:eastAsia="宋体" w:cs="Times New Roman"/>
                <w:color w:val="0000FF"/>
                <w:sz w:val="24"/>
                <w:szCs w:val="24"/>
                <w:lang w:eastAsia="zh-CN"/>
              </w:rPr>
            </w:pPr>
          </w:p>
        </w:tc>
      </w:tr>
    </w:tbl>
    <w:p w14:paraId="54FFA19D">
      <w:pPr>
        <w:pStyle w:val="24"/>
        <w:spacing w:before="0" w:beforeAutospacing="0"/>
        <w:jc w:val="center"/>
        <w:outlineLvl w:val="0"/>
        <w:rPr>
          <w:rFonts w:hint="default" w:ascii="Times New Roman" w:hAnsi="Times New Roman" w:eastAsia="宋体" w:cs="Times New Roman"/>
          <w:color w:val="0000FF"/>
          <w:sz w:val="30"/>
          <w:szCs w:val="30"/>
        </w:rPr>
      </w:pPr>
      <w:r>
        <w:rPr>
          <w:rFonts w:hint="default" w:ascii="Times New Roman" w:hAnsi="Times New Roman" w:eastAsia="宋体" w:cs="Times New Roman"/>
          <w:color w:val="0000FF"/>
          <w:sz w:val="24"/>
          <w:szCs w:val="24"/>
          <w:lang w:eastAsia="zh-CN"/>
        </w:rPr>
        <w:br w:type="page"/>
      </w:r>
      <w:r>
        <w:rPr>
          <w:rFonts w:hint="default" w:ascii="Times New Roman" w:hAnsi="Times New Roman" w:eastAsia="宋体" w:cs="Times New Roman"/>
          <w:color w:val="000000" w:themeColor="text1"/>
          <w:sz w:val="30"/>
          <w:szCs w:val="30"/>
          <w14:textFill>
            <w14:solidFill>
              <w14:schemeClr w14:val="tx1"/>
            </w14:solidFill>
          </w14:textFill>
        </w:rPr>
        <w:t>六、结论</w:t>
      </w:r>
    </w:p>
    <w:tbl>
      <w:tblPr>
        <w:tblStyle w:val="26"/>
        <w:tblW w:w="886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865"/>
      </w:tblGrid>
      <w:tr w14:paraId="754E53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1991" w:hRule="atLeast"/>
          <w:jc w:val="center"/>
        </w:trPr>
        <w:tc>
          <w:tcPr>
            <w:tcW w:w="8865" w:type="dxa"/>
            <w:tcBorders>
              <w:tl2br w:val="nil"/>
              <w:tr2bl w:val="nil"/>
            </w:tcBorders>
          </w:tcPr>
          <w:p w14:paraId="6DE7EBCF">
            <w:pPr>
              <w:adjustRightInd/>
              <w:snapToGrid/>
              <w:spacing w:line="360" w:lineRule="auto"/>
              <w:ind w:firstLine="480" w:firstLineChars="200"/>
              <w:rPr>
                <w:rFonts w:hint="default" w:ascii="Times New Roman" w:hAnsi="Times New Roman" w:eastAsia="宋体" w:cs="Times New Roman"/>
                <w:color w:val="0000FF"/>
                <w:sz w:val="24"/>
                <w:lang w:eastAsia="zh-CN"/>
              </w:rPr>
            </w:pPr>
            <w:r>
              <w:rPr>
                <w:rFonts w:hint="default" w:ascii="Times New Roman" w:hAnsi="Times New Roman" w:eastAsia="宋体" w:cs="Times New Roman"/>
                <w:color w:val="000000" w:themeColor="text1"/>
                <w:sz w:val="24"/>
                <w:lang w:eastAsia="zh-CN"/>
                <w14:textFill>
                  <w14:solidFill>
                    <w14:schemeClr w14:val="tx1"/>
                  </w14:solidFill>
                </w14:textFill>
              </w:rPr>
              <w:t>本项目的建设符合国家产业政策，符合</w:t>
            </w:r>
            <w:r>
              <w:rPr>
                <w:rFonts w:hint="default" w:ascii="Times New Roman" w:hAnsi="Times New Roman" w:eastAsia="宋体" w:cs="Times New Roman"/>
                <w:color w:val="000000" w:themeColor="text1"/>
                <w:sz w:val="24"/>
                <w14:textFill>
                  <w14:solidFill>
                    <w14:schemeClr w14:val="tx1"/>
                  </w14:solidFill>
                </w14:textFill>
              </w:rPr>
              <w:t>安徽宿州</w:t>
            </w:r>
            <w:r>
              <w:rPr>
                <w:rFonts w:hint="default" w:ascii="Times New Roman" w:hAnsi="Times New Roman" w:eastAsia="宋体" w:cs="Times New Roman"/>
                <w:color w:val="000000" w:themeColor="text1"/>
                <w:sz w:val="24"/>
                <w:lang w:eastAsia="zh-CN"/>
                <w14:textFill>
                  <w14:solidFill>
                    <w14:schemeClr w14:val="tx1"/>
                  </w14:solidFill>
                </w14:textFill>
              </w:rPr>
              <w:t>埇桥区经济开发区</w:t>
            </w:r>
            <w:r>
              <w:rPr>
                <w:rFonts w:hint="default" w:ascii="Times New Roman" w:hAnsi="Times New Roman" w:eastAsia="宋体" w:cs="Times New Roman"/>
                <w:color w:val="000000" w:themeColor="text1"/>
                <w:sz w:val="24"/>
                <w14:textFill>
                  <w14:solidFill>
                    <w14:schemeClr w14:val="tx1"/>
                  </w14:solidFill>
                </w14:textFill>
              </w:rPr>
              <w:t>规划</w:t>
            </w:r>
            <w:r>
              <w:rPr>
                <w:rFonts w:hint="default" w:ascii="Times New Roman" w:hAnsi="Times New Roman" w:eastAsia="宋体" w:cs="Times New Roman"/>
                <w:color w:val="000000" w:themeColor="text1"/>
                <w:sz w:val="24"/>
                <w:lang w:eastAsia="zh-CN"/>
                <w14:textFill>
                  <w14:solidFill>
                    <w14:schemeClr w14:val="tx1"/>
                  </w14:solidFill>
                </w14:textFill>
              </w:rPr>
              <w:t>和土地利用规划要求，符合“三线一单”管控要求；在实施了环评提出的污染治理措施后，排放污染物能达标排放，对区域环境质量影响较小；且有良好的社会、环境、经济综合效益。从环境影响角度看，</w:t>
            </w:r>
            <w:r>
              <w:rPr>
                <w:rFonts w:hint="default" w:ascii="Times New Roman" w:hAnsi="Times New Roman" w:eastAsia="宋体" w:cs="Times New Roman"/>
                <w:color w:val="000000" w:themeColor="text1"/>
                <w:sz w:val="24"/>
                <w:lang w:val="en-US" w:eastAsia="zh-CN"/>
                <w14:textFill>
                  <w14:solidFill>
                    <w14:schemeClr w14:val="tx1"/>
                  </w14:solidFill>
                </w14:textFill>
              </w:rPr>
              <w:t>建设项目环境影响可行</w:t>
            </w:r>
            <w:r>
              <w:rPr>
                <w:rFonts w:hint="default" w:ascii="Times New Roman" w:hAnsi="Times New Roman" w:eastAsia="宋体" w:cs="Times New Roman"/>
                <w:color w:val="000000" w:themeColor="text1"/>
                <w:sz w:val="24"/>
                <w:lang w:eastAsia="zh-CN"/>
                <w14:textFill>
                  <w14:solidFill>
                    <w14:schemeClr w14:val="tx1"/>
                  </w14:solidFill>
                </w14:textFill>
              </w:rPr>
              <w:t>。</w:t>
            </w:r>
          </w:p>
        </w:tc>
      </w:tr>
    </w:tbl>
    <w:p w14:paraId="7A8DC10D">
      <w:pPr>
        <w:pStyle w:val="12"/>
        <w:rPr>
          <w:rFonts w:hint="default" w:ascii="Times New Roman" w:hAnsi="Times New Roman" w:eastAsia="宋体" w:cs="Times New Roman"/>
          <w:color w:val="0000FF"/>
          <w:lang w:eastAsia="zh-CN"/>
        </w:rPr>
        <w:sectPr>
          <w:footerReference r:id="rId10" w:type="default"/>
          <w:pgSz w:w="11906" w:h="16838"/>
          <w:pgMar w:top="1440" w:right="1531" w:bottom="1440" w:left="1531" w:header="851" w:footer="992" w:gutter="0"/>
          <w:pgNumType w:fmt="decimal"/>
          <w:cols w:space="425" w:num="1"/>
          <w:docGrid w:type="lines" w:linePitch="312" w:charSpace="0"/>
        </w:sectPr>
      </w:pPr>
    </w:p>
    <w:p w14:paraId="21C4ED14">
      <w:pPr>
        <w:pStyle w:val="24"/>
        <w:spacing w:before="0" w:beforeAutospacing="0" w:after="0" w:afterAutospacing="0"/>
        <w:jc w:val="center"/>
        <w:rPr>
          <w:rFonts w:hint="default" w:ascii="Times New Roman" w:hAnsi="Times New Roman" w:eastAsia="宋体" w:cs="Times New Roman"/>
          <w:color w:val="000000" w:themeColor="text1"/>
          <w:sz w:val="38"/>
          <w:szCs w:val="38"/>
          <w:lang w:eastAsia="zh-CN"/>
          <w14:textFill>
            <w14:solidFill>
              <w14:schemeClr w14:val="tx1"/>
            </w14:solidFill>
          </w14:textFill>
        </w:rPr>
      </w:pPr>
      <w:r>
        <w:rPr>
          <w:rFonts w:hint="default" w:ascii="Times New Roman" w:hAnsi="Times New Roman" w:eastAsia="宋体" w:cs="Times New Roman"/>
          <w:color w:val="000000" w:themeColor="text1"/>
          <w:sz w:val="38"/>
          <w:szCs w:val="38"/>
          <w:lang w:eastAsia="zh-CN"/>
          <w14:textFill>
            <w14:solidFill>
              <w14:schemeClr w14:val="tx1"/>
            </w14:solidFill>
          </w14:textFill>
        </w:rPr>
        <w:t>建设项目污染物排放量汇总表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6"/>
        <w:gridCol w:w="2052"/>
        <w:gridCol w:w="1907"/>
        <w:gridCol w:w="1430"/>
        <w:gridCol w:w="1907"/>
        <w:gridCol w:w="1747"/>
        <w:gridCol w:w="1808"/>
        <w:gridCol w:w="1866"/>
        <w:gridCol w:w="1421"/>
      </w:tblGrid>
      <w:tr w14:paraId="16103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1316" w:type="dxa"/>
            <w:tcBorders>
              <w:tl2br w:val="nil"/>
              <w:tr2bl w:val="nil"/>
            </w:tcBorders>
            <w:tcMar>
              <w:left w:w="28" w:type="dxa"/>
              <w:right w:w="28" w:type="dxa"/>
            </w:tcMar>
            <w:vAlign w:val="center"/>
          </w:tcPr>
          <w:p w14:paraId="017DA00E">
            <w:pPr>
              <w:pStyle w:val="33"/>
              <w:spacing w:beforeLines="0" w:afterLines="0" w:line="240" w:lineRule="auto"/>
              <w:ind w:left="0" w:leftChars="0" w:firstLine="0" w:firstLineChars="0"/>
              <w:rPr>
                <w:rFonts w:hint="default" w:ascii="Times New Roman" w:hAnsi="Times New Roman" w:eastAsia="宋体" w:cs="Times New Roman"/>
                <w:b/>
                <w:bCs/>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b/>
                <w:bCs/>
                <w:color w:val="000000" w:themeColor="text1"/>
                <w:spacing w:val="-6"/>
                <w:kern w:val="21"/>
                <w:sz w:val="24"/>
                <w:szCs w:val="24"/>
                <w14:textFill>
                  <w14:solidFill>
                    <w14:schemeClr w14:val="tx1"/>
                  </w14:solidFill>
                </w14:textFill>
              </w:rPr>
              <w:t>项目分类</w:t>
            </w:r>
          </w:p>
        </w:tc>
        <w:tc>
          <w:tcPr>
            <w:tcW w:w="2052" w:type="dxa"/>
            <w:tcBorders>
              <w:tl2br w:val="nil"/>
              <w:tr2bl w:val="nil"/>
            </w:tcBorders>
            <w:tcMar>
              <w:left w:w="28" w:type="dxa"/>
              <w:right w:w="28" w:type="dxa"/>
            </w:tcMar>
            <w:vAlign w:val="center"/>
          </w:tcPr>
          <w:p w14:paraId="66C5CBE3">
            <w:pPr>
              <w:pStyle w:val="33"/>
              <w:spacing w:beforeLines="0" w:afterLines="0" w:line="240" w:lineRule="auto"/>
              <w:ind w:left="0" w:leftChars="0" w:firstLine="0" w:firstLineChars="0"/>
              <w:rPr>
                <w:rFonts w:hint="default" w:ascii="Times New Roman" w:hAnsi="Times New Roman" w:eastAsia="宋体" w:cs="Times New Roman"/>
                <w:b/>
                <w:bCs/>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b/>
                <w:bCs/>
                <w:color w:val="000000" w:themeColor="text1"/>
                <w:spacing w:val="-6"/>
                <w:kern w:val="21"/>
                <w:sz w:val="24"/>
                <w:szCs w:val="24"/>
                <w14:textFill>
                  <w14:solidFill>
                    <w14:schemeClr w14:val="tx1"/>
                  </w14:solidFill>
                </w14:textFill>
              </w:rPr>
              <w:t>污染物名称</w:t>
            </w:r>
          </w:p>
        </w:tc>
        <w:tc>
          <w:tcPr>
            <w:tcW w:w="1907" w:type="dxa"/>
            <w:tcBorders>
              <w:tl2br w:val="nil"/>
              <w:tr2bl w:val="nil"/>
            </w:tcBorders>
            <w:tcMar>
              <w:left w:w="28" w:type="dxa"/>
              <w:right w:w="28" w:type="dxa"/>
            </w:tcMar>
            <w:vAlign w:val="center"/>
          </w:tcPr>
          <w:p w14:paraId="6ED7879A">
            <w:pPr>
              <w:pStyle w:val="33"/>
              <w:spacing w:beforeLines="0" w:afterLines="0" w:line="240" w:lineRule="auto"/>
              <w:ind w:left="0" w:leftChars="0" w:firstLine="0" w:firstLineChars="0"/>
              <w:rPr>
                <w:rFonts w:hint="default" w:ascii="Times New Roman" w:hAnsi="Times New Roman" w:eastAsia="宋体" w:cs="Times New Roman"/>
                <w:b/>
                <w:bCs/>
                <w:color w:val="000000" w:themeColor="text1"/>
                <w:spacing w:val="-6"/>
                <w:kern w:val="2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6"/>
                <w:kern w:val="21"/>
                <w:sz w:val="24"/>
                <w:szCs w:val="24"/>
                <w:lang w:eastAsia="zh-CN"/>
                <w14:textFill>
                  <w14:solidFill>
                    <w14:schemeClr w14:val="tx1"/>
                  </w14:solidFill>
                </w14:textFill>
              </w:rPr>
              <w:t>现有工程</w:t>
            </w:r>
          </w:p>
          <w:p w14:paraId="5D7A0718">
            <w:pPr>
              <w:pStyle w:val="33"/>
              <w:spacing w:beforeLines="0" w:afterLines="0" w:line="240" w:lineRule="auto"/>
              <w:ind w:left="0" w:leftChars="0" w:firstLine="0" w:firstLineChars="0"/>
              <w:rPr>
                <w:rFonts w:hint="default" w:ascii="Times New Roman" w:hAnsi="Times New Roman" w:eastAsia="宋体" w:cs="Times New Roman"/>
                <w:b/>
                <w:bCs/>
                <w:color w:val="000000" w:themeColor="text1"/>
                <w:spacing w:val="-6"/>
                <w:kern w:val="2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6"/>
                <w:kern w:val="21"/>
                <w:sz w:val="24"/>
                <w:szCs w:val="24"/>
                <w:lang w:eastAsia="zh-CN"/>
                <w14:textFill>
                  <w14:solidFill>
                    <w14:schemeClr w14:val="tx1"/>
                  </w14:solidFill>
                </w14:textFill>
              </w:rPr>
              <w:t>排放量（固体废物产生量）</w:t>
            </w:r>
            <w:r>
              <w:rPr>
                <w:rFonts w:hint="default" w:ascii="Times New Roman" w:hAnsi="Times New Roman" w:eastAsia="宋体" w:cs="Times New Roman"/>
                <w:b/>
                <w:bCs/>
                <w:color w:val="000000" w:themeColor="text1"/>
                <w:spacing w:val="-6"/>
                <w:kern w:val="21"/>
                <w:sz w:val="24"/>
                <w:szCs w:val="24"/>
                <w14:textFill>
                  <w14:solidFill>
                    <w14:schemeClr w14:val="tx1"/>
                  </w14:solidFill>
                </w14:textFill>
              </w:rPr>
              <w:fldChar w:fldCharType="begin"/>
            </w:r>
            <w:r>
              <w:rPr>
                <w:rFonts w:hint="default" w:ascii="Times New Roman" w:hAnsi="Times New Roman" w:eastAsia="宋体" w:cs="Times New Roman"/>
                <w:b/>
                <w:bCs/>
                <w:color w:val="000000" w:themeColor="text1"/>
                <w:spacing w:val="-6"/>
                <w:kern w:val="21"/>
                <w:sz w:val="24"/>
                <w:szCs w:val="24"/>
                <w:lang w:eastAsia="zh-CN"/>
                <w14:textFill>
                  <w14:solidFill>
                    <w14:schemeClr w14:val="tx1"/>
                  </w14:solidFill>
                </w14:textFill>
              </w:rPr>
              <w:instrText xml:space="preserve"> = 1 \* GB3 \* MERGEFORMAT </w:instrText>
            </w:r>
            <w:r>
              <w:rPr>
                <w:rFonts w:hint="default" w:ascii="Times New Roman" w:hAnsi="Times New Roman" w:eastAsia="宋体" w:cs="Times New Roman"/>
                <w:b/>
                <w:bCs/>
                <w:color w:val="000000" w:themeColor="text1"/>
                <w:spacing w:val="-6"/>
                <w:kern w:val="21"/>
                <w:sz w:val="24"/>
                <w:szCs w:val="24"/>
                <w14:textFill>
                  <w14:solidFill>
                    <w14:schemeClr w14:val="tx1"/>
                  </w14:solidFill>
                </w14:textFill>
              </w:rPr>
              <w:fldChar w:fldCharType="separate"/>
            </w:r>
            <w:r>
              <w:rPr>
                <w:rFonts w:hint="default" w:ascii="Times New Roman" w:hAnsi="Times New Roman" w:eastAsia="宋体" w:cs="Times New Roman"/>
                <w:b/>
                <w:bCs/>
                <w:color w:val="000000" w:themeColor="text1"/>
                <w:kern w:val="2"/>
                <w:sz w:val="24"/>
                <w:szCs w:val="24"/>
                <w:lang w:eastAsia="zh-CN"/>
                <w14:textFill>
                  <w14:solidFill>
                    <w14:schemeClr w14:val="tx1"/>
                  </w14:solidFill>
                </w14:textFill>
              </w:rPr>
              <w:t>①</w:t>
            </w:r>
            <w:r>
              <w:rPr>
                <w:rFonts w:hint="default" w:ascii="Times New Roman" w:hAnsi="Times New Roman" w:eastAsia="宋体" w:cs="Times New Roman"/>
                <w:b/>
                <w:bCs/>
                <w:color w:val="000000" w:themeColor="text1"/>
                <w:spacing w:val="-6"/>
                <w:kern w:val="21"/>
                <w:sz w:val="24"/>
                <w:szCs w:val="24"/>
                <w14:textFill>
                  <w14:solidFill>
                    <w14:schemeClr w14:val="tx1"/>
                  </w14:solidFill>
                </w14:textFill>
              </w:rPr>
              <w:fldChar w:fldCharType="end"/>
            </w:r>
          </w:p>
        </w:tc>
        <w:tc>
          <w:tcPr>
            <w:tcW w:w="1430" w:type="dxa"/>
            <w:tcBorders>
              <w:tl2br w:val="nil"/>
              <w:tr2bl w:val="nil"/>
            </w:tcBorders>
            <w:tcMar>
              <w:left w:w="28" w:type="dxa"/>
              <w:right w:w="28" w:type="dxa"/>
            </w:tcMar>
            <w:vAlign w:val="center"/>
          </w:tcPr>
          <w:p w14:paraId="2D6F1024">
            <w:pPr>
              <w:pStyle w:val="33"/>
              <w:spacing w:beforeLines="0" w:afterLines="0" w:line="240" w:lineRule="auto"/>
              <w:ind w:left="0" w:leftChars="0" w:firstLine="0" w:firstLineChars="0"/>
              <w:rPr>
                <w:rFonts w:hint="default" w:ascii="Times New Roman" w:hAnsi="Times New Roman" w:eastAsia="宋体" w:cs="Times New Roman"/>
                <w:b/>
                <w:bCs/>
                <w:color w:val="000000" w:themeColor="text1"/>
                <w:spacing w:val="-6"/>
                <w:kern w:val="2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6"/>
                <w:kern w:val="21"/>
                <w:sz w:val="24"/>
                <w:szCs w:val="24"/>
                <w:lang w:eastAsia="zh-CN"/>
                <w14:textFill>
                  <w14:solidFill>
                    <w14:schemeClr w14:val="tx1"/>
                  </w14:solidFill>
                </w14:textFill>
              </w:rPr>
              <w:t>现有工程</w:t>
            </w:r>
          </w:p>
          <w:p w14:paraId="18CB088D">
            <w:pPr>
              <w:pStyle w:val="33"/>
              <w:spacing w:beforeLines="0" w:afterLines="0" w:line="240" w:lineRule="auto"/>
              <w:ind w:left="0" w:leftChars="0" w:firstLine="0" w:firstLineChars="0"/>
              <w:rPr>
                <w:rFonts w:hint="default" w:ascii="Times New Roman" w:hAnsi="Times New Roman" w:eastAsia="宋体" w:cs="Times New Roman"/>
                <w:b/>
                <w:bCs/>
                <w:color w:val="000000" w:themeColor="text1"/>
                <w:spacing w:val="-6"/>
                <w:kern w:val="2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6"/>
                <w:kern w:val="21"/>
                <w:sz w:val="24"/>
                <w:szCs w:val="24"/>
                <w:lang w:eastAsia="zh-CN"/>
                <w14:textFill>
                  <w14:solidFill>
                    <w14:schemeClr w14:val="tx1"/>
                  </w14:solidFill>
                </w14:textFill>
              </w:rPr>
              <w:t>许可排放量</w:t>
            </w:r>
          </w:p>
          <w:p w14:paraId="4013CA09">
            <w:pPr>
              <w:pStyle w:val="33"/>
              <w:spacing w:beforeLines="0" w:afterLines="0" w:line="240" w:lineRule="auto"/>
              <w:ind w:left="0" w:leftChars="0" w:firstLine="0" w:firstLineChars="0"/>
              <w:rPr>
                <w:rFonts w:hint="default" w:ascii="Times New Roman" w:hAnsi="Times New Roman" w:eastAsia="宋体" w:cs="Times New Roman"/>
                <w:b/>
                <w:bCs/>
                <w:color w:val="000000" w:themeColor="text1"/>
                <w:spacing w:val="-6"/>
                <w:kern w:val="2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6"/>
                <w:kern w:val="21"/>
                <w:sz w:val="24"/>
                <w:szCs w:val="24"/>
                <w14:textFill>
                  <w14:solidFill>
                    <w14:schemeClr w14:val="tx1"/>
                  </w14:solidFill>
                </w14:textFill>
              </w:rPr>
              <w:fldChar w:fldCharType="begin"/>
            </w:r>
            <w:r>
              <w:rPr>
                <w:rFonts w:hint="default" w:ascii="Times New Roman" w:hAnsi="Times New Roman" w:eastAsia="宋体" w:cs="Times New Roman"/>
                <w:b/>
                <w:bCs/>
                <w:color w:val="000000" w:themeColor="text1"/>
                <w:spacing w:val="-6"/>
                <w:kern w:val="21"/>
                <w:sz w:val="24"/>
                <w:szCs w:val="24"/>
                <w:lang w:eastAsia="zh-CN"/>
                <w14:textFill>
                  <w14:solidFill>
                    <w14:schemeClr w14:val="tx1"/>
                  </w14:solidFill>
                </w14:textFill>
              </w:rPr>
              <w:instrText xml:space="preserve"> = 2 \* GB3 \* MERGEFORMAT </w:instrText>
            </w:r>
            <w:r>
              <w:rPr>
                <w:rFonts w:hint="default" w:ascii="Times New Roman" w:hAnsi="Times New Roman" w:eastAsia="宋体" w:cs="Times New Roman"/>
                <w:b/>
                <w:bCs/>
                <w:color w:val="000000" w:themeColor="text1"/>
                <w:spacing w:val="-6"/>
                <w:kern w:val="21"/>
                <w:sz w:val="24"/>
                <w:szCs w:val="24"/>
                <w14:textFill>
                  <w14:solidFill>
                    <w14:schemeClr w14:val="tx1"/>
                  </w14:solidFill>
                </w14:textFill>
              </w:rPr>
              <w:fldChar w:fldCharType="separate"/>
            </w:r>
            <w:r>
              <w:rPr>
                <w:rFonts w:hint="default" w:ascii="Times New Roman" w:hAnsi="Times New Roman" w:eastAsia="宋体" w:cs="Times New Roman"/>
                <w:b/>
                <w:bCs/>
                <w:color w:val="000000" w:themeColor="text1"/>
                <w:spacing w:val="-6"/>
                <w:kern w:val="21"/>
                <w:sz w:val="24"/>
                <w:szCs w:val="24"/>
                <w:lang w:eastAsia="zh-CN"/>
                <w14:textFill>
                  <w14:solidFill>
                    <w14:schemeClr w14:val="tx1"/>
                  </w14:solidFill>
                </w14:textFill>
              </w:rPr>
              <w:t>②</w:t>
            </w:r>
            <w:r>
              <w:rPr>
                <w:rFonts w:hint="default" w:ascii="Times New Roman" w:hAnsi="Times New Roman" w:eastAsia="宋体" w:cs="Times New Roman"/>
                <w:b/>
                <w:bCs/>
                <w:color w:val="000000" w:themeColor="text1"/>
                <w:spacing w:val="-6"/>
                <w:kern w:val="21"/>
                <w:sz w:val="24"/>
                <w:szCs w:val="24"/>
                <w14:textFill>
                  <w14:solidFill>
                    <w14:schemeClr w14:val="tx1"/>
                  </w14:solidFill>
                </w14:textFill>
              </w:rPr>
              <w:fldChar w:fldCharType="end"/>
            </w:r>
          </w:p>
        </w:tc>
        <w:tc>
          <w:tcPr>
            <w:tcW w:w="1907" w:type="dxa"/>
            <w:tcBorders>
              <w:tl2br w:val="nil"/>
              <w:tr2bl w:val="nil"/>
            </w:tcBorders>
            <w:tcMar>
              <w:left w:w="28" w:type="dxa"/>
              <w:right w:w="28" w:type="dxa"/>
            </w:tcMar>
            <w:vAlign w:val="center"/>
          </w:tcPr>
          <w:p w14:paraId="523A99AE">
            <w:pPr>
              <w:pStyle w:val="33"/>
              <w:spacing w:beforeLines="0" w:afterLines="0" w:line="240" w:lineRule="auto"/>
              <w:ind w:left="0" w:leftChars="0" w:firstLine="0" w:firstLineChars="0"/>
              <w:rPr>
                <w:rFonts w:hint="default" w:ascii="Times New Roman" w:hAnsi="Times New Roman" w:eastAsia="宋体" w:cs="Times New Roman"/>
                <w:b/>
                <w:bCs/>
                <w:color w:val="000000" w:themeColor="text1"/>
                <w:spacing w:val="-6"/>
                <w:kern w:val="2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6"/>
                <w:kern w:val="21"/>
                <w:sz w:val="24"/>
                <w:szCs w:val="24"/>
                <w:lang w:eastAsia="zh-CN"/>
                <w14:textFill>
                  <w14:solidFill>
                    <w14:schemeClr w14:val="tx1"/>
                  </w14:solidFill>
                </w14:textFill>
              </w:rPr>
              <w:t>在建工程</w:t>
            </w:r>
          </w:p>
          <w:p w14:paraId="2D267CF5">
            <w:pPr>
              <w:pStyle w:val="33"/>
              <w:spacing w:beforeLines="0" w:afterLines="0" w:line="240" w:lineRule="auto"/>
              <w:ind w:left="0" w:leftChars="0" w:firstLine="0" w:firstLineChars="0"/>
              <w:rPr>
                <w:rFonts w:hint="default" w:ascii="Times New Roman" w:hAnsi="Times New Roman" w:eastAsia="宋体" w:cs="Times New Roman"/>
                <w:b/>
                <w:bCs/>
                <w:color w:val="000000" w:themeColor="text1"/>
                <w:spacing w:val="-6"/>
                <w:kern w:val="2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6"/>
                <w:kern w:val="21"/>
                <w:sz w:val="24"/>
                <w:szCs w:val="24"/>
                <w:lang w:eastAsia="zh-CN"/>
                <w14:textFill>
                  <w14:solidFill>
                    <w14:schemeClr w14:val="tx1"/>
                  </w14:solidFill>
                </w14:textFill>
              </w:rPr>
              <w:t>排放量（固体废物产生量）</w:t>
            </w:r>
            <w:r>
              <w:rPr>
                <w:rFonts w:hint="default" w:ascii="Times New Roman" w:hAnsi="Times New Roman" w:eastAsia="宋体" w:cs="Times New Roman"/>
                <w:b/>
                <w:bCs/>
                <w:color w:val="000000" w:themeColor="text1"/>
                <w:spacing w:val="-6"/>
                <w:kern w:val="21"/>
                <w:sz w:val="24"/>
                <w:szCs w:val="24"/>
                <w14:textFill>
                  <w14:solidFill>
                    <w14:schemeClr w14:val="tx1"/>
                  </w14:solidFill>
                </w14:textFill>
              </w:rPr>
              <w:fldChar w:fldCharType="begin"/>
            </w:r>
            <w:r>
              <w:rPr>
                <w:rFonts w:hint="default" w:ascii="Times New Roman" w:hAnsi="Times New Roman" w:eastAsia="宋体" w:cs="Times New Roman"/>
                <w:b/>
                <w:bCs/>
                <w:color w:val="000000" w:themeColor="text1"/>
                <w:spacing w:val="-6"/>
                <w:kern w:val="21"/>
                <w:sz w:val="24"/>
                <w:szCs w:val="24"/>
                <w:lang w:eastAsia="zh-CN"/>
                <w14:textFill>
                  <w14:solidFill>
                    <w14:schemeClr w14:val="tx1"/>
                  </w14:solidFill>
                </w14:textFill>
              </w:rPr>
              <w:instrText xml:space="preserve"> = 3 \* GB3 \* MERGEFORMAT </w:instrText>
            </w:r>
            <w:r>
              <w:rPr>
                <w:rFonts w:hint="default" w:ascii="Times New Roman" w:hAnsi="Times New Roman" w:eastAsia="宋体" w:cs="Times New Roman"/>
                <w:b/>
                <w:bCs/>
                <w:color w:val="000000" w:themeColor="text1"/>
                <w:spacing w:val="-6"/>
                <w:kern w:val="21"/>
                <w:sz w:val="24"/>
                <w:szCs w:val="24"/>
                <w14:textFill>
                  <w14:solidFill>
                    <w14:schemeClr w14:val="tx1"/>
                  </w14:solidFill>
                </w14:textFill>
              </w:rPr>
              <w:fldChar w:fldCharType="separate"/>
            </w:r>
            <w:r>
              <w:rPr>
                <w:rFonts w:hint="default" w:ascii="Times New Roman" w:hAnsi="Times New Roman" w:eastAsia="宋体" w:cs="Times New Roman"/>
                <w:b/>
                <w:bCs/>
                <w:color w:val="000000" w:themeColor="text1"/>
                <w:kern w:val="2"/>
                <w:sz w:val="24"/>
                <w:szCs w:val="24"/>
                <w:lang w:eastAsia="zh-CN"/>
                <w14:textFill>
                  <w14:solidFill>
                    <w14:schemeClr w14:val="tx1"/>
                  </w14:solidFill>
                </w14:textFill>
              </w:rPr>
              <w:t>③</w:t>
            </w:r>
            <w:r>
              <w:rPr>
                <w:rFonts w:hint="default" w:ascii="Times New Roman" w:hAnsi="Times New Roman" w:eastAsia="宋体" w:cs="Times New Roman"/>
                <w:b/>
                <w:bCs/>
                <w:color w:val="000000" w:themeColor="text1"/>
                <w:spacing w:val="-6"/>
                <w:kern w:val="21"/>
                <w:sz w:val="24"/>
                <w:szCs w:val="24"/>
                <w14:textFill>
                  <w14:solidFill>
                    <w14:schemeClr w14:val="tx1"/>
                  </w14:solidFill>
                </w14:textFill>
              </w:rPr>
              <w:fldChar w:fldCharType="end"/>
            </w:r>
          </w:p>
        </w:tc>
        <w:tc>
          <w:tcPr>
            <w:tcW w:w="1747" w:type="dxa"/>
            <w:tcBorders>
              <w:tl2br w:val="nil"/>
              <w:tr2bl w:val="nil"/>
            </w:tcBorders>
            <w:tcMar>
              <w:left w:w="28" w:type="dxa"/>
              <w:right w:w="28" w:type="dxa"/>
            </w:tcMar>
            <w:vAlign w:val="center"/>
          </w:tcPr>
          <w:p w14:paraId="38948730">
            <w:pPr>
              <w:pStyle w:val="33"/>
              <w:spacing w:beforeLines="0" w:afterLines="0" w:line="240" w:lineRule="auto"/>
              <w:ind w:left="0" w:leftChars="0" w:firstLine="0" w:firstLineChars="0"/>
              <w:rPr>
                <w:rFonts w:hint="default" w:ascii="Times New Roman" w:hAnsi="Times New Roman" w:eastAsia="宋体" w:cs="Times New Roman"/>
                <w:b/>
                <w:bCs/>
                <w:color w:val="000000" w:themeColor="text1"/>
                <w:spacing w:val="-6"/>
                <w:kern w:val="2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6"/>
                <w:kern w:val="21"/>
                <w:sz w:val="24"/>
                <w:szCs w:val="24"/>
                <w:lang w:eastAsia="zh-CN"/>
                <w14:textFill>
                  <w14:solidFill>
                    <w14:schemeClr w14:val="tx1"/>
                  </w14:solidFill>
                </w14:textFill>
              </w:rPr>
              <w:t>本项目</w:t>
            </w:r>
          </w:p>
          <w:p w14:paraId="35132184">
            <w:pPr>
              <w:pStyle w:val="33"/>
              <w:spacing w:beforeLines="0" w:afterLines="0" w:line="240" w:lineRule="auto"/>
              <w:ind w:left="0" w:leftChars="0" w:firstLine="0" w:firstLineChars="0"/>
              <w:rPr>
                <w:rFonts w:hint="default" w:ascii="Times New Roman" w:hAnsi="Times New Roman" w:eastAsia="宋体" w:cs="Times New Roman"/>
                <w:b/>
                <w:bCs/>
                <w:color w:val="000000" w:themeColor="text1"/>
                <w:spacing w:val="-6"/>
                <w:kern w:val="2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6"/>
                <w:kern w:val="21"/>
                <w:sz w:val="24"/>
                <w:szCs w:val="24"/>
                <w:lang w:eastAsia="zh-CN"/>
                <w14:textFill>
                  <w14:solidFill>
                    <w14:schemeClr w14:val="tx1"/>
                  </w14:solidFill>
                </w14:textFill>
              </w:rPr>
              <w:t>排放量（固体废物产生量）</w:t>
            </w:r>
            <w:r>
              <w:rPr>
                <w:rFonts w:hint="default" w:ascii="Times New Roman" w:hAnsi="Times New Roman" w:eastAsia="宋体" w:cs="Times New Roman"/>
                <w:b/>
                <w:bCs/>
                <w:color w:val="000000" w:themeColor="text1"/>
                <w:spacing w:val="-6"/>
                <w:kern w:val="21"/>
                <w:sz w:val="24"/>
                <w:szCs w:val="24"/>
                <w14:textFill>
                  <w14:solidFill>
                    <w14:schemeClr w14:val="tx1"/>
                  </w14:solidFill>
                </w14:textFill>
              </w:rPr>
              <w:fldChar w:fldCharType="begin"/>
            </w:r>
            <w:r>
              <w:rPr>
                <w:rFonts w:hint="default" w:ascii="Times New Roman" w:hAnsi="Times New Roman" w:eastAsia="宋体" w:cs="Times New Roman"/>
                <w:b/>
                <w:bCs/>
                <w:color w:val="000000" w:themeColor="text1"/>
                <w:spacing w:val="-6"/>
                <w:kern w:val="21"/>
                <w:sz w:val="24"/>
                <w:szCs w:val="24"/>
                <w:lang w:eastAsia="zh-CN"/>
                <w14:textFill>
                  <w14:solidFill>
                    <w14:schemeClr w14:val="tx1"/>
                  </w14:solidFill>
                </w14:textFill>
              </w:rPr>
              <w:instrText xml:space="preserve"> = 4 \* GB3 \* MERGEFORMAT </w:instrText>
            </w:r>
            <w:r>
              <w:rPr>
                <w:rFonts w:hint="default" w:ascii="Times New Roman" w:hAnsi="Times New Roman" w:eastAsia="宋体" w:cs="Times New Roman"/>
                <w:b/>
                <w:bCs/>
                <w:color w:val="000000" w:themeColor="text1"/>
                <w:spacing w:val="-6"/>
                <w:kern w:val="21"/>
                <w:sz w:val="24"/>
                <w:szCs w:val="24"/>
                <w14:textFill>
                  <w14:solidFill>
                    <w14:schemeClr w14:val="tx1"/>
                  </w14:solidFill>
                </w14:textFill>
              </w:rPr>
              <w:fldChar w:fldCharType="separate"/>
            </w:r>
            <w:r>
              <w:rPr>
                <w:rFonts w:hint="default" w:ascii="Times New Roman" w:hAnsi="Times New Roman" w:eastAsia="宋体" w:cs="Times New Roman"/>
                <w:b/>
                <w:bCs/>
                <w:color w:val="000000" w:themeColor="text1"/>
                <w:kern w:val="2"/>
                <w:sz w:val="24"/>
                <w:szCs w:val="24"/>
                <w:lang w:eastAsia="zh-CN"/>
                <w14:textFill>
                  <w14:solidFill>
                    <w14:schemeClr w14:val="tx1"/>
                  </w14:solidFill>
                </w14:textFill>
              </w:rPr>
              <w:t>④</w:t>
            </w:r>
            <w:r>
              <w:rPr>
                <w:rFonts w:hint="default" w:ascii="Times New Roman" w:hAnsi="Times New Roman" w:eastAsia="宋体" w:cs="Times New Roman"/>
                <w:b/>
                <w:bCs/>
                <w:color w:val="000000" w:themeColor="text1"/>
                <w:spacing w:val="-6"/>
                <w:kern w:val="21"/>
                <w:sz w:val="24"/>
                <w:szCs w:val="24"/>
                <w14:textFill>
                  <w14:solidFill>
                    <w14:schemeClr w14:val="tx1"/>
                  </w14:solidFill>
                </w14:textFill>
              </w:rPr>
              <w:fldChar w:fldCharType="end"/>
            </w:r>
          </w:p>
        </w:tc>
        <w:tc>
          <w:tcPr>
            <w:tcW w:w="1808" w:type="dxa"/>
            <w:tcBorders>
              <w:tl2br w:val="nil"/>
              <w:tr2bl w:val="nil"/>
            </w:tcBorders>
            <w:tcMar>
              <w:left w:w="28" w:type="dxa"/>
              <w:right w:w="28" w:type="dxa"/>
            </w:tcMar>
            <w:vAlign w:val="center"/>
          </w:tcPr>
          <w:p w14:paraId="39F9A011">
            <w:pPr>
              <w:pStyle w:val="33"/>
              <w:spacing w:beforeLines="0" w:afterLines="0" w:line="240" w:lineRule="auto"/>
              <w:ind w:left="0" w:leftChars="0" w:firstLine="0" w:firstLineChars="0"/>
              <w:rPr>
                <w:rFonts w:hint="default" w:ascii="Times New Roman" w:hAnsi="Times New Roman" w:eastAsia="宋体" w:cs="Times New Roman"/>
                <w:b/>
                <w:bCs/>
                <w:color w:val="000000" w:themeColor="text1"/>
                <w:spacing w:val="-16"/>
                <w:kern w:val="2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16"/>
                <w:kern w:val="21"/>
                <w:sz w:val="24"/>
                <w:szCs w:val="24"/>
                <w:lang w:eastAsia="zh-CN"/>
                <w14:textFill>
                  <w14:solidFill>
                    <w14:schemeClr w14:val="tx1"/>
                  </w14:solidFill>
                </w14:textFill>
              </w:rPr>
              <w:t>以新带老削减量</w:t>
            </w:r>
          </w:p>
          <w:p w14:paraId="387E8138">
            <w:pPr>
              <w:pStyle w:val="33"/>
              <w:spacing w:beforeLines="0" w:afterLines="0" w:line="240" w:lineRule="auto"/>
              <w:ind w:left="0" w:leftChars="0" w:firstLine="0" w:firstLineChars="0"/>
              <w:rPr>
                <w:rFonts w:hint="default" w:ascii="Times New Roman" w:hAnsi="Times New Roman" w:eastAsia="宋体" w:cs="Times New Roman"/>
                <w:b/>
                <w:bCs/>
                <w:color w:val="000000" w:themeColor="text1"/>
                <w:spacing w:val="-16"/>
                <w:kern w:val="2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16"/>
                <w:kern w:val="21"/>
                <w:sz w:val="24"/>
                <w:szCs w:val="24"/>
                <w:lang w:eastAsia="zh-CN"/>
                <w14:textFill>
                  <w14:solidFill>
                    <w14:schemeClr w14:val="tx1"/>
                  </w14:solidFill>
                </w14:textFill>
              </w:rPr>
              <w:t>（新建项目不填）</w:t>
            </w:r>
            <w:r>
              <w:rPr>
                <w:rFonts w:hint="default" w:ascii="Times New Roman" w:hAnsi="Times New Roman" w:eastAsia="宋体" w:cs="Times New Roman"/>
                <w:b/>
                <w:bCs/>
                <w:color w:val="000000" w:themeColor="text1"/>
                <w:spacing w:val="-16"/>
                <w:kern w:val="21"/>
                <w:sz w:val="24"/>
                <w:szCs w:val="24"/>
                <w14:textFill>
                  <w14:solidFill>
                    <w14:schemeClr w14:val="tx1"/>
                  </w14:solidFill>
                </w14:textFill>
              </w:rPr>
              <w:fldChar w:fldCharType="begin"/>
            </w:r>
            <w:r>
              <w:rPr>
                <w:rFonts w:hint="default" w:ascii="Times New Roman" w:hAnsi="Times New Roman" w:eastAsia="宋体" w:cs="Times New Roman"/>
                <w:b/>
                <w:bCs/>
                <w:color w:val="000000" w:themeColor="text1"/>
                <w:spacing w:val="-16"/>
                <w:kern w:val="21"/>
                <w:sz w:val="24"/>
                <w:szCs w:val="24"/>
                <w:lang w:eastAsia="zh-CN"/>
                <w14:textFill>
                  <w14:solidFill>
                    <w14:schemeClr w14:val="tx1"/>
                  </w14:solidFill>
                </w14:textFill>
              </w:rPr>
              <w:instrText xml:space="preserve"> = 5 \* GB3 \* MERGEFORMAT </w:instrText>
            </w:r>
            <w:r>
              <w:rPr>
                <w:rFonts w:hint="default" w:ascii="Times New Roman" w:hAnsi="Times New Roman" w:eastAsia="宋体" w:cs="Times New Roman"/>
                <w:b/>
                <w:bCs/>
                <w:color w:val="000000" w:themeColor="text1"/>
                <w:spacing w:val="-16"/>
                <w:kern w:val="21"/>
                <w:sz w:val="24"/>
                <w:szCs w:val="24"/>
                <w14:textFill>
                  <w14:solidFill>
                    <w14:schemeClr w14:val="tx1"/>
                  </w14:solidFill>
                </w14:textFill>
              </w:rPr>
              <w:fldChar w:fldCharType="separate"/>
            </w:r>
            <w:r>
              <w:rPr>
                <w:rFonts w:hint="default" w:ascii="Times New Roman" w:hAnsi="Times New Roman" w:eastAsia="宋体" w:cs="Times New Roman"/>
                <w:b/>
                <w:bCs/>
                <w:color w:val="000000" w:themeColor="text1"/>
                <w:kern w:val="2"/>
                <w:sz w:val="24"/>
                <w:szCs w:val="24"/>
                <w:lang w:eastAsia="zh-CN"/>
                <w14:textFill>
                  <w14:solidFill>
                    <w14:schemeClr w14:val="tx1"/>
                  </w14:solidFill>
                </w14:textFill>
              </w:rPr>
              <w:t>⑤</w:t>
            </w:r>
            <w:r>
              <w:rPr>
                <w:rFonts w:hint="default" w:ascii="Times New Roman" w:hAnsi="Times New Roman" w:eastAsia="宋体" w:cs="Times New Roman"/>
                <w:b/>
                <w:bCs/>
                <w:color w:val="000000" w:themeColor="text1"/>
                <w:spacing w:val="-16"/>
                <w:kern w:val="21"/>
                <w:sz w:val="24"/>
                <w:szCs w:val="24"/>
                <w14:textFill>
                  <w14:solidFill>
                    <w14:schemeClr w14:val="tx1"/>
                  </w14:solidFill>
                </w14:textFill>
              </w:rPr>
              <w:fldChar w:fldCharType="end"/>
            </w:r>
          </w:p>
        </w:tc>
        <w:tc>
          <w:tcPr>
            <w:tcW w:w="1866" w:type="dxa"/>
            <w:tcBorders>
              <w:tl2br w:val="nil"/>
              <w:tr2bl w:val="nil"/>
            </w:tcBorders>
            <w:tcMar>
              <w:left w:w="28" w:type="dxa"/>
              <w:right w:w="28" w:type="dxa"/>
            </w:tcMar>
            <w:vAlign w:val="center"/>
          </w:tcPr>
          <w:p w14:paraId="68302166">
            <w:pPr>
              <w:pStyle w:val="33"/>
              <w:spacing w:beforeLines="0" w:afterLines="0" w:line="240" w:lineRule="auto"/>
              <w:ind w:left="0" w:leftChars="0" w:firstLine="0" w:firstLineChars="0"/>
              <w:rPr>
                <w:rFonts w:hint="default" w:ascii="Times New Roman" w:hAnsi="Times New Roman" w:eastAsia="宋体" w:cs="Times New Roman"/>
                <w:b/>
                <w:bCs/>
                <w:color w:val="000000" w:themeColor="text1"/>
                <w:spacing w:val="-16"/>
                <w:kern w:val="2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16"/>
                <w:kern w:val="21"/>
                <w:sz w:val="24"/>
                <w:szCs w:val="24"/>
                <w:lang w:eastAsia="zh-CN"/>
                <w14:textFill>
                  <w14:solidFill>
                    <w14:schemeClr w14:val="tx1"/>
                  </w14:solidFill>
                </w14:textFill>
              </w:rPr>
              <w:t>本项目建成后</w:t>
            </w:r>
          </w:p>
          <w:p w14:paraId="197E4104">
            <w:pPr>
              <w:pStyle w:val="33"/>
              <w:spacing w:beforeLines="0" w:afterLines="0" w:line="240" w:lineRule="auto"/>
              <w:ind w:left="0" w:leftChars="0" w:firstLine="0" w:firstLineChars="0"/>
              <w:rPr>
                <w:rFonts w:hint="default" w:ascii="Times New Roman" w:hAnsi="Times New Roman" w:eastAsia="宋体" w:cs="Times New Roman"/>
                <w:b/>
                <w:bCs/>
                <w:color w:val="000000" w:themeColor="text1"/>
                <w:spacing w:val="-16"/>
                <w:kern w:val="2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16"/>
                <w:kern w:val="21"/>
                <w:sz w:val="24"/>
                <w:szCs w:val="24"/>
                <w:lang w:eastAsia="zh-CN"/>
                <w14:textFill>
                  <w14:solidFill>
                    <w14:schemeClr w14:val="tx1"/>
                  </w14:solidFill>
                </w14:textFill>
              </w:rPr>
              <w:t>全厂排放量（固体废物产生量）</w:t>
            </w:r>
            <w:r>
              <w:rPr>
                <w:rFonts w:hint="default" w:ascii="Times New Roman" w:hAnsi="Times New Roman" w:eastAsia="宋体" w:cs="Times New Roman"/>
                <w:b/>
                <w:bCs/>
                <w:color w:val="000000" w:themeColor="text1"/>
                <w:spacing w:val="-16"/>
                <w:kern w:val="21"/>
                <w:sz w:val="24"/>
                <w:szCs w:val="24"/>
                <w14:textFill>
                  <w14:solidFill>
                    <w14:schemeClr w14:val="tx1"/>
                  </w14:solidFill>
                </w14:textFill>
              </w:rPr>
              <w:fldChar w:fldCharType="begin"/>
            </w:r>
            <w:r>
              <w:rPr>
                <w:rFonts w:hint="default" w:ascii="Times New Roman" w:hAnsi="Times New Roman" w:eastAsia="宋体" w:cs="Times New Roman"/>
                <w:b/>
                <w:bCs/>
                <w:color w:val="000000" w:themeColor="text1"/>
                <w:spacing w:val="-16"/>
                <w:kern w:val="21"/>
                <w:sz w:val="24"/>
                <w:szCs w:val="24"/>
                <w:lang w:eastAsia="zh-CN"/>
                <w14:textFill>
                  <w14:solidFill>
                    <w14:schemeClr w14:val="tx1"/>
                  </w14:solidFill>
                </w14:textFill>
              </w:rPr>
              <w:instrText xml:space="preserve"> = 6 \* GB3 \* MERGEFORMAT </w:instrText>
            </w:r>
            <w:r>
              <w:rPr>
                <w:rFonts w:hint="default" w:ascii="Times New Roman" w:hAnsi="Times New Roman" w:eastAsia="宋体" w:cs="Times New Roman"/>
                <w:b/>
                <w:bCs/>
                <w:color w:val="000000" w:themeColor="text1"/>
                <w:spacing w:val="-16"/>
                <w:kern w:val="21"/>
                <w:sz w:val="24"/>
                <w:szCs w:val="24"/>
                <w14:textFill>
                  <w14:solidFill>
                    <w14:schemeClr w14:val="tx1"/>
                  </w14:solidFill>
                </w14:textFill>
              </w:rPr>
              <w:fldChar w:fldCharType="separate"/>
            </w:r>
            <w:r>
              <w:rPr>
                <w:rFonts w:hint="default" w:ascii="Times New Roman" w:hAnsi="Times New Roman" w:eastAsia="宋体" w:cs="Times New Roman"/>
                <w:b/>
                <w:bCs/>
                <w:color w:val="000000" w:themeColor="text1"/>
                <w:kern w:val="2"/>
                <w:sz w:val="24"/>
                <w:szCs w:val="24"/>
                <w:lang w:eastAsia="zh-CN"/>
                <w14:textFill>
                  <w14:solidFill>
                    <w14:schemeClr w14:val="tx1"/>
                  </w14:solidFill>
                </w14:textFill>
              </w:rPr>
              <w:t>⑥</w:t>
            </w:r>
            <w:r>
              <w:rPr>
                <w:rFonts w:hint="default" w:ascii="Times New Roman" w:hAnsi="Times New Roman" w:eastAsia="宋体" w:cs="Times New Roman"/>
                <w:b/>
                <w:bCs/>
                <w:color w:val="000000" w:themeColor="text1"/>
                <w:spacing w:val="-16"/>
                <w:kern w:val="21"/>
                <w:sz w:val="24"/>
                <w:szCs w:val="24"/>
                <w14:textFill>
                  <w14:solidFill>
                    <w14:schemeClr w14:val="tx1"/>
                  </w14:solidFill>
                </w14:textFill>
              </w:rPr>
              <w:fldChar w:fldCharType="end"/>
            </w:r>
          </w:p>
        </w:tc>
        <w:tc>
          <w:tcPr>
            <w:tcW w:w="1421" w:type="dxa"/>
            <w:tcBorders>
              <w:tl2br w:val="nil"/>
              <w:tr2bl w:val="nil"/>
            </w:tcBorders>
            <w:tcMar>
              <w:left w:w="28" w:type="dxa"/>
              <w:right w:w="28" w:type="dxa"/>
            </w:tcMar>
            <w:vAlign w:val="center"/>
          </w:tcPr>
          <w:p w14:paraId="1B90ECB4">
            <w:pPr>
              <w:pStyle w:val="33"/>
              <w:spacing w:beforeLines="0" w:afterLines="0" w:line="240" w:lineRule="auto"/>
              <w:ind w:left="0" w:leftChars="0" w:firstLine="0" w:firstLineChars="0"/>
              <w:rPr>
                <w:rFonts w:hint="default" w:ascii="Times New Roman" w:hAnsi="Times New Roman" w:eastAsia="宋体" w:cs="Times New Roman"/>
                <w:b/>
                <w:bCs/>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b/>
                <w:bCs/>
                <w:color w:val="000000" w:themeColor="text1"/>
                <w:spacing w:val="-6"/>
                <w:kern w:val="21"/>
                <w:sz w:val="24"/>
                <w:szCs w:val="24"/>
                <w14:textFill>
                  <w14:solidFill>
                    <w14:schemeClr w14:val="tx1"/>
                  </w14:solidFill>
                </w14:textFill>
              </w:rPr>
              <w:t>变化量</w:t>
            </w:r>
          </w:p>
          <w:p w14:paraId="21D57C5A">
            <w:pPr>
              <w:pStyle w:val="33"/>
              <w:spacing w:beforeLines="0" w:afterLines="0" w:line="240" w:lineRule="auto"/>
              <w:ind w:left="0" w:leftChars="0" w:firstLine="0" w:firstLineChars="0"/>
              <w:rPr>
                <w:rFonts w:hint="default" w:ascii="Times New Roman" w:hAnsi="Times New Roman" w:eastAsia="宋体" w:cs="Times New Roman"/>
                <w:b/>
                <w:bCs/>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b/>
                <w:bCs/>
                <w:color w:val="000000" w:themeColor="text1"/>
                <w:spacing w:val="-6"/>
                <w:kern w:val="21"/>
                <w:sz w:val="24"/>
                <w:szCs w:val="24"/>
                <w14:textFill>
                  <w14:solidFill>
                    <w14:schemeClr w14:val="tx1"/>
                  </w14:solidFill>
                </w14:textFill>
              </w:rPr>
              <w:fldChar w:fldCharType="begin"/>
            </w:r>
            <w:r>
              <w:rPr>
                <w:rFonts w:hint="default" w:ascii="Times New Roman" w:hAnsi="Times New Roman" w:eastAsia="宋体" w:cs="Times New Roman"/>
                <w:b/>
                <w:bCs/>
                <w:color w:val="000000" w:themeColor="text1"/>
                <w:spacing w:val="-6"/>
                <w:kern w:val="21"/>
                <w:sz w:val="24"/>
                <w:szCs w:val="24"/>
                <w14:textFill>
                  <w14:solidFill>
                    <w14:schemeClr w14:val="tx1"/>
                  </w14:solidFill>
                </w14:textFill>
              </w:rPr>
              <w:instrText xml:space="preserve"> = 7 \* GB3 \* MERGEFORMAT </w:instrText>
            </w:r>
            <w:r>
              <w:rPr>
                <w:rFonts w:hint="default" w:ascii="Times New Roman" w:hAnsi="Times New Roman" w:eastAsia="宋体" w:cs="Times New Roman"/>
                <w:b/>
                <w:bCs/>
                <w:color w:val="000000" w:themeColor="text1"/>
                <w:spacing w:val="-6"/>
                <w:kern w:val="21"/>
                <w:sz w:val="24"/>
                <w:szCs w:val="24"/>
                <w14:textFill>
                  <w14:solidFill>
                    <w14:schemeClr w14:val="tx1"/>
                  </w14:solidFill>
                </w14:textFill>
              </w:rPr>
              <w:fldChar w:fldCharType="separate"/>
            </w:r>
            <w:r>
              <w:rPr>
                <w:rFonts w:hint="default" w:ascii="Times New Roman" w:hAnsi="Times New Roman" w:eastAsia="宋体" w:cs="Times New Roman"/>
                <w:b/>
                <w:bCs/>
                <w:color w:val="000000" w:themeColor="text1"/>
                <w:kern w:val="2"/>
                <w:sz w:val="24"/>
                <w:szCs w:val="24"/>
                <w14:textFill>
                  <w14:solidFill>
                    <w14:schemeClr w14:val="tx1"/>
                  </w14:solidFill>
                </w14:textFill>
              </w:rPr>
              <w:t>⑦</w:t>
            </w:r>
            <w:r>
              <w:rPr>
                <w:rFonts w:hint="default" w:ascii="Times New Roman" w:hAnsi="Times New Roman" w:eastAsia="宋体" w:cs="Times New Roman"/>
                <w:b/>
                <w:bCs/>
                <w:color w:val="000000" w:themeColor="text1"/>
                <w:spacing w:val="-6"/>
                <w:kern w:val="21"/>
                <w:sz w:val="24"/>
                <w:szCs w:val="24"/>
                <w14:textFill>
                  <w14:solidFill>
                    <w14:schemeClr w14:val="tx1"/>
                  </w14:solidFill>
                </w14:textFill>
              </w:rPr>
              <w:fldChar w:fldCharType="end"/>
            </w:r>
          </w:p>
        </w:tc>
      </w:tr>
      <w:tr w14:paraId="12F12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exact"/>
          <w:jc w:val="center"/>
        </w:trPr>
        <w:tc>
          <w:tcPr>
            <w:tcW w:w="1316" w:type="dxa"/>
            <w:tcBorders>
              <w:tl2br w:val="nil"/>
              <w:tr2bl w:val="nil"/>
            </w:tcBorders>
            <w:vAlign w:val="center"/>
          </w:tcPr>
          <w:p w14:paraId="07F554C1">
            <w:pPr>
              <w:pStyle w:val="33"/>
              <w:spacing w:beforeLines="0" w:afterLines="0" w:line="240" w:lineRule="auto"/>
              <w:ind w:left="0" w:leftChars="0" w:firstLine="0" w:firstLineChars="0"/>
              <w:rPr>
                <w:rFonts w:hint="default" w:ascii="Times New Roman" w:hAnsi="Times New Roman" w:eastAsia="宋体" w:cs="Times New Roman"/>
                <w:color w:val="000000" w:themeColor="text1"/>
                <w:kern w:val="21"/>
                <w:sz w:val="24"/>
                <w:szCs w:val="24"/>
                <w14:textFill>
                  <w14:solidFill>
                    <w14:schemeClr w14:val="tx1"/>
                  </w14:solidFill>
                </w14:textFill>
              </w:rPr>
            </w:pPr>
            <w:r>
              <w:rPr>
                <w:rFonts w:hint="default" w:ascii="Times New Roman" w:hAnsi="Times New Roman" w:eastAsia="宋体" w:cs="Times New Roman"/>
                <w:color w:val="000000" w:themeColor="text1"/>
                <w:kern w:val="21"/>
                <w:sz w:val="24"/>
                <w:szCs w:val="24"/>
                <w14:textFill>
                  <w14:solidFill>
                    <w14:schemeClr w14:val="tx1"/>
                  </w14:solidFill>
                </w14:textFill>
              </w:rPr>
              <w:t>废气</w:t>
            </w:r>
          </w:p>
        </w:tc>
        <w:tc>
          <w:tcPr>
            <w:tcW w:w="2052" w:type="dxa"/>
            <w:tcBorders>
              <w:tl2br w:val="nil"/>
              <w:tr2bl w:val="nil"/>
            </w:tcBorders>
            <w:vAlign w:val="center"/>
          </w:tcPr>
          <w:p w14:paraId="69C12CA7">
            <w:pPr>
              <w:pStyle w:val="33"/>
              <w:spacing w:beforeLines="0" w:afterLines="0" w:line="240" w:lineRule="auto"/>
              <w:ind w:left="0" w:leftChars="0" w:firstLine="0" w:firstLineChars="0"/>
              <w:rPr>
                <w:rFonts w:hint="default" w:ascii="Times New Roman" w:hAnsi="Times New Roman" w:eastAsia="宋体" w:cs="Times New Roman"/>
                <w:color w:val="000000" w:themeColor="text1"/>
                <w:kern w:val="21"/>
                <w:sz w:val="24"/>
                <w:szCs w:val="24"/>
                <w14:textFill>
                  <w14:solidFill>
                    <w14:schemeClr w14:val="tx1"/>
                  </w14:solidFill>
                </w14:textFill>
              </w:rPr>
            </w:pPr>
            <w:r>
              <w:rPr>
                <w:rFonts w:hint="default" w:ascii="Times New Roman" w:hAnsi="Times New Roman" w:eastAsia="宋体" w:cs="Times New Roman"/>
                <w:color w:val="000000" w:themeColor="text1"/>
                <w:kern w:val="21"/>
                <w:sz w:val="24"/>
                <w:szCs w:val="24"/>
                <w14:textFill>
                  <w14:solidFill>
                    <w14:schemeClr w14:val="tx1"/>
                  </w14:solidFill>
                </w14:textFill>
              </w:rPr>
              <w:t>非甲烷总烃</w:t>
            </w:r>
          </w:p>
        </w:tc>
        <w:tc>
          <w:tcPr>
            <w:tcW w:w="1907" w:type="dxa"/>
            <w:tcBorders>
              <w:tl2br w:val="nil"/>
              <w:tr2bl w:val="nil"/>
            </w:tcBorders>
            <w:vAlign w:val="center"/>
          </w:tcPr>
          <w:p w14:paraId="32DAF9E1">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0.023</w:t>
            </w:r>
          </w:p>
        </w:tc>
        <w:tc>
          <w:tcPr>
            <w:tcW w:w="1430" w:type="dxa"/>
            <w:tcBorders>
              <w:tl2br w:val="nil"/>
              <w:tr2bl w:val="nil"/>
            </w:tcBorders>
            <w:shd w:val="clear" w:color="auto" w:fill="auto"/>
            <w:vAlign w:val="center"/>
          </w:tcPr>
          <w:p w14:paraId="15B10635">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1907" w:type="dxa"/>
            <w:tcBorders>
              <w:tl2br w:val="nil"/>
              <w:tr2bl w:val="nil"/>
            </w:tcBorders>
            <w:shd w:val="clear" w:color="auto" w:fill="auto"/>
            <w:vAlign w:val="center"/>
          </w:tcPr>
          <w:p w14:paraId="4347CE16">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1747" w:type="dxa"/>
            <w:tcBorders>
              <w:tl2br w:val="nil"/>
              <w:tr2bl w:val="nil"/>
            </w:tcBorders>
            <w:vAlign w:val="center"/>
          </w:tcPr>
          <w:p w14:paraId="34B9E9A0">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0.029</w:t>
            </w:r>
          </w:p>
        </w:tc>
        <w:tc>
          <w:tcPr>
            <w:tcW w:w="1808" w:type="dxa"/>
            <w:tcBorders>
              <w:tl2br w:val="nil"/>
              <w:tr2bl w:val="nil"/>
            </w:tcBorders>
            <w:vAlign w:val="center"/>
          </w:tcPr>
          <w:p w14:paraId="5B446B7A">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w:t>
            </w:r>
          </w:p>
        </w:tc>
        <w:tc>
          <w:tcPr>
            <w:tcW w:w="1866" w:type="dxa"/>
            <w:tcBorders>
              <w:tl2br w:val="nil"/>
              <w:tr2bl w:val="nil"/>
            </w:tcBorders>
            <w:vAlign w:val="center"/>
          </w:tcPr>
          <w:p w14:paraId="6ADC04AE">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0.052</w:t>
            </w:r>
          </w:p>
        </w:tc>
        <w:tc>
          <w:tcPr>
            <w:tcW w:w="1421" w:type="dxa"/>
            <w:tcBorders>
              <w:tl2br w:val="nil"/>
              <w:tr2bl w:val="nil"/>
            </w:tcBorders>
            <w:vAlign w:val="center"/>
          </w:tcPr>
          <w:p w14:paraId="15AC6D7E">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+0.029</w:t>
            </w:r>
          </w:p>
        </w:tc>
      </w:tr>
      <w:tr w14:paraId="45948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exact"/>
          <w:jc w:val="center"/>
        </w:trPr>
        <w:tc>
          <w:tcPr>
            <w:tcW w:w="1316" w:type="dxa"/>
            <w:vMerge w:val="restart"/>
            <w:tcBorders>
              <w:tl2br w:val="nil"/>
              <w:tr2bl w:val="nil"/>
            </w:tcBorders>
            <w:vAlign w:val="center"/>
          </w:tcPr>
          <w:p w14:paraId="566A3B15">
            <w:pPr>
              <w:pStyle w:val="33"/>
              <w:spacing w:beforeLines="0" w:afterLines="0" w:line="240" w:lineRule="auto"/>
              <w:ind w:left="0" w:leftChars="0" w:firstLine="0" w:firstLineChars="0"/>
              <w:rPr>
                <w:rFonts w:hint="default" w:ascii="Times New Roman" w:hAnsi="Times New Roman" w:eastAsia="宋体" w:cs="Times New Roman"/>
                <w:color w:val="000000" w:themeColor="text1"/>
                <w:kern w:val="21"/>
                <w:sz w:val="24"/>
                <w:szCs w:val="24"/>
                <w14:textFill>
                  <w14:solidFill>
                    <w14:schemeClr w14:val="tx1"/>
                  </w14:solidFill>
                </w14:textFill>
              </w:rPr>
            </w:pPr>
            <w:r>
              <w:rPr>
                <w:rFonts w:hint="default" w:ascii="Times New Roman" w:hAnsi="Times New Roman" w:eastAsia="宋体" w:cs="Times New Roman"/>
                <w:color w:val="000000" w:themeColor="text1"/>
                <w:kern w:val="21"/>
                <w:sz w:val="24"/>
                <w:szCs w:val="24"/>
                <w14:textFill>
                  <w14:solidFill>
                    <w14:schemeClr w14:val="tx1"/>
                  </w14:solidFill>
                </w14:textFill>
              </w:rPr>
              <w:t>废水</w:t>
            </w:r>
          </w:p>
        </w:tc>
        <w:tc>
          <w:tcPr>
            <w:tcW w:w="2052" w:type="dxa"/>
            <w:tcBorders>
              <w:tl2br w:val="nil"/>
              <w:tr2bl w:val="nil"/>
            </w:tcBorders>
            <w:vAlign w:val="center"/>
          </w:tcPr>
          <w:p w14:paraId="44697450">
            <w:pPr>
              <w:pStyle w:val="33"/>
              <w:spacing w:beforeLines="0" w:afterLines="0" w:line="240" w:lineRule="auto"/>
              <w:ind w:left="0" w:leftChars="0" w:firstLine="0" w:firstLineChars="0"/>
              <w:rPr>
                <w:rFonts w:hint="default" w:ascii="Times New Roman" w:hAnsi="Times New Roman" w:eastAsia="宋体" w:cs="Times New Roman"/>
                <w:color w:val="000000" w:themeColor="text1"/>
                <w:kern w:val="21"/>
                <w:sz w:val="24"/>
                <w:szCs w:val="24"/>
                <w:lang w:eastAsia="zh-CN"/>
                <w14:textFill>
                  <w14:solidFill>
                    <w14:schemeClr w14:val="tx1"/>
                  </w14:solidFill>
                </w14:textFill>
              </w:rPr>
            </w:pPr>
            <w:r>
              <w:rPr>
                <w:rFonts w:hint="default" w:ascii="Times New Roman" w:hAnsi="Times New Roman" w:eastAsia="宋体" w:cs="Times New Roman"/>
                <w:color w:val="000000" w:themeColor="text1"/>
                <w:kern w:val="21"/>
                <w:sz w:val="24"/>
                <w:szCs w:val="24"/>
                <w:lang w:eastAsia="zh-CN"/>
                <w14:textFill>
                  <w14:solidFill>
                    <w14:schemeClr w14:val="tx1"/>
                  </w14:solidFill>
                </w14:textFill>
              </w:rPr>
              <w:t>废水</w:t>
            </w:r>
          </w:p>
        </w:tc>
        <w:tc>
          <w:tcPr>
            <w:tcW w:w="1907" w:type="dxa"/>
            <w:tcBorders>
              <w:tl2br w:val="nil"/>
              <w:tr2bl w:val="nil"/>
            </w:tcBorders>
            <w:vAlign w:val="center"/>
          </w:tcPr>
          <w:p w14:paraId="1C9FF92E">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1134</w:t>
            </w:r>
          </w:p>
        </w:tc>
        <w:tc>
          <w:tcPr>
            <w:tcW w:w="1430" w:type="dxa"/>
            <w:tcBorders>
              <w:tl2br w:val="nil"/>
              <w:tr2bl w:val="nil"/>
            </w:tcBorders>
            <w:shd w:val="clear" w:color="auto" w:fill="auto"/>
            <w:vAlign w:val="center"/>
          </w:tcPr>
          <w:p w14:paraId="40272491">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1907" w:type="dxa"/>
            <w:tcBorders>
              <w:tl2br w:val="nil"/>
              <w:tr2bl w:val="nil"/>
            </w:tcBorders>
            <w:shd w:val="clear" w:color="auto" w:fill="auto"/>
            <w:vAlign w:val="center"/>
          </w:tcPr>
          <w:p w14:paraId="38B293C3">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1747" w:type="dxa"/>
            <w:tcBorders>
              <w:tl2br w:val="nil"/>
              <w:tr2bl w:val="nil"/>
            </w:tcBorders>
            <w:vAlign w:val="center"/>
          </w:tcPr>
          <w:p w14:paraId="35DB6573">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336</w:t>
            </w:r>
          </w:p>
        </w:tc>
        <w:tc>
          <w:tcPr>
            <w:tcW w:w="1808" w:type="dxa"/>
            <w:tcBorders>
              <w:tl2br w:val="nil"/>
              <w:tr2bl w:val="nil"/>
            </w:tcBorders>
            <w:shd w:val="clear" w:color="auto" w:fill="auto"/>
            <w:vAlign w:val="center"/>
          </w:tcPr>
          <w:p w14:paraId="3CCFBCCD">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1866" w:type="dxa"/>
            <w:tcBorders>
              <w:tl2br w:val="nil"/>
              <w:tr2bl w:val="nil"/>
            </w:tcBorders>
            <w:vAlign w:val="center"/>
          </w:tcPr>
          <w:p w14:paraId="088ADE04">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1470</w:t>
            </w:r>
          </w:p>
        </w:tc>
        <w:tc>
          <w:tcPr>
            <w:tcW w:w="1421" w:type="dxa"/>
            <w:tcBorders>
              <w:tl2br w:val="nil"/>
              <w:tr2bl w:val="nil"/>
            </w:tcBorders>
            <w:vAlign w:val="center"/>
          </w:tcPr>
          <w:p w14:paraId="5273F540">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+336</w:t>
            </w:r>
          </w:p>
        </w:tc>
      </w:tr>
      <w:tr w14:paraId="0D75F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exact"/>
          <w:jc w:val="center"/>
        </w:trPr>
        <w:tc>
          <w:tcPr>
            <w:tcW w:w="1316" w:type="dxa"/>
            <w:vMerge w:val="continue"/>
            <w:tcBorders>
              <w:tl2br w:val="nil"/>
              <w:tr2bl w:val="nil"/>
            </w:tcBorders>
            <w:vAlign w:val="center"/>
          </w:tcPr>
          <w:p w14:paraId="6D50D259">
            <w:pPr>
              <w:pStyle w:val="33"/>
              <w:spacing w:beforeLines="0" w:afterLines="0" w:line="240" w:lineRule="auto"/>
              <w:ind w:left="0" w:leftChars="0" w:firstLine="0" w:firstLineChars="0"/>
              <w:rPr>
                <w:rFonts w:hint="default" w:ascii="Times New Roman" w:hAnsi="Times New Roman" w:eastAsia="宋体" w:cs="Times New Roman"/>
                <w:color w:val="000000" w:themeColor="text1"/>
                <w:kern w:val="21"/>
                <w:sz w:val="24"/>
                <w:szCs w:val="24"/>
                <w14:textFill>
                  <w14:solidFill>
                    <w14:schemeClr w14:val="tx1"/>
                  </w14:solidFill>
                </w14:textFill>
              </w:rPr>
            </w:pPr>
          </w:p>
        </w:tc>
        <w:tc>
          <w:tcPr>
            <w:tcW w:w="2052" w:type="dxa"/>
            <w:tcBorders>
              <w:tl2br w:val="nil"/>
              <w:tr2bl w:val="nil"/>
            </w:tcBorders>
            <w:vAlign w:val="center"/>
          </w:tcPr>
          <w:p w14:paraId="50A2A089">
            <w:pPr>
              <w:pStyle w:val="33"/>
              <w:spacing w:beforeLines="0" w:afterLines="0" w:line="240" w:lineRule="auto"/>
              <w:ind w:left="0" w:leftChars="0" w:firstLine="0" w:firstLineChars="0"/>
              <w:rPr>
                <w:rFonts w:hint="default" w:ascii="Times New Roman" w:hAnsi="Times New Roman" w:eastAsia="宋体" w:cs="Times New Roman"/>
                <w:color w:val="000000" w:themeColor="text1"/>
                <w:kern w:val="21"/>
                <w:sz w:val="24"/>
                <w:szCs w:val="24"/>
                <w14:textFill>
                  <w14:solidFill>
                    <w14:schemeClr w14:val="tx1"/>
                  </w14:solidFill>
                </w14:textFill>
              </w:rPr>
            </w:pPr>
            <w:r>
              <w:rPr>
                <w:rFonts w:hint="default" w:ascii="Times New Roman" w:hAnsi="Times New Roman" w:eastAsia="宋体" w:cs="Times New Roman"/>
                <w:color w:val="000000" w:themeColor="text1"/>
                <w:kern w:val="21"/>
                <w:sz w:val="24"/>
                <w:szCs w:val="24"/>
                <w14:textFill>
                  <w14:solidFill>
                    <w14:schemeClr w14:val="tx1"/>
                  </w14:solidFill>
                </w14:textFill>
              </w:rPr>
              <w:t>COD</w:t>
            </w:r>
          </w:p>
        </w:tc>
        <w:tc>
          <w:tcPr>
            <w:tcW w:w="1907" w:type="dxa"/>
            <w:tcBorders>
              <w:tl2br w:val="nil"/>
              <w:tr2bl w:val="nil"/>
            </w:tcBorders>
            <w:shd w:val="clear" w:color="auto" w:fill="auto"/>
            <w:vAlign w:val="center"/>
          </w:tcPr>
          <w:p w14:paraId="09F57985">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0.34</w:t>
            </w:r>
          </w:p>
        </w:tc>
        <w:tc>
          <w:tcPr>
            <w:tcW w:w="1430" w:type="dxa"/>
            <w:tcBorders>
              <w:tl2br w:val="nil"/>
              <w:tr2bl w:val="nil"/>
            </w:tcBorders>
            <w:shd w:val="clear" w:color="auto" w:fill="auto"/>
            <w:vAlign w:val="center"/>
          </w:tcPr>
          <w:p w14:paraId="29439D50">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1907" w:type="dxa"/>
            <w:tcBorders>
              <w:tl2br w:val="nil"/>
              <w:tr2bl w:val="nil"/>
            </w:tcBorders>
            <w:shd w:val="clear" w:color="auto" w:fill="auto"/>
            <w:vAlign w:val="center"/>
          </w:tcPr>
          <w:p w14:paraId="21F6D02B">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1747" w:type="dxa"/>
            <w:tcBorders>
              <w:tl2br w:val="nil"/>
              <w:tr2bl w:val="nil"/>
            </w:tcBorders>
            <w:vAlign w:val="center"/>
          </w:tcPr>
          <w:p w14:paraId="149CCDC0">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0.101</w:t>
            </w:r>
          </w:p>
        </w:tc>
        <w:tc>
          <w:tcPr>
            <w:tcW w:w="1808" w:type="dxa"/>
            <w:tcBorders>
              <w:tl2br w:val="nil"/>
              <w:tr2bl w:val="nil"/>
            </w:tcBorders>
            <w:shd w:val="clear" w:color="auto" w:fill="auto"/>
            <w:vAlign w:val="center"/>
          </w:tcPr>
          <w:p w14:paraId="5E8E0734">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1866" w:type="dxa"/>
            <w:tcBorders>
              <w:tl2br w:val="nil"/>
              <w:tr2bl w:val="nil"/>
            </w:tcBorders>
            <w:vAlign w:val="center"/>
          </w:tcPr>
          <w:p w14:paraId="09B74889">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0.441</w:t>
            </w:r>
          </w:p>
        </w:tc>
        <w:tc>
          <w:tcPr>
            <w:tcW w:w="1421" w:type="dxa"/>
            <w:tcBorders>
              <w:tl2br w:val="nil"/>
              <w:tr2bl w:val="nil"/>
            </w:tcBorders>
            <w:shd w:val="clear" w:color="auto" w:fill="auto"/>
            <w:vAlign w:val="center"/>
          </w:tcPr>
          <w:p w14:paraId="57665FCC">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+0.101</w:t>
            </w:r>
          </w:p>
        </w:tc>
      </w:tr>
      <w:tr w14:paraId="22B77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exact"/>
          <w:jc w:val="center"/>
        </w:trPr>
        <w:tc>
          <w:tcPr>
            <w:tcW w:w="1316" w:type="dxa"/>
            <w:vMerge w:val="continue"/>
            <w:tcBorders>
              <w:tl2br w:val="nil"/>
              <w:tr2bl w:val="nil"/>
            </w:tcBorders>
            <w:vAlign w:val="center"/>
          </w:tcPr>
          <w:p w14:paraId="02D7F55F">
            <w:pPr>
              <w:pStyle w:val="33"/>
              <w:spacing w:beforeLines="0" w:afterLines="0" w:line="240" w:lineRule="auto"/>
              <w:ind w:left="0" w:leftChars="0" w:firstLine="0" w:firstLineChars="0"/>
              <w:rPr>
                <w:rFonts w:hint="default" w:ascii="Times New Roman" w:hAnsi="Times New Roman" w:eastAsia="宋体" w:cs="Times New Roman"/>
                <w:color w:val="000000" w:themeColor="text1"/>
                <w:kern w:val="21"/>
                <w:sz w:val="24"/>
                <w:szCs w:val="24"/>
                <w14:textFill>
                  <w14:solidFill>
                    <w14:schemeClr w14:val="tx1"/>
                  </w14:solidFill>
                </w14:textFill>
              </w:rPr>
            </w:pPr>
          </w:p>
        </w:tc>
        <w:tc>
          <w:tcPr>
            <w:tcW w:w="2052" w:type="dxa"/>
            <w:tcBorders>
              <w:tl2br w:val="nil"/>
              <w:tr2bl w:val="nil"/>
            </w:tcBorders>
            <w:vAlign w:val="center"/>
          </w:tcPr>
          <w:p w14:paraId="31ECFA81">
            <w:pPr>
              <w:pStyle w:val="33"/>
              <w:spacing w:beforeLines="0" w:afterLines="0" w:line="240" w:lineRule="auto"/>
              <w:ind w:left="0" w:leftChars="0" w:firstLine="0" w:firstLineChars="0"/>
              <w:rPr>
                <w:rFonts w:hint="default" w:ascii="Times New Roman" w:hAnsi="Times New Roman" w:eastAsia="宋体" w:cs="Times New Roman"/>
                <w:color w:val="000000" w:themeColor="text1"/>
                <w:kern w:val="21"/>
                <w:sz w:val="24"/>
                <w:szCs w:val="24"/>
                <w14:textFill>
                  <w14:solidFill>
                    <w14:schemeClr w14:val="tx1"/>
                  </w14:solidFill>
                </w14:textFill>
              </w:rPr>
            </w:pPr>
            <w:r>
              <w:rPr>
                <w:rFonts w:hint="default" w:ascii="Times New Roman" w:hAnsi="Times New Roman" w:eastAsia="宋体" w:cs="Times New Roman"/>
                <w:color w:val="000000" w:themeColor="text1"/>
                <w:kern w:val="21"/>
                <w:sz w:val="24"/>
                <w:szCs w:val="24"/>
                <w14:textFill>
                  <w14:solidFill>
                    <w14:schemeClr w14:val="tx1"/>
                  </w14:solidFill>
                </w14:textFill>
              </w:rPr>
              <w:t>BOD</w:t>
            </w:r>
            <w:r>
              <w:rPr>
                <w:rFonts w:hint="default" w:ascii="Times New Roman" w:hAnsi="Times New Roman" w:eastAsia="宋体" w:cs="Times New Roman"/>
                <w:color w:val="000000" w:themeColor="text1"/>
                <w:kern w:val="21"/>
                <w:sz w:val="24"/>
                <w:szCs w:val="24"/>
                <w:vertAlign w:val="subscript"/>
                <w14:textFill>
                  <w14:solidFill>
                    <w14:schemeClr w14:val="tx1"/>
                  </w14:solidFill>
                </w14:textFill>
              </w:rPr>
              <w:t>5</w:t>
            </w:r>
          </w:p>
        </w:tc>
        <w:tc>
          <w:tcPr>
            <w:tcW w:w="1907" w:type="dxa"/>
            <w:tcBorders>
              <w:tl2br w:val="nil"/>
              <w:tr2bl w:val="nil"/>
            </w:tcBorders>
            <w:shd w:val="clear" w:color="auto" w:fill="auto"/>
            <w:vAlign w:val="center"/>
          </w:tcPr>
          <w:p w14:paraId="6B52FB28">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0.204</w:t>
            </w:r>
          </w:p>
        </w:tc>
        <w:tc>
          <w:tcPr>
            <w:tcW w:w="1430" w:type="dxa"/>
            <w:tcBorders>
              <w:tl2br w:val="nil"/>
              <w:tr2bl w:val="nil"/>
            </w:tcBorders>
            <w:shd w:val="clear" w:color="auto" w:fill="auto"/>
            <w:vAlign w:val="center"/>
          </w:tcPr>
          <w:p w14:paraId="697A2BA2">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1907" w:type="dxa"/>
            <w:tcBorders>
              <w:tl2br w:val="nil"/>
              <w:tr2bl w:val="nil"/>
            </w:tcBorders>
            <w:shd w:val="clear" w:color="auto" w:fill="auto"/>
            <w:vAlign w:val="center"/>
          </w:tcPr>
          <w:p w14:paraId="0EE8DAAB">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1747" w:type="dxa"/>
            <w:tcBorders>
              <w:tl2br w:val="nil"/>
              <w:tr2bl w:val="nil"/>
            </w:tcBorders>
            <w:vAlign w:val="center"/>
          </w:tcPr>
          <w:p w14:paraId="16198C6B">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0.061</w:t>
            </w:r>
          </w:p>
        </w:tc>
        <w:tc>
          <w:tcPr>
            <w:tcW w:w="1808" w:type="dxa"/>
            <w:tcBorders>
              <w:tl2br w:val="nil"/>
              <w:tr2bl w:val="nil"/>
            </w:tcBorders>
            <w:shd w:val="clear" w:color="auto" w:fill="auto"/>
            <w:vAlign w:val="center"/>
          </w:tcPr>
          <w:p w14:paraId="6D2CA47C">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1866" w:type="dxa"/>
            <w:tcBorders>
              <w:tl2br w:val="nil"/>
              <w:tr2bl w:val="nil"/>
            </w:tcBorders>
            <w:vAlign w:val="center"/>
          </w:tcPr>
          <w:p w14:paraId="64AF0B0D">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0.265</w:t>
            </w:r>
          </w:p>
        </w:tc>
        <w:tc>
          <w:tcPr>
            <w:tcW w:w="1421" w:type="dxa"/>
            <w:tcBorders>
              <w:tl2br w:val="nil"/>
              <w:tr2bl w:val="nil"/>
            </w:tcBorders>
            <w:shd w:val="clear" w:color="auto" w:fill="auto"/>
            <w:vAlign w:val="center"/>
          </w:tcPr>
          <w:p w14:paraId="2A47E20B">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+0.061</w:t>
            </w:r>
          </w:p>
        </w:tc>
      </w:tr>
      <w:tr w14:paraId="37A51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exact"/>
          <w:jc w:val="center"/>
        </w:trPr>
        <w:tc>
          <w:tcPr>
            <w:tcW w:w="1316" w:type="dxa"/>
            <w:vMerge w:val="continue"/>
            <w:tcBorders>
              <w:tl2br w:val="nil"/>
              <w:tr2bl w:val="nil"/>
            </w:tcBorders>
            <w:vAlign w:val="center"/>
          </w:tcPr>
          <w:p w14:paraId="7470C822">
            <w:pPr>
              <w:pStyle w:val="33"/>
              <w:spacing w:beforeLines="0" w:afterLines="0" w:line="240" w:lineRule="auto"/>
              <w:ind w:left="0" w:leftChars="0" w:firstLine="0" w:firstLineChars="0"/>
              <w:rPr>
                <w:rFonts w:hint="default" w:ascii="Times New Roman" w:hAnsi="Times New Roman" w:eastAsia="宋体" w:cs="Times New Roman"/>
                <w:color w:val="000000" w:themeColor="text1"/>
                <w:kern w:val="21"/>
                <w:sz w:val="24"/>
                <w:szCs w:val="24"/>
                <w14:textFill>
                  <w14:solidFill>
                    <w14:schemeClr w14:val="tx1"/>
                  </w14:solidFill>
                </w14:textFill>
              </w:rPr>
            </w:pPr>
          </w:p>
        </w:tc>
        <w:tc>
          <w:tcPr>
            <w:tcW w:w="2052" w:type="dxa"/>
            <w:tcBorders>
              <w:tl2br w:val="nil"/>
              <w:tr2bl w:val="nil"/>
            </w:tcBorders>
            <w:vAlign w:val="center"/>
          </w:tcPr>
          <w:p w14:paraId="25BAB23F">
            <w:pPr>
              <w:pStyle w:val="33"/>
              <w:spacing w:beforeLines="0" w:afterLines="0" w:line="240" w:lineRule="auto"/>
              <w:ind w:left="0" w:leftChars="0" w:firstLine="0" w:firstLineChars="0"/>
              <w:rPr>
                <w:rFonts w:hint="default" w:ascii="Times New Roman" w:hAnsi="Times New Roman" w:eastAsia="宋体" w:cs="Times New Roman"/>
                <w:color w:val="000000" w:themeColor="text1"/>
                <w:kern w:val="21"/>
                <w:sz w:val="24"/>
                <w:szCs w:val="24"/>
                <w14:textFill>
                  <w14:solidFill>
                    <w14:schemeClr w14:val="tx1"/>
                  </w14:solidFill>
                </w14:textFill>
              </w:rPr>
            </w:pPr>
            <w:r>
              <w:rPr>
                <w:rFonts w:hint="default" w:ascii="Times New Roman" w:hAnsi="Times New Roman" w:eastAsia="宋体" w:cs="Times New Roman"/>
                <w:color w:val="000000" w:themeColor="text1"/>
                <w:kern w:val="21"/>
                <w:sz w:val="24"/>
                <w:szCs w:val="24"/>
                <w14:textFill>
                  <w14:solidFill>
                    <w14:schemeClr w14:val="tx1"/>
                  </w14:solidFill>
                </w14:textFill>
              </w:rPr>
              <w:t>SS</w:t>
            </w:r>
          </w:p>
        </w:tc>
        <w:tc>
          <w:tcPr>
            <w:tcW w:w="1907" w:type="dxa"/>
            <w:tcBorders>
              <w:tl2br w:val="nil"/>
              <w:tr2bl w:val="nil"/>
            </w:tcBorders>
            <w:vAlign w:val="center"/>
          </w:tcPr>
          <w:p w14:paraId="0654D1F6">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0.034</w:t>
            </w:r>
          </w:p>
        </w:tc>
        <w:tc>
          <w:tcPr>
            <w:tcW w:w="1430" w:type="dxa"/>
            <w:tcBorders>
              <w:tl2br w:val="nil"/>
              <w:tr2bl w:val="nil"/>
            </w:tcBorders>
            <w:shd w:val="clear" w:color="auto" w:fill="auto"/>
            <w:vAlign w:val="center"/>
          </w:tcPr>
          <w:p w14:paraId="7F07913F">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1907" w:type="dxa"/>
            <w:tcBorders>
              <w:tl2br w:val="nil"/>
              <w:tr2bl w:val="nil"/>
            </w:tcBorders>
            <w:shd w:val="clear" w:color="auto" w:fill="auto"/>
            <w:vAlign w:val="center"/>
          </w:tcPr>
          <w:p w14:paraId="605C17A5">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1747" w:type="dxa"/>
            <w:tcBorders>
              <w:tl2br w:val="nil"/>
              <w:tr2bl w:val="nil"/>
            </w:tcBorders>
            <w:vAlign w:val="center"/>
          </w:tcPr>
          <w:p w14:paraId="4803F539">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0.01</w:t>
            </w:r>
          </w:p>
        </w:tc>
        <w:tc>
          <w:tcPr>
            <w:tcW w:w="1808" w:type="dxa"/>
            <w:tcBorders>
              <w:tl2br w:val="nil"/>
              <w:tr2bl w:val="nil"/>
            </w:tcBorders>
            <w:shd w:val="clear" w:color="auto" w:fill="auto"/>
            <w:vAlign w:val="center"/>
          </w:tcPr>
          <w:p w14:paraId="5AE37534">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1866" w:type="dxa"/>
            <w:tcBorders>
              <w:tl2br w:val="nil"/>
              <w:tr2bl w:val="nil"/>
            </w:tcBorders>
            <w:vAlign w:val="center"/>
          </w:tcPr>
          <w:p w14:paraId="63144280">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0.044</w:t>
            </w:r>
          </w:p>
        </w:tc>
        <w:tc>
          <w:tcPr>
            <w:tcW w:w="1421" w:type="dxa"/>
            <w:tcBorders>
              <w:tl2br w:val="nil"/>
              <w:tr2bl w:val="nil"/>
            </w:tcBorders>
            <w:shd w:val="clear" w:color="auto" w:fill="auto"/>
            <w:vAlign w:val="center"/>
          </w:tcPr>
          <w:p w14:paraId="1B4816F2">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+0.01</w:t>
            </w:r>
          </w:p>
        </w:tc>
      </w:tr>
      <w:tr w14:paraId="556B4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exact"/>
          <w:jc w:val="center"/>
        </w:trPr>
        <w:tc>
          <w:tcPr>
            <w:tcW w:w="1316" w:type="dxa"/>
            <w:vMerge w:val="continue"/>
            <w:tcBorders>
              <w:tl2br w:val="nil"/>
              <w:tr2bl w:val="nil"/>
            </w:tcBorders>
            <w:vAlign w:val="center"/>
          </w:tcPr>
          <w:p w14:paraId="52A55E1D">
            <w:pPr>
              <w:pStyle w:val="33"/>
              <w:spacing w:beforeLines="0" w:afterLines="0" w:line="240" w:lineRule="auto"/>
              <w:ind w:left="0" w:leftChars="0" w:firstLine="0" w:firstLineChars="0"/>
              <w:rPr>
                <w:rFonts w:hint="default" w:ascii="Times New Roman" w:hAnsi="Times New Roman" w:eastAsia="宋体" w:cs="Times New Roman"/>
                <w:color w:val="000000" w:themeColor="text1"/>
                <w:kern w:val="21"/>
                <w:sz w:val="24"/>
                <w:szCs w:val="24"/>
                <w14:textFill>
                  <w14:solidFill>
                    <w14:schemeClr w14:val="tx1"/>
                  </w14:solidFill>
                </w14:textFill>
              </w:rPr>
            </w:pPr>
          </w:p>
        </w:tc>
        <w:tc>
          <w:tcPr>
            <w:tcW w:w="2052" w:type="dxa"/>
            <w:tcBorders>
              <w:tl2br w:val="nil"/>
              <w:tr2bl w:val="nil"/>
            </w:tcBorders>
            <w:vAlign w:val="center"/>
          </w:tcPr>
          <w:p w14:paraId="2D186710">
            <w:pPr>
              <w:pStyle w:val="33"/>
              <w:spacing w:beforeLines="0" w:afterLines="0" w:line="240" w:lineRule="auto"/>
              <w:ind w:left="0" w:leftChars="0" w:firstLine="0" w:firstLineChars="0"/>
              <w:rPr>
                <w:rFonts w:hint="default" w:ascii="Times New Roman" w:hAnsi="Times New Roman" w:eastAsia="宋体" w:cs="Times New Roman"/>
                <w:color w:val="000000" w:themeColor="text1"/>
                <w:kern w:val="21"/>
                <w:sz w:val="24"/>
                <w:szCs w:val="24"/>
                <w14:textFill>
                  <w14:solidFill>
                    <w14:schemeClr w14:val="tx1"/>
                  </w14:solidFill>
                </w14:textFill>
              </w:rPr>
            </w:pPr>
            <w:r>
              <w:rPr>
                <w:rFonts w:hint="default" w:ascii="Times New Roman" w:hAnsi="Times New Roman" w:eastAsia="宋体" w:cs="Times New Roman"/>
                <w:color w:val="000000" w:themeColor="text1"/>
                <w:kern w:val="21"/>
                <w:sz w:val="24"/>
                <w:szCs w:val="24"/>
                <w14:textFill>
                  <w14:solidFill>
                    <w14:schemeClr w14:val="tx1"/>
                  </w14:solidFill>
                </w14:textFill>
              </w:rPr>
              <w:t>氨氮</w:t>
            </w:r>
          </w:p>
        </w:tc>
        <w:tc>
          <w:tcPr>
            <w:tcW w:w="1907" w:type="dxa"/>
            <w:tcBorders>
              <w:tl2br w:val="nil"/>
              <w:tr2bl w:val="nil"/>
            </w:tcBorders>
            <w:vAlign w:val="center"/>
          </w:tcPr>
          <w:p w14:paraId="1C369334">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1430" w:type="dxa"/>
            <w:tcBorders>
              <w:tl2br w:val="nil"/>
              <w:tr2bl w:val="nil"/>
            </w:tcBorders>
            <w:shd w:val="clear" w:color="auto" w:fill="auto"/>
            <w:vAlign w:val="center"/>
          </w:tcPr>
          <w:p w14:paraId="74B9E2D1">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1907" w:type="dxa"/>
            <w:tcBorders>
              <w:tl2br w:val="nil"/>
              <w:tr2bl w:val="nil"/>
            </w:tcBorders>
            <w:shd w:val="clear" w:color="auto" w:fill="auto"/>
            <w:vAlign w:val="center"/>
          </w:tcPr>
          <w:p w14:paraId="1A3F5D38">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1747" w:type="dxa"/>
            <w:tcBorders>
              <w:tl2br w:val="nil"/>
              <w:tr2bl w:val="nil"/>
            </w:tcBorders>
            <w:vAlign w:val="center"/>
          </w:tcPr>
          <w:p w14:paraId="0BE7F966">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1808" w:type="dxa"/>
            <w:tcBorders>
              <w:tl2br w:val="nil"/>
              <w:tr2bl w:val="nil"/>
            </w:tcBorders>
            <w:shd w:val="clear" w:color="auto" w:fill="auto"/>
            <w:vAlign w:val="center"/>
          </w:tcPr>
          <w:p w14:paraId="5D577F8A">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1866" w:type="dxa"/>
            <w:tcBorders>
              <w:tl2br w:val="nil"/>
              <w:tr2bl w:val="nil"/>
            </w:tcBorders>
            <w:vAlign w:val="center"/>
          </w:tcPr>
          <w:p w14:paraId="00C4C7E6">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1421" w:type="dxa"/>
            <w:tcBorders>
              <w:tl2br w:val="nil"/>
              <w:tr2bl w:val="nil"/>
            </w:tcBorders>
            <w:vAlign w:val="center"/>
          </w:tcPr>
          <w:p w14:paraId="18357236">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r>
      <w:tr w14:paraId="7B9BC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exact"/>
          <w:jc w:val="center"/>
        </w:trPr>
        <w:tc>
          <w:tcPr>
            <w:tcW w:w="1316" w:type="dxa"/>
            <w:vMerge w:val="restart"/>
            <w:tcBorders>
              <w:tl2br w:val="nil"/>
              <w:tr2bl w:val="nil"/>
            </w:tcBorders>
            <w:vAlign w:val="center"/>
          </w:tcPr>
          <w:p w14:paraId="0FE3143C">
            <w:pPr>
              <w:pStyle w:val="33"/>
              <w:spacing w:beforeLines="0" w:afterLines="0" w:line="240" w:lineRule="auto"/>
              <w:ind w:left="0" w:leftChars="0" w:firstLine="0" w:firstLineChars="0"/>
              <w:rPr>
                <w:rFonts w:hint="default" w:ascii="Times New Roman" w:hAnsi="Times New Roman" w:eastAsia="宋体" w:cs="Times New Roman"/>
                <w:color w:val="000000" w:themeColor="text1"/>
                <w:kern w:val="21"/>
                <w:sz w:val="24"/>
                <w:szCs w:val="24"/>
                <w14:textFill>
                  <w14:solidFill>
                    <w14:schemeClr w14:val="tx1"/>
                  </w14:solidFill>
                </w14:textFill>
              </w:rPr>
            </w:pPr>
            <w:r>
              <w:rPr>
                <w:rFonts w:hint="default" w:ascii="Times New Roman" w:hAnsi="Times New Roman" w:eastAsia="宋体" w:cs="Times New Roman"/>
                <w:color w:val="000000" w:themeColor="text1"/>
                <w:kern w:val="21"/>
                <w:sz w:val="24"/>
                <w:szCs w:val="24"/>
                <w14:textFill>
                  <w14:solidFill>
                    <w14:schemeClr w14:val="tx1"/>
                  </w14:solidFill>
                </w14:textFill>
              </w:rPr>
              <w:t>一般工业</w:t>
            </w:r>
          </w:p>
          <w:p w14:paraId="158C0B87">
            <w:pPr>
              <w:pStyle w:val="33"/>
              <w:spacing w:beforeLines="0" w:afterLines="0" w:line="240" w:lineRule="auto"/>
              <w:ind w:left="0" w:leftChars="0" w:firstLine="0" w:firstLineChars="0"/>
              <w:rPr>
                <w:rFonts w:hint="default" w:ascii="Times New Roman" w:hAnsi="Times New Roman" w:eastAsia="宋体" w:cs="Times New Roman"/>
                <w:color w:val="000000" w:themeColor="text1"/>
                <w:kern w:val="21"/>
                <w:sz w:val="24"/>
                <w:szCs w:val="24"/>
                <w14:textFill>
                  <w14:solidFill>
                    <w14:schemeClr w14:val="tx1"/>
                  </w14:solidFill>
                </w14:textFill>
              </w:rPr>
            </w:pPr>
            <w:r>
              <w:rPr>
                <w:rFonts w:hint="default" w:ascii="Times New Roman" w:hAnsi="Times New Roman" w:eastAsia="宋体" w:cs="Times New Roman"/>
                <w:color w:val="000000" w:themeColor="text1"/>
                <w:kern w:val="21"/>
                <w:sz w:val="24"/>
                <w:szCs w:val="24"/>
                <w14:textFill>
                  <w14:solidFill>
                    <w14:schemeClr w14:val="tx1"/>
                  </w14:solidFill>
                </w14:textFill>
              </w:rPr>
              <w:t>固体废物</w:t>
            </w:r>
          </w:p>
        </w:tc>
        <w:tc>
          <w:tcPr>
            <w:tcW w:w="2052" w:type="dxa"/>
            <w:tcBorders>
              <w:tl2br w:val="nil"/>
              <w:tr2bl w:val="nil"/>
            </w:tcBorders>
            <w:shd w:val="clear" w:color="auto" w:fill="auto"/>
            <w:vAlign w:val="center"/>
          </w:tcPr>
          <w:p w14:paraId="38A309B1">
            <w:pPr>
              <w:pStyle w:val="33"/>
              <w:spacing w:beforeLines="0" w:afterLines="0" w:line="240" w:lineRule="auto"/>
              <w:ind w:left="0" w:leftChars="0" w:firstLine="0" w:firstLineChars="0"/>
              <w:rPr>
                <w:rFonts w:hint="default" w:ascii="Times New Roman" w:hAnsi="Times New Roman" w:eastAsia="宋体" w:cs="Times New Roman"/>
                <w:color w:val="000000" w:themeColor="text1"/>
                <w:kern w:val="2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21"/>
                <w:sz w:val="24"/>
                <w:szCs w:val="24"/>
                <w:lang w:val="en-US" w:eastAsia="zh-CN"/>
                <w14:textFill>
                  <w14:solidFill>
                    <w14:schemeClr w14:val="tx1"/>
                  </w14:solidFill>
                </w14:textFill>
              </w:rPr>
              <w:t>不合格品</w:t>
            </w:r>
          </w:p>
        </w:tc>
        <w:tc>
          <w:tcPr>
            <w:tcW w:w="1907" w:type="dxa"/>
            <w:tcBorders>
              <w:tl2br w:val="nil"/>
              <w:tr2bl w:val="nil"/>
            </w:tcBorders>
            <w:shd w:val="clear" w:color="auto" w:fill="auto"/>
            <w:vAlign w:val="center"/>
          </w:tcPr>
          <w:p w14:paraId="61B7A85C">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w:t>
            </w:r>
          </w:p>
        </w:tc>
        <w:tc>
          <w:tcPr>
            <w:tcW w:w="1430" w:type="dxa"/>
            <w:tcBorders>
              <w:tl2br w:val="nil"/>
              <w:tr2bl w:val="nil"/>
            </w:tcBorders>
            <w:shd w:val="clear" w:color="auto" w:fill="auto"/>
            <w:vAlign w:val="center"/>
          </w:tcPr>
          <w:p w14:paraId="5DC2C230">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1907" w:type="dxa"/>
            <w:tcBorders>
              <w:tl2br w:val="nil"/>
              <w:tr2bl w:val="nil"/>
            </w:tcBorders>
            <w:shd w:val="clear" w:color="auto" w:fill="auto"/>
            <w:vAlign w:val="center"/>
          </w:tcPr>
          <w:p w14:paraId="13A09371">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1747" w:type="dxa"/>
            <w:tcBorders>
              <w:tl2br w:val="nil"/>
              <w:tr2bl w:val="nil"/>
            </w:tcBorders>
            <w:shd w:val="clear" w:color="auto" w:fill="auto"/>
            <w:vAlign w:val="center"/>
          </w:tcPr>
          <w:p w14:paraId="12450E06">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7</w:t>
            </w:r>
          </w:p>
        </w:tc>
        <w:tc>
          <w:tcPr>
            <w:tcW w:w="1808" w:type="dxa"/>
            <w:tcBorders>
              <w:tl2br w:val="nil"/>
              <w:tr2bl w:val="nil"/>
            </w:tcBorders>
            <w:shd w:val="clear" w:color="auto" w:fill="auto"/>
            <w:vAlign w:val="center"/>
          </w:tcPr>
          <w:p w14:paraId="7E37C9F4">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1866" w:type="dxa"/>
            <w:tcBorders>
              <w:tl2br w:val="nil"/>
              <w:tr2bl w:val="nil"/>
            </w:tcBorders>
            <w:shd w:val="clear" w:color="auto" w:fill="auto"/>
            <w:vAlign w:val="center"/>
          </w:tcPr>
          <w:p w14:paraId="3D4B844F">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12</w:t>
            </w:r>
          </w:p>
        </w:tc>
        <w:tc>
          <w:tcPr>
            <w:tcW w:w="1421" w:type="dxa"/>
            <w:tcBorders>
              <w:tl2br w:val="nil"/>
              <w:tr2bl w:val="nil"/>
            </w:tcBorders>
            <w:shd w:val="clear" w:color="auto" w:fill="auto"/>
            <w:vAlign w:val="center"/>
          </w:tcPr>
          <w:p w14:paraId="151FAF7B">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+7</w:t>
            </w:r>
          </w:p>
        </w:tc>
      </w:tr>
      <w:tr w14:paraId="54D27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exact"/>
          <w:jc w:val="center"/>
        </w:trPr>
        <w:tc>
          <w:tcPr>
            <w:tcW w:w="1316" w:type="dxa"/>
            <w:vMerge w:val="continue"/>
            <w:tcBorders>
              <w:tl2br w:val="nil"/>
              <w:tr2bl w:val="nil"/>
            </w:tcBorders>
            <w:vAlign w:val="center"/>
          </w:tcPr>
          <w:p w14:paraId="21450344">
            <w:pPr>
              <w:pStyle w:val="33"/>
              <w:spacing w:beforeLines="0" w:afterLines="0" w:line="240" w:lineRule="auto"/>
              <w:ind w:leftChars="0" w:firstLine="0" w:firstLineChars="0"/>
              <w:rPr>
                <w:rFonts w:hint="default" w:ascii="Times New Roman" w:hAnsi="Times New Roman" w:eastAsia="宋体" w:cs="Times New Roman"/>
                <w:color w:val="000000" w:themeColor="text1"/>
                <w:kern w:val="21"/>
                <w:sz w:val="24"/>
                <w:szCs w:val="24"/>
                <w14:textFill>
                  <w14:solidFill>
                    <w14:schemeClr w14:val="tx1"/>
                  </w14:solidFill>
                </w14:textFill>
              </w:rPr>
            </w:pPr>
          </w:p>
        </w:tc>
        <w:tc>
          <w:tcPr>
            <w:tcW w:w="2052" w:type="dxa"/>
            <w:tcBorders>
              <w:tl2br w:val="nil"/>
              <w:tr2bl w:val="nil"/>
            </w:tcBorders>
            <w:shd w:val="clear" w:color="auto" w:fill="auto"/>
            <w:vAlign w:val="center"/>
          </w:tcPr>
          <w:p w14:paraId="6F9AFFF9">
            <w:pPr>
              <w:pStyle w:val="33"/>
              <w:spacing w:beforeLines="0" w:afterLines="0" w:line="240" w:lineRule="auto"/>
              <w:ind w:left="0" w:leftChars="0" w:firstLine="0" w:firstLineChars="0"/>
              <w:rPr>
                <w:rFonts w:hint="default" w:ascii="Times New Roman" w:hAnsi="Times New Roman" w:eastAsia="宋体" w:cs="Times New Roman"/>
                <w:color w:val="000000" w:themeColor="text1"/>
                <w:kern w:val="2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21"/>
                <w:sz w:val="24"/>
                <w:szCs w:val="24"/>
                <w:lang w:val="en-US" w:eastAsia="zh-CN"/>
                <w14:textFill>
                  <w14:solidFill>
                    <w14:schemeClr w14:val="tx1"/>
                  </w14:solidFill>
                </w14:textFill>
              </w:rPr>
              <w:t>边角料</w:t>
            </w:r>
          </w:p>
        </w:tc>
        <w:tc>
          <w:tcPr>
            <w:tcW w:w="1907" w:type="dxa"/>
            <w:tcBorders>
              <w:tl2br w:val="nil"/>
              <w:tr2bl w:val="nil"/>
            </w:tcBorders>
            <w:shd w:val="clear" w:color="auto" w:fill="auto"/>
            <w:vAlign w:val="center"/>
          </w:tcPr>
          <w:p w14:paraId="285ADD1C">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w:t>
            </w:r>
          </w:p>
        </w:tc>
        <w:tc>
          <w:tcPr>
            <w:tcW w:w="1430" w:type="dxa"/>
            <w:tcBorders>
              <w:tl2br w:val="nil"/>
              <w:tr2bl w:val="nil"/>
            </w:tcBorders>
            <w:shd w:val="clear" w:color="auto" w:fill="auto"/>
            <w:vAlign w:val="center"/>
          </w:tcPr>
          <w:p w14:paraId="40E13325">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1907" w:type="dxa"/>
            <w:tcBorders>
              <w:tl2br w:val="nil"/>
              <w:tr2bl w:val="nil"/>
            </w:tcBorders>
            <w:shd w:val="clear" w:color="auto" w:fill="auto"/>
            <w:vAlign w:val="center"/>
          </w:tcPr>
          <w:p w14:paraId="1A73E038">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1747" w:type="dxa"/>
            <w:tcBorders>
              <w:tl2br w:val="nil"/>
              <w:tr2bl w:val="nil"/>
            </w:tcBorders>
            <w:shd w:val="clear" w:color="auto" w:fill="auto"/>
            <w:vAlign w:val="center"/>
          </w:tcPr>
          <w:p w14:paraId="6A6D8CA6">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w:t>
            </w:r>
          </w:p>
        </w:tc>
        <w:tc>
          <w:tcPr>
            <w:tcW w:w="1808" w:type="dxa"/>
            <w:tcBorders>
              <w:tl2br w:val="nil"/>
              <w:tr2bl w:val="nil"/>
            </w:tcBorders>
            <w:shd w:val="clear" w:color="auto" w:fill="auto"/>
            <w:vAlign w:val="center"/>
          </w:tcPr>
          <w:p w14:paraId="07B9A103">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1866" w:type="dxa"/>
            <w:tcBorders>
              <w:tl2br w:val="nil"/>
              <w:tr2bl w:val="nil"/>
            </w:tcBorders>
            <w:shd w:val="clear" w:color="auto" w:fill="auto"/>
            <w:vAlign w:val="center"/>
          </w:tcPr>
          <w:p w14:paraId="7762A85C">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w:t>
            </w:r>
          </w:p>
        </w:tc>
        <w:tc>
          <w:tcPr>
            <w:tcW w:w="1421" w:type="dxa"/>
            <w:tcBorders>
              <w:tl2br w:val="nil"/>
              <w:tr2bl w:val="nil"/>
            </w:tcBorders>
            <w:shd w:val="clear" w:color="auto" w:fill="auto"/>
            <w:vAlign w:val="center"/>
          </w:tcPr>
          <w:p w14:paraId="1EE1BB13">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w:t>
            </w:r>
          </w:p>
        </w:tc>
      </w:tr>
      <w:tr w14:paraId="6232F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exact"/>
          <w:jc w:val="center"/>
        </w:trPr>
        <w:tc>
          <w:tcPr>
            <w:tcW w:w="1316" w:type="dxa"/>
            <w:vMerge w:val="continue"/>
            <w:tcBorders>
              <w:tl2br w:val="nil"/>
              <w:tr2bl w:val="nil"/>
            </w:tcBorders>
            <w:vAlign w:val="center"/>
          </w:tcPr>
          <w:p w14:paraId="501E7F92">
            <w:pPr>
              <w:pStyle w:val="33"/>
              <w:spacing w:beforeLines="0" w:afterLines="0" w:line="240" w:lineRule="auto"/>
              <w:ind w:leftChars="0" w:firstLine="0" w:firstLineChars="0"/>
              <w:rPr>
                <w:rFonts w:hint="default" w:ascii="Times New Roman" w:hAnsi="Times New Roman" w:eastAsia="宋体" w:cs="Times New Roman"/>
                <w:color w:val="000000" w:themeColor="text1"/>
                <w:kern w:val="21"/>
                <w:sz w:val="24"/>
                <w:szCs w:val="24"/>
                <w14:textFill>
                  <w14:solidFill>
                    <w14:schemeClr w14:val="tx1"/>
                  </w14:solidFill>
                </w14:textFill>
              </w:rPr>
            </w:pPr>
          </w:p>
        </w:tc>
        <w:tc>
          <w:tcPr>
            <w:tcW w:w="2052" w:type="dxa"/>
            <w:tcBorders>
              <w:tl2br w:val="nil"/>
              <w:tr2bl w:val="nil"/>
            </w:tcBorders>
            <w:shd w:val="clear" w:color="auto" w:fill="auto"/>
            <w:vAlign w:val="center"/>
          </w:tcPr>
          <w:p w14:paraId="362CC2E1">
            <w:pPr>
              <w:pStyle w:val="33"/>
              <w:spacing w:beforeLines="0" w:afterLines="0" w:line="240" w:lineRule="auto"/>
              <w:ind w:left="0" w:leftChars="0" w:firstLine="0" w:firstLineChars="0"/>
              <w:rPr>
                <w:rFonts w:hint="default" w:ascii="Times New Roman" w:hAnsi="Times New Roman" w:eastAsia="宋体" w:cs="Times New Roman"/>
                <w:color w:val="000000" w:themeColor="text1"/>
                <w:kern w:val="2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21"/>
                <w:sz w:val="24"/>
                <w:szCs w:val="24"/>
                <w:lang w:val="en-US" w:eastAsia="zh-CN"/>
                <w14:textFill>
                  <w14:solidFill>
                    <w14:schemeClr w14:val="tx1"/>
                  </w14:solidFill>
                </w14:textFill>
              </w:rPr>
              <w:t>生活垃圾</w:t>
            </w:r>
          </w:p>
        </w:tc>
        <w:tc>
          <w:tcPr>
            <w:tcW w:w="1907" w:type="dxa"/>
            <w:tcBorders>
              <w:tl2br w:val="nil"/>
              <w:tr2bl w:val="nil"/>
            </w:tcBorders>
            <w:shd w:val="clear" w:color="auto" w:fill="auto"/>
            <w:vAlign w:val="center"/>
          </w:tcPr>
          <w:p w14:paraId="56B1A201">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7.5</w:t>
            </w:r>
          </w:p>
        </w:tc>
        <w:tc>
          <w:tcPr>
            <w:tcW w:w="1430" w:type="dxa"/>
            <w:tcBorders>
              <w:tl2br w:val="nil"/>
              <w:tr2bl w:val="nil"/>
            </w:tcBorders>
            <w:shd w:val="clear" w:color="auto" w:fill="auto"/>
            <w:vAlign w:val="center"/>
          </w:tcPr>
          <w:p w14:paraId="760B635A">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1907" w:type="dxa"/>
            <w:tcBorders>
              <w:tl2br w:val="nil"/>
              <w:tr2bl w:val="nil"/>
            </w:tcBorders>
            <w:shd w:val="clear" w:color="auto" w:fill="auto"/>
            <w:vAlign w:val="center"/>
          </w:tcPr>
          <w:p w14:paraId="3AC9C2AF">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1747" w:type="dxa"/>
            <w:tcBorders>
              <w:tl2br w:val="nil"/>
              <w:tr2bl w:val="nil"/>
            </w:tcBorders>
            <w:shd w:val="clear" w:color="auto" w:fill="auto"/>
            <w:vAlign w:val="center"/>
          </w:tcPr>
          <w:p w14:paraId="1147A637">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w:t>
            </w:r>
          </w:p>
        </w:tc>
        <w:tc>
          <w:tcPr>
            <w:tcW w:w="1808" w:type="dxa"/>
            <w:tcBorders>
              <w:tl2br w:val="nil"/>
              <w:tr2bl w:val="nil"/>
            </w:tcBorders>
            <w:shd w:val="clear" w:color="auto" w:fill="auto"/>
            <w:vAlign w:val="center"/>
          </w:tcPr>
          <w:p w14:paraId="4677CDC2">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1866" w:type="dxa"/>
            <w:tcBorders>
              <w:tl2br w:val="nil"/>
              <w:tr2bl w:val="nil"/>
            </w:tcBorders>
            <w:shd w:val="clear" w:color="auto" w:fill="auto"/>
            <w:vAlign w:val="center"/>
          </w:tcPr>
          <w:p w14:paraId="729E2F0C">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10.5</w:t>
            </w:r>
          </w:p>
        </w:tc>
        <w:tc>
          <w:tcPr>
            <w:tcW w:w="1421" w:type="dxa"/>
            <w:tcBorders>
              <w:tl2br w:val="nil"/>
              <w:tr2bl w:val="nil"/>
            </w:tcBorders>
            <w:shd w:val="clear" w:color="auto" w:fill="auto"/>
            <w:vAlign w:val="center"/>
          </w:tcPr>
          <w:p w14:paraId="04377F76">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w:t>
            </w:r>
          </w:p>
        </w:tc>
      </w:tr>
      <w:tr w14:paraId="24313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exact"/>
          <w:jc w:val="center"/>
        </w:trPr>
        <w:tc>
          <w:tcPr>
            <w:tcW w:w="1316" w:type="dxa"/>
            <w:vMerge w:val="restart"/>
            <w:tcBorders>
              <w:tl2br w:val="nil"/>
              <w:tr2bl w:val="nil"/>
            </w:tcBorders>
            <w:vAlign w:val="center"/>
          </w:tcPr>
          <w:p w14:paraId="7881C198">
            <w:pPr>
              <w:pStyle w:val="33"/>
              <w:spacing w:beforeLines="0" w:afterLines="0" w:line="240" w:lineRule="auto"/>
              <w:ind w:left="0" w:leftChars="0" w:firstLine="0" w:firstLineChars="0"/>
              <w:jc w:val="center"/>
              <w:rPr>
                <w:rFonts w:hint="default" w:ascii="Times New Roman" w:hAnsi="Times New Roman" w:eastAsia="宋体" w:cs="Times New Roman"/>
                <w:color w:val="000000" w:themeColor="text1"/>
                <w:kern w:val="21"/>
                <w:sz w:val="24"/>
                <w:szCs w:val="24"/>
                <w:lang w:eastAsia="zh-CN"/>
                <w14:textFill>
                  <w14:solidFill>
                    <w14:schemeClr w14:val="tx1"/>
                  </w14:solidFill>
                </w14:textFill>
              </w:rPr>
            </w:pPr>
            <w:r>
              <w:rPr>
                <w:rFonts w:hint="default" w:ascii="Times New Roman" w:hAnsi="Times New Roman" w:eastAsia="宋体" w:cs="Times New Roman"/>
                <w:color w:val="000000" w:themeColor="text1"/>
                <w:kern w:val="21"/>
                <w:sz w:val="24"/>
                <w:szCs w:val="24"/>
                <w:lang w:eastAsia="zh-CN"/>
                <w14:textFill>
                  <w14:solidFill>
                    <w14:schemeClr w14:val="tx1"/>
                  </w14:solidFill>
                </w14:textFill>
              </w:rPr>
              <w:t>危险废物</w:t>
            </w:r>
          </w:p>
        </w:tc>
        <w:tc>
          <w:tcPr>
            <w:tcW w:w="2052" w:type="dxa"/>
            <w:tcBorders>
              <w:tl2br w:val="nil"/>
              <w:tr2bl w:val="nil"/>
            </w:tcBorders>
            <w:shd w:val="clear" w:color="auto" w:fill="auto"/>
            <w:vAlign w:val="center"/>
          </w:tcPr>
          <w:p w14:paraId="24ECD164">
            <w:pPr>
              <w:pStyle w:val="33"/>
              <w:spacing w:beforeLines="0" w:afterLines="0" w:line="240" w:lineRule="auto"/>
              <w:ind w:left="0" w:leftChars="0" w:firstLine="0" w:firstLineChars="0"/>
              <w:rPr>
                <w:rFonts w:hint="default" w:ascii="Times New Roman" w:hAnsi="Times New Roman" w:eastAsia="宋体" w:cs="Times New Roman"/>
                <w:color w:val="000000" w:themeColor="text1"/>
                <w:kern w:val="2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21"/>
                <w:sz w:val="24"/>
                <w:szCs w:val="24"/>
                <w:lang w:val="en-US" w:eastAsia="zh-CN"/>
                <w14:textFill>
                  <w14:solidFill>
                    <w14:schemeClr w14:val="tx1"/>
                  </w14:solidFill>
                </w14:textFill>
              </w:rPr>
              <w:t>废胶桶</w:t>
            </w:r>
          </w:p>
        </w:tc>
        <w:tc>
          <w:tcPr>
            <w:tcW w:w="1907" w:type="dxa"/>
            <w:tcBorders>
              <w:tl2br w:val="nil"/>
              <w:tr2bl w:val="nil"/>
            </w:tcBorders>
            <w:shd w:val="clear" w:color="auto" w:fill="auto"/>
            <w:vAlign w:val="center"/>
          </w:tcPr>
          <w:p w14:paraId="2C29B5D5">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0.15</w:t>
            </w:r>
          </w:p>
        </w:tc>
        <w:tc>
          <w:tcPr>
            <w:tcW w:w="1430" w:type="dxa"/>
            <w:tcBorders>
              <w:tl2br w:val="nil"/>
              <w:tr2bl w:val="nil"/>
            </w:tcBorders>
            <w:shd w:val="clear" w:color="auto" w:fill="auto"/>
            <w:vAlign w:val="center"/>
          </w:tcPr>
          <w:p w14:paraId="57317150">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1907" w:type="dxa"/>
            <w:tcBorders>
              <w:tl2br w:val="nil"/>
              <w:tr2bl w:val="nil"/>
            </w:tcBorders>
            <w:shd w:val="clear" w:color="auto" w:fill="auto"/>
            <w:vAlign w:val="center"/>
          </w:tcPr>
          <w:p w14:paraId="1ED4E81A">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1747" w:type="dxa"/>
            <w:tcBorders>
              <w:tl2br w:val="nil"/>
              <w:tr2bl w:val="nil"/>
            </w:tcBorders>
            <w:shd w:val="clear" w:color="auto" w:fill="auto"/>
            <w:vAlign w:val="center"/>
          </w:tcPr>
          <w:p w14:paraId="68D8DF58">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1.5</w:t>
            </w:r>
          </w:p>
        </w:tc>
        <w:tc>
          <w:tcPr>
            <w:tcW w:w="1808" w:type="dxa"/>
            <w:tcBorders>
              <w:tl2br w:val="nil"/>
              <w:tr2bl w:val="nil"/>
            </w:tcBorders>
            <w:shd w:val="clear" w:color="auto" w:fill="auto"/>
            <w:vAlign w:val="center"/>
          </w:tcPr>
          <w:p w14:paraId="62FD321F">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1866" w:type="dxa"/>
            <w:tcBorders>
              <w:tl2br w:val="nil"/>
              <w:tr2bl w:val="nil"/>
            </w:tcBorders>
            <w:shd w:val="clear" w:color="auto" w:fill="auto"/>
            <w:vAlign w:val="center"/>
          </w:tcPr>
          <w:p w14:paraId="2678B278">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1.65</w:t>
            </w:r>
          </w:p>
        </w:tc>
        <w:tc>
          <w:tcPr>
            <w:tcW w:w="1421" w:type="dxa"/>
            <w:tcBorders>
              <w:tl2br w:val="nil"/>
              <w:tr2bl w:val="nil"/>
            </w:tcBorders>
            <w:shd w:val="clear" w:color="auto" w:fill="auto"/>
            <w:vAlign w:val="center"/>
          </w:tcPr>
          <w:p w14:paraId="7F636BF3">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+1.5</w:t>
            </w:r>
          </w:p>
        </w:tc>
      </w:tr>
      <w:tr w14:paraId="1799E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exact"/>
          <w:jc w:val="center"/>
        </w:trPr>
        <w:tc>
          <w:tcPr>
            <w:tcW w:w="1316" w:type="dxa"/>
            <w:vMerge w:val="continue"/>
            <w:tcBorders>
              <w:tl2br w:val="nil"/>
              <w:tr2bl w:val="nil"/>
            </w:tcBorders>
            <w:vAlign w:val="center"/>
          </w:tcPr>
          <w:p w14:paraId="50FFD370">
            <w:pPr>
              <w:pStyle w:val="33"/>
              <w:spacing w:beforeLines="0" w:afterLines="0" w:line="240" w:lineRule="auto"/>
              <w:ind w:leftChars="0" w:firstLine="0" w:firstLineChars="0"/>
              <w:rPr>
                <w:rFonts w:hint="default" w:ascii="Times New Roman" w:hAnsi="Times New Roman" w:eastAsia="宋体" w:cs="Times New Roman"/>
                <w:color w:val="000000" w:themeColor="text1"/>
                <w:kern w:val="21"/>
                <w:sz w:val="24"/>
                <w:szCs w:val="24"/>
                <w:lang w:eastAsia="zh-CN"/>
                <w14:textFill>
                  <w14:solidFill>
                    <w14:schemeClr w14:val="tx1"/>
                  </w14:solidFill>
                </w14:textFill>
              </w:rPr>
            </w:pPr>
          </w:p>
        </w:tc>
        <w:tc>
          <w:tcPr>
            <w:tcW w:w="2052" w:type="dxa"/>
            <w:tcBorders>
              <w:tl2br w:val="nil"/>
              <w:tr2bl w:val="nil"/>
            </w:tcBorders>
            <w:shd w:val="clear" w:color="auto" w:fill="auto"/>
            <w:vAlign w:val="center"/>
          </w:tcPr>
          <w:p w14:paraId="015F5BD0">
            <w:pPr>
              <w:pStyle w:val="33"/>
              <w:spacing w:beforeLines="0" w:afterLines="0" w:line="240" w:lineRule="auto"/>
              <w:ind w:left="0" w:leftChars="0" w:firstLine="0" w:firstLineChars="0"/>
              <w:rPr>
                <w:rFonts w:hint="default" w:ascii="Times New Roman" w:hAnsi="Times New Roman" w:eastAsia="宋体" w:cs="Times New Roman"/>
                <w:color w:val="000000" w:themeColor="text1"/>
                <w:kern w:val="2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21"/>
                <w:sz w:val="24"/>
                <w:szCs w:val="24"/>
                <w:lang w:val="en-US" w:eastAsia="zh-CN"/>
                <w14:textFill>
                  <w14:solidFill>
                    <w14:schemeClr w14:val="tx1"/>
                  </w14:solidFill>
                </w14:textFill>
              </w:rPr>
              <w:t>废活性炭</w:t>
            </w:r>
          </w:p>
        </w:tc>
        <w:tc>
          <w:tcPr>
            <w:tcW w:w="1907" w:type="dxa"/>
            <w:tcBorders>
              <w:tl2br w:val="nil"/>
              <w:tr2bl w:val="nil"/>
            </w:tcBorders>
            <w:shd w:val="clear" w:color="auto" w:fill="auto"/>
            <w:vAlign w:val="center"/>
          </w:tcPr>
          <w:p w14:paraId="4251F229">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0.47</w:t>
            </w:r>
          </w:p>
        </w:tc>
        <w:tc>
          <w:tcPr>
            <w:tcW w:w="1430" w:type="dxa"/>
            <w:tcBorders>
              <w:tl2br w:val="nil"/>
              <w:tr2bl w:val="nil"/>
            </w:tcBorders>
            <w:shd w:val="clear" w:color="auto" w:fill="auto"/>
            <w:vAlign w:val="center"/>
          </w:tcPr>
          <w:p w14:paraId="5CC3E031">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1907" w:type="dxa"/>
            <w:tcBorders>
              <w:tl2br w:val="nil"/>
              <w:tr2bl w:val="nil"/>
            </w:tcBorders>
            <w:shd w:val="clear" w:color="auto" w:fill="auto"/>
            <w:vAlign w:val="center"/>
          </w:tcPr>
          <w:p w14:paraId="617CA02D">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1747" w:type="dxa"/>
            <w:tcBorders>
              <w:tl2br w:val="nil"/>
              <w:tr2bl w:val="nil"/>
            </w:tcBorders>
            <w:shd w:val="clear" w:color="auto" w:fill="auto"/>
            <w:vAlign w:val="center"/>
          </w:tcPr>
          <w:p w14:paraId="0519B92A">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0.426</w:t>
            </w:r>
          </w:p>
        </w:tc>
        <w:tc>
          <w:tcPr>
            <w:tcW w:w="1808" w:type="dxa"/>
            <w:tcBorders>
              <w:tl2br w:val="nil"/>
              <w:tr2bl w:val="nil"/>
            </w:tcBorders>
            <w:shd w:val="clear" w:color="auto" w:fill="auto"/>
            <w:vAlign w:val="center"/>
          </w:tcPr>
          <w:p w14:paraId="46E1396E">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1866" w:type="dxa"/>
            <w:tcBorders>
              <w:tl2br w:val="nil"/>
              <w:tr2bl w:val="nil"/>
            </w:tcBorders>
            <w:shd w:val="clear" w:color="auto" w:fill="auto"/>
            <w:vAlign w:val="center"/>
          </w:tcPr>
          <w:p w14:paraId="4964FB24">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0.896</w:t>
            </w:r>
          </w:p>
        </w:tc>
        <w:tc>
          <w:tcPr>
            <w:tcW w:w="1421" w:type="dxa"/>
            <w:tcBorders>
              <w:tl2br w:val="nil"/>
              <w:tr2bl w:val="nil"/>
            </w:tcBorders>
            <w:shd w:val="clear" w:color="auto" w:fill="auto"/>
            <w:vAlign w:val="center"/>
          </w:tcPr>
          <w:p w14:paraId="4203672C">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+0.426</w:t>
            </w:r>
          </w:p>
        </w:tc>
      </w:tr>
      <w:tr w14:paraId="4848F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exact"/>
          <w:jc w:val="center"/>
        </w:trPr>
        <w:tc>
          <w:tcPr>
            <w:tcW w:w="1316" w:type="dxa"/>
            <w:vMerge w:val="continue"/>
            <w:tcBorders>
              <w:tl2br w:val="nil"/>
              <w:tr2bl w:val="nil"/>
            </w:tcBorders>
            <w:vAlign w:val="center"/>
          </w:tcPr>
          <w:p w14:paraId="457351F8">
            <w:pPr>
              <w:pStyle w:val="33"/>
              <w:spacing w:beforeLines="0" w:afterLines="0" w:line="240" w:lineRule="auto"/>
              <w:ind w:leftChars="0" w:firstLine="0" w:firstLineChars="0"/>
              <w:rPr>
                <w:rFonts w:hint="default" w:ascii="Times New Roman" w:hAnsi="Times New Roman" w:eastAsia="宋体" w:cs="Times New Roman"/>
                <w:color w:val="000000" w:themeColor="text1"/>
                <w:kern w:val="21"/>
                <w:sz w:val="24"/>
                <w:szCs w:val="24"/>
                <w:lang w:eastAsia="zh-CN"/>
                <w14:textFill>
                  <w14:solidFill>
                    <w14:schemeClr w14:val="tx1"/>
                  </w14:solidFill>
                </w14:textFill>
              </w:rPr>
            </w:pPr>
          </w:p>
        </w:tc>
        <w:tc>
          <w:tcPr>
            <w:tcW w:w="2052" w:type="dxa"/>
            <w:tcBorders>
              <w:tl2br w:val="nil"/>
              <w:tr2bl w:val="nil"/>
            </w:tcBorders>
            <w:shd w:val="clear" w:color="auto" w:fill="auto"/>
            <w:vAlign w:val="center"/>
          </w:tcPr>
          <w:p w14:paraId="0E104AB3">
            <w:pPr>
              <w:pStyle w:val="33"/>
              <w:spacing w:beforeLines="0" w:afterLines="0" w:line="240" w:lineRule="auto"/>
              <w:ind w:left="0" w:leftChars="0" w:firstLine="0" w:firstLineChars="0"/>
              <w:rPr>
                <w:rFonts w:hint="default" w:ascii="Times New Roman" w:hAnsi="Times New Roman" w:eastAsia="宋体" w:cs="Times New Roman"/>
                <w:color w:val="000000" w:themeColor="text1"/>
                <w:kern w:val="2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21"/>
                <w:sz w:val="24"/>
                <w:szCs w:val="24"/>
                <w:lang w:val="en-US" w:eastAsia="zh-CN"/>
                <w14:textFill>
                  <w14:solidFill>
                    <w14:schemeClr w14:val="tx1"/>
                  </w14:solidFill>
                </w14:textFill>
              </w:rPr>
              <w:t>废气水喷淋废水</w:t>
            </w:r>
          </w:p>
        </w:tc>
        <w:tc>
          <w:tcPr>
            <w:tcW w:w="1907" w:type="dxa"/>
            <w:tcBorders>
              <w:tl2br w:val="nil"/>
              <w:tr2bl w:val="nil"/>
            </w:tcBorders>
            <w:shd w:val="clear" w:color="auto" w:fill="auto"/>
            <w:vAlign w:val="center"/>
          </w:tcPr>
          <w:p w14:paraId="1E93589A">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1430" w:type="dxa"/>
            <w:tcBorders>
              <w:tl2br w:val="nil"/>
              <w:tr2bl w:val="nil"/>
            </w:tcBorders>
            <w:shd w:val="clear" w:color="auto" w:fill="auto"/>
            <w:vAlign w:val="center"/>
          </w:tcPr>
          <w:p w14:paraId="1F971746">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p>
        </w:tc>
        <w:tc>
          <w:tcPr>
            <w:tcW w:w="1907" w:type="dxa"/>
            <w:tcBorders>
              <w:tl2br w:val="nil"/>
              <w:tr2bl w:val="nil"/>
            </w:tcBorders>
            <w:shd w:val="clear" w:color="auto" w:fill="auto"/>
            <w:vAlign w:val="center"/>
          </w:tcPr>
          <w:p w14:paraId="06C70014">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p>
        </w:tc>
        <w:tc>
          <w:tcPr>
            <w:tcW w:w="1747" w:type="dxa"/>
            <w:tcBorders>
              <w:tl2br w:val="nil"/>
              <w:tr2bl w:val="nil"/>
            </w:tcBorders>
            <w:shd w:val="clear" w:color="auto" w:fill="auto"/>
            <w:vAlign w:val="center"/>
          </w:tcPr>
          <w:p w14:paraId="22E04FB7">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1.82</w:t>
            </w:r>
          </w:p>
        </w:tc>
        <w:tc>
          <w:tcPr>
            <w:tcW w:w="1808" w:type="dxa"/>
            <w:tcBorders>
              <w:tl2br w:val="nil"/>
              <w:tr2bl w:val="nil"/>
            </w:tcBorders>
            <w:shd w:val="clear" w:color="auto" w:fill="auto"/>
            <w:vAlign w:val="center"/>
          </w:tcPr>
          <w:p w14:paraId="42C06AE5">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p>
        </w:tc>
        <w:tc>
          <w:tcPr>
            <w:tcW w:w="1866" w:type="dxa"/>
            <w:tcBorders>
              <w:tl2br w:val="nil"/>
              <w:tr2bl w:val="nil"/>
            </w:tcBorders>
            <w:shd w:val="clear" w:color="auto" w:fill="auto"/>
            <w:vAlign w:val="center"/>
          </w:tcPr>
          <w:p w14:paraId="43F39013">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1.82</w:t>
            </w:r>
          </w:p>
        </w:tc>
        <w:tc>
          <w:tcPr>
            <w:tcW w:w="1421" w:type="dxa"/>
            <w:tcBorders>
              <w:tl2br w:val="nil"/>
              <w:tr2bl w:val="nil"/>
            </w:tcBorders>
            <w:shd w:val="clear" w:color="auto" w:fill="auto"/>
            <w:vAlign w:val="center"/>
          </w:tcPr>
          <w:p w14:paraId="673551E7">
            <w:pPr>
              <w:pStyle w:val="33"/>
              <w:spacing w:beforeLines="0" w:afterLines="0" w:line="240" w:lineRule="auto"/>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+1.82</w:t>
            </w:r>
          </w:p>
        </w:tc>
      </w:tr>
    </w:tbl>
    <w:p w14:paraId="6875807D">
      <w:pPr>
        <w:pStyle w:val="33"/>
        <w:keepNext w:val="0"/>
        <w:keepLines w:val="0"/>
        <w:pageBreakBefore w:val="0"/>
        <w:widowControl/>
        <w:tabs>
          <w:tab w:val="left" w:pos="9306"/>
        </w:tabs>
        <w:kinsoku w:val="0"/>
        <w:wordWrap/>
        <w:overflowPunct/>
        <w:topLinePunct w:val="0"/>
        <w:autoSpaceDE w:val="0"/>
        <w:autoSpaceDN w:val="0"/>
        <w:bidi w:val="0"/>
        <w:adjustRightInd/>
        <w:snapToGrid/>
        <w:ind w:left="0" w:leftChars="0" w:firstLine="420"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注：</w:t>
      </w:r>
      <w:r>
        <w:rPr>
          <w:rFonts w:hint="default" w:ascii="Times New Roman" w:hAnsi="Times New Roman" w:eastAsia="宋体" w:cs="Times New Roman"/>
          <w:color w:val="000000" w:themeColor="text1"/>
          <w:spacing w:val="-16"/>
          <w:kern w:val="21"/>
          <w:sz w:val="21"/>
          <w:szCs w:val="21"/>
          <w14:textFill>
            <w14:solidFill>
              <w14:schemeClr w14:val="tx1"/>
            </w14:solidFill>
          </w14:textFill>
        </w:rPr>
        <w:fldChar w:fldCharType="begin"/>
      </w:r>
      <w:r>
        <w:rPr>
          <w:rFonts w:hint="default" w:ascii="Times New Roman" w:hAnsi="Times New Roman" w:eastAsia="宋体" w:cs="Times New Roman"/>
          <w:color w:val="000000" w:themeColor="text1"/>
          <w:spacing w:val="-16"/>
          <w:kern w:val="21"/>
          <w:sz w:val="21"/>
          <w:szCs w:val="21"/>
          <w14:textFill>
            <w14:solidFill>
              <w14:schemeClr w14:val="tx1"/>
            </w14:solidFill>
          </w14:textFill>
        </w:rPr>
        <w:instrText xml:space="preserve"> = 6 \* GB3 \* MERGEFORMAT </w:instrText>
      </w:r>
      <w:r>
        <w:rPr>
          <w:rFonts w:hint="default" w:ascii="Times New Roman" w:hAnsi="Times New Roman" w:eastAsia="宋体" w:cs="Times New Roman"/>
          <w:color w:val="000000" w:themeColor="text1"/>
          <w:spacing w:val="-16"/>
          <w:kern w:val="21"/>
          <w:sz w:val="21"/>
          <w:szCs w:val="21"/>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14:textFill>
            <w14:solidFill>
              <w14:schemeClr w14:val="tx1"/>
            </w14:solidFill>
          </w14:textFill>
        </w:rPr>
        <w:t>⑥</w:t>
      </w:r>
      <w:r>
        <w:rPr>
          <w:rFonts w:hint="default" w:ascii="Times New Roman" w:hAnsi="Times New Roman" w:eastAsia="宋体" w:cs="Times New Roman"/>
          <w:color w:val="000000" w:themeColor="text1"/>
          <w:spacing w:val="-16"/>
          <w:kern w:val="21"/>
          <w:sz w:val="21"/>
          <w:szCs w:val="21"/>
          <w14:textFill>
            <w14:solidFill>
              <w14:schemeClr w14:val="tx1"/>
            </w14:solidFill>
          </w14:textFill>
        </w:rPr>
        <w:fldChar w:fldCharType="end"/>
      </w:r>
      <w:r>
        <w:rPr>
          <w:rFonts w:hint="default" w:ascii="Times New Roman" w:hAnsi="Times New Roman" w:eastAsia="宋体" w:cs="Times New Roman"/>
          <w:color w:val="000000" w:themeColor="text1"/>
          <w:spacing w:val="-16"/>
          <w:kern w:val="21"/>
          <w:sz w:val="21"/>
          <w:szCs w:val="21"/>
          <w14:textFill>
            <w14:solidFill>
              <w14:schemeClr w14:val="tx1"/>
            </w14:solidFill>
          </w14:textFill>
        </w:rPr>
        <w:t>=</w:t>
      </w:r>
      <w:r>
        <w:rPr>
          <w:rFonts w:hint="default" w:ascii="Times New Roman" w:hAnsi="Times New Roman" w:eastAsia="宋体" w:cs="Times New Roman"/>
          <w:color w:val="000000" w:themeColor="text1"/>
          <w:spacing w:val="-6"/>
          <w:kern w:val="21"/>
          <w:sz w:val="21"/>
          <w:szCs w:val="21"/>
          <w14:textFill>
            <w14:solidFill>
              <w14:schemeClr w14:val="tx1"/>
            </w14:solidFill>
          </w14:textFill>
        </w:rPr>
        <w:fldChar w:fldCharType="begin"/>
      </w:r>
      <w:r>
        <w:rPr>
          <w:rFonts w:hint="default" w:ascii="Times New Roman" w:hAnsi="Times New Roman" w:eastAsia="宋体" w:cs="Times New Roman"/>
          <w:color w:val="000000" w:themeColor="text1"/>
          <w:spacing w:val="-6"/>
          <w:kern w:val="21"/>
          <w:sz w:val="21"/>
          <w:szCs w:val="21"/>
          <w14:textFill>
            <w14:solidFill>
              <w14:schemeClr w14:val="tx1"/>
            </w14:solidFill>
          </w14:textFill>
        </w:rPr>
        <w:instrText xml:space="preserve"> = 1 \* GB3 \* MERGEFORMAT </w:instrText>
      </w:r>
      <w:r>
        <w:rPr>
          <w:rFonts w:hint="default" w:ascii="Times New Roman" w:hAnsi="Times New Roman" w:eastAsia="宋体" w:cs="Times New Roman"/>
          <w:color w:val="000000" w:themeColor="text1"/>
          <w:spacing w:val="-6"/>
          <w:kern w:val="21"/>
          <w:sz w:val="21"/>
          <w:szCs w:val="21"/>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14:textFill>
            <w14:solidFill>
              <w14:schemeClr w14:val="tx1"/>
            </w14:solidFill>
          </w14:textFill>
        </w:rPr>
        <w:t>①</w:t>
      </w:r>
      <w:r>
        <w:rPr>
          <w:rFonts w:hint="default" w:ascii="Times New Roman" w:hAnsi="Times New Roman" w:eastAsia="宋体" w:cs="Times New Roman"/>
          <w:color w:val="000000" w:themeColor="text1"/>
          <w:spacing w:val="-6"/>
          <w:kern w:val="21"/>
          <w:sz w:val="21"/>
          <w:szCs w:val="21"/>
          <w14:textFill>
            <w14:solidFill>
              <w14:schemeClr w14:val="tx1"/>
            </w14:solidFill>
          </w14:textFill>
        </w:rPr>
        <w:fldChar w:fldCharType="end"/>
      </w:r>
      <w:r>
        <w:rPr>
          <w:rFonts w:hint="default" w:ascii="Times New Roman" w:hAnsi="Times New Roman" w:eastAsia="宋体" w:cs="Times New Roman"/>
          <w:color w:val="000000" w:themeColor="text1"/>
          <w:spacing w:val="-6"/>
          <w:kern w:val="21"/>
          <w:sz w:val="21"/>
          <w:szCs w:val="21"/>
          <w14:textFill>
            <w14:solidFill>
              <w14:schemeClr w14:val="tx1"/>
            </w14:solidFill>
          </w14:textFill>
        </w:rPr>
        <w:t>+</w:t>
      </w:r>
      <w:r>
        <w:rPr>
          <w:rFonts w:hint="default" w:ascii="Times New Roman" w:hAnsi="Times New Roman" w:eastAsia="宋体" w:cs="Times New Roman"/>
          <w:color w:val="000000" w:themeColor="text1"/>
          <w:spacing w:val="-6"/>
          <w:kern w:val="21"/>
          <w:sz w:val="21"/>
          <w:szCs w:val="21"/>
          <w14:textFill>
            <w14:solidFill>
              <w14:schemeClr w14:val="tx1"/>
            </w14:solidFill>
          </w14:textFill>
        </w:rPr>
        <w:fldChar w:fldCharType="begin"/>
      </w:r>
      <w:r>
        <w:rPr>
          <w:rFonts w:hint="default" w:ascii="Times New Roman" w:hAnsi="Times New Roman" w:eastAsia="宋体" w:cs="Times New Roman"/>
          <w:color w:val="000000" w:themeColor="text1"/>
          <w:spacing w:val="-6"/>
          <w:kern w:val="21"/>
          <w:sz w:val="21"/>
          <w:szCs w:val="21"/>
          <w14:textFill>
            <w14:solidFill>
              <w14:schemeClr w14:val="tx1"/>
            </w14:solidFill>
          </w14:textFill>
        </w:rPr>
        <w:instrText xml:space="preserve"> = 3 \* GB3 \* MERGEFORMAT </w:instrText>
      </w:r>
      <w:r>
        <w:rPr>
          <w:rFonts w:hint="default" w:ascii="Times New Roman" w:hAnsi="Times New Roman" w:eastAsia="宋体" w:cs="Times New Roman"/>
          <w:color w:val="000000" w:themeColor="text1"/>
          <w:spacing w:val="-6"/>
          <w:kern w:val="21"/>
          <w:sz w:val="21"/>
          <w:szCs w:val="21"/>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14:textFill>
            <w14:solidFill>
              <w14:schemeClr w14:val="tx1"/>
            </w14:solidFill>
          </w14:textFill>
        </w:rPr>
        <w:t>③</w:t>
      </w:r>
      <w:r>
        <w:rPr>
          <w:rFonts w:hint="default" w:ascii="Times New Roman" w:hAnsi="Times New Roman" w:eastAsia="宋体" w:cs="Times New Roman"/>
          <w:color w:val="000000" w:themeColor="text1"/>
          <w:spacing w:val="-6"/>
          <w:kern w:val="21"/>
          <w:sz w:val="21"/>
          <w:szCs w:val="21"/>
          <w14:textFill>
            <w14:solidFill>
              <w14:schemeClr w14:val="tx1"/>
            </w14:solidFill>
          </w14:textFill>
        </w:rPr>
        <w:fldChar w:fldCharType="end"/>
      </w:r>
      <w:r>
        <w:rPr>
          <w:rFonts w:hint="default" w:ascii="Times New Roman" w:hAnsi="Times New Roman" w:eastAsia="宋体" w:cs="Times New Roman"/>
          <w:color w:val="000000" w:themeColor="text1"/>
          <w:spacing w:val="-6"/>
          <w:kern w:val="21"/>
          <w:sz w:val="21"/>
          <w:szCs w:val="21"/>
          <w14:textFill>
            <w14:solidFill>
              <w14:schemeClr w14:val="tx1"/>
            </w14:solidFill>
          </w14:textFill>
        </w:rPr>
        <w:t>+</w:t>
      </w:r>
      <w:r>
        <w:rPr>
          <w:rFonts w:hint="default" w:ascii="Times New Roman" w:hAnsi="Times New Roman" w:eastAsia="宋体" w:cs="Times New Roman"/>
          <w:color w:val="000000" w:themeColor="text1"/>
          <w:spacing w:val="-6"/>
          <w:kern w:val="21"/>
          <w:sz w:val="21"/>
          <w:szCs w:val="21"/>
          <w14:textFill>
            <w14:solidFill>
              <w14:schemeClr w14:val="tx1"/>
            </w14:solidFill>
          </w14:textFill>
        </w:rPr>
        <w:fldChar w:fldCharType="begin"/>
      </w:r>
      <w:r>
        <w:rPr>
          <w:rFonts w:hint="default" w:ascii="Times New Roman" w:hAnsi="Times New Roman" w:eastAsia="宋体" w:cs="Times New Roman"/>
          <w:color w:val="000000" w:themeColor="text1"/>
          <w:spacing w:val="-6"/>
          <w:kern w:val="21"/>
          <w:sz w:val="21"/>
          <w:szCs w:val="21"/>
          <w14:textFill>
            <w14:solidFill>
              <w14:schemeClr w14:val="tx1"/>
            </w14:solidFill>
          </w14:textFill>
        </w:rPr>
        <w:instrText xml:space="preserve"> = 4 \* GB3 \* MERGEFORMAT </w:instrText>
      </w:r>
      <w:r>
        <w:rPr>
          <w:rFonts w:hint="default" w:ascii="Times New Roman" w:hAnsi="Times New Roman" w:eastAsia="宋体" w:cs="Times New Roman"/>
          <w:color w:val="000000" w:themeColor="text1"/>
          <w:spacing w:val="-6"/>
          <w:kern w:val="21"/>
          <w:sz w:val="21"/>
          <w:szCs w:val="21"/>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14:textFill>
            <w14:solidFill>
              <w14:schemeClr w14:val="tx1"/>
            </w14:solidFill>
          </w14:textFill>
        </w:rPr>
        <w:t>④</w:t>
      </w:r>
      <w:r>
        <w:rPr>
          <w:rFonts w:hint="default" w:ascii="Times New Roman" w:hAnsi="Times New Roman" w:eastAsia="宋体" w:cs="Times New Roman"/>
          <w:color w:val="000000" w:themeColor="text1"/>
          <w:spacing w:val="-6"/>
          <w:kern w:val="21"/>
          <w:sz w:val="21"/>
          <w:szCs w:val="21"/>
          <w14:textFill>
            <w14:solidFill>
              <w14:schemeClr w14:val="tx1"/>
            </w14:solidFill>
          </w14:textFill>
        </w:rPr>
        <w:fldChar w:fldCharType="end"/>
      </w:r>
      <w:r>
        <w:rPr>
          <w:rFonts w:hint="default" w:ascii="Times New Roman" w:hAnsi="Times New Roman" w:eastAsia="宋体" w:cs="Times New Roman"/>
          <w:color w:val="000000" w:themeColor="text1"/>
          <w:spacing w:val="-6"/>
          <w:kern w:val="21"/>
          <w:sz w:val="21"/>
          <w:szCs w:val="21"/>
          <w14:textFill>
            <w14:solidFill>
              <w14:schemeClr w14:val="tx1"/>
            </w14:solidFill>
          </w14:textFill>
        </w:rPr>
        <w:t>-</w:t>
      </w:r>
      <w:r>
        <w:rPr>
          <w:rFonts w:hint="default" w:ascii="Times New Roman" w:hAnsi="Times New Roman" w:eastAsia="宋体" w:cs="Times New Roman"/>
          <w:color w:val="000000" w:themeColor="text1"/>
          <w:spacing w:val="-16"/>
          <w:kern w:val="21"/>
          <w:sz w:val="21"/>
          <w:szCs w:val="21"/>
          <w14:textFill>
            <w14:solidFill>
              <w14:schemeClr w14:val="tx1"/>
            </w14:solidFill>
          </w14:textFill>
        </w:rPr>
        <w:fldChar w:fldCharType="begin"/>
      </w:r>
      <w:r>
        <w:rPr>
          <w:rFonts w:hint="default" w:ascii="Times New Roman" w:hAnsi="Times New Roman" w:eastAsia="宋体" w:cs="Times New Roman"/>
          <w:color w:val="000000" w:themeColor="text1"/>
          <w:spacing w:val="-16"/>
          <w:kern w:val="21"/>
          <w:sz w:val="21"/>
          <w:szCs w:val="21"/>
          <w14:textFill>
            <w14:solidFill>
              <w14:schemeClr w14:val="tx1"/>
            </w14:solidFill>
          </w14:textFill>
        </w:rPr>
        <w:instrText xml:space="preserve"> = 5 \* GB3 \* MERGEFORMAT </w:instrText>
      </w:r>
      <w:r>
        <w:rPr>
          <w:rFonts w:hint="default" w:ascii="Times New Roman" w:hAnsi="Times New Roman" w:eastAsia="宋体" w:cs="Times New Roman"/>
          <w:color w:val="000000" w:themeColor="text1"/>
          <w:spacing w:val="-16"/>
          <w:kern w:val="21"/>
          <w:sz w:val="21"/>
          <w:szCs w:val="21"/>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14:textFill>
            <w14:solidFill>
              <w14:schemeClr w14:val="tx1"/>
            </w14:solidFill>
          </w14:textFill>
        </w:rPr>
        <w:t>⑤</w:t>
      </w:r>
      <w:r>
        <w:rPr>
          <w:rFonts w:hint="default" w:ascii="Times New Roman" w:hAnsi="Times New Roman" w:eastAsia="宋体" w:cs="Times New Roman"/>
          <w:color w:val="000000" w:themeColor="text1"/>
          <w:spacing w:val="-16"/>
          <w:kern w:val="21"/>
          <w:sz w:val="21"/>
          <w:szCs w:val="21"/>
          <w14:textFill>
            <w14:solidFill>
              <w14:schemeClr w14:val="tx1"/>
            </w14:solidFill>
          </w14:textFill>
        </w:rPr>
        <w:fldChar w:fldCharType="end"/>
      </w:r>
      <w:r>
        <w:rPr>
          <w:rFonts w:hint="default" w:ascii="Times New Roman" w:hAnsi="Times New Roman" w:eastAsia="宋体" w:cs="Times New Roman"/>
          <w:color w:val="000000" w:themeColor="text1"/>
          <w:spacing w:val="-16"/>
          <w:kern w:val="21"/>
          <w:sz w:val="21"/>
          <w:szCs w:val="21"/>
          <w14:textFill>
            <w14:solidFill>
              <w14:schemeClr w14:val="tx1"/>
            </w14:solidFill>
          </w14:textFill>
        </w:rPr>
        <w:t>；</w:t>
      </w:r>
      <w:r>
        <w:rPr>
          <w:rFonts w:hint="default" w:ascii="Times New Roman" w:hAnsi="Times New Roman" w:eastAsia="宋体" w:cs="Times New Roman"/>
          <w:color w:val="000000" w:themeColor="text1"/>
          <w:spacing w:val="-6"/>
          <w:kern w:val="21"/>
          <w:sz w:val="21"/>
          <w:szCs w:val="21"/>
          <w14:textFill>
            <w14:solidFill>
              <w14:schemeClr w14:val="tx1"/>
            </w14:solidFill>
          </w14:textFill>
        </w:rPr>
        <w:fldChar w:fldCharType="begin"/>
      </w:r>
      <w:r>
        <w:rPr>
          <w:rFonts w:hint="default" w:ascii="Times New Roman" w:hAnsi="Times New Roman" w:eastAsia="宋体" w:cs="Times New Roman"/>
          <w:color w:val="000000" w:themeColor="text1"/>
          <w:spacing w:val="-6"/>
          <w:kern w:val="21"/>
          <w:sz w:val="21"/>
          <w:szCs w:val="21"/>
          <w14:textFill>
            <w14:solidFill>
              <w14:schemeClr w14:val="tx1"/>
            </w14:solidFill>
          </w14:textFill>
        </w:rPr>
        <w:instrText xml:space="preserve"> = 7 \* GB3 \* MERGEFORMAT </w:instrText>
      </w:r>
      <w:r>
        <w:rPr>
          <w:rFonts w:hint="default" w:ascii="Times New Roman" w:hAnsi="Times New Roman" w:eastAsia="宋体" w:cs="Times New Roman"/>
          <w:color w:val="000000" w:themeColor="text1"/>
          <w:spacing w:val="-6"/>
          <w:kern w:val="21"/>
          <w:sz w:val="21"/>
          <w:szCs w:val="21"/>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14:textFill>
            <w14:solidFill>
              <w14:schemeClr w14:val="tx1"/>
            </w14:solidFill>
          </w14:textFill>
        </w:rPr>
        <w:t>⑦</w:t>
      </w:r>
      <w:r>
        <w:rPr>
          <w:rFonts w:hint="default" w:ascii="Times New Roman" w:hAnsi="Times New Roman" w:eastAsia="宋体" w:cs="Times New Roman"/>
          <w:color w:val="000000" w:themeColor="text1"/>
          <w:spacing w:val="-6"/>
          <w:kern w:val="21"/>
          <w:sz w:val="21"/>
          <w:szCs w:val="21"/>
          <w14:textFill>
            <w14:solidFill>
              <w14:schemeClr w14:val="tx1"/>
            </w14:solidFill>
          </w14:textFill>
        </w:rPr>
        <w:fldChar w:fldCharType="end"/>
      </w:r>
      <w:r>
        <w:rPr>
          <w:rFonts w:hint="default" w:ascii="Times New Roman" w:hAnsi="Times New Roman" w:eastAsia="宋体" w:cs="Times New Roman"/>
          <w:color w:val="000000" w:themeColor="text1"/>
          <w:spacing w:val="-6"/>
          <w:kern w:val="21"/>
          <w:sz w:val="21"/>
          <w:szCs w:val="21"/>
          <w14:textFill>
            <w14:solidFill>
              <w14:schemeClr w14:val="tx1"/>
            </w14:solidFill>
          </w14:textFill>
        </w:rPr>
        <w:t>=</w:t>
      </w:r>
      <w:r>
        <w:rPr>
          <w:rFonts w:hint="default" w:ascii="Times New Roman" w:hAnsi="Times New Roman" w:eastAsia="宋体" w:cs="Times New Roman"/>
          <w:color w:val="000000" w:themeColor="text1"/>
          <w:spacing w:val="-16"/>
          <w:kern w:val="21"/>
          <w:sz w:val="21"/>
          <w:szCs w:val="21"/>
          <w14:textFill>
            <w14:solidFill>
              <w14:schemeClr w14:val="tx1"/>
            </w14:solidFill>
          </w14:textFill>
        </w:rPr>
        <w:fldChar w:fldCharType="begin"/>
      </w:r>
      <w:r>
        <w:rPr>
          <w:rFonts w:hint="default" w:ascii="Times New Roman" w:hAnsi="Times New Roman" w:eastAsia="宋体" w:cs="Times New Roman"/>
          <w:color w:val="000000" w:themeColor="text1"/>
          <w:spacing w:val="-16"/>
          <w:kern w:val="21"/>
          <w:sz w:val="21"/>
          <w:szCs w:val="21"/>
          <w14:textFill>
            <w14:solidFill>
              <w14:schemeClr w14:val="tx1"/>
            </w14:solidFill>
          </w14:textFill>
        </w:rPr>
        <w:instrText xml:space="preserve"> = 6 \* GB3 \* MERGEFORMAT </w:instrText>
      </w:r>
      <w:r>
        <w:rPr>
          <w:rFonts w:hint="default" w:ascii="Times New Roman" w:hAnsi="Times New Roman" w:eastAsia="宋体" w:cs="Times New Roman"/>
          <w:color w:val="000000" w:themeColor="text1"/>
          <w:spacing w:val="-16"/>
          <w:kern w:val="21"/>
          <w:sz w:val="21"/>
          <w:szCs w:val="21"/>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14:textFill>
            <w14:solidFill>
              <w14:schemeClr w14:val="tx1"/>
            </w14:solidFill>
          </w14:textFill>
        </w:rPr>
        <w:t>⑥</w:t>
      </w:r>
      <w:r>
        <w:rPr>
          <w:rFonts w:hint="default" w:ascii="Times New Roman" w:hAnsi="Times New Roman" w:eastAsia="宋体" w:cs="Times New Roman"/>
          <w:color w:val="000000" w:themeColor="text1"/>
          <w:spacing w:val="-16"/>
          <w:kern w:val="21"/>
          <w:sz w:val="21"/>
          <w:szCs w:val="21"/>
          <w14:textFill>
            <w14:solidFill>
              <w14:schemeClr w14:val="tx1"/>
            </w14:solidFill>
          </w14:textFill>
        </w:rPr>
        <w:fldChar w:fldCharType="end"/>
      </w:r>
      <w:r>
        <w:rPr>
          <w:rFonts w:hint="default" w:ascii="Times New Roman" w:hAnsi="Times New Roman" w:eastAsia="宋体" w:cs="Times New Roman"/>
          <w:color w:val="000000" w:themeColor="text1"/>
          <w:spacing w:val="-16"/>
          <w:kern w:val="21"/>
          <w:sz w:val="21"/>
          <w:szCs w:val="21"/>
          <w14:textFill>
            <w14:solidFill>
              <w14:schemeClr w14:val="tx1"/>
            </w14:solidFill>
          </w14:textFill>
        </w:rPr>
        <w:t>-</w:t>
      </w:r>
      <w:r>
        <w:rPr>
          <w:rFonts w:hint="default" w:ascii="Times New Roman" w:hAnsi="Times New Roman" w:eastAsia="宋体" w:cs="Times New Roman"/>
          <w:color w:val="000000" w:themeColor="text1"/>
          <w:spacing w:val="-6"/>
          <w:kern w:val="21"/>
          <w:sz w:val="21"/>
          <w:szCs w:val="21"/>
          <w14:textFill>
            <w14:solidFill>
              <w14:schemeClr w14:val="tx1"/>
            </w14:solidFill>
          </w14:textFill>
        </w:rPr>
        <w:fldChar w:fldCharType="begin"/>
      </w:r>
      <w:r>
        <w:rPr>
          <w:rFonts w:hint="default" w:ascii="Times New Roman" w:hAnsi="Times New Roman" w:eastAsia="宋体" w:cs="Times New Roman"/>
          <w:color w:val="000000" w:themeColor="text1"/>
          <w:spacing w:val="-6"/>
          <w:kern w:val="21"/>
          <w:sz w:val="21"/>
          <w:szCs w:val="21"/>
          <w14:textFill>
            <w14:solidFill>
              <w14:schemeClr w14:val="tx1"/>
            </w14:solidFill>
          </w14:textFill>
        </w:rPr>
        <w:instrText xml:space="preserve"> = 1 \* GB3 \* MERGEFORMAT </w:instrText>
      </w:r>
      <w:r>
        <w:rPr>
          <w:rFonts w:hint="default" w:ascii="Times New Roman" w:hAnsi="Times New Roman" w:eastAsia="宋体" w:cs="Times New Roman"/>
          <w:color w:val="000000" w:themeColor="text1"/>
          <w:spacing w:val="-6"/>
          <w:kern w:val="21"/>
          <w:sz w:val="21"/>
          <w:szCs w:val="21"/>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14:textFill>
            <w14:solidFill>
              <w14:schemeClr w14:val="tx1"/>
            </w14:solidFill>
          </w14:textFill>
        </w:rPr>
        <w:t>①</w:t>
      </w:r>
      <w:r>
        <w:rPr>
          <w:rFonts w:hint="default" w:ascii="Times New Roman" w:hAnsi="Times New Roman" w:eastAsia="宋体" w:cs="Times New Roman"/>
          <w:color w:val="000000" w:themeColor="text1"/>
          <w:spacing w:val="-6"/>
          <w:kern w:val="21"/>
          <w:sz w:val="21"/>
          <w:szCs w:val="21"/>
          <w14:textFill>
            <w14:solidFill>
              <w14:schemeClr w14:val="tx1"/>
            </w14:solidFill>
          </w14:textFill>
        </w:rPr>
        <w:fldChar w:fldCharType="end"/>
      </w:r>
    </w:p>
    <w:p w14:paraId="501A3D81">
      <w:pPr>
        <w:rPr>
          <w:rFonts w:hint="default" w:ascii="Times New Roman" w:hAnsi="Times New Roman" w:eastAsia="宋体" w:cs="Times New Roman"/>
          <w:color w:val="0000FF"/>
        </w:rPr>
      </w:pPr>
    </w:p>
    <w:p w14:paraId="7BA83DBB">
      <w:pPr>
        <w:rPr>
          <w:rFonts w:hint="default" w:ascii="Times New Roman" w:hAnsi="Times New Roman" w:eastAsia="宋体" w:cs="Times New Roman"/>
          <w:color w:val="0000FF"/>
        </w:rPr>
      </w:pPr>
    </w:p>
    <w:sectPr>
      <w:pgSz w:w="16838" w:h="11906" w:orient="landscape"/>
      <w:pgMar w:top="720" w:right="720" w:bottom="720" w:left="72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3"/>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新宋体-18030">
    <w:altName w:val="宋体"/>
    <w:panose1 w:val="00000000000000000000"/>
    <w:charset w:val="00"/>
    <w:family w:val="auto"/>
    <w:pitch w:val="default"/>
    <w:sig w:usb0="00000000" w:usb1="00000000" w:usb2="00000000" w:usb3="00000000" w:csb0="00040001" w:csb1="00000000"/>
  </w:font>
  <w:font w:name="Cambria">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auto"/>
    <w:pitch w:val="default"/>
    <w:sig w:usb0="00000000" w:usb1="00000000" w:usb2="00000000"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2DFC3">
    <w:pPr>
      <w:pStyle w:val="1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7DD4F">
    <w:pPr>
      <w:pStyle w:val="16"/>
      <w:framePr w:wrap="around" w:vAnchor="text" w:hAnchor="margin" w:xAlign="center" w:y="1"/>
      <w:rPr>
        <w:rStyle w:val="30"/>
      </w:rPr>
    </w:pPr>
    <w:r>
      <w:fldChar w:fldCharType="begin"/>
    </w:r>
    <w:r>
      <w:rPr>
        <w:rStyle w:val="30"/>
      </w:rPr>
      <w:instrText xml:space="preserve">PAGE  </w:instrText>
    </w:r>
    <w:r>
      <w:fldChar w:fldCharType="end"/>
    </w:r>
  </w:p>
  <w:p w14:paraId="4B91EAC7">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E4FCF">
    <w:pPr>
      <w:pStyle w:val="16"/>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B130E9">
                          <w:pPr>
                            <w:pStyle w:val="16"/>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0B130E9">
                    <w:pPr>
                      <w:pStyle w:val="16"/>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73196">
    <w:pPr>
      <w:pStyle w:val="16"/>
      <w:ind w:right="360" w:firstLine="360"/>
    </w:pPr>
    <w:r>
      <w:rPr>
        <w:lang w:eastAsia="zh-CN"/>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EC3EF4">
                          <w:pPr>
                            <w:pStyle w:val="16"/>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47</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fTTA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tfTTAtAgAAVwQAAA4AAAAAAAAAAQAgAAAAHwEAAGRycy9lMm9Eb2MueG1sUEsFBgAAAAAG&#10;AAYAWQEAAL4FAAAAAA==&#10;">
              <v:fill on="f" focussize="0,0"/>
              <v:stroke on="f" weight="0.5pt"/>
              <v:imagedata o:title=""/>
              <o:lock v:ext="edit" aspectratio="f"/>
              <v:textbox inset="0mm,0mm,0mm,0mm" style="mso-fit-shape-to-text:t;">
                <w:txbxContent>
                  <w:p w14:paraId="4AEC3EF4">
                    <w:pPr>
                      <w:pStyle w:val="16"/>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47</w:t>
                    </w:r>
                    <w:r>
                      <w:rPr>
                        <w:rFonts w:ascii="Times New Roman" w:hAnsi="Times New Roman" w:cs="Times New Roma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256AD">
    <w:pPr>
      <w:pStyle w:val="16"/>
      <w:ind w:right="360" w:firstLine="360"/>
    </w:pPr>
    <w:r>
      <w:rPr>
        <w:lang w:eastAsia="zh-CN"/>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EC3D8C">
                          <w:pPr>
                            <w:pStyle w:val="16"/>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47</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MSHnA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MSHnAtAgAAVwQAAA4AAAAAAAAAAQAgAAAAHwEAAGRycy9lMm9Eb2MueG1sUEsFBgAAAAAG&#10;AAYAWQEAAL4FAAAAAA==&#10;">
              <v:fill on="f" focussize="0,0"/>
              <v:stroke on="f" weight="0.5pt"/>
              <v:imagedata o:title=""/>
              <o:lock v:ext="edit" aspectratio="f"/>
              <v:textbox inset="0mm,0mm,0mm,0mm" style="mso-fit-shape-to-text:t;">
                <w:txbxContent>
                  <w:p w14:paraId="4FEC3D8C">
                    <w:pPr>
                      <w:pStyle w:val="16"/>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47</w:t>
                    </w:r>
                    <w:r>
                      <w:rPr>
                        <w:rFonts w:ascii="Times New Roman" w:hAnsi="Times New Roman" w:cs="Times New Roma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258D2">
    <w:pPr>
      <w:pStyle w:val="16"/>
      <w:ind w:right="360" w:firstLine="360"/>
    </w:pPr>
    <w:r>
      <w:rPr>
        <w:lang w:eastAsia="zh-CN"/>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1E1152">
                          <w:pPr>
                            <w:pStyle w:val="16"/>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50</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012otAgAAVwQAAA4AAABkcnMvZTJvRG9jLnhtbK1UzY7TMBC+I/EO&#10;lu80aYGlqp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JtX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r012otAgAAVwQAAA4AAAAAAAAAAQAgAAAAHwEAAGRycy9lMm9Eb2MueG1sUEsFBgAAAAAG&#10;AAYAWQEAAL4FAAAAAA==&#10;">
              <v:fill on="f" focussize="0,0"/>
              <v:stroke on="f" weight="0.5pt"/>
              <v:imagedata o:title=""/>
              <o:lock v:ext="edit" aspectratio="f"/>
              <v:textbox inset="0mm,0mm,0mm,0mm" style="mso-fit-shape-to-text:t;">
                <w:txbxContent>
                  <w:p w14:paraId="281E1152">
                    <w:pPr>
                      <w:pStyle w:val="16"/>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50</w:t>
                    </w:r>
                    <w:r>
                      <w:rPr>
                        <w:rFonts w:ascii="Times New Roman" w:hAnsi="Times New Roman" w:cs="Times New Roma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EC2D0">
    <w:pPr>
      <w:pStyle w:val="16"/>
      <w:ind w:right="360" w:firstLine="360"/>
    </w:pPr>
    <w:r>
      <w:rPr>
        <w:lang w:eastAsia="zh-CN"/>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9B426C">
                          <w:pPr>
                            <w:pStyle w:val="16"/>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52</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0F9B426C">
                    <w:pPr>
                      <w:pStyle w:val="16"/>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52</w:t>
                    </w:r>
                    <w:r>
                      <w:rPr>
                        <w:rFonts w:ascii="Times New Roman" w:hAnsi="Times New Roman" w:cs="Times New Roma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839A9">
    <w:pPr>
      <w:pStyle w:val="16"/>
      <w:ind w:right="360" w:firstLine="360"/>
    </w:pPr>
    <w:r>
      <w:rPr>
        <w:lang w:eastAsia="zh-CN"/>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2D503F">
                          <w:pPr>
                            <w:pStyle w:val="16"/>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68</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RKA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gfkSgKwIAAFcEAAAOAAAAAAAAAAEAIAAAAB8BAABkcnMvZTJvRG9jLnhtbFBLBQYAAAAABgAG&#10;AFkBAAC8BQAAAAA=&#10;">
              <v:fill on="f" focussize="0,0"/>
              <v:stroke on="f" weight="0.5pt"/>
              <v:imagedata o:title=""/>
              <o:lock v:ext="edit" aspectratio="f"/>
              <v:textbox inset="0mm,0mm,0mm,0mm" style="mso-fit-shape-to-text:t;">
                <w:txbxContent>
                  <w:p w14:paraId="1F2D503F">
                    <w:pPr>
                      <w:pStyle w:val="16"/>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68</w:t>
                    </w:r>
                    <w:r>
                      <w:rPr>
                        <w:rFonts w:ascii="Times New Roman" w:hAnsi="Times New Roman" w:cs="Times New Roma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BCD61D"/>
    <w:multiLevelType w:val="singleLevel"/>
    <w:tmpl w:val="90BCD61D"/>
    <w:lvl w:ilvl="0" w:tentative="0">
      <w:start w:val="2"/>
      <w:numFmt w:val="decimal"/>
      <w:suff w:val="nothing"/>
      <w:lvlText w:val="（%1）"/>
      <w:lvlJc w:val="left"/>
    </w:lvl>
  </w:abstractNum>
  <w:abstractNum w:abstractNumId="1">
    <w:nsid w:val="9DAF0EFF"/>
    <w:multiLevelType w:val="singleLevel"/>
    <w:tmpl w:val="9DAF0EFF"/>
    <w:lvl w:ilvl="0" w:tentative="0">
      <w:start w:val="1"/>
      <w:numFmt w:val="upperLetter"/>
      <w:lvlText w:val="%1."/>
      <w:lvlJc w:val="left"/>
      <w:pPr>
        <w:tabs>
          <w:tab w:val="left" w:pos="312"/>
        </w:tabs>
      </w:pPr>
    </w:lvl>
  </w:abstractNum>
  <w:abstractNum w:abstractNumId="2">
    <w:nsid w:val="C4B4BDC2"/>
    <w:multiLevelType w:val="singleLevel"/>
    <w:tmpl w:val="C4B4BDC2"/>
    <w:lvl w:ilvl="0" w:tentative="0">
      <w:start w:val="4"/>
      <w:numFmt w:val="decimal"/>
      <w:suff w:val="nothing"/>
      <w:lvlText w:val="（%1）"/>
      <w:lvlJc w:val="left"/>
    </w:lvl>
  </w:abstractNum>
  <w:abstractNum w:abstractNumId="3">
    <w:nsid w:val="E190C57F"/>
    <w:multiLevelType w:val="singleLevel"/>
    <w:tmpl w:val="E190C57F"/>
    <w:lvl w:ilvl="0" w:tentative="0">
      <w:start w:val="1"/>
      <w:numFmt w:val="bullet"/>
      <w:pStyle w:val="14"/>
      <w:lvlText w:val=""/>
      <w:lvlJc w:val="left"/>
      <w:pPr>
        <w:tabs>
          <w:tab w:val="left" w:pos="2040"/>
        </w:tabs>
        <w:ind w:left="2040" w:hanging="360"/>
      </w:pPr>
      <w:rPr>
        <w:rFonts w:hint="default" w:ascii="Wingdings" w:hAnsi="Wingdings"/>
      </w:rPr>
    </w:lvl>
  </w:abstractNum>
  <w:abstractNum w:abstractNumId="4">
    <w:nsid w:val="E613AAB2"/>
    <w:multiLevelType w:val="singleLevel"/>
    <w:tmpl w:val="E613AAB2"/>
    <w:lvl w:ilvl="0" w:tentative="0">
      <w:start w:val="4"/>
      <w:numFmt w:val="decimal"/>
      <w:suff w:val="nothing"/>
      <w:lvlText w:val="（%1）"/>
      <w:lvlJc w:val="left"/>
    </w:lvl>
  </w:abstractNum>
  <w:abstractNum w:abstractNumId="5">
    <w:nsid w:val="1236F65F"/>
    <w:multiLevelType w:val="singleLevel"/>
    <w:tmpl w:val="1236F65F"/>
    <w:lvl w:ilvl="0" w:tentative="0">
      <w:start w:val="7"/>
      <w:numFmt w:val="decimal"/>
      <w:suff w:val="nothing"/>
      <w:lvlText w:val="（%1）"/>
      <w:lvlJc w:val="left"/>
    </w:lvl>
  </w:abstractNum>
  <w:abstractNum w:abstractNumId="6">
    <w:nsid w:val="3A0C4E4B"/>
    <w:multiLevelType w:val="multilevel"/>
    <w:tmpl w:val="3A0C4E4B"/>
    <w:lvl w:ilvl="0" w:tentative="0">
      <w:start w:val="1"/>
      <w:numFmt w:val="decimal"/>
      <w:suff w:val="nothing"/>
      <w:lvlText w:val="%1"/>
      <w:lvlJc w:val="left"/>
      <w:pPr>
        <w:ind w:left="0" w:firstLine="0"/>
      </w:pPr>
      <w:rPr>
        <w:rFonts w:hint="eastAsia"/>
        <w:b/>
        <w:i w:val="0"/>
        <w:iCs w:val="0"/>
        <w:caps w:val="0"/>
        <w:smallCaps w:val="0"/>
        <w:strike w:val="0"/>
        <w:dstrike w:val="0"/>
        <w:color w:val="000000"/>
        <w:spacing w:val="0"/>
        <w:position w:val="0"/>
        <w:u w:val="none"/>
      </w:rPr>
    </w:lvl>
    <w:lvl w:ilvl="1" w:tentative="0">
      <w:start w:val="1"/>
      <w:numFmt w:val="decimal"/>
      <w:isLgl/>
      <w:suff w:val="space"/>
      <w:lvlText w:val="%1.%2"/>
      <w:lvlJc w:val="left"/>
      <w:pPr>
        <w:ind w:left="0" w:firstLine="0"/>
      </w:pPr>
      <w:rPr>
        <w:rFonts w:hint="eastAsia"/>
      </w:rPr>
    </w:lvl>
    <w:lvl w:ilvl="2" w:tentative="0">
      <w:start w:val="1"/>
      <w:numFmt w:val="decimal"/>
      <w:isLgl/>
      <w:suff w:val="space"/>
      <w:lvlText w:val="%1.%2.%3"/>
      <w:lvlJc w:val="left"/>
      <w:pPr>
        <w:ind w:left="0" w:firstLine="0"/>
      </w:pPr>
      <w:rPr>
        <w:rFonts w:hint="eastAsia" w:cs="Times New Roman"/>
        <w:b/>
        <w:i w:val="0"/>
        <w:iCs w:val="0"/>
        <w:caps w:val="0"/>
        <w:smallCaps w:val="0"/>
        <w:strike w:val="0"/>
        <w:dstrike w:val="0"/>
        <w:color w:val="000000"/>
        <w:spacing w:val="0"/>
        <w:position w:val="0"/>
        <w:u w:val="none"/>
      </w:rPr>
    </w:lvl>
    <w:lvl w:ilvl="3" w:tentative="0">
      <w:start w:val="1"/>
      <w:numFmt w:val="decimal"/>
      <w:pStyle w:val="4"/>
      <w:isLgl/>
      <w:suff w:val="space"/>
      <w:lvlText w:val="%1.%2.%3.%4"/>
      <w:lvlJc w:val="left"/>
      <w:pPr>
        <w:ind w:left="0" w:firstLine="0"/>
      </w:pPr>
      <w:rPr>
        <w:rFonts w:hint="eastAsia" w:cs="Times New Roman"/>
        <w:b/>
        <w:i w:val="0"/>
        <w:iCs w:val="0"/>
        <w:caps w:val="0"/>
        <w:smallCaps w:val="0"/>
        <w:strike w:val="0"/>
        <w:dstrike w:val="0"/>
        <w:color w:val="000000"/>
        <w:spacing w:val="0"/>
        <w:position w:val="0"/>
        <w:u w:val="none"/>
      </w:rPr>
    </w:lvl>
    <w:lvl w:ilvl="4" w:tentative="0">
      <w:start w:val="1"/>
      <w:numFmt w:val="decimal"/>
      <w:isLgl/>
      <w:lvlText w:val="%1.%2.%3.%4.%5"/>
      <w:lvlJc w:val="left"/>
      <w:pPr>
        <w:tabs>
          <w:tab w:val="left" w:pos="1440"/>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7">
    <w:nsid w:val="41862CA9"/>
    <w:multiLevelType w:val="multilevel"/>
    <w:tmpl w:val="41862CA9"/>
    <w:lvl w:ilvl="0" w:tentative="0">
      <w:start w:val="1"/>
      <w:numFmt w:val="decimal"/>
      <w:suff w:val="space"/>
      <w:lvlText w:val="%1"/>
      <w:lvlJc w:val="left"/>
      <w:pPr>
        <w:ind w:left="0" w:firstLine="0"/>
      </w:pPr>
      <w:rPr>
        <w:rFonts w:hint="eastAsia"/>
        <w:sz w:val="30"/>
        <w:szCs w:val="30"/>
      </w:rPr>
    </w:lvl>
    <w:lvl w:ilvl="1" w:tentative="0">
      <w:start w:val="1"/>
      <w:numFmt w:val="decimal"/>
      <w:pStyle w:val="37"/>
      <w:suff w:val="space"/>
      <w:lvlText w:val="%1.%2"/>
      <w:lvlJc w:val="left"/>
      <w:pPr>
        <w:ind w:left="0"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6"/>
  </w:num>
  <w:num w:numId="2">
    <w:abstractNumId w:val="3"/>
  </w:num>
  <w:num w:numId="3">
    <w:abstractNumId w:val="7"/>
  </w:num>
  <w:num w:numId="4">
    <w:abstractNumId w:val="2"/>
  </w:num>
  <w:num w:numId="5">
    <w:abstractNumId w:val="5"/>
  </w:num>
  <w:num w:numId="6">
    <w:abstractNumId w:val="0"/>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4C40887"/>
    <w:rsid w:val="0078143C"/>
    <w:rsid w:val="008145B6"/>
    <w:rsid w:val="009444C8"/>
    <w:rsid w:val="00D05FDC"/>
    <w:rsid w:val="00DE3E8C"/>
    <w:rsid w:val="00F50CDF"/>
    <w:rsid w:val="00FB1955"/>
    <w:rsid w:val="01B4086F"/>
    <w:rsid w:val="01E21263"/>
    <w:rsid w:val="0209528B"/>
    <w:rsid w:val="021B4775"/>
    <w:rsid w:val="022B0E5C"/>
    <w:rsid w:val="02301521"/>
    <w:rsid w:val="02375F66"/>
    <w:rsid w:val="02380E83"/>
    <w:rsid w:val="02750329"/>
    <w:rsid w:val="0282105D"/>
    <w:rsid w:val="02DA0087"/>
    <w:rsid w:val="02EB05EB"/>
    <w:rsid w:val="02FC607B"/>
    <w:rsid w:val="032C2780"/>
    <w:rsid w:val="03393105"/>
    <w:rsid w:val="033D6E0E"/>
    <w:rsid w:val="038C592B"/>
    <w:rsid w:val="03B629A7"/>
    <w:rsid w:val="04463D2B"/>
    <w:rsid w:val="046B19E4"/>
    <w:rsid w:val="04781ECF"/>
    <w:rsid w:val="04F03C97"/>
    <w:rsid w:val="05685F23"/>
    <w:rsid w:val="0580326D"/>
    <w:rsid w:val="05A50F26"/>
    <w:rsid w:val="05DD169A"/>
    <w:rsid w:val="05DD6F6A"/>
    <w:rsid w:val="05E64275"/>
    <w:rsid w:val="063A78C0"/>
    <w:rsid w:val="066B5CCB"/>
    <w:rsid w:val="069468A4"/>
    <w:rsid w:val="069953C4"/>
    <w:rsid w:val="06A76360"/>
    <w:rsid w:val="06BD78AB"/>
    <w:rsid w:val="072B0FB7"/>
    <w:rsid w:val="073360BD"/>
    <w:rsid w:val="07762B7A"/>
    <w:rsid w:val="07DB1494"/>
    <w:rsid w:val="07E32683"/>
    <w:rsid w:val="07FA1055"/>
    <w:rsid w:val="084D0345"/>
    <w:rsid w:val="088A61B1"/>
    <w:rsid w:val="08CB60FB"/>
    <w:rsid w:val="08DF5AD4"/>
    <w:rsid w:val="08F55D20"/>
    <w:rsid w:val="091B505B"/>
    <w:rsid w:val="093305F6"/>
    <w:rsid w:val="0946657C"/>
    <w:rsid w:val="09773D0A"/>
    <w:rsid w:val="099F08CD"/>
    <w:rsid w:val="09C35E1E"/>
    <w:rsid w:val="0A0F16B0"/>
    <w:rsid w:val="0A2F5262"/>
    <w:rsid w:val="0A3F5793"/>
    <w:rsid w:val="0A9D041D"/>
    <w:rsid w:val="0AA7304A"/>
    <w:rsid w:val="0BAB71C7"/>
    <w:rsid w:val="0BC8771C"/>
    <w:rsid w:val="0BE107DE"/>
    <w:rsid w:val="0BE36304"/>
    <w:rsid w:val="0C2B1A59"/>
    <w:rsid w:val="0C66480D"/>
    <w:rsid w:val="0C945850"/>
    <w:rsid w:val="0CA05FA3"/>
    <w:rsid w:val="0CA248BC"/>
    <w:rsid w:val="0D0759E7"/>
    <w:rsid w:val="0D570D57"/>
    <w:rsid w:val="0D6463F3"/>
    <w:rsid w:val="0D887163"/>
    <w:rsid w:val="0DBC0BBA"/>
    <w:rsid w:val="0DC14423"/>
    <w:rsid w:val="0E042561"/>
    <w:rsid w:val="0E1A1098"/>
    <w:rsid w:val="0E3A41D5"/>
    <w:rsid w:val="0E3F3599"/>
    <w:rsid w:val="0E5533B0"/>
    <w:rsid w:val="0E9055B2"/>
    <w:rsid w:val="0EDB1514"/>
    <w:rsid w:val="0F274759"/>
    <w:rsid w:val="0F307AB2"/>
    <w:rsid w:val="0F4C0664"/>
    <w:rsid w:val="0F8F137D"/>
    <w:rsid w:val="0FC87CEA"/>
    <w:rsid w:val="0FED5D9E"/>
    <w:rsid w:val="10090303"/>
    <w:rsid w:val="10437371"/>
    <w:rsid w:val="105D7981"/>
    <w:rsid w:val="10C06C14"/>
    <w:rsid w:val="10EA5A3E"/>
    <w:rsid w:val="112076B2"/>
    <w:rsid w:val="11292A0B"/>
    <w:rsid w:val="113373E5"/>
    <w:rsid w:val="115832F0"/>
    <w:rsid w:val="11910CE0"/>
    <w:rsid w:val="11BD3153"/>
    <w:rsid w:val="126D5D8F"/>
    <w:rsid w:val="12767ED2"/>
    <w:rsid w:val="12932EE4"/>
    <w:rsid w:val="12AC38F3"/>
    <w:rsid w:val="12AE2FAF"/>
    <w:rsid w:val="12AF680F"/>
    <w:rsid w:val="12E7492B"/>
    <w:rsid w:val="12FE0E52"/>
    <w:rsid w:val="13266D70"/>
    <w:rsid w:val="1345672F"/>
    <w:rsid w:val="13804334"/>
    <w:rsid w:val="14096B23"/>
    <w:rsid w:val="149363ED"/>
    <w:rsid w:val="14AA035D"/>
    <w:rsid w:val="14B720DC"/>
    <w:rsid w:val="14C7050F"/>
    <w:rsid w:val="14D11EAA"/>
    <w:rsid w:val="14F073FB"/>
    <w:rsid w:val="153320AA"/>
    <w:rsid w:val="15761F97"/>
    <w:rsid w:val="159863B1"/>
    <w:rsid w:val="16021A7C"/>
    <w:rsid w:val="162B0FD3"/>
    <w:rsid w:val="163A1216"/>
    <w:rsid w:val="16847AE4"/>
    <w:rsid w:val="16866209"/>
    <w:rsid w:val="16BF34C9"/>
    <w:rsid w:val="17013AE2"/>
    <w:rsid w:val="17147CB9"/>
    <w:rsid w:val="1719707D"/>
    <w:rsid w:val="171C091C"/>
    <w:rsid w:val="173C4B1A"/>
    <w:rsid w:val="175E6B6A"/>
    <w:rsid w:val="177B0DD0"/>
    <w:rsid w:val="17B31280"/>
    <w:rsid w:val="17D04D35"/>
    <w:rsid w:val="17E551B2"/>
    <w:rsid w:val="18185587"/>
    <w:rsid w:val="182201B4"/>
    <w:rsid w:val="18506ACF"/>
    <w:rsid w:val="18754065"/>
    <w:rsid w:val="187F5606"/>
    <w:rsid w:val="18842C1C"/>
    <w:rsid w:val="188B440E"/>
    <w:rsid w:val="188C387F"/>
    <w:rsid w:val="18B13E26"/>
    <w:rsid w:val="18FF22A3"/>
    <w:rsid w:val="19045B0B"/>
    <w:rsid w:val="191C7BEC"/>
    <w:rsid w:val="19921369"/>
    <w:rsid w:val="19A35324"/>
    <w:rsid w:val="19B65058"/>
    <w:rsid w:val="19C14CC1"/>
    <w:rsid w:val="19C2220A"/>
    <w:rsid w:val="19CB6C46"/>
    <w:rsid w:val="19CF7C4F"/>
    <w:rsid w:val="19E971DB"/>
    <w:rsid w:val="1A1B310D"/>
    <w:rsid w:val="1A4408B5"/>
    <w:rsid w:val="1A4679FD"/>
    <w:rsid w:val="1A937147"/>
    <w:rsid w:val="1AB84DFF"/>
    <w:rsid w:val="1ABF1CEA"/>
    <w:rsid w:val="1AD05CA5"/>
    <w:rsid w:val="1B164B5E"/>
    <w:rsid w:val="1B3501FE"/>
    <w:rsid w:val="1B495A57"/>
    <w:rsid w:val="1B7850D0"/>
    <w:rsid w:val="1BCA2C1F"/>
    <w:rsid w:val="1BF259E0"/>
    <w:rsid w:val="1C450915"/>
    <w:rsid w:val="1C6074FD"/>
    <w:rsid w:val="1CC21F65"/>
    <w:rsid w:val="1D322C47"/>
    <w:rsid w:val="1D4209B0"/>
    <w:rsid w:val="1D5F5A06"/>
    <w:rsid w:val="1D686669"/>
    <w:rsid w:val="1D6B43AB"/>
    <w:rsid w:val="1DB26C50"/>
    <w:rsid w:val="1DDB508D"/>
    <w:rsid w:val="1E0A3BC4"/>
    <w:rsid w:val="1E5170FD"/>
    <w:rsid w:val="1E6A1572"/>
    <w:rsid w:val="1E894AE9"/>
    <w:rsid w:val="1F016D75"/>
    <w:rsid w:val="1F1D3483"/>
    <w:rsid w:val="1F2847CE"/>
    <w:rsid w:val="2000702C"/>
    <w:rsid w:val="200E0EFD"/>
    <w:rsid w:val="202A5D87"/>
    <w:rsid w:val="205729C5"/>
    <w:rsid w:val="205B4263"/>
    <w:rsid w:val="20711CD8"/>
    <w:rsid w:val="20A15EE7"/>
    <w:rsid w:val="20E97AC1"/>
    <w:rsid w:val="20F85F56"/>
    <w:rsid w:val="20FD4B4D"/>
    <w:rsid w:val="21037966"/>
    <w:rsid w:val="210E39CB"/>
    <w:rsid w:val="211528D5"/>
    <w:rsid w:val="218F33EA"/>
    <w:rsid w:val="2197751D"/>
    <w:rsid w:val="21997739"/>
    <w:rsid w:val="21FC6C72"/>
    <w:rsid w:val="22552F34"/>
    <w:rsid w:val="225B3EBB"/>
    <w:rsid w:val="22620486"/>
    <w:rsid w:val="229816E8"/>
    <w:rsid w:val="229E2B2D"/>
    <w:rsid w:val="22B45EAC"/>
    <w:rsid w:val="22DD2827"/>
    <w:rsid w:val="22DD3655"/>
    <w:rsid w:val="22E06CA1"/>
    <w:rsid w:val="232474D6"/>
    <w:rsid w:val="232B2612"/>
    <w:rsid w:val="23360FB7"/>
    <w:rsid w:val="23A4161F"/>
    <w:rsid w:val="23C245F9"/>
    <w:rsid w:val="23E8105A"/>
    <w:rsid w:val="23F724F4"/>
    <w:rsid w:val="23FA1FE5"/>
    <w:rsid w:val="24307381"/>
    <w:rsid w:val="246D0A09"/>
    <w:rsid w:val="249266C1"/>
    <w:rsid w:val="25092441"/>
    <w:rsid w:val="251043F2"/>
    <w:rsid w:val="25213455"/>
    <w:rsid w:val="25284340"/>
    <w:rsid w:val="252E1F46"/>
    <w:rsid w:val="257D0F67"/>
    <w:rsid w:val="25850ABA"/>
    <w:rsid w:val="25BA7C7E"/>
    <w:rsid w:val="261D0A46"/>
    <w:rsid w:val="265F24C5"/>
    <w:rsid w:val="266320C3"/>
    <w:rsid w:val="26995AE5"/>
    <w:rsid w:val="270F5DA7"/>
    <w:rsid w:val="272950BB"/>
    <w:rsid w:val="272A0E33"/>
    <w:rsid w:val="27C070A1"/>
    <w:rsid w:val="27ED433A"/>
    <w:rsid w:val="27EE00B2"/>
    <w:rsid w:val="280478D6"/>
    <w:rsid w:val="2810229D"/>
    <w:rsid w:val="286E4D4F"/>
    <w:rsid w:val="28C122CB"/>
    <w:rsid w:val="29272A74"/>
    <w:rsid w:val="292C2C40"/>
    <w:rsid w:val="29312005"/>
    <w:rsid w:val="2934650A"/>
    <w:rsid w:val="297C2079"/>
    <w:rsid w:val="29BC6EE1"/>
    <w:rsid w:val="2A6A0DAB"/>
    <w:rsid w:val="2A8D770F"/>
    <w:rsid w:val="2A9B5ABF"/>
    <w:rsid w:val="2AE47A9C"/>
    <w:rsid w:val="2AE9690F"/>
    <w:rsid w:val="2B501978"/>
    <w:rsid w:val="2B6C37C8"/>
    <w:rsid w:val="2B836D64"/>
    <w:rsid w:val="2B966A97"/>
    <w:rsid w:val="2B9E76FA"/>
    <w:rsid w:val="2BA32F62"/>
    <w:rsid w:val="2BA54F2C"/>
    <w:rsid w:val="2C183950"/>
    <w:rsid w:val="2C2E5FE2"/>
    <w:rsid w:val="2C6B418E"/>
    <w:rsid w:val="2C994A91"/>
    <w:rsid w:val="2CD77367"/>
    <w:rsid w:val="2CDE06F5"/>
    <w:rsid w:val="2CDE2C70"/>
    <w:rsid w:val="2CF27CFD"/>
    <w:rsid w:val="2D1944EE"/>
    <w:rsid w:val="2D430559"/>
    <w:rsid w:val="2D436988"/>
    <w:rsid w:val="2D74105A"/>
    <w:rsid w:val="2D79041E"/>
    <w:rsid w:val="2D9D49C2"/>
    <w:rsid w:val="2DE827A0"/>
    <w:rsid w:val="2DFD2DFD"/>
    <w:rsid w:val="2E2465DC"/>
    <w:rsid w:val="2E343EB3"/>
    <w:rsid w:val="2E642E7C"/>
    <w:rsid w:val="2E9574DA"/>
    <w:rsid w:val="2EB07E70"/>
    <w:rsid w:val="2F1A79DF"/>
    <w:rsid w:val="2F204FF5"/>
    <w:rsid w:val="2F2B76D3"/>
    <w:rsid w:val="2F7829A8"/>
    <w:rsid w:val="2FB11B37"/>
    <w:rsid w:val="2FDE0A0C"/>
    <w:rsid w:val="30393E95"/>
    <w:rsid w:val="30616EBD"/>
    <w:rsid w:val="30782C0F"/>
    <w:rsid w:val="307B60BB"/>
    <w:rsid w:val="307D2E0A"/>
    <w:rsid w:val="308B46F0"/>
    <w:rsid w:val="309A7320"/>
    <w:rsid w:val="30E3277E"/>
    <w:rsid w:val="314E5D98"/>
    <w:rsid w:val="314E7EBE"/>
    <w:rsid w:val="318D6246"/>
    <w:rsid w:val="31B82594"/>
    <w:rsid w:val="31CD2187"/>
    <w:rsid w:val="31FD7870"/>
    <w:rsid w:val="3200110E"/>
    <w:rsid w:val="320D762A"/>
    <w:rsid w:val="3220355E"/>
    <w:rsid w:val="323D6B00"/>
    <w:rsid w:val="32870EE7"/>
    <w:rsid w:val="32CD7638"/>
    <w:rsid w:val="32F0392B"/>
    <w:rsid w:val="33093FF2"/>
    <w:rsid w:val="33495931"/>
    <w:rsid w:val="33631954"/>
    <w:rsid w:val="33953AD8"/>
    <w:rsid w:val="339B7340"/>
    <w:rsid w:val="33BE302F"/>
    <w:rsid w:val="33ED121E"/>
    <w:rsid w:val="34993154"/>
    <w:rsid w:val="34B2310F"/>
    <w:rsid w:val="356674DA"/>
    <w:rsid w:val="35A561EB"/>
    <w:rsid w:val="35B629AE"/>
    <w:rsid w:val="35BC359E"/>
    <w:rsid w:val="35FC7E3E"/>
    <w:rsid w:val="36211653"/>
    <w:rsid w:val="36484E32"/>
    <w:rsid w:val="36545584"/>
    <w:rsid w:val="366A57EF"/>
    <w:rsid w:val="36883480"/>
    <w:rsid w:val="36EC09E8"/>
    <w:rsid w:val="37016B5B"/>
    <w:rsid w:val="37723BC0"/>
    <w:rsid w:val="37B11888"/>
    <w:rsid w:val="380751D0"/>
    <w:rsid w:val="381B0A50"/>
    <w:rsid w:val="382A5B06"/>
    <w:rsid w:val="382C50C5"/>
    <w:rsid w:val="38415FDC"/>
    <w:rsid w:val="384C6161"/>
    <w:rsid w:val="3882287D"/>
    <w:rsid w:val="38A81BB8"/>
    <w:rsid w:val="38C509BB"/>
    <w:rsid w:val="38F27F4A"/>
    <w:rsid w:val="3914724D"/>
    <w:rsid w:val="39187893"/>
    <w:rsid w:val="393D2C48"/>
    <w:rsid w:val="395835DE"/>
    <w:rsid w:val="398D4DAB"/>
    <w:rsid w:val="39972358"/>
    <w:rsid w:val="39A53270"/>
    <w:rsid w:val="39B003B6"/>
    <w:rsid w:val="39B8407C"/>
    <w:rsid w:val="39E6508D"/>
    <w:rsid w:val="3A0379ED"/>
    <w:rsid w:val="3A086314"/>
    <w:rsid w:val="3A12378C"/>
    <w:rsid w:val="3A241712"/>
    <w:rsid w:val="3A257964"/>
    <w:rsid w:val="3A6A7A6C"/>
    <w:rsid w:val="3AD2116E"/>
    <w:rsid w:val="3ADD023E"/>
    <w:rsid w:val="3AEE7DE7"/>
    <w:rsid w:val="3B082DE1"/>
    <w:rsid w:val="3B561D9F"/>
    <w:rsid w:val="3B9C1EA7"/>
    <w:rsid w:val="3BAD6D18"/>
    <w:rsid w:val="3BE97A7F"/>
    <w:rsid w:val="3C074E47"/>
    <w:rsid w:val="3C241E9D"/>
    <w:rsid w:val="3C64126C"/>
    <w:rsid w:val="3C77021F"/>
    <w:rsid w:val="3C9A27E4"/>
    <w:rsid w:val="3D143CBF"/>
    <w:rsid w:val="3D1D2B74"/>
    <w:rsid w:val="3D393726"/>
    <w:rsid w:val="3D85696B"/>
    <w:rsid w:val="3D954E00"/>
    <w:rsid w:val="3D9A41C5"/>
    <w:rsid w:val="3D9A6CBA"/>
    <w:rsid w:val="3DB76AA0"/>
    <w:rsid w:val="3DFE00DB"/>
    <w:rsid w:val="3DFE0BF8"/>
    <w:rsid w:val="3E2919ED"/>
    <w:rsid w:val="3E646581"/>
    <w:rsid w:val="3E9311FE"/>
    <w:rsid w:val="3EA846BF"/>
    <w:rsid w:val="3EB63280"/>
    <w:rsid w:val="3EED2A1A"/>
    <w:rsid w:val="3EFC4214"/>
    <w:rsid w:val="3F171845"/>
    <w:rsid w:val="3F5F0116"/>
    <w:rsid w:val="3FAA7490"/>
    <w:rsid w:val="3FC10C85"/>
    <w:rsid w:val="3FD17C46"/>
    <w:rsid w:val="3FD31C10"/>
    <w:rsid w:val="402A6942"/>
    <w:rsid w:val="406B3DDC"/>
    <w:rsid w:val="408B24EB"/>
    <w:rsid w:val="408D6263"/>
    <w:rsid w:val="40A778A1"/>
    <w:rsid w:val="40AD4D7D"/>
    <w:rsid w:val="40E42671"/>
    <w:rsid w:val="41077B37"/>
    <w:rsid w:val="410A78B3"/>
    <w:rsid w:val="412D5350"/>
    <w:rsid w:val="41506DB8"/>
    <w:rsid w:val="416F3BBA"/>
    <w:rsid w:val="41825FA7"/>
    <w:rsid w:val="4194717D"/>
    <w:rsid w:val="419D24D5"/>
    <w:rsid w:val="41A203A0"/>
    <w:rsid w:val="41B8516E"/>
    <w:rsid w:val="41BC3913"/>
    <w:rsid w:val="41CF6407"/>
    <w:rsid w:val="422C1AAB"/>
    <w:rsid w:val="425C48B1"/>
    <w:rsid w:val="425F341F"/>
    <w:rsid w:val="426F7E80"/>
    <w:rsid w:val="42980EEF"/>
    <w:rsid w:val="42D33CD5"/>
    <w:rsid w:val="43081BD1"/>
    <w:rsid w:val="43087E22"/>
    <w:rsid w:val="430B26E7"/>
    <w:rsid w:val="4367089F"/>
    <w:rsid w:val="4391606A"/>
    <w:rsid w:val="43C31F9B"/>
    <w:rsid w:val="44173034"/>
    <w:rsid w:val="44872FC9"/>
    <w:rsid w:val="448F785B"/>
    <w:rsid w:val="44C05CDC"/>
    <w:rsid w:val="44D22496"/>
    <w:rsid w:val="44E81CBA"/>
    <w:rsid w:val="44F93EC7"/>
    <w:rsid w:val="455E1F7C"/>
    <w:rsid w:val="45790B64"/>
    <w:rsid w:val="45AC0F39"/>
    <w:rsid w:val="45C641DB"/>
    <w:rsid w:val="45C76EB3"/>
    <w:rsid w:val="462E00EA"/>
    <w:rsid w:val="463179A9"/>
    <w:rsid w:val="465719F6"/>
    <w:rsid w:val="46582E6F"/>
    <w:rsid w:val="46E666CD"/>
    <w:rsid w:val="46FA6635"/>
    <w:rsid w:val="47743CD8"/>
    <w:rsid w:val="47A143A2"/>
    <w:rsid w:val="47A5180C"/>
    <w:rsid w:val="47C40234"/>
    <w:rsid w:val="47D66741"/>
    <w:rsid w:val="47E524E0"/>
    <w:rsid w:val="47F552DB"/>
    <w:rsid w:val="48030BB8"/>
    <w:rsid w:val="480D18E1"/>
    <w:rsid w:val="48111527"/>
    <w:rsid w:val="484C006E"/>
    <w:rsid w:val="484E277B"/>
    <w:rsid w:val="48B12D0A"/>
    <w:rsid w:val="48BD345D"/>
    <w:rsid w:val="48D10CB7"/>
    <w:rsid w:val="48F84495"/>
    <w:rsid w:val="490431AA"/>
    <w:rsid w:val="49D942C7"/>
    <w:rsid w:val="4A02422C"/>
    <w:rsid w:val="4A3B0ADD"/>
    <w:rsid w:val="4AA06B93"/>
    <w:rsid w:val="4AD93E52"/>
    <w:rsid w:val="4B335C59"/>
    <w:rsid w:val="4B5D20B0"/>
    <w:rsid w:val="4B69167A"/>
    <w:rsid w:val="4B7F49FA"/>
    <w:rsid w:val="4BDB7C5A"/>
    <w:rsid w:val="4BF215FE"/>
    <w:rsid w:val="4BF76C86"/>
    <w:rsid w:val="4BFC24EE"/>
    <w:rsid w:val="4C510D1C"/>
    <w:rsid w:val="4CF0639A"/>
    <w:rsid w:val="4D386DDE"/>
    <w:rsid w:val="4D3A0517"/>
    <w:rsid w:val="4DBB3B00"/>
    <w:rsid w:val="4DC86B2C"/>
    <w:rsid w:val="4DD454D1"/>
    <w:rsid w:val="4E7B123C"/>
    <w:rsid w:val="4E813FBD"/>
    <w:rsid w:val="4E880069"/>
    <w:rsid w:val="4EC96A44"/>
    <w:rsid w:val="4EDE2BD4"/>
    <w:rsid w:val="4EDE6BB6"/>
    <w:rsid w:val="4F0033A5"/>
    <w:rsid w:val="4F4375AD"/>
    <w:rsid w:val="4F7C3032"/>
    <w:rsid w:val="4FA03191"/>
    <w:rsid w:val="4FC926E8"/>
    <w:rsid w:val="4FFE6835"/>
    <w:rsid w:val="50543A94"/>
    <w:rsid w:val="50616DC4"/>
    <w:rsid w:val="508441E2"/>
    <w:rsid w:val="508456FD"/>
    <w:rsid w:val="509C305B"/>
    <w:rsid w:val="50C3182D"/>
    <w:rsid w:val="50F419E6"/>
    <w:rsid w:val="51C82784"/>
    <w:rsid w:val="52354064"/>
    <w:rsid w:val="5244482F"/>
    <w:rsid w:val="52B47467"/>
    <w:rsid w:val="52D715BF"/>
    <w:rsid w:val="533267F6"/>
    <w:rsid w:val="53442701"/>
    <w:rsid w:val="534704F3"/>
    <w:rsid w:val="537D2167"/>
    <w:rsid w:val="539B25ED"/>
    <w:rsid w:val="53A45110"/>
    <w:rsid w:val="53D61877"/>
    <w:rsid w:val="53FD0BB2"/>
    <w:rsid w:val="544E58B1"/>
    <w:rsid w:val="549239F0"/>
    <w:rsid w:val="54C40887"/>
    <w:rsid w:val="54CA6D0F"/>
    <w:rsid w:val="54E36F8E"/>
    <w:rsid w:val="551A4F46"/>
    <w:rsid w:val="55200FFC"/>
    <w:rsid w:val="558E00CD"/>
    <w:rsid w:val="55B40E6A"/>
    <w:rsid w:val="55EA1E35"/>
    <w:rsid w:val="564D4072"/>
    <w:rsid w:val="5666336B"/>
    <w:rsid w:val="566A31B4"/>
    <w:rsid w:val="56786C15"/>
    <w:rsid w:val="56BC6B02"/>
    <w:rsid w:val="56CA56C3"/>
    <w:rsid w:val="57435475"/>
    <w:rsid w:val="57664CC0"/>
    <w:rsid w:val="57914433"/>
    <w:rsid w:val="57A9177C"/>
    <w:rsid w:val="57E9601D"/>
    <w:rsid w:val="580D02D9"/>
    <w:rsid w:val="58337298"/>
    <w:rsid w:val="583A1FD3"/>
    <w:rsid w:val="58401DD9"/>
    <w:rsid w:val="58B42C85"/>
    <w:rsid w:val="58D344C4"/>
    <w:rsid w:val="58F76517"/>
    <w:rsid w:val="59B9487E"/>
    <w:rsid w:val="5A2C6672"/>
    <w:rsid w:val="5A4B6B1B"/>
    <w:rsid w:val="5A55424C"/>
    <w:rsid w:val="5A6776CD"/>
    <w:rsid w:val="5A6805E2"/>
    <w:rsid w:val="5AA1498D"/>
    <w:rsid w:val="5AAE2C06"/>
    <w:rsid w:val="5AB521E6"/>
    <w:rsid w:val="5ADF3408"/>
    <w:rsid w:val="5AFF7905"/>
    <w:rsid w:val="5B215ACE"/>
    <w:rsid w:val="5B2630E4"/>
    <w:rsid w:val="5B47755D"/>
    <w:rsid w:val="5B487836"/>
    <w:rsid w:val="5B756A11"/>
    <w:rsid w:val="5B7C71A8"/>
    <w:rsid w:val="5B7E082A"/>
    <w:rsid w:val="5BC503DB"/>
    <w:rsid w:val="5BC85F49"/>
    <w:rsid w:val="5BD26DC8"/>
    <w:rsid w:val="5C14628F"/>
    <w:rsid w:val="5C901178"/>
    <w:rsid w:val="5C9127DF"/>
    <w:rsid w:val="5C9C18B0"/>
    <w:rsid w:val="5CD8040E"/>
    <w:rsid w:val="5CD851F3"/>
    <w:rsid w:val="5CF27722"/>
    <w:rsid w:val="5D6B3425"/>
    <w:rsid w:val="5D722610"/>
    <w:rsid w:val="5DAB78D0"/>
    <w:rsid w:val="5DBA2A43"/>
    <w:rsid w:val="5DD230AF"/>
    <w:rsid w:val="5DFD1D2C"/>
    <w:rsid w:val="5E1216FE"/>
    <w:rsid w:val="5E2E053A"/>
    <w:rsid w:val="5E435D5B"/>
    <w:rsid w:val="5E6301AB"/>
    <w:rsid w:val="5E8D2343"/>
    <w:rsid w:val="5E9F6F79"/>
    <w:rsid w:val="5E9F7435"/>
    <w:rsid w:val="5EBF0D64"/>
    <w:rsid w:val="5EC63896"/>
    <w:rsid w:val="5ECA3D86"/>
    <w:rsid w:val="5F033ADB"/>
    <w:rsid w:val="5F2D06A5"/>
    <w:rsid w:val="5F9542AB"/>
    <w:rsid w:val="5FA10F8B"/>
    <w:rsid w:val="5FD72BFF"/>
    <w:rsid w:val="5FED2422"/>
    <w:rsid w:val="6005776C"/>
    <w:rsid w:val="601144C3"/>
    <w:rsid w:val="60145C01"/>
    <w:rsid w:val="60206354"/>
    <w:rsid w:val="60237BF2"/>
    <w:rsid w:val="60B11E79"/>
    <w:rsid w:val="60DA0BF8"/>
    <w:rsid w:val="619012B7"/>
    <w:rsid w:val="61A556D5"/>
    <w:rsid w:val="61AE5BE1"/>
    <w:rsid w:val="61ED495B"/>
    <w:rsid w:val="61F734FF"/>
    <w:rsid w:val="62361E5F"/>
    <w:rsid w:val="626F00AD"/>
    <w:rsid w:val="62782028"/>
    <w:rsid w:val="62B114E5"/>
    <w:rsid w:val="62FB30A8"/>
    <w:rsid w:val="631F0B45"/>
    <w:rsid w:val="637A5D7B"/>
    <w:rsid w:val="63B95549"/>
    <w:rsid w:val="63BC2837"/>
    <w:rsid w:val="63D3192F"/>
    <w:rsid w:val="642118C6"/>
    <w:rsid w:val="646802C9"/>
    <w:rsid w:val="64A84B6A"/>
    <w:rsid w:val="65031979"/>
    <w:rsid w:val="655B7E2E"/>
    <w:rsid w:val="656927AE"/>
    <w:rsid w:val="65A92947"/>
    <w:rsid w:val="66807B4C"/>
    <w:rsid w:val="66963446"/>
    <w:rsid w:val="66A22A9A"/>
    <w:rsid w:val="66E3632D"/>
    <w:rsid w:val="670A5668"/>
    <w:rsid w:val="670D6F06"/>
    <w:rsid w:val="6747066A"/>
    <w:rsid w:val="675039C2"/>
    <w:rsid w:val="67670D0C"/>
    <w:rsid w:val="67C95523"/>
    <w:rsid w:val="681120AD"/>
    <w:rsid w:val="688270F4"/>
    <w:rsid w:val="688558EE"/>
    <w:rsid w:val="689B5D0C"/>
    <w:rsid w:val="69076303"/>
    <w:rsid w:val="6914038E"/>
    <w:rsid w:val="69585E75"/>
    <w:rsid w:val="6965127B"/>
    <w:rsid w:val="698A6F34"/>
    <w:rsid w:val="69A51678"/>
    <w:rsid w:val="69A91168"/>
    <w:rsid w:val="69EA352F"/>
    <w:rsid w:val="6A024D1C"/>
    <w:rsid w:val="6A22716C"/>
    <w:rsid w:val="6A276531"/>
    <w:rsid w:val="6A3053E5"/>
    <w:rsid w:val="6A4315BC"/>
    <w:rsid w:val="6AA77490"/>
    <w:rsid w:val="6AB37DC4"/>
    <w:rsid w:val="6B1116BB"/>
    <w:rsid w:val="6B451364"/>
    <w:rsid w:val="6BA02A3F"/>
    <w:rsid w:val="6BB66E93"/>
    <w:rsid w:val="6BCE4EB6"/>
    <w:rsid w:val="6C1D408F"/>
    <w:rsid w:val="6C2B055A"/>
    <w:rsid w:val="6C376EFF"/>
    <w:rsid w:val="6C7B0DA9"/>
    <w:rsid w:val="6D183F84"/>
    <w:rsid w:val="6D196605"/>
    <w:rsid w:val="6D657A9C"/>
    <w:rsid w:val="6E0E0133"/>
    <w:rsid w:val="6E34121C"/>
    <w:rsid w:val="6E3851B0"/>
    <w:rsid w:val="6E535B46"/>
    <w:rsid w:val="6E580AE7"/>
    <w:rsid w:val="6EAB5982"/>
    <w:rsid w:val="6EC66E4A"/>
    <w:rsid w:val="6EC86534"/>
    <w:rsid w:val="6F4638FD"/>
    <w:rsid w:val="6F685621"/>
    <w:rsid w:val="6F771D08"/>
    <w:rsid w:val="6F775864"/>
    <w:rsid w:val="6F9A108B"/>
    <w:rsid w:val="6FAC19B2"/>
    <w:rsid w:val="6FEB6840"/>
    <w:rsid w:val="6FF869A5"/>
    <w:rsid w:val="6FFB7962"/>
    <w:rsid w:val="703B0F88"/>
    <w:rsid w:val="703D085C"/>
    <w:rsid w:val="70A300A5"/>
    <w:rsid w:val="70B42BDE"/>
    <w:rsid w:val="70EE7DA8"/>
    <w:rsid w:val="710475CC"/>
    <w:rsid w:val="71654B20"/>
    <w:rsid w:val="7169742F"/>
    <w:rsid w:val="71950224"/>
    <w:rsid w:val="71A30B93"/>
    <w:rsid w:val="725974A3"/>
    <w:rsid w:val="725F0F5E"/>
    <w:rsid w:val="72646574"/>
    <w:rsid w:val="72C00519"/>
    <w:rsid w:val="733A5527"/>
    <w:rsid w:val="737414C8"/>
    <w:rsid w:val="738E3D33"/>
    <w:rsid w:val="739447BA"/>
    <w:rsid w:val="7399049F"/>
    <w:rsid w:val="7416389E"/>
    <w:rsid w:val="74256F5B"/>
    <w:rsid w:val="747E3DEF"/>
    <w:rsid w:val="74836A59"/>
    <w:rsid w:val="749D4072"/>
    <w:rsid w:val="74FF07D6"/>
    <w:rsid w:val="755F0D67"/>
    <w:rsid w:val="75AB67DF"/>
    <w:rsid w:val="75B25848"/>
    <w:rsid w:val="75FE0A8D"/>
    <w:rsid w:val="76236746"/>
    <w:rsid w:val="763A5568"/>
    <w:rsid w:val="76EC725A"/>
    <w:rsid w:val="76F854DD"/>
    <w:rsid w:val="76FF2D0F"/>
    <w:rsid w:val="772C33D8"/>
    <w:rsid w:val="77416E84"/>
    <w:rsid w:val="777032C5"/>
    <w:rsid w:val="77950F7E"/>
    <w:rsid w:val="77996CC0"/>
    <w:rsid w:val="78110A5D"/>
    <w:rsid w:val="783F0EE9"/>
    <w:rsid w:val="787E5EB6"/>
    <w:rsid w:val="79132AA2"/>
    <w:rsid w:val="79336CA0"/>
    <w:rsid w:val="793A002E"/>
    <w:rsid w:val="795A422D"/>
    <w:rsid w:val="79CC5E3B"/>
    <w:rsid w:val="79D43634"/>
    <w:rsid w:val="79FD4B66"/>
    <w:rsid w:val="7A0E5017"/>
    <w:rsid w:val="7A7B26AD"/>
    <w:rsid w:val="7A910231"/>
    <w:rsid w:val="7A9D6AC7"/>
    <w:rsid w:val="7B226FCC"/>
    <w:rsid w:val="7B4E50F2"/>
    <w:rsid w:val="7BBF66A6"/>
    <w:rsid w:val="7BCE4A5E"/>
    <w:rsid w:val="7C8617DD"/>
    <w:rsid w:val="7CAF4890"/>
    <w:rsid w:val="7CC12815"/>
    <w:rsid w:val="7CF76237"/>
    <w:rsid w:val="7D16490F"/>
    <w:rsid w:val="7D2C7C8E"/>
    <w:rsid w:val="7D456FA2"/>
    <w:rsid w:val="7D9E75A3"/>
    <w:rsid w:val="7E2146A1"/>
    <w:rsid w:val="7E2D63B4"/>
    <w:rsid w:val="7E4F6BCE"/>
    <w:rsid w:val="7E867872"/>
    <w:rsid w:val="7E885398"/>
    <w:rsid w:val="7ED93E46"/>
    <w:rsid w:val="7EEF18BB"/>
    <w:rsid w:val="7F052E8D"/>
    <w:rsid w:val="7F78540D"/>
    <w:rsid w:val="7FA04963"/>
    <w:rsid w:val="7FEE36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9"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35" w:semiHidden="0" w:name="caption"/>
    <w:lsdException w:qFormat="1" w:uiPriority="99"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2"/>
    <w:basedOn w:val="1"/>
    <w:next w:val="1"/>
    <w:qFormat/>
    <w:uiPriority w:val="0"/>
    <w:pPr>
      <w:keepNext/>
      <w:keepLines/>
      <w:spacing w:line="360" w:lineRule="auto"/>
      <w:outlineLvl w:val="1"/>
    </w:pPr>
    <w:rPr>
      <w:b/>
      <w:sz w:val="32"/>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4">
    <w:name w:val="heading 4"/>
    <w:basedOn w:val="1"/>
    <w:next w:val="1"/>
    <w:semiHidden/>
    <w:unhideWhenUsed/>
    <w:qFormat/>
    <w:uiPriority w:val="9"/>
    <w:pPr>
      <w:keepNext/>
      <w:keepLines/>
      <w:numPr>
        <w:ilvl w:val="3"/>
        <w:numId w:val="1"/>
      </w:numPr>
      <w:spacing w:before="280" w:after="290" w:line="372" w:lineRule="auto"/>
      <w:outlineLvl w:val="3"/>
    </w:pPr>
    <w:rPr>
      <w:rFonts w:eastAsia="黑体"/>
      <w:b/>
      <w:sz w:val="28"/>
    </w:rPr>
  </w:style>
  <w:style w:type="character" w:default="1" w:styleId="28">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styleId="5">
    <w:name w:val="List 3"/>
    <w:basedOn w:val="1"/>
    <w:next w:val="1"/>
    <w:qFormat/>
    <w:uiPriority w:val="0"/>
    <w:pPr>
      <w:spacing w:line="288" w:lineRule="auto"/>
      <w:ind w:left="1260" w:hanging="420"/>
    </w:pPr>
    <w:rPr>
      <w:sz w:val="24"/>
      <w:szCs w:val="20"/>
    </w:rPr>
  </w:style>
  <w:style w:type="paragraph" w:styleId="6">
    <w:name w:val="Normal Indent"/>
    <w:basedOn w:val="1"/>
    <w:next w:val="1"/>
    <w:qFormat/>
    <w:uiPriority w:val="0"/>
    <w:pPr>
      <w:ind w:firstLine="200" w:firstLineChars="200"/>
    </w:pPr>
    <w:rPr>
      <w:sz w:val="28"/>
      <w:szCs w:val="24"/>
    </w:rPr>
  </w:style>
  <w:style w:type="paragraph" w:styleId="7">
    <w:name w:val="caption"/>
    <w:basedOn w:val="1"/>
    <w:next w:val="1"/>
    <w:qFormat/>
    <w:uiPriority w:val="35"/>
    <w:pPr>
      <w:spacing w:before="120" w:line="360" w:lineRule="auto"/>
      <w:jc w:val="center"/>
    </w:pPr>
    <w:rPr>
      <w:rFonts w:eastAsia="黑体"/>
      <w:szCs w:val="20"/>
    </w:rPr>
  </w:style>
  <w:style w:type="paragraph" w:styleId="8">
    <w:name w:val="annotation text"/>
    <w:basedOn w:val="1"/>
    <w:qFormat/>
    <w:uiPriority w:val="99"/>
    <w:pPr>
      <w:jc w:val="left"/>
    </w:pPr>
    <w:rPr>
      <w:lang w:val="zh-CN"/>
    </w:rPr>
  </w:style>
  <w:style w:type="paragraph" w:styleId="9">
    <w:name w:val="Body Text"/>
    <w:basedOn w:val="1"/>
    <w:next w:val="1"/>
    <w:qFormat/>
    <w:uiPriority w:val="0"/>
    <w:pPr>
      <w:widowControl/>
      <w:snapToGrid w:val="0"/>
      <w:spacing w:before="60" w:after="160" w:line="259" w:lineRule="auto"/>
      <w:ind w:right="113"/>
    </w:pPr>
    <w:rPr>
      <w:kern w:val="0"/>
      <w:sz w:val="18"/>
      <w:szCs w:val="20"/>
    </w:rPr>
  </w:style>
  <w:style w:type="paragraph" w:styleId="10">
    <w:name w:val="Body Text Indent"/>
    <w:basedOn w:val="1"/>
    <w:next w:val="11"/>
    <w:qFormat/>
    <w:uiPriority w:val="0"/>
    <w:pPr>
      <w:spacing w:after="120"/>
      <w:ind w:left="420" w:leftChars="200"/>
    </w:pPr>
    <w:rPr>
      <w:sz w:val="24"/>
      <w:szCs w:val="20"/>
    </w:rPr>
  </w:style>
  <w:style w:type="paragraph" w:styleId="11">
    <w:name w:val="Body Text Indent 2"/>
    <w:basedOn w:val="1"/>
    <w:next w:val="12"/>
    <w:qFormat/>
    <w:uiPriority w:val="0"/>
    <w:pPr>
      <w:ind w:left="435"/>
    </w:pPr>
    <w:rPr>
      <w:sz w:val="24"/>
    </w:rPr>
  </w:style>
  <w:style w:type="paragraph" w:styleId="12">
    <w:name w:val="Body Text First Indent 2"/>
    <w:basedOn w:val="10"/>
    <w:next w:val="1"/>
    <w:qFormat/>
    <w:uiPriority w:val="99"/>
    <w:pPr>
      <w:spacing w:after="120"/>
      <w:ind w:left="420" w:leftChars="200" w:firstLine="420" w:firstLineChars="200"/>
    </w:pPr>
    <w:rPr>
      <w:szCs w:val="24"/>
    </w:rPr>
  </w:style>
  <w:style w:type="paragraph" w:styleId="13">
    <w:name w:val="Plain Text"/>
    <w:basedOn w:val="1"/>
    <w:qFormat/>
    <w:uiPriority w:val="0"/>
    <w:rPr>
      <w:rFonts w:ascii="宋体" w:hAnsi="Courier New"/>
      <w:szCs w:val="24"/>
    </w:rPr>
  </w:style>
  <w:style w:type="paragraph" w:styleId="14">
    <w:name w:val="List Bullet 5"/>
    <w:basedOn w:val="1"/>
    <w:qFormat/>
    <w:uiPriority w:val="0"/>
    <w:pPr>
      <w:numPr>
        <w:ilvl w:val="0"/>
        <w:numId w:val="2"/>
      </w:numPr>
    </w:pPr>
  </w:style>
  <w:style w:type="paragraph" w:styleId="15">
    <w:name w:val="Date"/>
    <w:basedOn w:val="1"/>
    <w:next w:val="1"/>
    <w:qFormat/>
    <w:uiPriority w:val="0"/>
    <w:pPr>
      <w:ind w:left="100" w:leftChars="2500"/>
    </w:pPr>
    <w:rPr>
      <w:szCs w:val="20"/>
    </w:rPr>
  </w:style>
  <w:style w:type="paragraph" w:styleId="16">
    <w:name w:val="footer"/>
    <w:basedOn w:val="1"/>
    <w:qFormat/>
    <w:uiPriority w:val="99"/>
    <w:pPr>
      <w:tabs>
        <w:tab w:val="center" w:pos="4153"/>
        <w:tab w:val="right" w:pos="8306"/>
      </w:tabs>
    </w:pPr>
    <w:rPr>
      <w:sz w:val="18"/>
      <w:szCs w:val="20"/>
    </w:rPr>
  </w:style>
  <w:style w:type="paragraph" w:styleId="17">
    <w:name w:val="envelope return"/>
    <w:basedOn w:val="1"/>
    <w:qFormat/>
    <w:uiPriority w:val="0"/>
    <w:pPr>
      <w:spacing w:line="500" w:lineRule="exact"/>
    </w:pPr>
    <w:rPr>
      <w:rFonts w:eastAsia="仿宋_GB2312"/>
      <w:sz w:val="28"/>
      <w:szCs w:val="20"/>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9">
    <w:name w:val="index heading"/>
    <w:basedOn w:val="1"/>
    <w:next w:val="20"/>
    <w:qFormat/>
    <w:uiPriority w:val="0"/>
    <w:rPr>
      <w:color w:val="auto"/>
      <w:kern w:val="2"/>
      <w:szCs w:val="20"/>
    </w:rPr>
  </w:style>
  <w:style w:type="paragraph" w:styleId="20">
    <w:name w:val="index 1"/>
    <w:basedOn w:val="1"/>
    <w:next w:val="1"/>
    <w:qFormat/>
    <w:uiPriority w:val="0"/>
    <w:pPr>
      <w:jc w:val="center"/>
    </w:pPr>
    <w:rPr>
      <w:rFonts w:eastAsia="黑体"/>
    </w:rPr>
  </w:style>
  <w:style w:type="paragraph" w:styleId="21">
    <w:name w:val="List"/>
    <w:basedOn w:val="1"/>
    <w:next w:val="9"/>
    <w:qFormat/>
    <w:uiPriority w:val="0"/>
    <w:pPr>
      <w:ind w:left="200" w:hanging="200" w:hangingChars="200"/>
    </w:pPr>
    <w:rPr>
      <w:szCs w:val="24"/>
    </w:rPr>
  </w:style>
  <w:style w:type="paragraph" w:styleId="22">
    <w:name w:val="table of figures"/>
    <w:basedOn w:val="1"/>
    <w:next w:val="1"/>
    <w:unhideWhenUsed/>
    <w:qFormat/>
    <w:uiPriority w:val="99"/>
    <w:pPr>
      <w:ind w:left="200" w:leftChars="200" w:hanging="200" w:hangingChars="200"/>
    </w:pPr>
  </w:style>
  <w:style w:type="paragraph" w:styleId="23">
    <w:name w:val="toc 9"/>
    <w:basedOn w:val="1"/>
    <w:next w:val="1"/>
    <w:qFormat/>
    <w:uiPriority w:val="0"/>
    <w:pPr>
      <w:widowControl/>
      <w:wordWrap w:val="0"/>
      <w:autoSpaceDE/>
      <w:autoSpaceDN/>
      <w:spacing w:before="0" w:after="0" w:line="240" w:lineRule="auto"/>
      <w:ind w:left="2975" w:firstLine="0"/>
      <w:jc w:val="both"/>
    </w:pPr>
    <w:rPr>
      <w:sz w:val="21"/>
      <w:szCs w:val="22"/>
    </w:rPr>
  </w:style>
  <w:style w:type="paragraph" w:styleId="24">
    <w:name w:val="Normal (Web)"/>
    <w:basedOn w:val="1"/>
    <w:qFormat/>
    <w:uiPriority w:val="0"/>
    <w:pPr>
      <w:spacing w:before="100" w:beforeAutospacing="1" w:after="100" w:afterAutospacing="1"/>
    </w:pPr>
    <w:rPr>
      <w:rFonts w:ascii="宋体" w:hAnsi="宋体"/>
      <w:sz w:val="24"/>
      <w:szCs w:val="20"/>
    </w:rPr>
  </w:style>
  <w:style w:type="paragraph" w:styleId="25">
    <w:name w:val="Body Text First Indent"/>
    <w:basedOn w:val="9"/>
    <w:next w:val="12"/>
    <w:qFormat/>
    <w:uiPriority w:val="99"/>
    <w:pPr>
      <w:spacing w:after="120"/>
      <w:ind w:firstLine="420" w:firstLineChars="100"/>
    </w:pPr>
    <w:rPr>
      <w:rFonts w:ascii="Times New Roman"/>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0"/>
    <w:rPr>
      <w:b/>
    </w:rPr>
  </w:style>
  <w:style w:type="character" w:styleId="30">
    <w:name w:val="page number"/>
    <w:qFormat/>
    <w:uiPriority w:val="0"/>
  </w:style>
  <w:style w:type="character" w:styleId="31">
    <w:name w:val="Hyperlink"/>
    <w:basedOn w:val="28"/>
    <w:qFormat/>
    <w:uiPriority w:val="0"/>
    <w:rPr>
      <w:color w:val="0000FF"/>
      <w:u w:val="single"/>
    </w:rPr>
  </w:style>
  <w:style w:type="character" w:styleId="32">
    <w:name w:val="annotation reference"/>
    <w:qFormat/>
    <w:uiPriority w:val="99"/>
    <w:rPr>
      <w:sz w:val="21"/>
      <w:szCs w:val="21"/>
    </w:rPr>
  </w:style>
  <w:style w:type="paragraph" w:customStyle="1" w:styleId="33">
    <w:name w:val="表格"/>
    <w:basedOn w:val="22"/>
    <w:next w:val="1"/>
    <w:autoRedefine/>
    <w:qFormat/>
    <w:uiPriority w:val="0"/>
    <w:pPr>
      <w:autoSpaceDE w:val="0"/>
      <w:autoSpaceDN w:val="0"/>
      <w:adjustRightInd w:val="0"/>
      <w:snapToGrid w:val="0"/>
      <w:spacing w:line="240" w:lineRule="auto"/>
      <w:ind w:firstLine="0" w:firstLineChars="0"/>
      <w:jc w:val="center"/>
    </w:pPr>
    <w:rPr>
      <w:color w:val="000000" w:themeColor="text1"/>
      <w:sz w:val="21"/>
      <w:szCs w:val="21"/>
      <w14:textFill>
        <w14:solidFill>
          <w14:schemeClr w14:val="tx1"/>
        </w14:solidFill>
      </w14:textFill>
    </w:rPr>
  </w:style>
  <w:style w:type="paragraph" w:customStyle="1" w:styleId="34">
    <w:name w:val="表格内容"/>
    <w:basedOn w:val="35"/>
    <w:next w:val="1"/>
    <w:autoRedefine/>
    <w:qFormat/>
    <w:uiPriority w:val="0"/>
    <w:pPr>
      <w:spacing w:line="240" w:lineRule="atLeast"/>
    </w:pPr>
    <w:rPr>
      <w:rFonts w:eastAsia="宋体"/>
      <w:sz w:val="21"/>
    </w:rPr>
  </w:style>
  <w:style w:type="paragraph" w:customStyle="1" w:styleId="35">
    <w:name w:val="表格标题"/>
    <w:basedOn w:val="21"/>
    <w:next w:val="1"/>
    <w:autoRedefine/>
    <w:qFormat/>
    <w:uiPriority w:val="0"/>
    <w:pPr>
      <w:spacing w:line="360" w:lineRule="auto"/>
      <w:jc w:val="center"/>
    </w:pPr>
    <w:rPr>
      <w:b/>
      <w:sz w:val="24"/>
      <w:szCs w:val="21"/>
    </w:rPr>
  </w:style>
  <w:style w:type="paragraph" w:customStyle="1" w:styleId="36">
    <w:name w:val="Default"/>
    <w:basedOn w:val="37"/>
    <w:next w:val="23"/>
    <w:autoRedefine/>
    <w:qFormat/>
    <w:uiPriority w:val="0"/>
    <w:rPr>
      <w:rFonts w:ascii="宋体" w:eastAsia="宋体" w:cs="宋体"/>
      <w:sz w:val="24"/>
    </w:rPr>
  </w:style>
  <w:style w:type="paragraph" w:customStyle="1" w:styleId="37">
    <w:name w:val="标题2"/>
    <w:basedOn w:val="2"/>
    <w:next w:val="2"/>
    <w:autoRedefine/>
    <w:qFormat/>
    <w:uiPriority w:val="0"/>
    <w:pPr>
      <w:numPr>
        <w:ilvl w:val="1"/>
        <w:numId w:val="3"/>
      </w:numPr>
      <w:spacing w:line="440" w:lineRule="exact"/>
    </w:pPr>
    <w:rPr>
      <w:sz w:val="28"/>
    </w:rPr>
  </w:style>
  <w:style w:type="paragraph" w:customStyle="1" w:styleId="38">
    <w:name w:val="表格填充内容"/>
    <w:basedOn w:val="8"/>
    <w:qFormat/>
    <w:uiPriority w:val="0"/>
    <w:rPr>
      <w:color w:val="FF0000"/>
    </w:rPr>
  </w:style>
  <w:style w:type="paragraph" w:customStyle="1" w:styleId="39">
    <w:name w:val="胡正文"/>
    <w:basedOn w:val="1"/>
    <w:qFormat/>
    <w:uiPriority w:val="0"/>
    <w:pPr>
      <w:spacing w:line="360" w:lineRule="auto"/>
      <w:ind w:firstLine="200" w:firstLineChars="200"/>
      <w:jc w:val="left"/>
    </w:pPr>
    <w:rPr>
      <w:rFonts w:ascii="宋体" w:hAnsi="宋体"/>
      <w:sz w:val="24"/>
      <w:szCs w:val="28"/>
    </w:rPr>
  </w:style>
  <w:style w:type="paragraph" w:customStyle="1" w:styleId="40">
    <w:name w:val="报告表正文"/>
    <w:basedOn w:val="1"/>
    <w:qFormat/>
    <w:uiPriority w:val="0"/>
    <w:pPr>
      <w:spacing w:line="360" w:lineRule="auto"/>
      <w:ind w:firstLine="200" w:firstLineChars="200"/>
    </w:pPr>
    <w:rPr>
      <w:color w:val="000000"/>
      <w:sz w:val="24"/>
      <w:lang w:val="zh-CN"/>
    </w:rPr>
  </w:style>
  <w:style w:type="paragraph" w:customStyle="1" w:styleId="41">
    <w:name w:val="表格文字"/>
    <w:basedOn w:val="6"/>
    <w:next w:val="1"/>
    <w:autoRedefine/>
    <w:qFormat/>
    <w:uiPriority w:val="0"/>
    <w:pPr>
      <w:ind w:firstLine="0" w:firstLineChars="0"/>
      <w:jc w:val="center"/>
    </w:pPr>
    <w:rPr>
      <w:rFonts w:cs="Times New Roman"/>
      <w:sz w:val="21"/>
      <w:szCs w:val="21"/>
    </w:rPr>
  </w:style>
  <w:style w:type="paragraph" w:customStyle="1" w:styleId="42">
    <w:name w:val="表1表2"/>
    <w:basedOn w:val="1"/>
    <w:autoRedefine/>
    <w:qFormat/>
    <w:uiPriority w:val="0"/>
    <w:pPr>
      <w:jc w:val="center"/>
      <w:textAlignment w:val="center"/>
    </w:pPr>
    <w:rPr>
      <w:rFonts w:ascii="Times New Roman" w:hAnsi="Times New Roman" w:eastAsia="宋体" w:cs="Times New Roman"/>
    </w:rPr>
  </w:style>
  <w:style w:type="paragraph" w:styleId="43">
    <w:name w:val="No Spacing"/>
    <w:basedOn w:val="1"/>
    <w:autoRedefine/>
    <w:qFormat/>
    <w:uiPriority w:val="1"/>
    <w:pPr>
      <w:ind w:firstLine="480"/>
    </w:pPr>
    <w:rPr>
      <w:rFonts w:eastAsia="仿宋"/>
      <w:w w:val="90"/>
    </w:rPr>
  </w:style>
  <w:style w:type="table" w:customStyle="1" w:styleId="44">
    <w:name w:val="Table Normal"/>
    <w:autoRedefine/>
    <w:semiHidden/>
    <w:unhideWhenUsed/>
    <w:qFormat/>
    <w:uiPriority w:val="0"/>
    <w:tblPr>
      <w:tblCellMar>
        <w:top w:w="0" w:type="dxa"/>
        <w:left w:w="0" w:type="dxa"/>
        <w:bottom w:w="0" w:type="dxa"/>
        <w:right w:w="0" w:type="dxa"/>
      </w:tblCellMar>
    </w:tblPr>
  </w:style>
  <w:style w:type="paragraph" w:customStyle="1" w:styleId="45">
    <w:name w:val="Table Text"/>
    <w:basedOn w:val="1"/>
    <w:autoRedefine/>
    <w:semiHidden/>
    <w:qFormat/>
    <w:uiPriority w:val="0"/>
    <w:rPr>
      <w:rFonts w:ascii="宋体" w:hAnsi="宋体" w:eastAsia="宋体" w:cs="宋体"/>
      <w:sz w:val="20"/>
      <w:szCs w:val="20"/>
    </w:rPr>
  </w:style>
  <w:style w:type="paragraph" w:customStyle="1" w:styleId="46">
    <w:name w:val="正文首行缩进2个字 Char"/>
    <w:basedOn w:val="1"/>
    <w:autoRedefine/>
    <w:qFormat/>
    <w:uiPriority w:val="0"/>
    <w:pPr>
      <w:ind w:firstLine="480" w:firstLineChars="200"/>
    </w:pPr>
    <w:rPr>
      <w:rFonts w:eastAsia="楷体"/>
      <w:sz w:val="24"/>
    </w:rPr>
  </w:style>
  <w:style w:type="paragraph" w:customStyle="1" w:styleId="47">
    <w:name w:val="样式1"/>
    <w:basedOn w:val="19"/>
    <w:next w:val="1"/>
    <w:autoRedefine/>
    <w:qFormat/>
    <w:uiPriority w:val="0"/>
    <w:pPr>
      <w:jc w:val="center"/>
    </w:pPr>
    <w:rPr>
      <w:b/>
    </w:rPr>
  </w:style>
  <w:style w:type="paragraph" w:customStyle="1" w:styleId="48">
    <w:name w:val="p0"/>
    <w:basedOn w:val="1"/>
    <w:autoRedefine/>
    <w:qFormat/>
    <w:uiPriority w:val="0"/>
  </w:style>
  <w:style w:type="paragraph" w:customStyle="1" w:styleId="49">
    <w:name w:val="纯文本1"/>
    <w:basedOn w:val="1"/>
    <w:qFormat/>
    <w:uiPriority w:val="0"/>
    <w:pPr>
      <w:adjustRightInd w:val="0"/>
    </w:pPr>
    <w:rPr>
      <w:rFonts w:ascii="宋体" w:hAnsi="Courier New"/>
      <w:szCs w:val="20"/>
    </w:rPr>
  </w:style>
  <w:style w:type="paragraph" w:customStyle="1" w:styleId="50">
    <w:name w:val="文本"/>
    <w:basedOn w:val="1"/>
    <w:next w:val="1"/>
    <w:qFormat/>
    <w:uiPriority w:val="0"/>
    <w:pPr>
      <w:snapToGrid w:val="0"/>
      <w:spacing w:line="360" w:lineRule="auto"/>
      <w:ind w:firstLine="560" w:firstLineChars="200"/>
    </w:pPr>
    <w:rPr>
      <w:rFonts w:eastAsia="仿宋"/>
      <w:sz w:val="28"/>
      <w:szCs w:val="28"/>
    </w:rPr>
  </w:style>
  <w:style w:type="paragraph" w:customStyle="1" w:styleId="51">
    <w:name w:val="样式35"/>
    <w:basedOn w:val="1"/>
    <w:autoRedefine/>
    <w:qFormat/>
    <w:uiPriority w:val="0"/>
    <w:pPr>
      <w:spacing w:line="312" w:lineRule="auto"/>
      <w:ind w:firstLine="567"/>
    </w:pPr>
    <w:rPr>
      <w:rFonts w:ascii="宋体"/>
      <w:sz w:val="28"/>
    </w:rPr>
  </w:style>
  <w:style w:type="character" w:customStyle="1" w:styleId="52">
    <w:name w:val="unnamed11"/>
    <w:autoRedefine/>
    <w:qFormat/>
    <w:uiPriority w:val="0"/>
    <w:rPr>
      <w:sz w:val="21"/>
      <w:szCs w:val="21"/>
    </w:rPr>
  </w:style>
  <w:style w:type="paragraph" w:customStyle="1" w:styleId="53">
    <w:name w:val="表头"/>
    <w:basedOn w:val="6"/>
    <w:next w:val="1"/>
    <w:autoRedefine/>
    <w:qFormat/>
    <w:uiPriority w:val="0"/>
    <w:pPr>
      <w:tabs>
        <w:tab w:val="left" w:pos="315"/>
        <w:tab w:val="left" w:pos="425"/>
      </w:tabs>
      <w:spacing w:line="320" w:lineRule="atLeast"/>
      <w:jc w:val="center"/>
    </w:pPr>
    <w:rPr>
      <w:rFonts w:eastAsia="黑体"/>
      <w:spacing w:val="-10"/>
      <w:szCs w:val="20"/>
    </w:rPr>
  </w:style>
  <w:style w:type="paragraph" w:customStyle="1" w:styleId="54">
    <w:name w:val="表格内文字"/>
    <w:basedOn w:val="1"/>
    <w:autoRedefine/>
    <w:qFormat/>
    <w:uiPriority w:val="0"/>
    <w:pPr>
      <w:tabs>
        <w:tab w:val="left" w:pos="0"/>
      </w:tabs>
      <w:jc w:val="center"/>
    </w:pPr>
    <w:rPr>
      <w:rFonts w:eastAsia="仿宋_GB2312"/>
      <w:sz w:val="24"/>
      <w:szCs w:val="24"/>
    </w:rPr>
  </w:style>
  <w:style w:type="paragraph" w:customStyle="1" w:styleId="55">
    <w:name w:val="居中正文"/>
    <w:basedOn w:val="25"/>
    <w:autoRedefine/>
    <w:qFormat/>
    <w:uiPriority w:val="0"/>
    <w:pPr>
      <w:spacing w:before="120" w:after="0" w:line="360" w:lineRule="auto"/>
      <w:ind w:firstLine="0"/>
      <w:jc w:val="center"/>
    </w:pPr>
    <w:rPr>
      <w:rFonts w:ascii="宋体"/>
      <w:kern w:val="28"/>
      <w:sz w:val="24"/>
    </w:rPr>
  </w:style>
  <w:style w:type="paragraph" w:customStyle="1" w:styleId="56">
    <w:name w:val="桂表文"/>
    <w:basedOn w:val="1"/>
    <w:qFormat/>
    <w:uiPriority w:val="0"/>
    <w:pPr>
      <w:tabs>
        <w:tab w:val="left" w:pos="945"/>
        <w:tab w:val="right" w:leader="dot" w:pos="1155"/>
        <w:tab w:val="left" w:pos="8715"/>
      </w:tabs>
      <w:adjustRightInd w:val="0"/>
      <w:snapToGrid/>
      <w:jc w:val="center"/>
    </w:pPr>
    <w:rPr>
      <w:rFonts w:ascii="Times New Roman" w:hAnsi="Times New Roman" w:eastAsia="宋体" w:cs="宋体"/>
      <w:color w:val="000000"/>
      <w:kern w:val="0"/>
      <w:szCs w:val="21"/>
      <w:lang w:val="zh-CN"/>
    </w:rPr>
  </w:style>
  <w:style w:type="paragraph" w:customStyle="1" w:styleId="57">
    <w:name w:val="中文报告书样式"/>
    <w:basedOn w:val="1"/>
    <w:autoRedefine/>
    <w:qFormat/>
    <w:uiPriority w:val="0"/>
    <w:pPr>
      <w:adjustRightInd w:val="0"/>
      <w:spacing w:line="480" w:lineRule="atLeast"/>
      <w:ind w:firstLine="482"/>
      <w:textAlignment w:val="baseline"/>
    </w:pPr>
    <w:rPr>
      <w:kern w:val="24"/>
      <w:sz w:val="24"/>
      <w:szCs w:val="20"/>
    </w:rPr>
  </w:style>
  <w:style w:type="paragraph" w:customStyle="1" w:styleId="58">
    <w:name w:val="正文 + 仿宋_GB2312"/>
    <w:basedOn w:val="1"/>
    <w:qFormat/>
    <w:uiPriority w:val="99"/>
    <w:pPr>
      <w:ind w:firstLine="480" w:firstLineChars="200"/>
    </w:pPr>
    <w:rPr>
      <w:rFonts w:ascii="仿宋_GB2312" w:hAnsi="Calibri" w:eastAsia="仿宋_GB2312" w:cs="Times New Roman"/>
      <w:sz w:val="24"/>
    </w:rPr>
  </w:style>
  <w:style w:type="paragraph" w:customStyle="1" w:styleId="59">
    <w:name w:val="表头样式1"/>
    <w:basedOn w:val="1"/>
    <w:autoRedefine/>
    <w:qFormat/>
    <w:uiPriority w:val="0"/>
    <w:pPr>
      <w:jc w:val="center"/>
    </w:pPr>
    <w:rPr>
      <w:rFonts w:ascii="楷体_GB2312" w:hAnsi="宋体" w:eastAsia="楷体_GB2312" w:cs="宋体"/>
      <w:b/>
      <w:bCs/>
    </w:rPr>
  </w:style>
  <w:style w:type="paragraph" w:customStyle="1" w:styleId="60">
    <w:name w:val="正文001"/>
    <w:basedOn w:val="1"/>
    <w:autoRedefine/>
    <w:qFormat/>
    <w:uiPriority w:val="0"/>
    <w:pPr>
      <w:spacing w:before="60" w:line="420" w:lineRule="exact"/>
      <w:ind w:firstLine="482"/>
    </w:pPr>
    <w:rPr>
      <w:rFonts w:ascii="宋体" w:hAnsi="宋体"/>
    </w:rPr>
  </w:style>
  <w:style w:type="paragraph" w:customStyle="1" w:styleId="61">
    <w:name w:val="A正文"/>
    <w:basedOn w:val="1"/>
    <w:autoRedefine/>
    <w:qFormat/>
    <w:uiPriority w:val="0"/>
  </w:style>
  <w:style w:type="paragraph" w:customStyle="1" w:styleId="62">
    <w:name w:val="表格内容自定"/>
    <w:basedOn w:val="1"/>
    <w:autoRedefine/>
    <w:qFormat/>
    <w:uiPriority w:val="0"/>
    <w:pPr>
      <w:spacing w:line="280" w:lineRule="exact"/>
      <w:jc w:val="center"/>
    </w:pPr>
    <w:rPr>
      <w:sz w:val="18"/>
      <w:szCs w:val="18"/>
    </w:rPr>
  </w:style>
  <w:style w:type="paragraph" w:customStyle="1" w:styleId="63">
    <w:name w:val="yt表内"/>
    <w:basedOn w:val="64"/>
    <w:next w:val="64"/>
    <w:autoRedefine/>
    <w:qFormat/>
    <w:uiPriority w:val="0"/>
    <w:pPr>
      <w:tabs>
        <w:tab w:val="left" w:pos="1068"/>
      </w:tabs>
      <w:spacing w:line="240" w:lineRule="atLeast"/>
      <w:ind w:firstLine="0" w:firstLineChars="0"/>
      <w:jc w:val="center"/>
    </w:pPr>
    <w:rPr>
      <w:sz w:val="21"/>
      <w:szCs w:val="21"/>
    </w:rPr>
  </w:style>
  <w:style w:type="paragraph" w:customStyle="1" w:styleId="64">
    <w:name w:val="yt正文"/>
    <w:basedOn w:val="6"/>
    <w:next w:val="11"/>
    <w:autoRedefine/>
    <w:qFormat/>
    <w:uiPriority w:val="0"/>
    <w:pPr>
      <w:tabs>
        <w:tab w:val="left" w:pos="1068"/>
      </w:tabs>
      <w:spacing w:line="360" w:lineRule="auto"/>
    </w:pPr>
    <w:rPr>
      <w:rFonts w:ascii="Times New Roman" w:hAnsi="Times New Roman" w:eastAsia="宋体"/>
      <w:sz w:val="24"/>
    </w:rPr>
  </w:style>
  <w:style w:type="paragraph" w:customStyle="1" w:styleId="65">
    <w:name w:val="24磅正文"/>
    <w:basedOn w:val="1"/>
    <w:autoRedefine/>
    <w:qFormat/>
    <w:uiPriority w:val="0"/>
    <w:pPr>
      <w:spacing w:line="480" w:lineRule="exact"/>
      <w:ind w:firstLine="480" w:firstLineChars="200"/>
    </w:pPr>
  </w:style>
  <w:style w:type="paragraph" w:customStyle="1" w:styleId="66">
    <w:name w:val="环评正文"/>
    <w:basedOn w:val="15"/>
    <w:autoRedefine/>
    <w:qFormat/>
    <w:uiPriority w:val="99"/>
    <w:pPr>
      <w:spacing w:after="100" w:afterAutospacing="1" w:line="500" w:lineRule="exact"/>
      <w:ind w:left="0" w:leftChars="0" w:firstLine="560" w:firstLineChars="200"/>
    </w:pPr>
    <w:rPr>
      <w:rFonts w:ascii="仿宋_GB2312" w:hAnsi="Calibri" w:eastAsia="仿宋_GB2312" w:cs="仿宋_GB2312"/>
      <w:kern w:val="2"/>
      <w:sz w:val="28"/>
      <w:szCs w:val="28"/>
    </w:rPr>
  </w:style>
  <w:style w:type="paragraph" w:customStyle="1" w:styleId="67">
    <w:name w:val="正文思密达"/>
    <w:basedOn w:val="1"/>
    <w:autoRedefine/>
    <w:qFormat/>
    <w:uiPriority w:val="99"/>
    <w:pPr>
      <w:spacing w:before="100" w:beforeAutospacing="1" w:after="100" w:afterAutospacing="1" w:line="360" w:lineRule="auto"/>
      <w:ind w:right="105" w:rightChars="50" w:firstLine="480" w:firstLineChars="200"/>
    </w:pPr>
    <w:rPr>
      <w:rFonts w:ascii="Calibri" w:hAnsi="Calibri" w:cs="Calibri"/>
    </w:rPr>
  </w:style>
  <w:style w:type="paragraph" w:customStyle="1" w:styleId="68">
    <w:name w:val="表"/>
    <w:basedOn w:val="21"/>
    <w:autoRedefine/>
    <w:qFormat/>
    <w:uiPriority w:val="0"/>
    <w:pPr>
      <w:keepNext/>
      <w:keepLines/>
      <w:spacing w:before="60" w:after="60" w:line="240" w:lineRule="exact"/>
      <w:ind w:left="0" w:firstLine="0" w:firstLineChars="0"/>
      <w:jc w:val="center"/>
    </w:pPr>
  </w:style>
  <w:style w:type="paragraph" w:customStyle="1" w:styleId="69">
    <w:name w:val="图、表内容"/>
    <w:basedOn w:val="1"/>
    <w:autoRedefine/>
    <w:qFormat/>
    <w:uiPriority w:val="0"/>
    <w:pPr>
      <w:jc w:val="center"/>
    </w:pPr>
    <w:rPr>
      <w:rFonts w:ascii="Calibri" w:hAnsi="Calibri"/>
      <w:sz w:val="21"/>
      <w:szCs w:val="22"/>
    </w:rPr>
  </w:style>
  <w:style w:type="paragraph" w:customStyle="1" w:styleId="70">
    <w:name w:val="表内格式"/>
    <w:qFormat/>
    <w:uiPriority w:val="0"/>
    <w:pPr>
      <w:wordWrap w:val="0"/>
      <w:jc w:val="center"/>
    </w:pPr>
    <w:rPr>
      <w:rFonts w:ascii="Times New Roman" w:hAnsi="Times New Roman" w:eastAsia="宋体" w:cs="Times New Roman"/>
      <w:sz w:val="21"/>
      <w:lang w:val="en-US" w:eastAsia="zh-CN" w:bidi="ar-SA"/>
    </w:rPr>
  </w:style>
  <w:style w:type="paragraph" w:customStyle="1" w:styleId="71">
    <w:name w:val="表头1"/>
    <w:basedOn w:val="1"/>
    <w:qFormat/>
    <w:uiPriority w:val="0"/>
    <w:pPr>
      <w:spacing w:before="50" w:beforeLines="50" w:line="240" w:lineRule="auto"/>
      <w:ind w:firstLine="0" w:firstLineChars="0"/>
      <w:jc w:val="center"/>
    </w:pPr>
    <w:rPr>
      <w:rFonts w:ascii="Times New Roman" w:hAnsi="Times New Roman"/>
      <w:b/>
      <w:kern w:val="0"/>
      <w:szCs w:val="21"/>
    </w:rPr>
  </w:style>
  <w:style w:type="paragraph" w:customStyle="1" w:styleId="72">
    <w:name w:val="Default1"/>
    <w:autoRedefine/>
    <w:qFormat/>
    <w:uiPriority w:val="0"/>
    <w:pPr>
      <w:widowControl w:val="0"/>
      <w:autoSpaceDE w:val="0"/>
      <w:autoSpaceDN w:val="0"/>
      <w:adjustRightInd w:val="0"/>
      <w:spacing w:after="160" w:line="252" w:lineRule="auto"/>
      <w:jc w:val="both"/>
    </w:pPr>
    <w:rPr>
      <w:rFonts w:ascii="宋体" w:hAnsi="Calibri" w:eastAsia="宋体" w:cs="宋体"/>
      <w:color w:val="000000"/>
      <w:sz w:val="24"/>
      <w:szCs w:val="24"/>
      <w:lang w:val="en-US" w:eastAsia="zh-CN" w:bidi="ar-SA"/>
    </w:rPr>
  </w:style>
  <w:style w:type="paragraph" w:customStyle="1" w:styleId="73">
    <w:name w:val="图表表题"/>
    <w:basedOn w:val="1"/>
    <w:autoRedefine/>
    <w:qFormat/>
    <w:uiPriority w:val="0"/>
    <w:pPr>
      <w:autoSpaceDE w:val="0"/>
      <w:autoSpaceDN w:val="0"/>
      <w:adjustRightInd w:val="0"/>
      <w:snapToGrid w:val="0"/>
      <w:spacing w:line="240" w:lineRule="auto"/>
      <w:ind w:firstLine="0" w:firstLineChars="0"/>
      <w:jc w:val="center"/>
    </w:pPr>
    <w:rPr>
      <w:rFonts w:hint="eastAsia" w:cs="宋体"/>
      <w:b/>
      <w:bCs/>
    </w:rPr>
  </w:style>
  <w:style w:type="paragraph" w:customStyle="1" w:styleId="74">
    <w:name w:val="表格字体"/>
    <w:next w:val="1"/>
    <w:autoRedefine/>
    <w:qFormat/>
    <w:uiPriority w:val="0"/>
    <w:pPr>
      <w:spacing w:line="360" w:lineRule="exact"/>
      <w:ind w:firstLine="0" w:firstLineChars="0"/>
      <w:jc w:val="center"/>
    </w:pPr>
    <w:rPr>
      <w:rFonts w:ascii="Times New Roman" w:hAnsi="Times New Roman" w:eastAsia="宋体" w:cs="Times New Roman"/>
      <w:sz w:val="21"/>
      <w:szCs w:val="21"/>
    </w:rPr>
  </w:style>
  <w:style w:type="paragraph" w:customStyle="1" w:styleId="75">
    <w:name w:val="表题"/>
    <w:basedOn w:val="1"/>
    <w:autoRedefine/>
    <w:qFormat/>
    <w:uiPriority w:val="0"/>
    <w:pPr>
      <w:autoSpaceDE w:val="0"/>
      <w:autoSpaceDN w:val="0"/>
      <w:adjustRightInd w:val="0"/>
      <w:snapToGrid w:val="0"/>
      <w:spacing w:line="240" w:lineRule="auto"/>
      <w:ind w:firstLine="0" w:firstLineChars="0"/>
      <w:jc w:val="center"/>
    </w:pPr>
    <w:rPr>
      <w:rFonts w:hint="eastAsia" w:ascii="Times New Roman" w:hAnsi="Times New Roman" w:eastAsia="宋体" w:cs="宋体"/>
      <w:b/>
      <w:bCs/>
    </w:rPr>
  </w:style>
  <w:style w:type="paragraph" w:customStyle="1" w:styleId="76">
    <w:name w:val="1正文段落"/>
    <w:basedOn w:val="1"/>
    <w:qFormat/>
    <w:uiPriority w:val="0"/>
    <w:pPr>
      <w:spacing w:line="360" w:lineRule="auto"/>
      <w:ind w:firstLine="480" w:firstLineChars="200"/>
      <w:jc w:val="left"/>
    </w:pPr>
    <w:rPr>
      <w:rFonts w:ascii="Calibri" w:hAnsi="Calibri" w:eastAsia="宋体" w:cs="Times New Roman"/>
      <w:snapToGrid w:val="0"/>
      <w:kern w:val="0"/>
      <w:sz w:val="24"/>
      <w:szCs w:val="24"/>
    </w:rPr>
  </w:style>
  <w:style w:type="paragraph" w:customStyle="1" w:styleId="77">
    <w:name w:val="表格正文"/>
    <w:basedOn w:val="6"/>
    <w:next w:val="1"/>
    <w:qFormat/>
    <w:uiPriority w:val="0"/>
    <w:pPr>
      <w:widowControl/>
      <w:spacing w:line="240" w:lineRule="auto"/>
      <w:ind w:firstLine="0" w:firstLineChars="0"/>
      <w:jc w:val="center"/>
    </w:pPr>
    <w:rPr>
      <w:sz w:val="21"/>
    </w:rPr>
  </w:style>
  <w:style w:type="paragraph" w:customStyle="1" w:styleId="78">
    <w:name w:val="xl27"/>
    <w:basedOn w:val="1"/>
    <w:next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customStyle="1" w:styleId="79">
    <w:name w:val="图、表标题"/>
    <w:basedOn w:val="1"/>
    <w:qFormat/>
    <w:uiPriority w:val="0"/>
    <w:pPr>
      <w:adjustRightInd w:val="0"/>
      <w:snapToGrid w:val="0"/>
      <w:spacing w:line="360" w:lineRule="auto"/>
      <w:jc w:val="center"/>
    </w:pPr>
    <w:rPr>
      <w:rFonts w:ascii="Times New Roman" w:hAnsi="Times New Roman"/>
      <w:b/>
      <w:sz w:val="24"/>
    </w:rPr>
  </w:style>
  <w:style w:type="paragraph" w:customStyle="1" w:styleId="80">
    <w:name w:val="reader-word-layer reader-word-s5-1"/>
    <w:basedOn w:val="1"/>
    <w:qFormat/>
    <w:uiPriority w:val="0"/>
    <w:pPr>
      <w:widowControl/>
      <w:spacing w:before="100" w:beforeAutospacing="1" w:after="100" w:afterAutospacing="1"/>
      <w:jc w:val="left"/>
    </w:pPr>
    <w:rPr>
      <w:rFonts w:ascii="宋体" w:hAnsi="宋体" w:cs="宋体"/>
      <w:kern w:val="0"/>
    </w:rPr>
  </w:style>
  <w:style w:type="paragraph" w:customStyle="1" w:styleId="81">
    <w:name w:val="无间隔1"/>
    <w:basedOn w:val="1"/>
    <w:qFormat/>
    <w:uiPriority w:val="0"/>
    <w:pPr>
      <w:widowControl/>
      <w:jc w:val="left"/>
    </w:pPr>
    <w:rPr>
      <w:rFonts w:ascii="Cambria" w:hAnsi="Cambria"/>
      <w:kern w:val="0"/>
      <w:sz w:val="22"/>
      <w:szCs w:val="22"/>
      <w:lang w:eastAsia="en-US" w:bidi="en-US"/>
    </w:rPr>
  </w:style>
  <w:style w:type="paragraph" w:customStyle="1" w:styleId="82">
    <w:name w:val="表头标题"/>
    <w:basedOn w:val="1"/>
    <w:qFormat/>
    <w:uiPriority w:val="0"/>
    <w:pPr>
      <w:spacing w:line="240" w:lineRule="auto"/>
      <w:ind w:firstLine="480"/>
      <w:jc w:val="center"/>
    </w:pPr>
    <w:rPr>
      <w:b/>
      <w:bCs/>
      <w:sz w:val="21"/>
    </w:rPr>
  </w:style>
  <w:style w:type="paragraph" w:customStyle="1" w:styleId="83">
    <w:name w:val="表格888"/>
    <w:basedOn w:val="1"/>
    <w:qFormat/>
    <w:uiPriority w:val="0"/>
    <w:pPr>
      <w:spacing w:line="240" w:lineRule="auto"/>
      <w:ind w:firstLine="0" w:firstLineChars="0"/>
      <w:jc w:val="center"/>
    </w:pPr>
    <w:rPr>
      <w:bCs/>
      <w:sz w:val="21"/>
    </w:rPr>
  </w:style>
  <w:style w:type="character" w:customStyle="1" w:styleId="84">
    <w:name w:val="fontstyle01"/>
    <w:qFormat/>
    <w:uiPriority w:val="0"/>
    <w:rPr>
      <w:rFonts w:hint="eastAsia" w:ascii="宋体" w:hAnsi="宋体" w:eastAsia="宋体"/>
      <w:color w:val="000000"/>
      <w:sz w:val="24"/>
      <w:szCs w:val="24"/>
    </w:rPr>
  </w:style>
  <w:style w:type="character" w:customStyle="1" w:styleId="85">
    <w:name w:val="fontstyle21"/>
    <w:qFormat/>
    <w:uiPriority w:val="0"/>
    <w:rPr>
      <w:rFonts w:hint="default" w:ascii="TimesNewRomanPSMT" w:hAnsi="TimesNewRomanPSMT"/>
      <w:color w:val="000000"/>
      <w:sz w:val="24"/>
      <w:szCs w:val="24"/>
    </w:rPr>
  </w:style>
  <w:style w:type="paragraph" w:customStyle="1" w:styleId="86">
    <w:name w:val="首行缩进"/>
    <w:basedOn w:val="1"/>
    <w:autoRedefine/>
    <w:qFormat/>
    <w:uiPriority w:val="0"/>
    <w:pPr>
      <w:widowControl/>
      <w:ind w:firstLine="480"/>
      <w:jc w:val="left"/>
    </w:pPr>
    <w:rPr>
      <w:rFonts w:ascii="Calibri" w:hAnsi="Calibri"/>
      <w:kern w:val="0"/>
      <w:lang w:eastAsia="en-US" w:bidi="en-US"/>
    </w:rPr>
  </w:style>
  <w:style w:type="paragraph" w:customStyle="1" w:styleId="87">
    <w:name w:val="Table Paragraph"/>
    <w:basedOn w:val="1"/>
    <w:qFormat/>
    <w:uiPriority w:val="1"/>
    <w:pPr>
      <w:widowControl w:val="0"/>
      <w:autoSpaceDE w:val="0"/>
      <w:autoSpaceDN w:val="0"/>
    </w:pPr>
    <w:rPr>
      <w:rFonts w:ascii="宋体" w:hAnsi="宋体" w:eastAsia="宋体" w:cs="宋体"/>
      <w:kern w:val="0"/>
      <w:sz w:val="2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26.jpeg"/><Relationship Id="rId37" Type="http://schemas.openxmlformats.org/officeDocument/2006/relationships/image" Target="media/image25.jpeg"/><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footer" Target="footer1.xml"/><Relationship Id="rId29" Type="http://schemas.openxmlformats.org/officeDocument/2006/relationships/image" Target="media/image17.wmf"/><Relationship Id="rId28" Type="http://schemas.openxmlformats.org/officeDocument/2006/relationships/oleObject" Target="embeddings/oleObject1.bin"/><Relationship Id="rId27" Type="http://schemas.openxmlformats.org/officeDocument/2006/relationships/image" Target="media/image16.wmf"/><Relationship Id="rId26" Type="http://schemas.openxmlformats.org/officeDocument/2006/relationships/image" Target="media/image15.wmf"/><Relationship Id="rId25" Type="http://schemas.openxmlformats.org/officeDocument/2006/relationships/image" Target="media/image14.wmf"/><Relationship Id="rId24" Type="http://schemas.openxmlformats.org/officeDocument/2006/relationships/image" Target="media/image13.wmf"/><Relationship Id="rId23" Type="http://schemas.openxmlformats.org/officeDocument/2006/relationships/image" Target="media/image12.wmf"/><Relationship Id="rId22" Type="http://schemas.openxmlformats.org/officeDocument/2006/relationships/image" Target="media/image11.wmf"/><Relationship Id="rId21" Type="http://schemas.openxmlformats.org/officeDocument/2006/relationships/image" Target="media/image10.wmf"/><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"/>
    </extobj>
    <extobj name="ECB019B1-382A-4266-B25C-5B523AA43C14-2">
      <extobjdata type="ECB019B1-382A-4266-B25C-5B523AA43C14" data="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"/>
    </extobj>
    <extobj name="ECB019B1-382A-4266-B25C-5B523AA43C14-3">
      <extobjdata type="ECB019B1-382A-4266-B25C-5B523AA43C14" data="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"/>
    </extobj>
    <extobj name="ECB019B1-382A-4266-B25C-5B523AA43C14-4">
      <extobjdata type="ECB019B1-382A-4266-B25C-5B523AA43C14" data="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"/>
    </extobj>
    <extobj name="ECB019B1-382A-4266-B25C-5B523AA43C14-5">
      <extobjdata type="ECB019B1-382A-4266-B25C-5B523AA43C14" data="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"/>
    </extobj>
    <extobj name="ECB019B1-382A-4266-B25C-5B523AA43C14-6">
      <extobjdata type="ECB019B1-382A-4266-B25C-5B523AA43C14" data="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"/>
    </extobj>
    <extobj name="ECB019B1-382A-4266-B25C-5B523AA43C14-7">
      <extobjdata type="ECB019B1-382A-4266-B25C-5B523AA43C14" data="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78</Pages>
  <Words>16506</Words>
  <Characters>17682</Characters>
  <Lines>0</Lines>
  <Paragraphs>0</Paragraphs>
  <TotalTime>0</TotalTime>
  <ScaleCrop>false</ScaleCrop>
  <LinksUpToDate>false</LinksUpToDate>
  <CharactersWithSpaces>17807</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2025-02-26T09:33:00Z</dcterms:created>
  <dc:creator>风骨</dc:creator>
  <cp:lastModifiedBy>段梦梦</cp:lastModifiedBy>
  <dcterms:modified xsi:type="dcterms:W3CDTF">2025-10-31T07:27:42Z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A8CB3758C9B443A689C2F9012283E662_13</vt:lpwstr>
  </property>
  <property fmtid="{D5CDD505-2E9C-101B-9397-08002B2CF9AE}" pid="4" name="KSOTemplateDocerSaveRecord">
    <vt:lpwstr>eyJoZGlkIjoiYjk1MjlkOGJiYzlmYjcwMDNmOWU4YTZjMGRhODZiZmMiLCJ1c2VySWQiOiI0MjM3NjA2MjEifQ==</vt:lpwstr>
  </property>
</Properties>
</file>