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76B4D4">
      <w:pPr>
        <w:kinsoku/>
        <w:jc w:val="center"/>
        <w:outlineLvl w:val="0"/>
        <w:rPr>
          <w:rFonts w:ascii="Times New Roman" w:hAnsi="Times New Roman" w:eastAsia="宋体" w:cs="Times New Roman"/>
          <w:bCs/>
          <w:sz w:val="72"/>
          <w:szCs w:val="72"/>
          <w:lang w:eastAsia="zh-CN"/>
        </w:rPr>
      </w:pPr>
    </w:p>
    <w:p w14:paraId="2A1BB513">
      <w:pPr>
        <w:kinsoku/>
        <w:jc w:val="center"/>
        <w:outlineLvl w:val="0"/>
        <w:rPr>
          <w:rFonts w:ascii="Times New Roman" w:hAnsi="Times New Roman" w:eastAsia="宋体" w:cs="Times New Roman"/>
          <w:bCs/>
          <w:sz w:val="72"/>
          <w:szCs w:val="72"/>
          <w:lang w:eastAsia="zh-CN"/>
        </w:rPr>
      </w:pPr>
    </w:p>
    <w:p w14:paraId="6ABE46CE">
      <w:pPr>
        <w:kinsoku/>
        <w:jc w:val="center"/>
        <w:outlineLvl w:val="0"/>
        <w:rPr>
          <w:rFonts w:ascii="Times New Roman" w:hAnsi="Times New Roman" w:eastAsia="宋体" w:cs="Times New Roman"/>
          <w:bCs/>
          <w:sz w:val="72"/>
          <w:szCs w:val="72"/>
          <w:lang w:eastAsia="zh-CN"/>
        </w:rPr>
      </w:pPr>
      <w:r>
        <w:rPr>
          <w:rFonts w:ascii="Times New Roman" w:hAnsi="Times New Roman" w:eastAsia="宋体" w:cs="Times New Roman"/>
          <w:bCs/>
          <w:sz w:val="72"/>
          <w:szCs w:val="72"/>
          <w:lang w:eastAsia="zh-CN"/>
        </w:rPr>
        <w:t>建设项目环境影响报告表</w:t>
      </w:r>
    </w:p>
    <w:p w14:paraId="6E5ADE57">
      <w:pPr>
        <w:pStyle w:val="11"/>
        <w:kinsoku/>
        <w:rPr>
          <w:rFonts w:ascii="Times New Roman" w:hAnsi="Times New Roman" w:eastAsia="宋体" w:cs="Times New Roman"/>
          <w:lang w:eastAsia="zh-CN"/>
        </w:rPr>
      </w:pPr>
    </w:p>
    <w:p w14:paraId="08A13249">
      <w:pPr>
        <w:kinsoku/>
        <w:spacing w:before="192" w:beforeLines="80"/>
        <w:jc w:val="center"/>
        <w:rPr>
          <w:rFonts w:ascii="Times New Roman" w:hAnsi="Times New Roman" w:eastAsia="宋体" w:cs="Times New Roman"/>
          <w:bCs/>
          <w:sz w:val="48"/>
          <w:szCs w:val="48"/>
        </w:rPr>
      </w:pPr>
      <w:r>
        <w:rPr>
          <w:rFonts w:ascii="Times New Roman" w:hAnsi="Times New Roman" w:eastAsia="宋体" w:cs="Times New Roman"/>
          <w:bCs/>
          <w:sz w:val="48"/>
          <w:szCs w:val="48"/>
        </w:rPr>
        <w:t>（污染影响类）</w:t>
      </w:r>
    </w:p>
    <w:p w14:paraId="585013BB">
      <w:pPr>
        <w:kinsoku/>
        <w:jc w:val="center"/>
        <w:rPr>
          <w:rFonts w:ascii="Times New Roman" w:hAnsi="Times New Roman" w:eastAsia="宋体" w:cs="Times New Roman"/>
          <w:sz w:val="52"/>
          <w:szCs w:val="52"/>
        </w:rPr>
      </w:pPr>
    </w:p>
    <w:p w14:paraId="374C525E">
      <w:pPr>
        <w:kinsoku/>
        <w:ind w:firstLine="1040"/>
        <w:rPr>
          <w:rFonts w:ascii="Times New Roman" w:hAnsi="Times New Roman" w:eastAsia="宋体" w:cs="Times New Roman"/>
          <w:sz w:val="44"/>
          <w:szCs w:val="44"/>
        </w:rPr>
      </w:pPr>
    </w:p>
    <w:p w14:paraId="77648597">
      <w:pPr>
        <w:kinsoku/>
        <w:ind w:firstLine="1040"/>
        <w:rPr>
          <w:rFonts w:ascii="Times New Roman" w:hAnsi="Times New Roman" w:eastAsia="宋体" w:cs="Times New Roman"/>
          <w:sz w:val="44"/>
          <w:szCs w:val="44"/>
        </w:rPr>
      </w:pPr>
    </w:p>
    <w:p w14:paraId="2BB48D58">
      <w:pPr>
        <w:kinsoku/>
        <w:ind w:firstLine="1040"/>
        <w:rPr>
          <w:rFonts w:ascii="Times New Roman" w:hAnsi="Times New Roman" w:eastAsia="宋体" w:cs="Times New Roman"/>
          <w:sz w:val="44"/>
          <w:szCs w:val="44"/>
        </w:rPr>
      </w:pPr>
    </w:p>
    <w:p w14:paraId="47B96153">
      <w:pPr>
        <w:kinsoku/>
        <w:ind w:firstLine="1040"/>
        <w:rPr>
          <w:rFonts w:ascii="Times New Roman" w:hAnsi="Times New Roman" w:eastAsia="宋体" w:cs="Times New Roman"/>
          <w:sz w:val="44"/>
          <w:szCs w:val="44"/>
        </w:rPr>
      </w:pPr>
    </w:p>
    <w:p w14:paraId="334237C7">
      <w:pPr>
        <w:kinsoku/>
        <w:ind w:firstLine="1040"/>
        <w:rPr>
          <w:rFonts w:ascii="Times New Roman" w:hAnsi="Times New Roman" w:eastAsia="宋体" w:cs="Times New Roman"/>
          <w:sz w:val="44"/>
          <w:szCs w:val="44"/>
        </w:rPr>
      </w:pPr>
    </w:p>
    <w:p w14:paraId="2FDB21A4">
      <w:pPr>
        <w:kinsoku/>
        <w:rPr>
          <w:rFonts w:ascii="Times New Roman" w:hAnsi="Times New Roman" w:eastAsia="宋体" w:cs="Times New Roman"/>
          <w:sz w:val="44"/>
          <w:szCs w:val="44"/>
        </w:rPr>
      </w:pPr>
    </w:p>
    <w:p w14:paraId="66368F40">
      <w:pPr>
        <w:kinsoku/>
        <w:ind w:firstLine="1040"/>
        <w:rPr>
          <w:rFonts w:ascii="Times New Roman" w:hAnsi="Times New Roman" w:eastAsia="宋体" w:cs="Times New Roman"/>
          <w:sz w:val="44"/>
          <w:szCs w:val="44"/>
        </w:rPr>
      </w:pPr>
    </w:p>
    <w:p w14:paraId="57B94FA1">
      <w:pPr>
        <w:kinsoku/>
        <w:spacing w:line="288" w:lineRule="auto"/>
        <w:ind w:firstLine="360" w:firstLineChars="100"/>
        <w:rPr>
          <w:rFonts w:hint="default" w:ascii="Times New Roman" w:hAnsi="Times New Roman" w:eastAsia="宋体" w:cs="Times New Roman"/>
          <w:sz w:val="36"/>
          <w:szCs w:val="36"/>
          <w:u w:val="single"/>
          <w:lang w:val="en-US" w:eastAsia="zh-CN"/>
        </w:rPr>
      </w:pPr>
      <w:r>
        <w:rPr>
          <w:rFonts w:ascii="Times New Roman" w:hAnsi="Times New Roman" w:eastAsia="宋体" w:cs="Times New Roman"/>
          <w:sz w:val="36"/>
          <w:szCs w:val="36"/>
          <w:lang w:eastAsia="zh-CN"/>
        </w:rPr>
        <w:t>项目名称：</w:t>
      </w:r>
      <w:r>
        <w:rPr>
          <w:rFonts w:ascii="Times New Roman" w:hAnsi="Times New Roman" w:eastAsia="宋体" w:cs="Times New Roman"/>
          <w:sz w:val="36"/>
          <w:szCs w:val="36"/>
          <w:u w:val="single"/>
          <w:lang w:eastAsia="zh-CN"/>
        </w:rPr>
        <w:t xml:space="preserve">  </w:t>
      </w:r>
      <w:r>
        <w:rPr>
          <w:rFonts w:hint="eastAsia" w:ascii="Times New Roman" w:hAnsi="Times New Roman" w:eastAsia="宋体" w:cs="Times New Roman"/>
          <w:sz w:val="36"/>
          <w:szCs w:val="36"/>
          <w:u w:val="single"/>
          <w:lang w:eastAsia="zh-CN"/>
        </w:rPr>
        <w:t>年产</w:t>
      </w:r>
      <w:r>
        <w:rPr>
          <w:rFonts w:hint="eastAsia" w:ascii="Times New Roman" w:hAnsi="Times New Roman" w:eastAsia="宋体" w:cs="Times New Roman"/>
          <w:sz w:val="36"/>
          <w:szCs w:val="36"/>
          <w:u w:val="single"/>
          <w:lang w:val="en-US" w:eastAsia="zh-CN"/>
        </w:rPr>
        <w:t xml:space="preserve">1万吨纸托技改项目            </w:t>
      </w:r>
    </w:p>
    <w:p w14:paraId="5E93C27E">
      <w:pPr>
        <w:kinsoku/>
        <w:spacing w:line="288" w:lineRule="auto"/>
        <w:ind w:firstLine="360" w:firstLineChars="100"/>
        <w:rPr>
          <w:rFonts w:hint="default" w:ascii="Times New Roman" w:hAnsi="Times New Roman" w:eastAsia="宋体" w:cs="Times New Roman"/>
          <w:sz w:val="36"/>
          <w:szCs w:val="36"/>
          <w:u w:val="single"/>
          <w:lang w:val="en-US" w:eastAsia="zh-CN"/>
        </w:rPr>
      </w:pPr>
      <w:r>
        <w:rPr>
          <w:rFonts w:ascii="Times New Roman" w:hAnsi="Times New Roman" w:eastAsia="宋体" w:cs="Times New Roman"/>
          <w:sz w:val="36"/>
          <w:szCs w:val="36"/>
          <w:lang w:eastAsia="zh-CN"/>
        </w:rPr>
        <w:t>建设单位（盖章）：</w:t>
      </w:r>
      <w:r>
        <w:rPr>
          <w:rFonts w:ascii="Times New Roman" w:hAnsi="Times New Roman" w:eastAsia="宋体" w:cs="Times New Roman"/>
          <w:sz w:val="36"/>
          <w:szCs w:val="36"/>
          <w:u w:val="single"/>
          <w:lang w:eastAsia="zh-CN"/>
        </w:rPr>
        <w:t xml:space="preserve"> </w:t>
      </w:r>
      <w:r>
        <w:rPr>
          <w:rFonts w:hint="eastAsia" w:ascii="Times New Roman" w:hAnsi="Times New Roman" w:eastAsia="宋体" w:cs="Times New Roman"/>
          <w:sz w:val="36"/>
          <w:szCs w:val="36"/>
          <w:u w:val="single"/>
          <w:lang w:eastAsia="zh-CN"/>
        </w:rPr>
        <w:t>安徽云泽环保材料有限公司</w:t>
      </w:r>
      <w:r>
        <w:rPr>
          <w:rFonts w:hint="eastAsia" w:ascii="Times New Roman" w:hAnsi="Times New Roman" w:eastAsia="宋体" w:cs="Times New Roman"/>
          <w:sz w:val="36"/>
          <w:szCs w:val="36"/>
          <w:u w:val="single"/>
          <w:lang w:val="en-US" w:eastAsia="zh-CN"/>
        </w:rPr>
        <w:t xml:space="preserve">   </w:t>
      </w:r>
    </w:p>
    <w:p w14:paraId="325B744D">
      <w:pPr>
        <w:kinsoku/>
        <w:spacing w:line="288" w:lineRule="auto"/>
        <w:ind w:firstLine="360" w:firstLineChars="100"/>
        <w:rPr>
          <w:rFonts w:hint="default"/>
          <w:sz w:val="36"/>
          <w:szCs w:val="36"/>
          <w:u w:val="single"/>
          <w:lang w:val="en-US" w:eastAsia="zh-CN"/>
        </w:rPr>
      </w:pPr>
      <w:r>
        <w:rPr>
          <w:rFonts w:ascii="Times New Roman" w:hAnsi="Times New Roman" w:eastAsia="宋体" w:cs="Times New Roman"/>
          <w:sz w:val="36"/>
          <w:szCs w:val="36"/>
          <w:lang w:eastAsia="zh-CN"/>
        </w:rPr>
        <w:t>编制日期：</w:t>
      </w:r>
      <w:r>
        <w:rPr>
          <w:rFonts w:ascii="Times New Roman" w:hAnsi="Times New Roman" w:eastAsia="宋体" w:cs="Times New Roman"/>
          <w:sz w:val="36"/>
          <w:szCs w:val="36"/>
          <w:u w:val="single"/>
          <w:lang w:eastAsia="zh-CN"/>
        </w:rPr>
        <w:t xml:space="preserve">             </w:t>
      </w:r>
      <w:r>
        <w:rPr>
          <w:rFonts w:hint="eastAsia" w:ascii="Times New Roman" w:hAnsi="Times New Roman" w:eastAsia="宋体" w:cs="Times New Roman"/>
          <w:sz w:val="36"/>
          <w:szCs w:val="36"/>
          <w:u w:val="single"/>
          <w:lang w:eastAsia="zh-CN"/>
        </w:rPr>
        <w:t xml:space="preserve"> 202</w:t>
      </w:r>
      <w:r>
        <w:rPr>
          <w:rFonts w:hint="eastAsia" w:ascii="Times New Roman" w:hAnsi="Times New Roman" w:eastAsia="宋体" w:cs="Times New Roman"/>
          <w:sz w:val="36"/>
          <w:szCs w:val="36"/>
          <w:u w:val="single"/>
          <w:lang w:val="en-US" w:eastAsia="zh-CN"/>
        </w:rPr>
        <w:t>5</w:t>
      </w:r>
      <w:r>
        <w:rPr>
          <w:rFonts w:hint="eastAsia" w:ascii="Times New Roman" w:hAnsi="Times New Roman" w:eastAsia="宋体" w:cs="Times New Roman"/>
          <w:sz w:val="36"/>
          <w:szCs w:val="36"/>
          <w:u w:val="single"/>
          <w:lang w:eastAsia="zh-CN"/>
        </w:rPr>
        <w:t>年</w:t>
      </w:r>
      <w:r>
        <w:rPr>
          <w:rFonts w:hint="eastAsia" w:cs="Times New Roman"/>
          <w:sz w:val="36"/>
          <w:szCs w:val="36"/>
          <w:u w:val="single"/>
          <w:lang w:val="en-US" w:eastAsia="zh-CN"/>
        </w:rPr>
        <w:t>10</w:t>
      </w:r>
      <w:r>
        <w:rPr>
          <w:rFonts w:hint="eastAsia" w:ascii="Times New Roman" w:hAnsi="Times New Roman" w:eastAsia="宋体" w:cs="Times New Roman"/>
          <w:sz w:val="36"/>
          <w:szCs w:val="36"/>
          <w:u w:val="single"/>
          <w:lang w:eastAsia="zh-CN"/>
        </w:rPr>
        <w:t xml:space="preserve">月 </w:t>
      </w:r>
      <w:r>
        <w:rPr>
          <w:rFonts w:ascii="Times New Roman" w:hAnsi="Times New Roman" w:eastAsia="宋体" w:cs="Times New Roman"/>
          <w:sz w:val="30"/>
          <w:szCs w:val="30"/>
          <w:u w:val="single"/>
          <w:lang w:eastAsia="zh-CN"/>
        </w:rPr>
        <w:t xml:space="preserve">    </w:t>
      </w:r>
      <w:r>
        <w:rPr>
          <w:rFonts w:ascii="Times New Roman" w:hAnsi="Times New Roman" w:eastAsia="宋体" w:cs="Times New Roman"/>
          <w:sz w:val="36"/>
          <w:szCs w:val="36"/>
          <w:u w:val="single"/>
          <w:lang w:eastAsia="zh-CN"/>
        </w:rPr>
        <w:t xml:space="preserve">   </w:t>
      </w:r>
      <w:r>
        <w:rPr>
          <w:rFonts w:hint="eastAsia" w:ascii="Times New Roman" w:hAnsi="Times New Roman" w:eastAsia="宋体" w:cs="Times New Roman"/>
          <w:sz w:val="36"/>
          <w:szCs w:val="36"/>
          <w:u w:val="single"/>
          <w:lang w:eastAsia="zh-CN"/>
        </w:rPr>
        <w:t xml:space="preserve"> </w:t>
      </w:r>
      <w:r>
        <w:rPr>
          <w:rFonts w:ascii="Times New Roman" w:hAnsi="Times New Roman" w:eastAsia="宋体" w:cs="Times New Roman"/>
          <w:sz w:val="36"/>
          <w:szCs w:val="36"/>
          <w:u w:val="single"/>
          <w:lang w:eastAsia="zh-CN"/>
        </w:rPr>
        <w:t xml:space="preserve"> </w:t>
      </w:r>
      <w:r>
        <w:rPr>
          <w:rFonts w:hint="eastAsia" w:ascii="Times New Roman" w:hAnsi="Times New Roman" w:eastAsia="宋体" w:cs="Times New Roman"/>
          <w:sz w:val="36"/>
          <w:szCs w:val="36"/>
          <w:u w:val="single"/>
          <w:lang w:val="en-US" w:eastAsia="zh-CN"/>
        </w:rPr>
        <w:t xml:space="preserve">  </w:t>
      </w:r>
    </w:p>
    <w:p w14:paraId="45DA4403">
      <w:pPr>
        <w:pStyle w:val="20"/>
        <w:jc w:val="center"/>
        <w:outlineLvl w:val="0"/>
        <w:rPr>
          <w:rFonts w:hint="eastAsia" w:cs="宋体"/>
          <w:b/>
          <w:bCs/>
          <w:snapToGrid w:val="0"/>
          <w:sz w:val="30"/>
          <w:szCs w:val="30"/>
        </w:rPr>
      </w:pPr>
    </w:p>
    <w:p w14:paraId="7F41265B">
      <w:pPr>
        <w:kinsoku/>
        <w:spacing w:line="288" w:lineRule="auto"/>
        <w:jc w:val="center"/>
        <w:rPr>
          <w:sz w:val="36"/>
          <w:szCs w:val="36"/>
          <w:lang w:eastAsia="zh-CN"/>
        </w:rPr>
      </w:pPr>
    </w:p>
    <w:p w14:paraId="579832AA">
      <w:pPr>
        <w:kinsoku/>
        <w:spacing w:line="288" w:lineRule="auto"/>
        <w:jc w:val="center"/>
        <w:rPr>
          <w:sz w:val="36"/>
          <w:szCs w:val="36"/>
          <w:lang w:eastAsia="zh-CN"/>
        </w:rPr>
      </w:pPr>
    </w:p>
    <w:p w14:paraId="7D6BC668">
      <w:pPr>
        <w:pStyle w:val="9"/>
        <w:rPr>
          <w:lang w:eastAsia="zh-CN"/>
        </w:rPr>
      </w:pPr>
    </w:p>
    <w:p w14:paraId="18000583">
      <w:pPr>
        <w:kinsoku/>
        <w:spacing w:line="288" w:lineRule="auto"/>
        <w:jc w:val="center"/>
        <w:rPr>
          <w:sz w:val="36"/>
          <w:szCs w:val="36"/>
          <w:lang w:eastAsia="zh-CN"/>
        </w:rPr>
      </w:pPr>
      <w:r>
        <w:rPr>
          <w:sz w:val="36"/>
          <w:szCs w:val="36"/>
          <w:lang w:eastAsia="zh-CN"/>
        </w:rPr>
        <w:t>中华人民共和国生态环境部制</w:t>
      </w:r>
    </w:p>
    <w:p w14:paraId="6CCD00A2">
      <w:pPr>
        <w:pStyle w:val="10"/>
        <w:rPr>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B4E37E6">
      <w:pPr>
        <w:pStyle w:val="20"/>
        <w:jc w:val="both"/>
        <w:outlineLvl w:val="0"/>
        <w:rPr>
          <w:rFonts w:hint="eastAsia" w:cs="宋体"/>
          <w:b/>
          <w:bCs/>
          <w:snapToGrid w:val="0"/>
          <w:sz w:val="30"/>
          <w:szCs w:val="30"/>
        </w:rPr>
      </w:pPr>
    </w:p>
    <w:p w14:paraId="5FB984C4">
      <w:pPr>
        <w:pStyle w:val="20"/>
        <w:jc w:val="center"/>
        <w:outlineLvl w:val="0"/>
        <w:rPr>
          <w:rFonts w:hint="eastAsia" w:cs="宋体"/>
          <w:b/>
          <w:bCs/>
          <w:snapToGrid w:val="0"/>
          <w:sz w:val="30"/>
          <w:szCs w:val="30"/>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0B1D291">
      <w:pPr>
        <w:pStyle w:val="20"/>
        <w:widowControl/>
        <w:kinsoku/>
        <w:autoSpaceDE w:val="0"/>
        <w:autoSpaceDN w:val="0"/>
        <w:adjustRightInd w:val="0"/>
        <w:snapToGrid w:val="0"/>
        <w:spacing w:before="0" w:beforeAutospacing="0" w:after="0" w:afterAutospacing="0" w:line="360" w:lineRule="auto"/>
        <w:jc w:val="center"/>
        <w:textAlignment w:val="baseline"/>
        <w:outlineLvl w:val="0"/>
        <w:rPr>
          <w:rFonts w:hint="eastAsia" w:ascii="宋体" w:hAnsi="宋体" w:eastAsia="宋体" w:cs="宋体"/>
          <w:b/>
          <w:bCs/>
          <w:snapToGrid w:val="0"/>
          <w:color w:val="000000"/>
          <w:kern w:val="0"/>
          <w:sz w:val="30"/>
          <w:szCs w:val="30"/>
          <w:lang w:eastAsia="en-US"/>
        </w:rPr>
      </w:pPr>
      <w:r>
        <w:rPr>
          <w:rFonts w:hint="eastAsia" w:ascii="宋体" w:hAnsi="宋体" w:eastAsia="宋体" w:cs="宋体"/>
          <w:b/>
          <w:bCs/>
          <w:snapToGrid w:val="0"/>
          <w:color w:val="000000"/>
          <w:kern w:val="0"/>
          <w:sz w:val="30"/>
          <w:szCs w:val="30"/>
          <w:lang w:eastAsia="en-US"/>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24"/>
        <w:gridCol w:w="808"/>
        <w:gridCol w:w="2087"/>
        <w:gridCol w:w="1738"/>
        <w:gridCol w:w="3113"/>
      </w:tblGrid>
      <w:tr w14:paraId="1A492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32" w:type="dxa"/>
            <w:gridSpan w:val="2"/>
            <w:tcMar>
              <w:top w:w="16" w:type="dxa"/>
              <w:left w:w="16" w:type="dxa"/>
              <w:right w:w="16" w:type="dxa"/>
            </w:tcMar>
            <w:vAlign w:val="center"/>
          </w:tcPr>
          <w:p w14:paraId="0B7929DF">
            <w:pPr>
              <w:adjustRightInd w:val="0"/>
              <w:snapToGrid w:val="0"/>
              <w:jc w:val="center"/>
              <w:rPr>
                <w:rFonts w:hint="eastAsia" w:ascii="宋体" w:hAnsi="宋体" w:eastAsia="宋体" w:cs="宋体"/>
                <w:sz w:val="24"/>
              </w:rPr>
            </w:pPr>
            <w:r>
              <w:rPr>
                <w:rFonts w:hint="eastAsia" w:ascii="宋体" w:hAnsi="宋体" w:eastAsia="宋体" w:cs="宋体"/>
                <w:sz w:val="24"/>
              </w:rPr>
              <w:t>建设项目名称</w:t>
            </w:r>
          </w:p>
        </w:tc>
        <w:tc>
          <w:tcPr>
            <w:tcW w:w="6938" w:type="dxa"/>
            <w:gridSpan w:val="3"/>
            <w:vAlign w:val="center"/>
          </w:tcPr>
          <w:p w14:paraId="6E6EECF4">
            <w:pPr>
              <w:adjustRightInd w:val="0"/>
              <w:snapToGrid w:val="0"/>
              <w:jc w:val="center"/>
              <w:rPr>
                <w:rFonts w:hint="eastAsia" w:ascii="宋体" w:hAnsi="宋体" w:eastAsia="宋体" w:cs="宋体"/>
                <w:sz w:val="24"/>
              </w:rPr>
            </w:pPr>
            <w:r>
              <w:rPr>
                <w:rFonts w:hint="default" w:ascii="Times New Roman" w:hAnsi="Times New Roman" w:eastAsia="宋体" w:cs="Times New Roman"/>
                <w:sz w:val="24"/>
                <w:lang w:eastAsia="zh-CN"/>
              </w:rPr>
              <w:t xml:space="preserve"> 年产</w:t>
            </w:r>
            <w:r>
              <w:rPr>
                <w:rFonts w:hint="default" w:ascii="Times New Roman" w:hAnsi="Times New Roman" w:eastAsia="宋体" w:cs="Times New Roman"/>
                <w:sz w:val="24"/>
                <w:lang w:val="en-US" w:eastAsia="zh-CN"/>
              </w:rPr>
              <w:t>1万吨纸托技改项目</w:t>
            </w:r>
          </w:p>
        </w:tc>
      </w:tr>
      <w:tr w14:paraId="674C3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32" w:type="dxa"/>
            <w:gridSpan w:val="2"/>
            <w:tcMar>
              <w:top w:w="16" w:type="dxa"/>
              <w:left w:w="16" w:type="dxa"/>
              <w:right w:w="16" w:type="dxa"/>
            </w:tcMar>
            <w:vAlign w:val="center"/>
          </w:tcPr>
          <w:p w14:paraId="32B7F676">
            <w:pPr>
              <w:adjustRightInd w:val="0"/>
              <w:snapToGrid w:val="0"/>
              <w:jc w:val="center"/>
              <w:rPr>
                <w:rFonts w:ascii="宋体" w:hAnsi="宋体" w:cs="宋体"/>
                <w:sz w:val="24"/>
              </w:rPr>
            </w:pPr>
            <w:r>
              <w:rPr>
                <w:rFonts w:hint="eastAsia" w:ascii="宋体" w:hAnsi="宋体" w:cs="宋体"/>
                <w:sz w:val="24"/>
              </w:rPr>
              <w:t>项目代码</w:t>
            </w:r>
          </w:p>
        </w:tc>
        <w:tc>
          <w:tcPr>
            <w:tcW w:w="6938" w:type="dxa"/>
            <w:gridSpan w:val="3"/>
            <w:vAlign w:val="center"/>
          </w:tcPr>
          <w:p w14:paraId="4D4124A0">
            <w:pPr>
              <w:adjustRightInd w:val="0"/>
              <w:snapToGrid w:val="0"/>
              <w:jc w:val="center"/>
              <w:rPr>
                <w:rFonts w:ascii="宋体" w:hAnsi="宋体" w:cs="宋体"/>
                <w:sz w:val="24"/>
              </w:rPr>
            </w:pPr>
            <w:r>
              <w:rPr>
                <w:rFonts w:hint="eastAsia"/>
                <w:sz w:val="24"/>
              </w:rPr>
              <w:t>2507-341302-07-01-106238</w:t>
            </w:r>
            <w:bookmarkStart w:id="3" w:name="_GoBack"/>
            <w:bookmarkEnd w:id="3"/>
          </w:p>
        </w:tc>
      </w:tr>
      <w:tr w14:paraId="741C1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32" w:type="dxa"/>
            <w:gridSpan w:val="2"/>
            <w:tcMar>
              <w:top w:w="16" w:type="dxa"/>
              <w:left w:w="16" w:type="dxa"/>
              <w:right w:w="16" w:type="dxa"/>
            </w:tcMar>
            <w:vAlign w:val="center"/>
          </w:tcPr>
          <w:p w14:paraId="701064B3">
            <w:pPr>
              <w:adjustRightInd w:val="0"/>
              <w:snapToGrid w:val="0"/>
              <w:jc w:val="center"/>
              <w:rPr>
                <w:rFonts w:ascii="宋体" w:hAnsi="宋体" w:cs="宋体"/>
                <w:sz w:val="24"/>
              </w:rPr>
            </w:pPr>
            <w:r>
              <w:rPr>
                <w:rFonts w:hint="eastAsia" w:ascii="宋体" w:hAnsi="宋体" w:cs="宋体"/>
                <w:sz w:val="24"/>
              </w:rPr>
              <w:t>建设单位联系人</w:t>
            </w:r>
          </w:p>
        </w:tc>
        <w:tc>
          <w:tcPr>
            <w:tcW w:w="2087" w:type="dxa"/>
            <w:vAlign w:val="center"/>
          </w:tcPr>
          <w:p w14:paraId="36CD2255">
            <w:pPr>
              <w:adjustRightInd w:val="0"/>
              <w:snapToGrid w:val="0"/>
              <w:jc w:val="center"/>
              <w:rPr>
                <w:rFonts w:hint="eastAsia" w:ascii="宋体" w:hAnsi="宋体" w:eastAsia="宋体" w:cs="宋体"/>
                <w:sz w:val="24"/>
                <w:lang w:eastAsia="zh-CN"/>
              </w:rPr>
            </w:pPr>
          </w:p>
        </w:tc>
        <w:tc>
          <w:tcPr>
            <w:tcW w:w="1738" w:type="dxa"/>
            <w:vAlign w:val="center"/>
          </w:tcPr>
          <w:p w14:paraId="2CE5F589">
            <w:pPr>
              <w:adjustRightInd w:val="0"/>
              <w:snapToGrid w:val="0"/>
              <w:jc w:val="center"/>
              <w:rPr>
                <w:rFonts w:ascii="宋体" w:hAnsi="宋体" w:cs="宋体"/>
                <w:sz w:val="24"/>
              </w:rPr>
            </w:pPr>
            <w:r>
              <w:rPr>
                <w:rFonts w:hint="eastAsia" w:ascii="宋体" w:hAnsi="宋体" w:cs="宋体"/>
                <w:sz w:val="24"/>
              </w:rPr>
              <w:t>联系方式</w:t>
            </w:r>
          </w:p>
        </w:tc>
        <w:tc>
          <w:tcPr>
            <w:tcW w:w="3113" w:type="dxa"/>
            <w:vAlign w:val="center"/>
          </w:tcPr>
          <w:p w14:paraId="63B3A14E">
            <w:pPr>
              <w:adjustRightInd w:val="0"/>
              <w:snapToGrid w:val="0"/>
              <w:jc w:val="center"/>
              <w:rPr>
                <w:rFonts w:ascii="宋体" w:hAnsi="宋体" w:cs="宋体"/>
                <w:sz w:val="24"/>
              </w:rPr>
            </w:pPr>
          </w:p>
        </w:tc>
      </w:tr>
      <w:tr w14:paraId="3B23B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32" w:type="dxa"/>
            <w:gridSpan w:val="2"/>
            <w:tcMar>
              <w:top w:w="16" w:type="dxa"/>
              <w:left w:w="16" w:type="dxa"/>
              <w:right w:w="16" w:type="dxa"/>
            </w:tcMar>
            <w:vAlign w:val="center"/>
          </w:tcPr>
          <w:p w14:paraId="4E9DA641">
            <w:pPr>
              <w:adjustRightInd w:val="0"/>
              <w:snapToGrid w:val="0"/>
              <w:jc w:val="center"/>
              <w:rPr>
                <w:rFonts w:ascii="宋体" w:hAnsi="宋体" w:cs="宋体"/>
                <w:sz w:val="24"/>
              </w:rPr>
            </w:pPr>
            <w:r>
              <w:rPr>
                <w:rFonts w:hint="eastAsia" w:ascii="宋体" w:hAnsi="宋体" w:cs="宋体"/>
                <w:sz w:val="24"/>
              </w:rPr>
              <w:t>建设地点</w:t>
            </w:r>
          </w:p>
        </w:tc>
        <w:tc>
          <w:tcPr>
            <w:tcW w:w="6938" w:type="dxa"/>
            <w:gridSpan w:val="3"/>
            <w:vAlign w:val="center"/>
          </w:tcPr>
          <w:p w14:paraId="5BADF1D0">
            <w:pPr>
              <w:adjustRightInd w:val="0"/>
              <w:snapToGrid w:val="0"/>
              <w:jc w:val="center"/>
              <w:rPr>
                <w:rFonts w:ascii="宋体" w:hAnsi="宋体" w:cs="宋体"/>
                <w:sz w:val="24"/>
              </w:rPr>
            </w:pPr>
            <w:r>
              <w:rPr>
                <w:rFonts w:hint="default" w:ascii="Times New Roman" w:hAnsi="Times New Roman" w:eastAsia="宋体" w:cs="Times New Roman"/>
                <w:sz w:val="24"/>
                <w:u w:val="single"/>
              </w:rPr>
              <w:t>安徽</w:t>
            </w:r>
            <w:r>
              <w:rPr>
                <w:rFonts w:hint="default" w:ascii="Times New Roman" w:hAnsi="Times New Roman" w:eastAsia="宋体" w:cs="Times New Roman"/>
                <w:sz w:val="24"/>
              </w:rPr>
              <w:t>省</w:t>
            </w:r>
            <w:r>
              <w:rPr>
                <w:rFonts w:hint="default" w:ascii="Times New Roman" w:hAnsi="Times New Roman" w:eastAsia="宋体" w:cs="Times New Roman"/>
                <w:sz w:val="24"/>
                <w:u w:val="single"/>
              </w:rPr>
              <w:t>宿州</w:t>
            </w:r>
            <w:r>
              <w:rPr>
                <w:rFonts w:hint="default" w:ascii="Times New Roman" w:hAnsi="Times New Roman" w:eastAsia="宋体" w:cs="Times New Roman"/>
                <w:sz w:val="24"/>
              </w:rPr>
              <w:t>市</w:t>
            </w:r>
            <w:r>
              <w:rPr>
                <w:rFonts w:hint="default" w:ascii="Times New Roman" w:hAnsi="Times New Roman" w:eastAsia="宋体" w:cs="Times New Roman"/>
                <w:sz w:val="24"/>
                <w:u w:val="single"/>
              </w:rPr>
              <w:t>埇桥</w:t>
            </w:r>
            <w:r>
              <w:rPr>
                <w:rFonts w:hint="default" w:ascii="Times New Roman" w:hAnsi="Times New Roman" w:eastAsia="宋体" w:cs="Times New Roman"/>
                <w:sz w:val="24"/>
              </w:rPr>
              <w:t>区</w:t>
            </w:r>
            <w:r>
              <w:rPr>
                <w:rFonts w:hint="default" w:ascii="Times New Roman" w:hAnsi="Times New Roman" w:eastAsia="宋体" w:cs="Times New Roman"/>
                <w:sz w:val="24"/>
                <w:u w:val="single"/>
              </w:rPr>
              <w:t>朱仙庄镇三塔路与幸福路向南20米</w:t>
            </w:r>
          </w:p>
        </w:tc>
      </w:tr>
      <w:tr w14:paraId="338B4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32" w:type="dxa"/>
            <w:gridSpan w:val="2"/>
            <w:tcMar>
              <w:top w:w="16" w:type="dxa"/>
              <w:left w:w="16" w:type="dxa"/>
              <w:right w:w="16" w:type="dxa"/>
            </w:tcMar>
            <w:vAlign w:val="center"/>
          </w:tcPr>
          <w:p w14:paraId="0220B439">
            <w:pPr>
              <w:adjustRightInd w:val="0"/>
              <w:snapToGrid w:val="0"/>
              <w:jc w:val="center"/>
              <w:rPr>
                <w:rFonts w:ascii="宋体" w:hAnsi="宋体" w:cs="宋体"/>
                <w:sz w:val="24"/>
              </w:rPr>
            </w:pPr>
            <w:r>
              <w:rPr>
                <w:rFonts w:hint="eastAsia" w:ascii="宋体" w:hAnsi="宋体" w:cs="宋体"/>
                <w:sz w:val="24"/>
              </w:rPr>
              <w:t>地理坐标</w:t>
            </w:r>
          </w:p>
        </w:tc>
        <w:tc>
          <w:tcPr>
            <w:tcW w:w="6938" w:type="dxa"/>
            <w:gridSpan w:val="3"/>
            <w:vAlign w:val="center"/>
          </w:tcPr>
          <w:p w14:paraId="1AAE4294">
            <w:pPr>
              <w:jc w:val="center"/>
              <w:rPr>
                <w:rFonts w:ascii="宋体" w:hAnsi="宋体" w:cs="宋体"/>
                <w:sz w:val="24"/>
              </w:rPr>
            </w:pPr>
            <w:r>
              <w:rPr>
                <w:rFonts w:hint="eastAsia" w:ascii="宋体" w:hAnsi="宋体" w:cs="宋体"/>
                <w:sz w:val="24"/>
              </w:rPr>
              <w:t>（东经：</w:t>
            </w:r>
            <w:r>
              <w:rPr>
                <w:sz w:val="24"/>
                <w:u w:val="single"/>
              </w:rPr>
              <w:t>117</w:t>
            </w:r>
            <w:r>
              <w:rPr>
                <w:sz w:val="24"/>
              </w:rPr>
              <w:t>度</w:t>
            </w:r>
            <w:r>
              <w:rPr>
                <w:sz w:val="24"/>
                <w:u w:val="single"/>
              </w:rPr>
              <w:t>7</w:t>
            </w:r>
            <w:r>
              <w:rPr>
                <w:sz w:val="24"/>
              </w:rPr>
              <w:t>分</w:t>
            </w:r>
            <w:r>
              <w:rPr>
                <w:sz w:val="24"/>
                <w:u w:val="single"/>
              </w:rPr>
              <w:t>3</w:t>
            </w:r>
            <w:r>
              <w:rPr>
                <w:rFonts w:hint="eastAsia"/>
                <w:sz w:val="24"/>
                <w:u w:val="single"/>
                <w:lang w:val="en-US" w:eastAsia="zh-CN"/>
              </w:rPr>
              <w:t>6</w:t>
            </w:r>
            <w:r>
              <w:rPr>
                <w:sz w:val="24"/>
                <w:u w:val="single"/>
              </w:rPr>
              <w:t>.</w:t>
            </w:r>
            <w:r>
              <w:rPr>
                <w:rFonts w:hint="eastAsia"/>
                <w:sz w:val="24"/>
                <w:u w:val="single"/>
                <w:lang w:val="en-US" w:eastAsia="zh-CN"/>
              </w:rPr>
              <w:t>690</w:t>
            </w:r>
            <w:r>
              <w:rPr>
                <w:sz w:val="24"/>
              </w:rPr>
              <w:t>秒，北纬：</w:t>
            </w:r>
            <w:r>
              <w:rPr>
                <w:sz w:val="24"/>
                <w:u w:val="single"/>
              </w:rPr>
              <w:t>33</w:t>
            </w:r>
            <w:r>
              <w:rPr>
                <w:sz w:val="24"/>
              </w:rPr>
              <w:t>度</w:t>
            </w:r>
            <w:r>
              <w:rPr>
                <w:sz w:val="24"/>
                <w:u w:val="single"/>
              </w:rPr>
              <w:t>36</w:t>
            </w:r>
            <w:r>
              <w:rPr>
                <w:sz w:val="24"/>
              </w:rPr>
              <w:t>分</w:t>
            </w:r>
            <w:r>
              <w:rPr>
                <w:sz w:val="24"/>
                <w:u w:val="single"/>
              </w:rPr>
              <w:t>52.</w:t>
            </w:r>
            <w:r>
              <w:rPr>
                <w:rFonts w:hint="eastAsia"/>
                <w:sz w:val="24"/>
                <w:u w:val="single"/>
                <w:lang w:val="en-US" w:eastAsia="zh-CN"/>
              </w:rPr>
              <w:t>851</w:t>
            </w:r>
            <w:r>
              <w:rPr>
                <w:sz w:val="24"/>
              </w:rPr>
              <w:t>秒</w:t>
            </w:r>
            <w:r>
              <w:rPr>
                <w:rFonts w:hint="eastAsia" w:ascii="宋体" w:hAnsi="宋体" w:cs="宋体"/>
                <w:sz w:val="24"/>
              </w:rPr>
              <w:t>）</w:t>
            </w:r>
          </w:p>
        </w:tc>
      </w:tr>
      <w:tr w14:paraId="487EC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32" w:type="dxa"/>
            <w:gridSpan w:val="2"/>
            <w:tcMar>
              <w:top w:w="16" w:type="dxa"/>
              <w:left w:w="16" w:type="dxa"/>
              <w:right w:w="16" w:type="dxa"/>
            </w:tcMar>
            <w:vAlign w:val="center"/>
          </w:tcPr>
          <w:p w14:paraId="125F7A28">
            <w:pPr>
              <w:adjustRightInd w:val="0"/>
              <w:snapToGrid w:val="0"/>
              <w:jc w:val="center"/>
              <w:rPr>
                <w:rFonts w:ascii="宋体" w:hAnsi="宋体" w:cs="宋体"/>
                <w:sz w:val="24"/>
                <w:highlight w:val="none"/>
              </w:rPr>
            </w:pPr>
            <w:r>
              <w:rPr>
                <w:rFonts w:hint="eastAsia" w:ascii="宋体" w:hAnsi="宋体" w:cs="宋体"/>
                <w:sz w:val="24"/>
                <w:highlight w:val="none"/>
              </w:rPr>
              <w:t>国民经济</w:t>
            </w:r>
          </w:p>
          <w:p w14:paraId="09BD0D8B">
            <w:pPr>
              <w:adjustRightInd w:val="0"/>
              <w:snapToGrid w:val="0"/>
              <w:jc w:val="center"/>
              <w:rPr>
                <w:rFonts w:ascii="宋体" w:hAnsi="宋体" w:cs="宋体"/>
                <w:sz w:val="24"/>
                <w:highlight w:val="none"/>
              </w:rPr>
            </w:pPr>
            <w:r>
              <w:rPr>
                <w:rFonts w:hint="eastAsia" w:ascii="宋体" w:hAnsi="宋体" w:cs="宋体"/>
                <w:sz w:val="24"/>
                <w:highlight w:val="none"/>
              </w:rPr>
              <w:t>行业类别</w:t>
            </w:r>
          </w:p>
        </w:tc>
        <w:tc>
          <w:tcPr>
            <w:tcW w:w="2087" w:type="dxa"/>
            <w:vAlign w:val="center"/>
          </w:tcPr>
          <w:p w14:paraId="5319A46D">
            <w:pPr>
              <w:adjustRightInd w:val="0"/>
              <w:snapToGrid w:val="0"/>
              <w:jc w:val="center"/>
              <w:rPr>
                <w:rFonts w:hint="eastAsia" w:eastAsia="宋体"/>
                <w:sz w:val="24"/>
                <w:highlight w:val="none"/>
                <w:lang w:eastAsia="zh-CN"/>
              </w:rPr>
            </w:pPr>
            <w:r>
              <w:rPr>
                <w:rFonts w:hint="eastAsia"/>
                <w:sz w:val="24"/>
                <w:highlight w:val="none"/>
              </w:rPr>
              <w:t>C4220非金属废料和碎屑加工处理</w:t>
            </w:r>
            <w:r>
              <w:rPr>
                <w:rFonts w:hint="eastAsia"/>
                <w:sz w:val="24"/>
                <w:highlight w:val="none"/>
                <w:lang w:eastAsia="zh-CN"/>
              </w:rPr>
              <w:t>、</w:t>
            </w:r>
          </w:p>
          <w:p w14:paraId="1FD07920">
            <w:pPr>
              <w:adjustRightInd w:val="0"/>
              <w:snapToGrid w:val="0"/>
              <w:jc w:val="center"/>
              <w:rPr>
                <w:rFonts w:hint="default" w:ascii="宋体" w:hAnsi="宋体" w:eastAsia="宋体" w:cs="宋体"/>
                <w:sz w:val="24"/>
                <w:highlight w:val="none"/>
                <w:lang w:val="en-US" w:eastAsia="zh-CN"/>
              </w:rPr>
            </w:pPr>
            <w:r>
              <w:rPr>
                <w:rFonts w:hint="eastAsia"/>
                <w:sz w:val="24"/>
                <w:highlight w:val="none"/>
              </w:rPr>
              <w:t>C2231</w:t>
            </w:r>
            <w:r>
              <w:rPr>
                <w:rFonts w:hint="eastAsia"/>
                <w:sz w:val="24"/>
                <w:highlight w:val="none"/>
                <w:lang w:val="en-US" w:eastAsia="zh-CN"/>
              </w:rPr>
              <w:t>纸和纸板容器制造</w:t>
            </w:r>
          </w:p>
        </w:tc>
        <w:tc>
          <w:tcPr>
            <w:tcW w:w="1738" w:type="dxa"/>
            <w:vAlign w:val="center"/>
          </w:tcPr>
          <w:p w14:paraId="4A72DA97">
            <w:pPr>
              <w:adjustRightInd w:val="0"/>
              <w:snapToGrid w:val="0"/>
              <w:jc w:val="center"/>
              <w:rPr>
                <w:rFonts w:ascii="宋体" w:hAnsi="宋体" w:cs="宋体"/>
                <w:sz w:val="24"/>
              </w:rPr>
            </w:pPr>
            <w:bookmarkStart w:id="0" w:name="_Hlk49843745"/>
            <w:r>
              <w:rPr>
                <w:rFonts w:hint="eastAsia" w:ascii="宋体" w:hAnsi="宋体" w:cs="宋体"/>
                <w:sz w:val="24"/>
              </w:rPr>
              <w:t>建设项目</w:t>
            </w:r>
          </w:p>
          <w:p w14:paraId="4B6F70C7">
            <w:pPr>
              <w:adjustRightInd w:val="0"/>
              <w:snapToGrid w:val="0"/>
              <w:jc w:val="center"/>
              <w:rPr>
                <w:rFonts w:ascii="宋体" w:hAnsi="宋体" w:cs="宋体"/>
                <w:sz w:val="24"/>
              </w:rPr>
            </w:pPr>
            <w:r>
              <w:rPr>
                <w:rFonts w:hint="eastAsia" w:ascii="宋体" w:hAnsi="宋体" w:cs="宋体"/>
                <w:sz w:val="24"/>
              </w:rPr>
              <w:t>行业类别</w:t>
            </w:r>
            <w:bookmarkEnd w:id="0"/>
          </w:p>
        </w:tc>
        <w:tc>
          <w:tcPr>
            <w:tcW w:w="3113" w:type="dxa"/>
            <w:vAlign w:val="center"/>
          </w:tcPr>
          <w:p w14:paraId="7D64C1BC">
            <w:pPr>
              <w:adjustRightInd w:val="0"/>
              <w:snapToGrid w:val="0"/>
              <w:jc w:val="center"/>
              <w:rPr>
                <w:rFonts w:ascii="宋体" w:hAnsi="宋体" w:eastAsia="宋体" w:cs="宋体"/>
                <w:sz w:val="24"/>
                <w:szCs w:val="24"/>
              </w:rPr>
            </w:pPr>
            <w:r>
              <w:rPr>
                <w:rFonts w:hint="default" w:ascii="Times New Roman" w:hAnsi="Times New Roman" w:eastAsia="宋体" w:cs="Times New Roman"/>
                <w:sz w:val="24"/>
                <w:highlight w:val="none"/>
                <w:lang w:val="en-US" w:eastAsia="zh-CN"/>
              </w:rPr>
              <w:t>三十九、废弃资源综合利用业 42”中“85.非金属废料和碎屑加工处理422（421和422均不含原料为危险废物的，均不含仅分拣、破碎的</w:t>
            </w:r>
            <w:r>
              <w:rPr>
                <w:rFonts w:hint="eastAsia" w:ascii="Times New Roman" w:hAnsi="Times New Roman" w:eastAsia="宋体" w:cs="Times New Roman"/>
                <w:sz w:val="24"/>
                <w:highlight w:val="none"/>
                <w:lang w:val="en-US" w:eastAsia="zh-CN"/>
              </w:rPr>
              <w:t>）</w:t>
            </w:r>
          </w:p>
          <w:p w14:paraId="2B5E23F3">
            <w:pPr>
              <w:adjustRightInd w:val="0"/>
              <w:snapToGrid w:val="0"/>
              <w:jc w:val="center"/>
              <w:rPr>
                <w:rFonts w:hint="default"/>
                <w:lang w:val="en-US" w:eastAsia="zh-CN"/>
              </w:rPr>
            </w:pPr>
            <w:r>
              <w:rPr>
                <w:rFonts w:hint="default" w:ascii="Times New Roman" w:hAnsi="Times New Roman" w:eastAsia="宋体" w:cs="Times New Roman"/>
                <w:sz w:val="24"/>
                <w:highlight w:val="none"/>
                <w:lang w:val="en-US" w:eastAsia="zh-CN"/>
              </w:rPr>
              <w:t>十九、造纸和纸制品业 22</w:t>
            </w:r>
            <w:r>
              <w:rPr>
                <w:rFonts w:hint="eastAsia" w:ascii="Times New Roman" w:hAnsi="Times New Roman" w:eastAsia="宋体" w:cs="Times New Roman"/>
                <w:sz w:val="24"/>
                <w:highlight w:val="none"/>
                <w:lang w:val="en-US" w:eastAsia="zh-CN"/>
              </w:rPr>
              <w:t xml:space="preserve"> 纸制品制造 223*</w:t>
            </w:r>
          </w:p>
        </w:tc>
      </w:tr>
      <w:tr w14:paraId="49C79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32" w:type="dxa"/>
            <w:gridSpan w:val="2"/>
            <w:tcMar>
              <w:top w:w="16" w:type="dxa"/>
              <w:left w:w="16" w:type="dxa"/>
              <w:right w:w="16" w:type="dxa"/>
            </w:tcMar>
            <w:vAlign w:val="center"/>
          </w:tcPr>
          <w:p w14:paraId="55704B77">
            <w:pPr>
              <w:adjustRightInd w:val="0"/>
              <w:snapToGrid w:val="0"/>
              <w:jc w:val="center"/>
              <w:rPr>
                <w:rFonts w:ascii="宋体" w:hAnsi="宋体" w:cs="宋体"/>
                <w:sz w:val="24"/>
              </w:rPr>
            </w:pPr>
            <w:r>
              <w:rPr>
                <w:rFonts w:hint="eastAsia" w:ascii="宋体" w:hAnsi="宋体" w:cs="宋体"/>
                <w:sz w:val="24"/>
              </w:rPr>
              <w:t>建设性质</w:t>
            </w:r>
          </w:p>
        </w:tc>
        <w:tc>
          <w:tcPr>
            <w:tcW w:w="2087" w:type="dxa"/>
            <w:vAlign w:val="center"/>
          </w:tcPr>
          <w:p w14:paraId="5C2CAD78">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新建（迁建）</w:t>
            </w:r>
          </w:p>
          <w:p w14:paraId="7DB91B63">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改建</w:t>
            </w:r>
          </w:p>
          <w:p w14:paraId="1B3558EB">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扩建</w:t>
            </w:r>
          </w:p>
          <w:p w14:paraId="576AD2E8">
            <w:pPr>
              <w:jc w:val="left"/>
              <w:rPr>
                <w:rFonts w:ascii="宋体" w:hAnsi="宋体" w:cs="宋体"/>
                <w:sz w:val="24"/>
              </w:rPr>
            </w:pPr>
            <w:r>
              <w:rPr>
                <w:rFonts w:hint="eastAsia" w:ascii="宋体" w:hAnsi="宋体" w:cs="宋体"/>
                <w:sz w:val="24"/>
              </w:rPr>
              <w:sym w:font="Wingdings 2" w:char="0052"/>
            </w:r>
            <w:r>
              <w:rPr>
                <w:rFonts w:hint="eastAsia" w:ascii="宋体" w:hAnsi="宋体" w:cs="宋体"/>
                <w:sz w:val="24"/>
              </w:rPr>
              <w:t>技术改造</w:t>
            </w:r>
          </w:p>
        </w:tc>
        <w:tc>
          <w:tcPr>
            <w:tcW w:w="1738" w:type="dxa"/>
            <w:vAlign w:val="center"/>
          </w:tcPr>
          <w:p w14:paraId="46137070">
            <w:pPr>
              <w:adjustRightInd w:val="0"/>
              <w:snapToGrid w:val="0"/>
              <w:jc w:val="center"/>
              <w:rPr>
                <w:rFonts w:ascii="宋体" w:hAnsi="宋体" w:cs="宋体"/>
                <w:sz w:val="24"/>
              </w:rPr>
            </w:pPr>
            <w:r>
              <w:rPr>
                <w:rFonts w:hint="eastAsia" w:ascii="宋体" w:hAnsi="宋体" w:cs="宋体"/>
                <w:sz w:val="24"/>
              </w:rPr>
              <w:t>建设项目</w:t>
            </w:r>
          </w:p>
          <w:p w14:paraId="545C1B36">
            <w:pPr>
              <w:adjustRightInd w:val="0"/>
              <w:snapToGrid w:val="0"/>
              <w:jc w:val="center"/>
              <w:rPr>
                <w:rFonts w:ascii="宋体" w:hAnsi="宋体" w:cs="宋体"/>
                <w:sz w:val="24"/>
              </w:rPr>
            </w:pPr>
            <w:r>
              <w:rPr>
                <w:rFonts w:hint="eastAsia" w:ascii="宋体" w:hAnsi="宋体" w:cs="宋体"/>
                <w:sz w:val="24"/>
              </w:rPr>
              <w:t>申报情形</w:t>
            </w:r>
          </w:p>
        </w:tc>
        <w:tc>
          <w:tcPr>
            <w:tcW w:w="3113" w:type="dxa"/>
            <w:vAlign w:val="center"/>
          </w:tcPr>
          <w:p w14:paraId="48FFB55E">
            <w:pPr>
              <w:jc w:val="left"/>
              <w:rPr>
                <w:rFonts w:ascii="宋体" w:hAnsi="宋体" w:cs="宋体"/>
                <w:sz w:val="24"/>
              </w:rPr>
            </w:pPr>
            <w:r>
              <w:rPr>
                <w:rFonts w:hint="eastAsia" w:ascii="宋体" w:hAnsi="宋体" w:cs="宋体"/>
                <w:sz w:val="24"/>
              </w:rPr>
              <w:sym w:font="Wingdings 2" w:char="0052"/>
            </w:r>
            <w:r>
              <w:rPr>
                <w:rFonts w:hint="eastAsia" w:ascii="宋体" w:hAnsi="宋体" w:cs="宋体"/>
                <w:sz w:val="24"/>
              </w:rPr>
              <w:t>首次申报项目</w:t>
            </w:r>
          </w:p>
          <w:p w14:paraId="776EBBA1">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不予批准后再次申报项目</w:t>
            </w:r>
          </w:p>
          <w:p w14:paraId="2DB65E35">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超五年重新审核项目</w:t>
            </w:r>
          </w:p>
          <w:p w14:paraId="69C06410">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重大变动重新报批项目</w:t>
            </w:r>
          </w:p>
        </w:tc>
      </w:tr>
      <w:tr w14:paraId="57A68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32" w:type="dxa"/>
            <w:gridSpan w:val="2"/>
            <w:tcMar>
              <w:top w:w="16" w:type="dxa"/>
              <w:left w:w="16" w:type="dxa"/>
              <w:right w:w="16" w:type="dxa"/>
            </w:tcMar>
            <w:vAlign w:val="center"/>
          </w:tcPr>
          <w:p w14:paraId="7D9B3792">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14:paraId="06571E13">
            <w:pPr>
              <w:adjustRightInd w:val="0"/>
              <w:snapToGrid w:val="0"/>
              <w:jc w:val="center"/>
              <w:rPr>
                <w:rFonts w:ascii="宋体" w:hAnsi="宋体" w:cs="宋体"/>
                <w:sz w:val="24"/>
              </w:rPr>
            </w:pPr>
            <w:r>
              <w:rPr>
                <w:rFonts w:hint="eastAsia" w:ascii="宋体" w:hAnsi="宋体" w:cs="宋体"/>
                <w:sz w:val="24"/>
              </w:rPr>
              <w:t>备案）部门（选填）</w:t>
            </w:r>
          </w:p>
        </w:tc>
        <w:tc>
          <w:tcPr>
            <w:tcW w:w="2087" w:type="dxa"/>
            <w:vAlign w:val="center"/>
          </w:tcPr>
          <w:p w14:paraId="610C2FC7">
            <w:pPr>
              <w:adjustRightInd w:val="0"/>
              <w:snapToGrid w:val="0"/>
              <w:jc w:val="center"/>
              <w:rPr>
                <w:rFonts w:hint="default" w:ascii="宋体" w:hAnsi="宋体" w:eastAsia="宋体" w:cs="宋体"/>
                <w:sz w:val="24"/>
                <w:lang w:val="en-US" w:eastAsia="zh-CN"/>
              </w:rPr>
            </w:pPr>
            <w:r>
              <w:rPr>
                <w:rFonts w:hint="eastAsia" w:ascii="宋体" w:hAnsi="宋体" w:cs="宋体"/>
                <w:sz w:val="24"/>
              </w:rPr>
              <w:t>宿州市埇桥区</w:t>
            </w:r>
            <w:r>
              <w:rPr>
                <w:rFonts w:hint="eastAsia" w:ascii="宋体" w:hAnsi="宋体" w:cs="宋体"/>
                <w:sz w:val="24"/>
                <w:lang w:val="en-US" w:eastAsia="zh-CN"/>
              </w:rPr>
              <w:t>工业和信息化局</w:t>
            </w:r>
          </w:p>
        </w:tc>
        <w:tc>
          <w:tcPr>
            <w:tcW w:w="1738" w:type="dxa"/>
            <w:vAlign w:val="center"/>
          </w:tcPr>
          <w:p w14:paraId="09A7F047">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14:paraId="6E620286">
            <w:pPr>
              <w:adjustRightInd w:val="0"/>
              <w:snapToGrid w:val="0"/>
              <w:jc w:val="center"/>
              <w:rPr>
                <w:rFonts w:ascii="宋体" w:hAnsi="宋体" w:cs="宋体"/>
                <w:sz w:val="24"/>
              </w:rPr>
            </w:pPr>
            <w:r>
              <w:rPr>
                <w:rFonts w:hint="eastAsia" w:ascii="宋体" w:hAnsi="宋体" w:cs="宋体"/>
                <w:sz w:val="24"/>
              </w:rPr>
              <w:t>备案）文号（选填）</w:t>
            </w:r>
          </w:p>
        </w:tc>
        <w:tc>
          <w:tcPr>
            <w:tcW w:w="3113" w:type="dxa"/>
            <w:vAlign w:val="center"/>
          </w:tcPr>
          <w:p w14:paraId="017DCB5E">
            <w:pPr>
              <w:adjustRightInd w:val="0"/>
              <w:snapToGrid w:val="0"/>
              <w:jc w:val="center"/>
              <w:rPr>
                <w:rFonts w:ascii="宋体" w:hAnsi="宋体" w:cs="宋体"/>
                <w:sz w:val="24"/>
              </w:rPr>
            </w:pPr>
            <w:r>
              <w:rPr>
                <w:rFonts w:hint="eastAsia"/>
                <w:sz w:val="24"/>
              </w:rPr>
              <w:t>/</w:t>
            </w:r>
          </w:p>
        </w:tc>
      </w:tr>
      <w:tr w14:paraId="69EEC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932" w:type="dxa"/>
            <w:gridSpan w:val="2"/>
            <w:tcMar>
              <w:top w:w="16" w:type="dxa"/>
              <w:left w:w="16" w:type="dxa"/>
              <w:right w:w="16" w:type="dxa"/>
            </w:tcMar>
            <w:vAlign w:val="center"/>
          </w:tcPr>
          <w:p w14:paraId="44EDA890">
            <w:pPr>
              <w:adjustRightInd w:val="0"/>
              <w:snapToGrid w:val="0"/>
              <w:jc w:val="center"/>
              <w:rPr>
                <w:rFonts w:ascii="宋体" w:hAnsi="宋体" w:cs="宋体"/>
                <w:sz w:val="24"/>
                <w:highlight w:val="none"/>
              </w:rPr>
            </w:pPr>
            <w:r>
              <w:rPr>
                <w:rFonts w:hint="eastAsia" w:ascii="宋体" w:hAnsi="宋体" w:cs="宋体"/>
                <w:sz w:val="24"/>
                <w:highlight w:val="none"/>
              </w:rPr>
              <w:t>总投资（万元）</w:t>
            </w:r>
          </w:p>
        </w:tc>
        <w:tc>
          <w:tcPr>
            <w:tcW w:w="2087" w:type="dxa"/>
            <w:vAlign w:val="center"/>
          </w:tcPr>
          <w:p w14:paraId="5D8C4E7B">
            <w:pPr>
              <w:adjustRightInd w:val="0"/>
              <w:snapToGrid w:val="0"/>
              <w:jc w:val="center"/>
              <w:rPr>
                <w:sz w:val="24"/>
                <w:highlight w:val="none"/>
              </w:rPr>
            </w:pPr>
            <w:r>
              <w:rPr>
                <w:rFonts w:hint="eastAsia"/>
                <w:sz w:val="24"/>
                <w:highlight w:val="none"/>
              </w:rPr>
              <w:t>2000</w:t>
            </w:r>
          </w:p>
        </w:tc>
        <w:tc>
          <w:tcPr>
            <w:tcW w:w="1738" w:type="dxa"/>
            <w:tcMar>
              <w:top w:w="16" w:type="dxa"/>
              <w:left w:w="16" w:type="dxa"/>
              <w:right w:w="16" w:type="dxa"/>
            </w:tcMar>
            <w:vAlign w:val="center"/>
          </w:tcPr>
          <w:p w14:paraId="231154F1">
            <w:pPr>
              <w:adjustRightInd w:val="0"/>
              <w:snapToGrid w:val="0"/>
              <w:jc w:val="center"/>
              <w:rPr>
                <w:sz w:val="24"/>
                <w:highlight w:val="none"/>
              </w:rPr>
            </w:pPr>
            <w:r>
              <w:rPr>
                <w:sz w:val="24"/>
                <w:highlight w:val="none"/>
              </w:rPr>
              <w:t>环保投资（万元）</w:t>
            </w:r>
          </w:p>
        </w:tc>
        <w:tc>
          <w:tcPr>
            <w:tcW w:w="3113" w:type="dxa"/>
            <w:vAlign w:val="center"/>
          </w:tcPr>
          <w:p w14:paraId="178C161F">
            <w:pPr>
              <w:adjustRightInd w:val="0"/>
              <w:snapToGrid w:val="0"/>
              <w:jc w:val="center"/>
              <w:rPr>
                <w:rFonts w:hint="default" w:eastAsia="宋体"/>
                <w:sz w:val="24"/>
                <w:highlight w:val="none"/>
                <w:lang w:val="en-US" w:eastAsia="zh-CN"/>
              </w:rPr>
            </w:pPr>
            <w:r>
              <w:rPr>
                <w:rFonts w:hint="eastAsia"/>
                <w:sz w:val="24"/>
                <w:highlight w:val="none"/>
                <w:lang w:val="en-US" w:eastAsia="zh-CN"/>
              </w:rPr>
              <w:t>68</w:t>
            </w:r>
          </w:p>
        </w:tc>
      </w:tr>
      <w:tr w14:paraId="3D8DF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932" w:type="dxa"/>
            <w:gridSpan w:val="2"/>
            <w:tcMar>
              <w:top w:w="16" w:type="dxa"/>
              <w:left w:w="16" w:type="dxa"/>
              <w:right w:w="16" w:type="dxa"/>
            </w:tcMar>
            <w:vAlign w:val="center"/>
          </w:tcPr>
          <w:p w14:paraId="5A3359F4">
            <w:pPr>
              <w:adjustRightInd w:val="0"/>
              <w:snapToGrid w:val="0"/>
              <w:jc w:val="center"/>
              <w:rPr>
                <w:rFonts w:ascii="宋体" w:hAnsi="宋体" w:cs="宋体"/>
                <w:sz w:val="24"/>
                <w:highlight w:val="none"/>
              </w:rPr>
            </w:pPr>
            <w:r>
              <w:rPr>
                <w:rFonts w:hint="eastAsia" w:ascii="宋体" w:hAnsi="宋体" w:cs="宋体"/>
                <w:sz w:val="24"/>
                <w:highlight w:val="none"/>
              </w:rPr>
              <w:t>环保投资占比（</w:t>
            </w:r>
            <w:r>
              <w:rPr>
                <w:sz w:val="24"/>
                <w:highlight w:val="none"/>
              </w:rPr>
              <w:t>%</w:t>
            </w:r>
            <w:r>
              <w:rPr>
                <w:rFonts w:hint="eastAsia" w:ascii="宋体" w:hAnsi="宋体" w:cs="宋体"/>
                <w:sz w:val="24"/>
                <w:highlight w:val="none"/>
              </w:rPr>
              <w:t>）</w:t>
            </w:r>
          </w:p>
        </w:tc>
        <w:tc>
          <w:tcPr>
            <w:tcW w:w="2087" w:type="dxa"/>
            <w:vAlign w:val="center"/>
          </w:tcPr>
          <w:p w14:paraId="4B32D01B">
            <w:pPr>
              <w:adjustRightInd w:val="0"/>
              <w:snapToGrid w:val="0"/>
              <w:jc w:val="center"/>
              <w:rPr>
                <w:rFonts w:hint="default" w:eastAsia="宋体"/>
                <w:sz w:val="24"/>
                <w:highlight w:val="none"/>
                <w:lang w:val="en-US" w:eastAsia="zh-CN"/>
              </w:rPr>
            </w:pPr>
            <w:r>
              <w:rPr>
                <w:rFonts w:hint="eastAsia"/>
                <w:sz w:val="24"/>
                <w:highlight w:val="none"/>
                <w:lang w:val="en-US" w:eastAsia="zh-CN"/>
              </w:rPr>
              <w:t>3.40</w:t>
            </w:r>
          </w:p>
        </w:tc>
        <w:tc>
          <w:tcPr>
            <w:tcW w:w="1738" w:type="dxa"/>
            <w:tcMar>
              <w:top w:w="16" w:type="dxa"/>
              <w:left w:w="16" w:type="dxa"/>
              <w:right w:w="16" w:type="dxa"/>
            </w:tcMar>
            <w:vAlign w:val="center"/>
          </w:tcPr>
          <w:p w14:paraId="58739CCC">
            <w:pPr>
              <w:adjustRightInd w:val="0"/>
              <w:snapToGrid w:val="0"/>
              <w:jc w:val="center"/>
              <w:rPr>
                <w:sz w:val="24"/>
                <w:highlight w:val="none"/>
              </w:rPr>
            </w:pPr>
            <w:r>
              <w:rPr>
                <w:sz w:val="24"/>
                <w:highlight w:val="none"/>
              </w:rPr>
              <w:t>施工工期</w:t>
            </w:r>
          </w:p>
        </w:tc>
        <w:tc>
          <w:tcPr>
            <w:tcW w:w="3113" w:type="dxa"/>
            <w:vAlign w:val="center"/>
          </w:tcPr>
          <w:p w14:paraId="1A3CEE3D">
            <w:pPr>
              <w:adjustRightInd w:val="0"/>
              <w:snapToGrid w:val="0"/>
              <w:jc w:val="center"/>
              <w:rPr>
                <w:sz w:val="24"/>
                <w:highlight w:val="none"/>
              </w:rPr>
            </w:pPr>
            <w:r>
              <w:rPr>
                <w:rFonts w:hint="eastAsia"/>
                <w:sz w:val="24"/>
                <w:highlight w:val="none"/>
                <w:lang w:val="en-US" w:eastAsia="zh-CN"/>
              </w:rPr>
              <w:t>3</w:t>
            </w:r>
            <w:r>
              <w:rPr>
                <w:sz w:val="24"/>
                <w:highlight w:val="none"/>
              </w:rPr>
              <w:t>个月</w:t>
            </w:r>
          </w:p>
        </w:tc>
      </w:tr>
      <w:tr w14:paraId="52B28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932" w:type="dxa"/>
            <w:gridSpan w:val="2"/>
            <w:tcMar>
              <w:top w:w="16" w:type="dxa"/>
              <w:left w:w="16" w:type="dxa"/>
              <w:right w:w="16" w:type="dxa"/>
            </w:tcMar>
            <w:vAlign w:val="center"/>
          </w:tcPr>
          <w:p w14:paraId="623831A0">
            <w:pPr>
              <w:adjustRightInd w:val="0"/>
              <w:snapToGrid w:val="0"/>
              <w:jc w:val="center"/>
              <w:rPr>
                <w:rFonts w:ascii="宋体" w:hAnsi="宋体" w:cs="宋体"/>
                <w:sz w:val="24"/>
              </w:rPr>
            </w:pPr>
            <w:r>
              <w:rPr>
                <w:rFonts w:hint="eastAsia" w:ascii="宋体" w:hAnsi="宋体" w:cs="宋体"/>
                <w:sz w:val="24"/>
              </w:rPr>
              <w:t>是否开工建设</w:t>
            </w:r>
          </w:p>
        </w:tc>
        <w:tc>
          <w:tcPr>
            <w:tcW w:w="2087" w:type="dxa"/>
            <w:vAlign w:val="center"/>
          </w:tcPr>
          <w:p w14:paraId="7CAE5FD9">
            <w:pPr>
              <w:adjustRightInd w:val="0"/>
              <w:snapToGrid w:val="0"/>
              <w:rPr>
                <w:rFonts w:ascii="宋体" w:hAnsi="宋体" w:cs="宋体"/>
                <w:sz w:val="24"/>
              </w:rPr>
            </w:pPr>
            <w:r>
              <w:rPr>
                <w:rFonts w:hint="eastAsia" w:ascii="宋体" w:hAnsi="宋体" w:cs="宋体"/>
                <w:sz w:val="24"/>
              </w:rPr>
              <w:sym w:font="Wingdings 2" w:char="0052"/>
            </w:r>
            <w:r>
              <w:rPr>
                <w:rFonts w:hint="eastAsia" w:ascii="宋体" w:hAnsi="宋体" w:cs="宋体"/>
                <w:sz w:val="24"/>
              </w:rPr>
              <w:t>否</w:t>
            </w:r>
          </w:p>
          <w:p w14:paraId="14F8A1CA">
            <w:pPr>
              <w:adjustRightInd w:val="0"/>
              <w:snapToGrid w:val="0"/>
              <w:rPr>
                <w:rFonts w:ascii="宋体" w:hAnsi="宋体" w:cs="宋体"/>
                <w:sz w:val="24"/>
              </w:rPr>
            </w:pPr>
            <w:r>
              <w:rPr>
                <w:rFonts w:hint="eastAsia" w:ascii="宋体" w:hAnsi="宋体" w:cs="宋体"/>
                <w:sz w:val="24"/>
              </w:rPr>
              <w:sym w:font="Wingdings 2" w:char="00A3"/>
            </w:r>
            <w:r>
              <w:rPr>
                <w:rFonts w:hint="eastAsia" w:ascii="宋体" w:hAnsi="宋体" w:cs="宋体"/>
                <w:sz w:val="24"/>
              </w:rPr>
              <w:t>是：</w:t>
            </w:r>
            <w:r>
              <w:rPr>
                <w:rFonts w:hint="eastAsia" w:ascii="宋体" w:hAnsi="宋体" w:cs="宋体"/>
                <w:sz w:val="24"/>
                <w:u w:val="single"/>
              </w:rPr>
              <w:t xml:space="preserve">            </w:t>
            </w:r>
          </w:p>
        </w:tc>
        <w:tc>
          <w:tcPr>
            <w:tcW w:w="1738" w:type="dxa"/>
            <w:tcMar>
              <w:top w:w="16" w:type="dxa"/>
              <w:left w:w="16" w:type="dxa"/>
              <w:right w:w="16" w:type="dxa"/>
            </w:tcMar>
            <w:vAlign w:val="center"/>
          </w:tcPr>
          <w:p w14:paraId="62F7C883">
            <w:pPr>
              <w:adjustRightInd w:val="0"/>
              <w:snapToGrid w:val="0"/>
              <w:jc w:val="center"/>
              <w:rPr>
                <w:rFonts w:ascii="宋体" w:hAnsi="宋体" w:cs="宋体"/>
                <w:spacing w:val="-6"/>
                <w:sz w:val="24"/>
              </w:rPr>
            </w:pPr>
            <w:r>
              <w:rPr>
                <w:rFonts w:hint="eastAsia" w:ascii="宋体" w:hAnsi="宋体" w:cs="宋体"/>
                <w:spacing w:val="-6"/>
                <w:sz w:val="24"/>
              </w:rPr>
              <w:t>用地（用海）</w:t>
            </w:r>
          </w:p>
          <w:p w14:paraId="3ECEA1CA">
            <w:pPr>
              <w:adjustRightInd w:val="0"/>
              <w:snapToGrid w:val="0"/>
              <w:jc w:val="center"/>
              <w:rPr>
                <w:rFonts w:ascii="宋体" w:hAnsi="宋体" w:cs="宋体"/>
                <w:sz w:val="24"/>
              </w:rPr>
            </w:pPr>
            <w:r>
              <w:rPr>
                <w:rFonts w:hint="eastAsia" w:ascii="宋体" w:hAnsi="宋体" w:cs="宋体"/>
                <w:spacing w:val="-6"/>
                <w:sz w:val="24"/>
              </w:rPr>
              <w:t>面积（</w:t>
            </w:r>
            <w:r>
              <w:rPr>
                <w:spacing w:val="-6"/>
                <w:sz w:val="24"/>
              </w:rPr>
              <w:t>m</w:t>
            </w:r>
            <w:r>
              <w:rPr>
                <w:spacing w:val="-6"/>
                <w:sz w:val="24"/>
                <w:vertAlign w:val="superscript"/>
              </w:rPr>
              <w:t>2</w:t>
            </w:r>
            <w:r>
              <w:rPr>
                <w:rFonts w:hint="eastAsia" w:ascii="宋体" w:hAnsi="宋体" w:cs="宋体"/>
                <w:spacing w:val="-6"/>
                <w:sz w:val="24"/>
              </w:rPr>
              <w:t>）</w:t>
            </w:r>
          </w:p>
        </w:tc>
        <w:tc>
          <w:tcPr>
            <w:tcW w:w="3113" w:type="dxa"/>
            <w:vAlign w:val="center"/>
          </w:tcPr>
          <w:p w14:paraId="492090F7">
            <w:pPr>
              <w:adjustRightInd w:val="0"/>
              <w:snapToGrid w:val="0"/>
              <w:jc w:val="center"/>
              <w:rPr>
                <w:sz w:val="24"/>
              </w:rPr>
            </w:pPr>
            <w:r>
              <w:rPr>
                <w:rFonts w:hint="eastAsia"/>
                <w:sz w:val="24"/>
                <w:lang w:val="en-US" w:eastAsia="zh-CN"/>
              </w:rPr>
              <w:t>110</w:t>
            </w:r>
            <w:r>
              <w:rPr>
                <w:rFonts w:hint="eastAsia"/>
                <w:sz w:val="24"/>
              </w:rPr>
              <w:t>00</w:t>
            </w:r>
          </w:p>
        </w:tc>
      </w:tr>
      <w:tr w14:paraId="33576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932" w:type="dxa"/>
            <w:gridSpan w:val="2"/>
            <w:vAlign w:val="center"/>
          </w:tcPr>
          <w:p w14:paraId="6D490A29">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6938" w:type="dxa"/>
            <w:gridSpan w:val="3"/>
            <w:vAlign w:val="center"/>
          </w:tcPr>
          <w:p w14:paraId="4AB2193F">
            <w:pPr>
              <w:autoSpaceDE w:val="0"/>
              <w:autoSpaceDN w:val="0"/>
              <w:adjustRightInd w:val="0"/>
              <w:snapToGrid w:val="0"/>
              <w:spacing w:before="120" w:beforeLines="50"/>
              <w:jc w:val="center"/>
              <w:rPr>
                <w:rFonts w:ascii="宋体" w:hAnsi="宋体" w:cs="宋体"/>
                <w:kern w:val="0"/>
                <w:sz w:val="24"/>
              </w:rPr>
            </w:pPr>
            <w:r>
              <w:rPr>
                <w:kern w:val="0"/>
                <w:sz w:val="24"/>
              </w:rPr>
              <w:t>无</w:t>
            </w:r>
          </w:p>
        </w:tc>
      </w:tr>
      <w:tr w14:paraId="7AE8D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932" w:type="dxa"/>
            <w:gridSpan w:val="2"/>
            <w:vAlign w:val="center"/>
          </w:tcPr>
          <w:p w14:paraId="7B08240D">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6938" w:type="dxa"/>
            <w:gridSpan w:val="3"/>
            <w:vAlign w:val="center"/>
          </w:tcPr>
          <w:p w14:paraId="79FB0E9D">
            <w:pPr>
              <w:autoSpaceDE w:val="0"/>
              <w:autoSpaceDN w:val="0"/>
              <w:adjustRightInd w:val="0"/>
              <w:snapToGrid w:val="0"/>
              <w:spacing w:line="360" w:lineRule="auto"/>
              <w:jc w:val="center"/>
              <w:rPr>
                <w:sz w:val="24"/>
              </w:rPr>
            </w:pPr>
            <w:r>
              <w:rPr>
                <w:kern w:val="0"/>
                <w:sz w:val="24"/>
              </w:rPr>
              <w:t>无</w:t>
            </w:r>
          </w:p>
        </w:tc>
      </w:tr>
      <w:tr w14:paraId="59C54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932" w:type="dxa"/>
            <w:gridSpan w:val="2"/>
            <w:vAlign w:val="center"/>
          </w:tcPr>
          <w:p w14:paraId="18355C4E">
            <w:pPr>
              <w:adjustRightInd w:val="0"/>
              <w:snapToGrid w:val="0"/>
              <w:jc w:val="center"/>
              <w:rPr>
                <w:rFonts w:ascii="宋体" w:hAnsi="宋体" w:cs="宋体"/>
                <w:sz w:val="24"/>
              </w:rPr>
            </w:pPr>
            <w:r>
              <w:rPr>
                <w:rFonts w:hint="eastAsia" w:ascii="宋体" w:hAnsi="宋体" w:cs="宋体"/>
                <w:sz w:val="24"/>
              </w:rPr>
              <w:t>规划环境影响</w:t>
            </w:r>
          </w:p>
          <w:p w14:paraId="4F98630C">
            <w:pPr>
              <w:adjustRightInd w:val="0"/>
              <w:snapToGrid w:val="0"/>
              <w:jc w:val="center"/>
              <w:rPr>
                <w:rFonts w:ascii="宋体" w:hAnsi="宋体" w:cs="宋体"/>
                <w:kern w:val="0"/>
                <w:szCs w:val="21"/>
              </w:rPr>
            </w:pPr>
            <w:r>
              <w:rPr>
                <w:rFonts w:hint="eastAsia" w:ascii="宋体" w:hAnsi="宋体" w:cs="宋体"/>
                <w:sz w:val="24"/>
              </w:rPr>
              <w:t>评价情况</w:t>
            </w:r>
          </w:p>
        </w:tc>
        <w:tc>
          <w:tcPr>
            <w:tcW w:w="6938" w:type="dxa"/>
            <w:gridSpan w:val="3"/>
            <w:vAlign w:val="center"/>
          </w:tcPr>
          <w:p w14:paraId="3B3D526F">
            <w:pPr>
              <w:autoSpaceDE w:val="0"/>
              <w:autoSpaceDN w:val="0"/>
              <w:adjustRightInd w:val="0"/>
              <w:snapToGrid w:val="0"/>
              <w:jc w:val="center"/>
              <w:rPr>
                <w:rFonts w:ascii="宋体" w:hAnsi="宋体" w:cs="宋体"/>
                <w:kern w:val="0"/>
                <w:sz w:val="24"/>
              </w:rPr>
            </w:pPr>
            <w:r>
              <w:rPr>
                <w:rFonts w:hint="eastAsia" w:ascii="宋体" w:hAnsi="宋体" w:cs="宋体"/>
                <w:kern w:val="0"/>
                <w:sz w:val="24"/>
              </w:rPr>
              <w:t>无</w:t>
            </w:r>
          </w:p>
        </w:tc>
      </w:tr>
      <w:tr w14:paraId="16F3F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1932" w:type="dxa"/>
            <w:gridSpan w:val="2"/>
            <w:vAlign w:val="center"/>
          </w:tcPr>
          <w:p w14:paraId="7AD33DFC">
            <w:pPr>
              <w:autoSpaceDE w:val="0"/>
              <w:autoSpaceDN w:val="0"/>
              <w:adjustRightInd w:val="0"/>
              <w:snapToGrid w:val="0"/>
              <w:jc w:val="center"/>
              <w:rPr>
                <w:rFonts w:ascii="宋体" w:hAnsi="宋体" w:cs="宋体"/>
                <w:sz w:val="24"/>
              </w:rPr>
            </w:pPr>
            <w:r>
              <w:rPr>
                <w:rFonts w:hint="eastAsia" w:ascii="宋体" w:hAnsi="宋体" w:cs="宋体"/>
                <w:kern w:val="0"/>
                <w:sz w:val="24"/>
              </w:rPr>
              <w:t>规划及规划环境影响评价符合性分析</w:t>
            </w:r>
          </w:p>
        </w:tc>
        <w:tc>
          <w:tcPr>
            <w:tcW w:w="6938" w:type="dxa"/>
            <w:gridSpan w:val="3"/>
            <w:vAlign w:val="center"/>
          </w:tcPr>
          <w:p w14:paraId="4BB9D6C5">
            <w:pPr>
              <w:autoSpaceDE w:val="0"/>
              <w:autoSpaceDN w:val="0"/>
              <w:adjustRightInd w:val="0"/>
              <w:snapToGrid w:val="0"/>
              <w:jc w:val="center"/>
              <w:rPr>
                <w:rFonts w:hint="default" w:ascii="宋体" w:hAnsi="宋体" w:eastAsia="宋体" w:cs="宋体"/>
                <w:sz w:val="24"/>
                <w:lang w:val="en-US" w:eastAsia="zh-CN"/>
              </w:rPr>
            </w:pPr>
            <w:r>
              <w:rPr>
                <w:rFonts w:hint="eastAsia" w:ascii="宋体" w:hAnsi="宋体" w:eastAsia="宋体" w:cs="宋体"/>
                <w:kern w:val="0"/>
                <w:sz w:val="24"/>
                <w:lang w:val="en-US" w:eastAsia="zh-CN"/>
              </w:rPr>
              <w:t>无</w:t>
            </w:r>
          </w:p>
        </w:tc>
      </w:tr>
      <w:tr w14:paraId="0FBCF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7" w:hRule="atLeast"/>
          <w:jc w:val="center"/>
        </w:trPr>
        <w:tc>
          <w:tcPr>
            <w:tcW w:w="1124" w:type="dxa"/>
            <w:vAlign w:val="center"/>
          </w:tcPr>
          <w:p w14:paraId="7F9A1B15">
            <w:pPr>
              <w:spacing w:line="360" w:lineRule="auto"/>
              <w:jc w:val="center"/>
              <w:rPr>
                <w:rFonts w:ascii="宋体" w:hAnsi="宋体" w:cs="宋体"/>
                <w:kern w:val="0"/>
                <w:sz w:val="24"/>
              </w:rPr>
            </w:pPr>
            <w:r>
              <w:rPr>
                <w:rFonts w:hint="eastAsia" w:ascii="宋体" w:hAnsi="宋体" w:cs="宋体"/>
                <w:kern w:val="0"/>
                <w:sz w:val="24"/>
                <w:szCs w:val="24"/>
              </w:rPr>
              <w:t>其他符合性分析</w:t>
            </w:r>
          </w:p>
        </w:tc>
        <w:tc>
          <w:tcPr>
            <w:tcW w:w="7746" w:type="dxa"/>
            <w:gridSpan w:val="4"/>
          </w:tcPr>
          <w:p w14:paraId="42A3839B">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1、分区管控与“三线一单”相符性分析</w:t>
            </w:r>
          </w:p>
          <w:p w14:paraId="02359974">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安徽省人民政府于2020年7月13日发布了《安徽省人民政府关于加快实施“三线一单”生态环境分区管控的通知》，安徽省生态环境厅发布了《安徽省生态环境厅关于印发安徽省“三线一单”生态环境分区管控管理办法（暂行）的通知》（皖环发〔2022〕5 号），明确为贯彻落实《中共中央国务院关于全面加强生态环境保护坚决打好污染防治攻坚战的意见》（中发</w:t>
            </w:r>
            <w:r>
              <w:rPr>
                <w:rFonts w:hint="default" w:ascii="Times New Roman" w:hAnsi="Times New Roman" w:eastAsia="宋体" w:cs="Times New Roman"/>
                <w:color w:val="auto"/>
                <w:lang w:eastAsia="zh-CN"/>
              </w:rPr>
              <w:t>〔2018〕17号</w:t>
            </w:r>
            <w:r>
              <w:rPr>
                <w:rFonts w:hint="default" w:ascii="Times New Roman" w:hAnsi="Times New Roman" w:eastAsia="宋体" w:cs="Times New Roman"/>
                <w:color w:val="auto"/>
              </w:rPr>
              <w:t>），就落实生态保护红线、环境质量底线、资源利用上线和生态环境准入清单（统称“三线一单”），实施生态环境分区管控。</w:t>
            </w:r>
          </w:p>
          <w:p w14:paraId="659BB8B2">
            <w:pPr>
              <w:pStyle w:val="30"/>
              <w:keepNext w:val="0"/>
              <w:keepLines w:val="0"/>
              <w:pageBreakBefore w:val="0"/>
              <w:numPr>
                <w:ilvl w:val="0"/>
                <w:numId w:val="0"/>
              </w:numP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生态保护红线</w:t>
            </w:r>
          </w:p>
          <w:p w14:paraId="642684CB">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本项目位于</w:t>
            </w:r>
            <w:r>
              <w:rPr>
                <w:rFonts w:hint="eastAsia" w:ascii="Times New Roman" w:hAnsi="Times New Roman" w:cs="Times New Roman"/>
                <w:bCs/>
                <w:color w:val="auto"/>
                <w:kern w:val="2"/>
                <w:sz w:val="24"/>
                <w:szCs w:val="24"/>
                <w:lang w:val="en-US" w:eastAsia="zh-CN" w:bidi="ar-SA"/>
              </w:rPr>
              <w:t>安徽省宿州市埇桥区朱仙庄镇三塔路与幸福路向南20米</w:t>
            </w:r>
            <w:r>
              <w:rPr>
                <w:rFonts w:hint="default" w:ascii="Times New Roman" w:hAnsi="Times New Roman" w:eastAsia="宋体" w:cs="Times New Roman"/>
                <w:bCs/>
                <w:color w:val="auto"/>
                <w:kern w:val="2"/>
                <w:sz w:val="24"/>
                <w:szCs w:val="24"/>
                <w:lang w:val="en-US" w:eastAsia="zh-CN" w:bidi="ar-SA"/>
              </w:rPr>
              <w:t>，根据2023年宿州</w:t>
            </w:r>
            <w:r>
              <w:rPr>
                <w:rFonts w:hint="default" w:ascii="Times New Roman" w:hAnsi="Times New Roman" w:eastAsia="宋体" w:cs="Times New Roman"/>
                <w:bCs/>
                <w:color w:val="auto"/>
                <w:kern w:val="2"/>
                <w:sz w:val="24"/>
                <w:szCs w:val="24"/>
                <w:highlight w:val="none"/>
                <w:lang w:val="en-US" w:eastAsia="zh-CN" w:bidi="ar-SA"/>
              </w:rPr>
              <w:t>市“三线一单”文本，对照宿州市生态保护红线图，本项目不涉及生态保护红线。详见附图2 区域生态红线图。</w:t>
            </w:r>
          </w:p>
          <w:p w14:paraId="726EEA80">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（2）环境质量底线及环境分区管控</w:t>
            </w:r>
          </w:p>
          <w:p w14:paraId="0B42FB84">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lang w:val="en-US" w:eastAsia="zh-CN" w:bidi="ar-SA"/>
              </w:rPr>
              <w:t>①根据宿州市生态环境局发布的《宿州市2024年环境质量报告》，宿州市2024年PM</w:t>
            </w:r>
            <w:r>
              <w:rPr>
                <w:rFonts w:hint="default" w:ascii="Times New Roman" w:hAnsi="Times New Roman" w:eastAsia="宋体" w:cs="Times New Roman"/>
                <w:color w:val="auto"/>
                <w:kern w:val="2"/>
                <w:sz w:val="24"/>
                <w:szCs w:val="24"/>
                <w:vertAlign w:val="subscript"/>
                <w:lang w:val="en-US" w:eastAsia="zh-CN" w:bidi="ar-SA"/>
              </w:rPr>
              <w:t>10</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2.5</w:t>
            </w:r>
            <w:r>
              <w:rPr>
                <w:rFonts w:hint="default" w:ascii="Times New Roman" w:hAnsi="Times New Roman" w:eastAsia="宋体" w:cs="Times New Roman"/>
                <w:color w:val="auto"/>
                <w:kern w:val="2"/>
                <w:sz w:val="24"/>
                <w:szCs w:val="24"/>
                <w:lang w:val="en-US" w:eastAsia="zh-CN" w:bidi="ar-SA"/>
              </w:rPr>
              <w:t>、SO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年均浓度分别为71μg/m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、43μg/m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、6μg/m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、18μg/m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；CO24小时平均第95百分位数为0.9mg/m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，O</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日最大8小时</w:t>
            </w:r>
            <w:r>
              <w:rPr>
                <w:rFonts w:hint="default" w:ascii="Times New Roman" w:hAnsi="Times New Roman" w:eastAsia="宋体" w:cs="Times New Roman"/>
                <w:color w:val="auto"/>
                <w:kern w:val="2"/>
                <w:sz w:val="24"/>
                <w:szCs w:val="24"/>
                <w:highlight w:val="none"/>
                <w:lang w:val="en-US" w:eastAsia="zh-CN" w:bidi="ar-SA"/>
              </w:rPr>
              <w:t>平均第90百分位数为170μg/m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；超过《环境空气质量标准》（GB3095-2012）中二级标准限值的污染物为O</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、PM</w:t>
            </w:r>
            <w:r>
              <w:rPr>
                <w:rFonts w:hint="default" w:ascii="Times New Roman" w:hAnsi="Times New Roman" w:eastAsia="宋体" w:cs="Times New Roman"/>
                <w:color w:val="auto"/>
                <w:kern w:val="2"/>
                <w:sz w:val="24"/>
                <w:szCs w:val="24"/>
                <w:highlight w:val="none"/>
                <w:vertAlign w:val="subscript"/>
                <w:lang w:val="en-US" w:eastAsia="zh-CN" w:bidi="ar-SA"/>
              </w:rPr>
              <w:t>2.5</w:t>
            </w:r>
            <w:r>
              <w:rPr>
                <w:rFonts w:hint="default" w:ascii="Times New Roman" w:hAnsi="Times New Roman" w:eastAsia="宋体" w:cs="Times New Roman"/>
                <w:color w:val="auto"/>
                <w:kern w:val="2"/>
                <w:sz w:val="24"/>
                <w:szCs w:val="24"/>
                <w:highlight w:val="none"/>
                <w:lang w:val="en-US" w:eastAsia="zh-CN" w:bidi="ar-SA"/>
              </w:rPr>
              <w:t>、PM</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，因此项目所在区域环境空气质量为不达标区。</w:t>
            </w:r>
          </w:p>
          <w:p w14:paraId="16E2B40E">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环评</w:t>
            </w:r>
            <w:r>
              <w:rPr>
                <w:rFonts w:hint="default" w:ascii="Times New Roman" w:hAnsi="Times New Roman" w:eastAsia="宋体" w:cs="Times New Roman"/>
                <w:color w:val="auto"/>
                <w:sz w:val="24"/>
                <w:szCs w:val="24"/>
                <w:highlight w:val="none"/>
                <w:lang w:eastAsia="zh-CN"/>
              </w:rPr>
              <w:t>要求</w:t>
            </w:r>
            <w:r>
              <w:rPr>
                <w:rFonts w:hint="eastAsia" w:ascii="Times New Roman" w:hAnsi="Times New Roman" w:cs="Times New Roman"/>
                <w:color w:val="auto"/>
                <w:sz w:val="24"/>
                <w:szCs w:val="24"/>
                <w:highlight w:val="none"/>
                <w:lang w:val="en-US" w:eastAsia="zh-CN"/>
              </w:rPr>
              <w:t>喷码</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集气罩收集+二级活性炭吸附装置处理通过1根18m高排气筒排放。</w:t>
            </w:r>
            <w:r>
              <w:rPr>
                <w:rFonts w:hint="default" w:ascii="Times New Roman" w:hAnsi="Times New Roman" w:eastAsia="宋体" w:cs="Times New Roman"/>
                <w:color w:val="auto"/>
                <w:kern w:val="2"/>
                <w:sz w:val="24"/>
                <w:szCs w:val="24"/>
                <w:highlight w:val="none"/>
                <w:shd w:val="clear" w:color="auto" w:fill="auto"/>
                <w:lang w:val="en-US" w:eastAsia="zh-CN" w:bidi="ar-SA"/>
              </w:rPr>
              <w:t>由于宿州市为PM</w:t>
            </w:r>
            <w:r>
              <w:rPr>
                <w:rFonts w:hint="default" w:ascii="Times New Roman" w:hAnsi="Times New Roman" w:eastAsia="宋体" w:cs="Times New Roman"/>
                <w:color w:val="auto"/>
                <w:kern w:val="2"/>
                <w:sz w:val="24"/>
                <w:szCs w:val="24"/>
                <w:highlight w:val="none"/>
                <w:shd w:val="clear" w:color="auto" w:fill="auto"/>
                <w:vertAlign w:val="subscript"/>
                <w:lang w:val="en-US" w:eastAsia="zh-CN" w:bidi="ar-SA"/>
              </w:rPr>
              <w:t>2.5</w:t>
            </w:r>
            <w:r>
              <w:rPr>
                <w:rFonts w:hint="default" w:ascii="Times New Roman" w:hAnsi="Times New Roman" w:eastAsia="宋体" w:cs="Times New Roman"/>
                <w:color w:val="auto"/>
                <w:kern w:val="2"/>
                <w:sz w:val="24"/>
                <w:szCs w:val="24"/>
                <w:highlight w:val="none"/>
                <w:shd w:val="clear" w:color="auto" w:fill="auto"/>
                <w:lang w:val="en-US" w:eastAsia="zh-CN" w:bidi="ar-SA"/>
              </w:rPr>
              <w:t>不达标城市，本项目要求挥发性有机物“倍量替代”，</w:t>
            </w:r>
            <w:r>
              <w:rPr>
                <w:rFonts w:hint="default" w:ascii="Times New Roman" w:hAnsi="Times New Roman" w:eastAsia="宋体" w:cs="Times New Roman"/>
                <w:color w:val="auto"/>
                <w:sz w:val="24"/>
                <w:szCs w:val="24"/>
                <w:highlight w:val="none"/>
              </w:rPr>
              <w:t>替代来源</w:t>
            </w:r>
            <w:r>
              <w:rPr>
                <w:rFonts w:hint="default" w:ascii="Times New Roman" w:hAnsi="Times New Roman" w:eastAsia="宋体" w:cs="Times New Roman"/>
                <w:color w:val="auto"/>
                <w:kern w:val="2"/>
                <w:sz w:val="24"/>
                <w:szCs w:val="24"/>
                <w:highlight w:val="none"/>
                <w:lang w:val="en-US" w:eastAsia="zh-CN" w:bidi="ar-SA"/>
              </w:rPr>
              <w:t>由宿州市生态环境局统筹分配。</w:t>
            </w:r>
          </w:p>
          <w:p w14:paraId="10F598AA">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②水环境质量底线</w:t>
            </w:r>
          </w:p>
          <w:p w14:paraId="4F1B9C59">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根据《宿州市2024年环境质量公报》，本项目评价区域内地表水满足《地表水环境质量标准》（GB3838-2002）中</w:t>
            </w:r>
            <w:r>
              <w:rPr>
                <w:rFonts w:hint="default" w:ascii="Times New Roman" w:hAnsi="Times New Roman" w:eastAsia="宋体" w:cs="Times New Roman"/>
                <w:color w:val="auto"/>
                <w:kern w:val="0"/>
                <w:sz w:val="24"/>
                <w:szCs w:val="24"/>
                <w:highlight w:val="none"/>
                <w:lang w:val="en-US" w:eastAsia="zh-CN"/>
              </w:rPr>
              <w:t>Ⅳ类</w:t>
            </w:r>
            <w:r>
              <w:rPr>
                <w:rFonts w:hint="default" w:ascii="Times New Roman" w:hAnsi="Times New Roman" w:eastAsia="宋体" w:cs="Times New Roman"/>
                <w:color w:val="auto"/>
                <w:kern w:val="2"/>
                <w:sz w:val="24"/>
                <w:szCs w:val="24"/>
                <w:highlight w:val="none"/>
                <w:lang w:val="en-US" w:eastAsia="zh-CN" w:bidi="ar-SA"/>
              </w:rPr>
              <w:t>标准要求。</w:t>
            </w:r>
          </w:p>
          <w:p w14:paraId="695F7ECD">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项目无生产废水排放</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生活污水经化粪池处理后</w:t>
            </w:r>
            <w:r>
              <w:rPr>
                <w:rFonts w:hint="eastAsia" w:ascii="Times New Roman" w:hAnsi="Times New Roman" w:cs="Times New Roman"/>
                <w:color w:val="auto"/>
                <w:kern w:val="2"/>
                <w:sz w:val="24"/>
                <w:szCs w:val="24"/>
                <w:highlight w:val="none"/>
                <w:lang w:val="en-US" w:eastAsia="zh-CN" w:bidi="ar-SA"/>
              </w:rPr>
              <w:t>定期清掏，不外排，</w:t>
            </w:r>
            <w:r>
              <w:rPr>
                <w:rFonts w:hint="default" w:ascii="Times New Roman" w:hAnsi="Times New Roman" w:eastAsia="宋体" w:cs="Times New Roman"/>
                <w:color w:val="auto"/>
                <w:kern w:val="2"/>
                <w:sz w:val="24"/>
                <w:szCs w:val="24"/>
                <w:highlight w:val="none"/>
                <w:lang w:val="en-US" w:eastAsia="zh-CN" w:bidi="ar-SA"/>
              </w:rPr>
              <w:t>对周围水环境影响较小。</w:t>
            </w:r>
          </w:p>
          <w:p w14:paraId="5DCF072A">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③土壤环境风险防控底线</w:t>
            </w:r>
          </w:p>
          <w:p w14:paraId="6A76C5E8">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建设不占用永久基本农田；项目对可能产生地下水、土壤影响的各项途径均进行有效预防，在确保各项防渗措施得以落实，并加强维护和厂区环境管理的前提下，可有效控制厂区内的废水污染物下渗现象，避免污染土壤，因此本项目不会对区域土壤环境产生明显影响。</w:t>
            </w:r>
          </w:p>
          <w:p w14:paraId="3F2623D2">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综上所述，本项目运营过程中排放的污染物对周边环境影响很小，符合环境质量底线要求。</w:t>
            </w:r>
          </w:p>
          <w:p w14:paraId="1FA65AF6">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lang w:val="en-US" w:eastAsia="zh-CN" w:bidi="ar-SA"/>
              </w:rPr>
              <w:t>（3）资源利用上线</w:t>
            </w:r>
          </w:p>
          <w:p w14:paraId="4CE2083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本项目给水来自供水管网，供水量为</w:t>
            </w:r>
            <w:r>
              <w:rPr>
                <w:rFonts w:hint="eastAsia" w:cs="Times New Roman"/>
                <w:color w:val="auto"/>
                <w:sz w:val="24"/>
                <w:highlight w:val="none"/>
                <w:lang w:val="en-US" w:eastAsia="zh-CN"/>
              </w:rPr>
              <w:t>26730</w:t>
            </w:r>
            <w:r>
              <w:rPr>
                <w:rFonts w:hint="default" w:ascii="Times New Roman" w:hAnsi="Times New Roman" w:eastAsia="宋体" w:cs="Times New Roman"/>
                <w:color w:val="auto"/>
                <w:sz w:val="24"/>
                <w:highlight w:val="none"/>
              </w:rPr>
              <w:t>t/a，不会达到资源利用上线；项目用电由市政电网所供给，用电量为</w:t>
            </w:r>
            <w:r>
              <w:rPr>
                <w:rFonts w:hint="eastAsia" w:cs="Times New Roman"/>
                <w:color w:val="auto"/>
                <w:sz w:val="24"/>
                <w:highlight w:val="none"/>
                <w:lang w:val="en-US" w:eastAsia="zh-CN"/>
              </w:rPr>
              <w:t>45</w:t>
            </w:r>
            <w:r>
              <w:rPr>
                <w:rFonts w:hint="default" w:ascii="Times New Roman" w:hAnsi="Times New Roman" w:eastAsia="宋体" w:cs="Times New Roman"/>
                <w:color w:val="auto"/>
                <w:sz w:val="24"/>
                <w:highlight w:val="none"/>
              </w:rPr>
              <w:t>万kW·h/a，不会达到资源利用上线；项目用地符合当地土地规划要求，不会达到资源利用上线。</w:t>
            </w:r>
          </w:p>
          <w:p w14:paraId="5CCB30E1">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本项目成熟可靠的工艺技术，自动化控制手段，符合资源利用上线</w:t>
            </w:r>
            <w:r>
              <w:rPr>
                <w:rFonts w:hint="default" w:ascii="Times New Roman" w:hAnsi="Times New Roman" w:eastAsia="宋体" w:cs="Times New Roman"/>
                <w:color w:val="auto"/>
                <w:sz w:val="24"/>
              </w:rPr>
              <w:t>要求。</w:t>
            </w:r>
          </w:p>
          <w:p w14:paraId="374F217E">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（4）与环境准入负面清单相符性分析</w:t>
            </w:r>
          </w:p>
          <w:p w14:paraId="3606C10B">
            <w:pPr>
              <w:pStyle w:val="9"/>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leftChars="0" w:right="0"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2"/>
                <w:sz w:val="24"/>
                <w:szCs w:val="24"/>
                <w:lang w:val="en-US" w:eastAsia="zh-CN" w:bidi="ar-SA"/>
              </w:rPr>
              <w:t>根据2023年宿州市“三线一单”文本，宿州市共划定重点管控单元22个，面积为1641.71平方公里，占全市国土面积的16.52%，一般管控单元5个，面积为7225.23平方公里，占全市国土面积的72.7%。根据安徽省“三线</w:t>
            </w:r>
            <w:r>
              <w:rPr>
                <w:rFonts w:hint="eastAsia" w:ascii="Times New Roman" w:hAnsi="Times New Roman" w:eastAsia="宋体" w:cs="Times New Roman"/>
                <w:bCs/>
                <w:color w:val="auto"/>
                <w:kern w:val="2"/>
                <w:sz w:val="24"/>
                <w:szCs w:val="24"/>
                <w:lang w:val="en-US" w:eastAsia="zh-CN" w:bidi="ar-SA"/>
              </w:rPr>
              <w:t>一单”公众服务平台，项目生态环境分区管控单元编码为：ZH34130220012（重点管控单元12），</w:t>
            </w:r>
            <w:r>
              <w:rPr>
                <w:rFonts w:hint="default" w:ascii="Times New Roman" w:hAnsi="Times New Roman" w:eastAsia="宋体" w:cs="Times New Roman"/>
                <w:bCs/>
                <w:color w:val="auto"/>
                <w:kern w:val="2"/>
                <w:sz w:val="24"/>
                <w:szCs w:val="24"/>
                <w:lang w:val="en-US" w:eastAsia="zh-CN" w:bidi="ar-SA"/>
              </w:rPr>
              <w:t>详见附图15 本项目在安徽省“三线一单”公众服务平台位置。</w:t>
            </w:r>
          </w:p>
          <w:p w14:paraId="5380F2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color w:val="auto"/>
                <w:sz w:val="24"/>
              </w:rPr>
            </w:pPr>
            <w:r>
              <w:rPr>
                <w:b/>
                <w:bCs/>
                <w:color w:val="auto"/>
                <w:sz w:val="24"/>
              </w:rPr>
              <w:t>表1</w:t>
            </w:r>
            <w:r>
              <w:rPr>
                <w:rFonts w:hint="eastAsia"/>
                <w:b/>
                <w:bCs/>
                <w:color w:val="auto"/>
                <w:sz w:val="24"/>
              </w:rPr>
              <w:t>.</w:t>
            </w:r>
            <w:r>
              <w:rPr>
                <w:rFonts w:hint="eastAsia"/>
                <w:b/>
                <w:bCs/>
                <w:color w:val="auto"/>
                <w:sz w:val="24"/>
                <w:lang w:val="en-US" w:eastAsia="zh-CN"/>
              </w:rPr>
              <w:t xml:space="preserve">1  </w:t>
            </w:r>
            <w:r>
              <w:rPr>
                <w:b/>
                <w:bCs/>
                <w:color w:val="auto"/>
                <w:sz w:val="24"/>
              </w:rPr>
              <w:t>项目与宿州市“三线一单”生态环境准入清单符合性分析表</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685"/>
              <w:gridCol w:w="3992"/>
              <w:gridCol w:w="1389"/>
              <w:gridCol w:w="847"/>
            </w:tblGrid>
            <w:tr w14:paraId="4A6C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noWrap w:val="0"/>
                  <w:vAlign w:val="center"/>
                </w:tcPr>
                <w:p w14:paraId="6E44A623">
                  <w:pPr>
                    <w:widowControl/>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bidi="ar"/>
                    </w:rPr>
                    <w:t>管控单元</w:t>
                  </w:r>
                </w:p>
              </w:tc>
              <w:tc>
                <w:tcPr>
                  <w:tcW w:w="456" w:type="pct"/>
                  <w:noWrap w:val="0"/>
                  <w:vAlign w:val="center"/>
                </w:tcPr>
                <w:p w14:paraId="4E09E6DA">
                  <w:pPr>
                    <w:widowControl/>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kern w:val="0"/>
                      <w:sz w:val="21"/>
                      <w:szCs w:val="21"/>
                      <w:lang w:val="en-US" w:eastAsia="zh-CN" w:bidi="ar"/>
                    </w:rPr>
                    <w:t>管控类别</w:t>
                  </w:r>
                </w:p>
              </w:tc>
              <w:tc>
                <w:tcPr>
                  <w:tcW w:w="2656" w:type="pct"/>
                  <w:noWrap w:val="0"/>
                  <w:vAlign w:val="center"/>
                </w:tcPr>
                <w:p w14:paraId="163D49F1">
                  <w:pPr>
                    <w:widowControl/>
                    <w:jc w:val="center"/>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kern w:val="0"/>
                      <w:sz w:val="21"/>
                      <w:szCs w:val="21"/>
                      <w:lang w:val="en-US" w:eastAsia="zh-CN" w:bidi="ar"/>
                    </w:rPr>
                    <w:t>管控</w:t>
                  </w:r>
                  <w:r>
                    <w:rPr>
                      <w:rFonts w:hint="default" w:ascii="Times New Roman" w:hAnsi="Times New Roman" w:eastAsia="宋体" w:cs="Times New Roman"/>
                      <w:b w:val="0"/>
                      <w:bCs w:val="0"/>
                      <w:color w:val="auto"/>
                      <w:kern w:val="0"/>
                      <w:sz w:val="21"/>
                      <w:szCs w:val="21"/>
                      <w:lang w:bidi="ar"/>
                    </w:rPr>
                    <w:t>要求</w:t>
                  </w:r>
                </w:p>
              </w:tc>
              <w:tc>
                <w:tcPr>
                  <w:tcW w:w="924" w:type="pct"/>
                  <w:noWrap w:val="0"/>
                  <w:vAlign w:val="center"/>
                </w:tcPr>
                <w:p w14:paraId="6F64B0B3">
                  <w:pPr>
                    <w:widowControl/>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bidi="ar"/>
                    </w:rPr>
                    <w:t>拟建项目特点</w:t>
                  </w:r>
                </w:p>
              </w:tc>
              <w:tc>
                <w:tcPr>
                  <w:tcW w:w="563" w:type="pct"/>
                  <w:noWrap w:val="0"/>
                  <w:vAlign w:val="center"/>
                </w:tcPr>
                <w:p w14:paraId="4E17377B">
                  <w:pPr>
                    <w:widowControl/>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bidi="ar"/>
                    </w:rPr>
                    <w:t>符合性</w:t>
                  </w:r>
                </w:p>
              </w:tc>
            </w:tr>
            <w:tr w14:paraId="0207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98" w:type="pct"/>
                  <w:vMerge w:val="restart"/>
                  <w:noWrap w:val="0"/>
                  <w:vAlign w:val="center"/>
                </w:tcPr>
                <w:p w14:paraId="250FDE91">
                  <w:pPr>
                    <w:autoSpaceDE w:val="0"/>
                    <w:autoSpaceDN w:val="0"/>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重点管控单元</w:t>
                  </w:r>
                </w:p>
              </w:tc>
              <w:tc>
                <w:tcPr>
                  <w:tcW w:w="456" w:type="pct"/>
                  <w:vMerge w:val="restart"/>
                  <w:noWrap w:val="0"/>
                  <w:vAlign w:val="center"/>
                </w:tcPr>
                <w:p w14:paraId="07E7730C">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656" w:type="pct"/>
                  <w:noWrap w:val="0"/>
                  <w:vAlign w:val="center"/>
                </w:tcPr>
                <w:p w14:paraId="160B9962">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禁止开发建设活动的要求:1在城市城区及其近郊禁止新建、扩建钢铁、有色、石化、水泥、化工等重污染企业。2禁止新建燃料类煤气发生炉（园区现有企业统一建设的清洁煤制气中心 除外）。3严禁新增钢铁、焦化、电解铝、铸造、水泥和平板玻璃等产能；严格执 行钢铁、水泥、平板玻璃等行业产能置换实施办法。4严格执行国家关于“两高”产业准入目录和产能总量控制政策措施。严禁新增钢铁、焦化、电解铝、铸造、水泥和平板玻璃等产能；新、改、扩建涉及大宗物料运输的建设项目，原则上不得采用公路运输。7非电行业新建项目，禁止配套建设自备纯凝、抽凝燃煤电站。8在城市建成区及居民区、医院、学校等环境敏感区域，严禁现场露天灰土拌合。 9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10禁止建设生产和使用高挥发性有机物含量涂料、油墨、胶粘剂、清洗剂等项目。11禁止新建不符合国家规定的燃煤发电机组、燃油发电机组和燃煤热电机组。12禁止新建、扩建分散燃煤供热锅炉。13在城市规划区内禁止新建、扩建大气污染严重的建设项目。 14禁止高灰分、高硫分煤炭进入市场。新建煤矿应当同步建设煤炭洗选设施，已建成的煤矿所采煤炭属于高灰分、高硫分的，应当在国家和省规定的期限内建成配套的煤炭洗选设施，使煤炭中的灰分、硫分达到规定的标 准。15禁止在人口集中地区、机场周围、交通干线附近以及当地人民政府划定的区域露天焚烧秸秆、落叶、垃圾等产生烟尘污染的物质。16在燃气管网和集中供热管网覆盖的区域，不得新建、扩建、改建燃烧煤炭、重油、渣油的供热设施；原有分散的中小型燃煤供热锅炉应当限期拆除。17禁止在居民住宅楼、未配套设立专用烟道的商住综合楼、商住综合楼内与居住层相邻的商业楼层内新建、改建、扩建产生油烟、异味、废气的饮食服务项目。18任何单位和个人不得在政府划定的禁止露天烧烤区域内露天烧烤食品或 者为露天烧烤食品提供场地。19在机关、学校、医院、居民住宅区等人口集中地区和其他依法需要特殊保护的区域内，禁止从事下列生产活动： （1）橡胶制品生产、经营性喷漆、制骨胶、制骨粉、屠宰、畜禽养殖、 生物发酵等产生恶臭、有毒有害气体的生产经营活动；（2）露天焚烧油毡、沥青、橡胶、塑料、皮革、垃圾或者其他可能产生恶臭、有毒有害气体的活动。20严禁钢铁、水泥、电解铝、平板玻璃等行业新增产能，对确有必要新建的必须实施等量或减量置换。21禁止淘汰落后类的产业进入开发区。22从事餐饮服务业的经营活动，不得有下列行为：（一）未经处理直接排放、倾倒废弃油脂和含油废物；（二）在居民住宅楼、未配套设立专用烟道的商住综合楼以及商住综合楼内与居住层相邻的商业楼层内新建、改建、扩建产生油烟、异味、废气的餐饮服务项目；（三）在当地人民政府禁止的区域内露天烧烤食品或者为露天烧烤食品 提供场所。</w:t>
                  </w:r>
                </w:p>
              </w:tc>
              <w:tc>
                <w:tcPr>
                  <w:tcW w:w="924" w:type="pct"/>
                  <w:noWrap w:val="0"/>
                  <w:vAlign w:val="center"/>
                </w:tcPr>
                <w:p w14:paraId="3C7E27D0">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项目属于纸和纸板容器制造，喷码油墨桶装密封。喷码采用水性油墨，不属于钢铁、有色、石化、水泥、化工等重污染企业，也不属于两高项目。</w:t>
                  </w:r>
                </w:p>
              </w:tc>
              <w:tc>
                <w:tcPr>
                  <w:tcW w:w="563" w:type="pct"/>
                  <w:noWrap w:val="0"/>
                  <w:vAlign w:val="center"/>
                </w:tcPr>
                <w:p w14:paraId="18F43B5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r w14:paraId="2660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8" w:type="pct"/>
                  <w:vMerge w:val="continue"/>
                  <w:noWrap w:val="0"/>
                  <w:vAlign w:val="center"/>
                </w:tcPr>
                <w:p w14:paraId="3F8B474A">
                  <w:pPr>
                    <w:autoSpaceDE w:val="0"/>
                    <w:autoSpaceDN w:val="0"/>
                    <w:adjustRightInd w:val="0"/>
                    <w:snapToGrid w:val="0"/>
                    <w:jc w:val="center"/>
                    <w:rPr>
                      <w:rFonts w:hint="default" w:ascii="Times New Roman" w:hAnsi="Times New Roman" w:eastAsia="宋体" w:cs="Times New Roman"/>
                      <w:color w:val="auto"/>
                      <w:sz w:val="21"/>
                      <w:szCs w:val="21"/>
                    </w:rPr>
                  </w:pPr>
                </w:p>
              </w:tc>
              <w:tc>
                <w:tcPr>
                  <w:tcW w:w="456" w:type="pct"/>
                  <w:vMerge w:val="continue"/>
                  <w:noWrap w:val="0"/>
                  <w:vAlign w:val="center"/>
                </w:tcPr>
                <w:p w14:paraId="28C03BF5">
                  <w:pPr>
                    <w:autoSpaceDE w:val="0"/>
                    <w:autoSpaceDN w:val="0"/>
                    <w:adjustRightInd w:val="0"/>
                    <w:snapToGrid w:val="0"/>
                    <w:jc w:val="center"/>
                    <w:rPr>
                      <w:rFonts w:hint="default" w:ascii="Times New Roman" w:hAnsi="Times New Roman" w:eastAsia="宋体" w:cs="Times New Roman"/>
                      <w:color w:val="auto"/>
                      <w:sz w:val="21"/>
                      <w:szCs w:val="21"/>
                    </w:rPr>
                  </w:pPr>
                </w:p>
              </w:tc>
              <w:tc>
                <w:tcPr>
                  <w:tcW w:w="2656" w:type="pct"/>
                  <w:noWrap w:val="0"/>
                  <w:vAlign w:val="center"/>
                </w:tcPr>
                <w:p w14:paraId="567726E6">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限制开发建设活动的要求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23加大钢铁、铸造、炼焦、建材、电解铝等产能压减力度。24严格资源节约和环保准入门槛，转入项目必须符合国家产业政策、资源节约和污染物排放强度要求，避免产业转移中的资源浪费和污染扩散。25对污染治理不规范的露天矿山，依法责令停产整治，整治完成并经相关部门组织验收合格后方可恢复生产。26加大落后产能淘汰和过剩产能压减力度。严防“地条钢”死灰复燃。28重点区域钢铁、水泥、焦化、石化、化工、有色等行业，二氧化硫、氮氧化物、颗粒物、挥发性有机物（VOCs）排放全面执行大气污染物特别排放限值。29加大工业涂装、包装印刷等行业低挥发性有机物含量原辅材料替代力度</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严格执行涂料、油墨、胶粘剂、清洗剂挥发性有机物含量限值标准，确保生产、销售、进口、使用符合标准的产品。30严格合理控制煤炭消费增长，大气污染防治重点区域内新建、改扩建用煤项目严格实施煤炭消费等量或减量替代。31推动钢铁行业碳达峰。严格执行产能置换，严禁新增产能，依法依规淘汰落后产能。32优化产能规模和布局，引导化工企业向产业园区转移，提高集聚发展水平。</w:t>
                  </w:r>
                </w:p>
              </w:tc>
              <w:tc>
                <w:tcPr>
                  <w:tcW w:w="924" w:type="pct"/>
                  <w:noWrap w:val="0"/>
                  <w:vAlign w:val="center"/>
                </w:tcPr>
                <w:p w14:paraId="6C62E598">
                  <w:pPr>
                    <w:widowControl/>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项目属于纸和纸板容器制造，不属于限制开发建设活动中</w:t>
                  </w:r>
                  <w:r>
                    <w:rPr>
                      <w:rFonts w:hint="default" w:ascii="Times New Roman" w:hAnsi="Times New Roman" w:eastAsia="宋体" w:cs="Times New Roman"/>
                      <w:color w:val="auto"/>
                      <w:sz w:val="21"/>
                      <w:szCs w:val="21"/>
                    </w:rPr>
                    <w:t>钢铁、铸造、炼焦、建材、电解铝</w:t>
                  </w:r>
                  <w:r>
                    <w:rPr>
                      <w:rFonts w:hint="eastAsia" w:ascii="Times New Roman" w:hAnsi="Times New Roman" w:eastAsia="宋体" w:cs="Times New Roman"/>
                      <w:color w:val="auto"/>
                      <w:sz w:val="21"/>
                      <w:szCs w:val="21"/>
                      <w:lang w:val="en-US" w:eastAsia="zh-CN"/>
                    </w:rPr>
                    <w:t>等。</w:t>
                  </w:r>
                </w:p>
              </w:tc>
              <w:tc>
                <w:tcPr>
                  <w:tcW w:w="563" w:type="pct"/>
                  <w:noWrap w:val="0"/>
                  <w:vAlign w:val="center"/>
                </w:tcPr>
                <w:p w14:paraId="327DE07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r w14:paraId="1477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14:paraId="4AD5E229">
                  <w:pPr>
                    <w:autoSpaceDE w:val="0"/>
                    <w:autoSpaceDN w:val="0"/>
                    <w:adjustRightInd w:val="0"/>
                    <w:snapToGrid w:val="0"/>
                    <w:jc w:val="center"/>
                    <w:rPr>
                      <w:rFonts w:hint="default" w:ascii="Times New Roman" w:hAnsi="Times New Roman" w:eastAsia="宋体" w:cs="Times New Roman"/>
                      <w:color w:val="auto"/>
                      <w:sz w:val="21"/>
                      <w:szCs w:val="21"/>
                    </w:rPr>
                  </w:pPr>
                </w:p>
              </w:tc>
              <w:tc>
                <w:tcPr>
                  <w:tcW w:w="456" w:type="pct"/>
                  <w:vMerge w:val="continue"/>
                  <w:noWrap w:val="0"/>
                  <w:vAlign w:val="center"/>
                </w:tcPr>
                <w:p w14:paraId="75E440DC">
                  <w:pPr>
                    <w:autoSpaceDE w:val="0"/>
                    <w:autoSpaceDN w:val="0"/>
                    <w:adjustRightInd w:val="0"/>
                    <w:snapToGrid w:val="0"/>
                    <w:jc w:val="center"/>
                    <w:rPr>
                      <w:rFonts w:hint="default" w:ascii="Times New Roman" w:hAnsi="Times New Roman" w:eastAsia="宋体" w:cs="Times New Roman"/>
                      <w:color w:val="auto"/>
                      <w:sz w:val="21"/>
                      <w:szCs w:val="21"/>
                    </w:rPr>
                  </w:pPr>
                </w:p>
              </w:tc>
              <w:tc>
                <w:tcPr>
                  <w:tcW w:w="2656" w:type="pct"/>
                  <w:noWrap w:val="0"/>
                  <w:vAlign w:val="center"/>
                </w:tcPr>
                <w:p w14:paraId="39BDB38C">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不符合空间布局要求活动的退出要求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33加快城市建成区、重点流域的重污染企业和危险化学品企业搬迁改造，加快推进危险化学品生产企业搬迁改造工程。34对城区内已建重污染企业要结合产业结构调整实施搬迁改造。35城市规划区内已建的大气污染严重的建设项目应当搬迁、改造，城市建成区应当在规定的时间内完成重污染企业搬迁、改造或者关闭退出。36严格执行环境保护法律法规，对超过大气和水等污染物排放标准排污</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以及超过重点污染物总量控制指标排污的企业，责令限制生产、停产整治等；情节严重的，报经有批准权的地方政府批准，责令停业、关闭。依法打击违反固体废物管理法律法规行为。37加快区域产业调整。加快城市建成区重污染企业搬迁改造或关闭退出；城市钢铁企业要切实采取彻底关停、转型发展、就地改造、域外搬迁等方式，推动转型升级。加大现有化工园区整治力度。退城企业，逾期不退城的予以停产。38对不服从整改的餐饮企业，责令停业整治。依法关闭市、县（区）人民政府禁止区域内的露天餐饮、烧烤摊点，推广无炭烧烤。39对违反资源环境法律法规、规划，污染环境、破坏生态、乱采滥挖的露天矿山，依法予以关闭；对污染治理不规范的露天矿山，依法责令停产整治，对拒不停产或擅自恢复生产的依法强制关闭。40对热效率低下、敞开未封闭，装备简易落后、自动化程度低，无组织排放突出，以及无治理设施或治理设施工艺落后等严重污染环境的工业炉窑</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依法责令停业关闭。41对以煤、石油焦、渣油、重油等为燃料的工业炉窑，加快使用清洁低碳能源以及利用工厂余热、电厂热力等进行替代。重点区域禁止掺烧高硫石油焦（硫含量大于3%）。玻璃行业全面禁止掺烧高硫石油焦。42重点区域取缔燃煤热风炉，基本淘汰热电联产供热管网覆盖范围内的燃 煤加热、烘干炉（窑）。加快推动铸造（10吨/小时及以下）、岩棉等行业冲天炉改为电炉。43严格执行水泥熟料、平板玻璃产能置换要求，实施水泥常态化错峰生产 ，有序退出低效产能。推进燃煤窑炉清洁能源替代，逐步淘汰钢铁企业煤气发生炉。</w:t>
                  </w:r>
                </w:p>
              </w:tc>
              <w:tc>
                <w:tcPr>
                  <w:tcW w:w="924" w:type="pct"/>
                  <w:noWrap w:val="0"/>
                  <w:vAlign w:val="center"/>
                </w:tcPr>
                <w:p w14:paraId="6E1BF90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项目属于纸和纸板容器制造，不属于</w:t>
                  </w:r>
                  <w:r>
                    <w:rPr>
                      <w:rFonts w:hint="default" w:ascii="Times New Roman" w:hAnsi="Times New Roman" w:eastAsia="宋体" w:cs="Times New Roman"/>
                      <w:color w:val="auto"/>
                      <w:sz w:val="21"/>
                      <w:szCs w:val="21"/>
                    </w:rPr>
                    <w:t>不符合空间布局要求活动</w:t>
                  </w:r>
                  <w:r>
                    <w:rPr>
                      <w:rFonts w:hint="eastAsia" w:ascii="Times New Roman" w:hAnsi="Times New Roman" w:eastAsia="宋体" w:cs="Times New Roman"/>
                      <w:color w:val="auto"/>
                      <w:sz w:val="21"/>
                      <w:szCs w:val="21"/>
                      <w:lang w:eastAsia="zh-CN"/>
                    </w:rPr>
                    <w:t>。</w:t>
                  </w:r>
                </w:p>
              </w:tc>
              <w:tc>
                <w:tcPr>
                  <w:tcW w:w="563" w:type="pct"/>
                  <w:noWrap w:val="0"/>
                  <w:vAlign w:val="center"/>
                </w:tcPr>
                <w:p w14:paraId="77EFF19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r w14:paraId="2ADB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14:paraId="47FFDA43">
                  <w:pPr>
                    <w:autoSpaceDE w:val="0"/>
                    <w:autoSpaceDN w:val="0"/>
                    <w:adjustRightInd w:val="0"/>
                    <w:snapToGrid w:val="0"/>
                    <w:jc w:val="center"/>
                    <w:rPr>
                      <w:rFonts w:hint="default" w:ascii="Times New Roman" w:hAnsi="Times New Roman" w:eastAsia="宋体" w:cs="Times New Roman"/>
                      <w:color w:val="auto"/>
                      <w:sz w:val="21"/>
                      <w:szCs w:val="21"/>
                    </w:rPr>
                  </w:pPr>
                </w:p>
              </w:tc>
              <w:tc>
                <w:tcPr>
                  <w:tcW w:w="456" w:type="pct"/>
                  <w:vMerge w:val="continue"/>
                  <w:noWrap w:val="0"/>
                  <w:vAlign w:val="center"/>
                </w:tcPr>
                <w:p w14:paraId="093A5F9A">
                  <w:pPr>
                    <w:autoSpaceDE w:val="0"/>
                    <w:autoSpaceDN w:val="0"/>
                    <w:adjustRightInd w:val="0"/>
                    <w:snapToGrid w:val="0"/>
                    <w:jc w:val="center"/>
                    <w:rPr>
                      <w:rFonts w:hint="default" w:ascii="Times New Roman" w:hAnsi="Times New Roman" w:eastAsia="宋体" w:cs="Times New Roman"/>
                      <w:color w:val="auto"/>
                      <w:sz w:val="21"/>
                      <w:szCs w:val="21"/>
                    </w:rPr>
                  </w:pPr>
                </w:p>
              </w:tc>
              <w:tc>
                <w:tcPr>
                  <w:tcW w:w="2656" w:type="pct"/>
                  <w:noWrap w:val="0"/>
                  <w:vAlign w:val="center"/>
                </w:tcPr>
                <w:p w14:paraId="1E5CF68E">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其他空间布局约束要求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44强化“散乱污”企业综合整治。全面开展“散乱污”企业及集群综合整治行动。根据产业政策、产业布局规划，以及土地</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环保、质量、安全、能耗等要求，制定“散乱污”企业及集群整治标准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按照“先停后治”的原则</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实施分类处置。45企业应当全面推进清洁生产，优先采用能源和原材料利用效率高、污染 物排放量少的清洁生产技术、工艺和设备，淘汰严重污染大气环境质量的 产品、落后工艺和落后设备，减少大气污染物的产生和排放。</w:t>
                  </w:r>
                </w:p>
              </w:tc>
              <w:tc>
                <w:tcPr>
                  <w:tcW w:w="924" w:type="pct"/>
                  <w:noWrap w:val="0"/>
                  <w:vAlign w:val="center"/>
                </w:tcPr>
                <w:p w14:paraId="24DAD691">
                  <w:pPr>
                    <w:autoSpaceDE w:val="0"/>
                    <w:autoSpaceDN w:val="0"/>
                    <w:adjustRightInd w:val="0"/>
                    <w:snapToGrid w:val="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项目属于纸和纸板容器制造，不属于“散乱污”企业。</w:t>
                  </w:r>
                </w:p>
              </w:tc>
              <w:tc>
                <w:tcPr>
                  <w:tcW w:w="563" w:type="pct"/>
                  <w:noWrap w:val="0"/>
                  <w:vAlign w:val="center"/>
                </w:tcPr>
                <w:p w14:paraId="603469D5">
                  <w:pPr>
                    <w:autoSpaceDE w:val="0"/>
                    <w:autoSpaceDN w:val="0"/>
                    <w:adjustRightInd w:val="0"/>
                    <w:snapToGrid w:val="0"/>
                    <w:jc w:val="center"/>
                    <w:rPr>
                      <w:rFonts w:hint="default" w:ascii="Times New Roman" w:hAnsi="Times New Roman" w:eastAsia="宋体" w:cs="Times New Roman"/>
                      <w:color w:val="auto"/>
                      <w:sz w:val="21"/>
                      <w:szCs w:val="21"/>
                    </w:rPr>
                  </w:pPr>
                </w:p>
              </w:tc>
            </w:tr>
            <w:tr w14:paraId="7D2C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14:paraId="4F5654FF">
                  <w:pPr>
                    <w:autoSpaceDE w:val="0"/>
                    <w:autoSpaceDN w:val="0"/>
                    <w:adjustRightInd w:val="0"/>
                    <w:snapToGrid w:val="0"/>
                    <w:jc w:val="center"/>
                    <w:rPr>
                      <w:rFonts w:hint="default" w:ascii="Times New Roman" w:hAnsi="Times New Roman" w:eastAsia="宋体" w:cs="Times New Roman"/>
                      <w:color w:val="auto"/>
                      <w:sz w:val="21"/>
                      <w:szCs w:val="21"/>
                    </w:rPr>
                  </w:pPr>
                </w:p>
              </w:tc>
              <w:tc>
                <w:tcPr>
                  <w:tcW w:w="456" w:type="pct"/>
                  <w:noWrap w:val="0"/>
                  <w:vAlign w:val="center"/>
                </w:tcPr>
                <w:p w14:paraId="00953B34">
                  <w:pPr>
                    <w:autoSpaceDE w:val="0"/>
                    <w:autoSpaceDN w:val="0"/>
                    <w:adjustRightInd w:val="0"/>
                    <w:snapToGrid w:val="0"/>
                    <w:jc w:val="center"/>
                    <w:rPr>
                      <w:rFonts w:hint="default" w:ascii="Times New Roman" w:hAnsi="Times New Roman" w:eastAsia="宋体" w:cs="Times New Roman"/>
                      <w:color w:val="auto"/>
                      <w:sz w:val="21"/>
                      <w:szCs w:val="21"/>
                    </w:rPr>
                  </w:pPr>
                </w:p>
              </w:tc>
              <w:tc>
                <w:tcPr>
                  <w:tcW w:w="2656" w:type="pct"/>
                  <w:noWrap w:val="0"/>
                  <w:vAlign w:val="center"/>
                </w:tcPr>
                <w:p w14:paraId="658B8BB5">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禁止开发建设活动的要求：1 禁止在淮河流域新建化学制浆造纸企业和印染、制革、化工、电镀、酿造等污染严重的小型企业。2在饮用水水源保护区内，禁止设置排污口。在风景名胜区水体、重要渔业水体和其他具有特殊经济文化价值的水体的保护区内，不得新建排污口 。</w:t>
                  </w:r>
                </w:p>
              </w:tc>
              <w:tc>
                <w:tcPr>
                  <w:tcW w:w="924" w:type="pct"/>
                  <w:noWrap w:val="0"/>
                  <w:vAlign w:val="center"/>
                </w:tcPr>
                <w:p w14:paraId="7E85B2A8">
                  <w:pPr>
                    <w:widowControl/>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项目属于纸和纸板容器制造，不属于</w:t>
                  </w:r>
                  <w:r>
                    <w:rPr>
                      <w:rFonts w:hint="default" w:ascii="Times New Roman" w:hAnsi="Times New Roman" w:eastAsia="宋体" w:cs="Times New Roman"/>
                      <w:color w:val="auto"/>
                      <w:sz w:val="21"/>
                      <w:szCs w:val="21"/>
                    </w:rPr>
                    <w:t>在淮河流域新建化学制浆造纸企业和印染、制革、化工、电镀、酿造等污染严重的小型企业</w:t>
                  </w:r>
                  <w:r>
                    <w:rPr>
                      <w:rFonts w:hint="eastAsia" w:ascii="Times New Roman" w:hAnsi="Times New Roman" w:eastAsia="宋体" w:cs="Times New Roman"/>
                      <w:color w:val="auto"/>
                      <w:sz w:val="21"/>
                      <w:szCs w:val="21"/>
                      <w:lang w:eastAsia="zh-CN"/>
                    </w:rPr>
                    <w:t>。</w:t>
                  </w:r>
                </w:p>
              </w:tc>
              <w:tc>
                <w:tcPr>
                  <w:tcW w:w="563" w:type="pct"/>
                  <w:noWrap w:val="0"/>
                  <w:vAlign w:val="center"/>
                </w:tcPr>
                <w:p w14:paraId="582471D4">
                  <w:pPr>
                    <w:autoSpaceDE w:val="0"/>
                    <w:autoSpaceDN w:val="0"/>
                    <w:adjustRightInd w:val="0"/>
                    <w:snapToGrid w:val="0"/>
                    <w:jc w:val="center"/>
                    <w:rPr>
                      <w:rFonts w:hint="default" w:ascii="Times New Roman" w:hAnsi="Times New Roman" w:eastAsia="宋体" w:cs="Times New Roman"/>
                      <w:color w:val="auto"/>
                      <w:sz w:val="21"/>
                      <w:szCs w:val="21"/>
                    </w:rPr>
                  </w:pPr>
                </w:p>
              </w:tc>
            </w:tr>
            <w:tr w14:paraId="197A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14:paraId="79786C5A">
                  <w:pPr>
                    <w:autoSpaceDE w:val="0"/>
                    <w:autoSpaceDN w:val="0"/>
                    <w:adjustRightInd w:val="0"/>
                    <w:snapToGrid w:val="0"/>
                    <w:jc w:val="center"/>
                    <w:rPr>
                      <w:rFonts w:hint="default" w:ascii="Times New Roman" w:hAnsi="Times New Roman" w:eastAsia="宋体" w:cs="Times New Roman"/>
                      <w:color w:val="auto"/>
                      <w:sz w:val="21"/>
                      <w:szCs w:val="21"/>
                    </w:rPr>
                  </w:pPr>
                </w:p>
              </w:tc>
              <w:tc>
                <w:tcPr>
                  <w:tcW w:w="456" w:type="pct"/>
                  <w:noWrap w:val="0"/>
                  <w:vAlign w:val="center"/>
                </w:tcPr>
                <w:p w14:paraId="6C83A6D5">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污染</w:t>
                  </w:r>
                </w:p>
                <w:p w14:paraId="04034676">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物排</w:t>
                  </w:r>
                </w:p>
                <w:p w14:paraId="66EF0BE7">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放管</w:t>
                  </w:r>
                </w:p>
                <w:p w14:paraId="06FEAC5A">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控的</w:t>
                  </w:r>
                </w:p>
                <w:p w14:paraId="630E4065">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准入</w:t>
                  </w:r>
                </w:p>
                <w:p w14:paraId="521424A4">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要求</w:t>
                  </w:r>
                </w:p>
              </w:tc>
              <w:tc>
                <w:tcPr>
                  <w:tcW w:w="2656" w:type="pct"/>
                  <w:noWrap w:val="0"/>
                  <w:vAlign w:val="center"/>
                </w:tcPr>
                <w:p w14:paraId="3F1B8D66">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允许排放量要求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1环境空气质量持续改</w:t>
                  </w:r>
                  <w:r>
                    <w:rPr>
                      <w:rFonts w:hint="eastAsia" w:ascii="Times New Roman" w:hAnsi="Times New Roman" w:eastAsia="宋体" w:cs="Times New Roman"/>
                      <w:color w:val="auto"/>
                      <w:sz w:val="21"/>
                      <w:szCs w:val="21"/>
                      <w:lang w:val="en-US" w:eastAsia="zh-CN"/>
                    </w:rPr>
                    <w:t>善，</w:t>
                  </w:r>
                  <w:r>
                    <w:rPr>
                      <w:rFonts w:hint="default" w:ascii="Times New Roman" w:hAnsi="Times New Roman" w:eastAsia="宋体" w:cs="Times New Roman"/>
                      <w:color w:val="auto"/>
                      <w:sz w:val="21"/>
                      <w:szCs w:val="21"/>
                    </w:rPr>
                    <w:t>全省细颗粒物（PM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）浓度总体达标，基本消除重污染天气，优良天数比率进一步提升。2化学需氧量、氨氮、氮氧化物、挥发性有机物等4项主要污染物重点工程减排量分别累计达到13.67 万吨、0.69万吨、8.3万吨、3.07万吨。3严格合理控制煤炭消费增长，大气污染防治重点区域内新、改、扩建用煤项目实施煤炭消费等量或减量替代。重点削减非电力用煤，各市将减煤目标按年度分解落实到重点耗煤企业，实施“一企一策”减煤诊断。4新建、改建、扩建排放重点大气污染物的项目不符合总量控制要求的</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不得通过环境影响评价。区域大气污染物削减/替代要求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5进出钢铁企业的铁精矿、煤炭、焦炭等大宗物料和产品采用铁路、水路、管道或管状带式输送机等清洁方式运输比例不低于80%；达不到的，汽车运输部分应全部采用新能源汽车或达到国六排放标准的汽车（2021年底前可采用国五排放标准的汽车）。 6对以煤、石油焦、渣油、重油等为燃料的工业炉窑，加快使用清洁低碳能源以及利用工厂余热、电厂热力等进行替代。7推动具备条件的省级以上园区全部实施循环化改造。（责任单位：省发 展改革委，配合单位：省经济和信息化厅等）推动工业园区能源系统整体优化，鼓励工业企业、园区优先使用可再生能源。推进园区电、热、冷、气等多种能源协同的综合能源项目建设。8进一步强化区域协作机制，完善重污染天气应对和重点行业绩效分级管理体系，突出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和臭氧协同控制，加大钢铁、水泥、焦化、玻璃等行业以及工业锅炉、炉窑、移动源氮氧化物减排力度。9全面推动挥发性有机物纳入排污许可管理。禁止建设生产和使用高挥发性有机物含量涂料、油墨、胶粘剂、清洗剂等项目。加快推进石化、化工、涂装、医药、包装印刷和油品储运销等重点行业挥发性有机物深度治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销售、进口、使用符合标准的产品。到2025年，溶剂型工业涂料、油墨使用比例分别降低20个、10个百分点。溶剂型胶粘剂使用量降低20%。10实行重点排放源排放浓度与去除效率双重控制。车间或生产设施收集排放的废气，VOCs初始排放速率大于等于2千克/小时的，应加大控制力度</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除确保排放浓度稳定达标外，还应实行去除效率控制，去除效率不低于80%；采用的原辅材料符合国家有关低VOCs含量产品规定的除外，有行业排放标准的按其相关规定执行。11使用粉末</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水性、高固体分、辐射固化等低VOCs含量的涂料替代溶剂型涂料。汽车制造底漆大力推广使用水性涂料，乘用车中涂、色漆大力推广使用高固体分或水性涂料，加快客车、货车等中涂、色漆改造。钢制集 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现有源提标升级改造</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12污染物排放标准中有特别排放限值的标准的行业</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二氧化硫、氮氧化物、颗粒物、挥发性有机物（VOCs）全面执行大气污染物特别排放限值。已核发排污许可证的，应严格执行许可要求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13对国家级新区、工业园区、高新区等进行集中整治，限期进行达标改</w:t>
                  </w:r>
                  <w:r>
                    <w:rPr>
                      <w:rFonts w:hint="eastAsia" w:ascii="Times New Roman" w:hAnsi="Times New Roman" w:eastAsia="宋体" w:cs="Times New Roman"/>
                      <w:color w:val="auto"/>
                      <w:sz w:val="21"/>
                      <w:szCs w:val="21"/>
                      <w:lang w:val="en-US" w:eastAsia="zh-CN"/>
                    </w:rPr>
                    <w:t>造。</w:t>
                  </w:r>
                  <w:r>
                    <w:rPr>
                      <w:rFonts w:hint="default" w:ascii="Times New Roman" w:hAnsi="Times New Roman" w:eastAsia="宋体" w:cs="Times New Roman"/>
                      <w:color w:val="auto"/>
                      <w:sz w:val="21"/>
                      <w:szCs w:val="21"/>
                    </w:rPr>
                    <w:t>14按《挥发性有机物无组织排放控制标准》（GB 37822-2019）要求，做好VOCs物料储存、物料转移和输送、工艺过程、设备与管线组件、敞开液面VOCs排放，以及VOCs无组织排放废气收集处理系统要求。15新改扩建（含搬迁）钢铁项目要严格执行产能置换实施办法，按照钢铁企业超低排放指标要求，同步配套建设高效脱硫、脱硝、除尘设施，落实物料储存、输送及生产工艺过程无组织排放管控措施。16烧结机机头、球团焙烧烟气颗粒物、二氧化硫、氮氧化物排放浓度小时均值分别不高于10、35、50毫克/立方米；其他主要污染源颗粒物、二氧化硫、氮氧化物排放浓度小时均值原则上分别不高于10、50、200毫克/立方米，达到超低排放的钢铁企业每月至少95%以上时段小时均值排放浓度满足上述要求。17已有行业排放标准的工业炉窑，严格执行行业排放标准相关规定，配套 建设高效脱硫脱硝除尘设施，确保稳定达标排放。已制定更严格地方排放标准的，按地方标准执行。 18铸造行业烧结、高炉工序污染排放控制按照钢铁行业相关标准要求执行</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原则上按照颗粒物、二氧化硫、氮氧化物排放限值分别不高于30、200、300毫克/立方米实施改造，其中，日用玻璃、玻璃棉氮氧化物排放限值不高于400毫克/立方米。19城市建成区生物质锅炉实施超低排放改造。20实施煤电节能降碳改造、灵活性改造、供热改造“三改联动”，推动煤电由主体电源向支撑性、调节性电源转变。其他污染物排放管控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21强化工业企业无组织排放管理，推进挥发性有机物排放综合整治，开展大气氨排放控制试点。22依法严禁秸秆露天焚烧，全面推进综合利用。23深化工业污染治理，工业污染源全面达标排放，未达标排放的企业一律依法停产整治。 </w:t>
                  </w:r>
                </w:p>
              </w:tc>
              <w:tc>
                <w:tcPr>
                  <w:tcW w:w="924" w:type="pct"/>
                  <w:noWrap w:val="0"/>
                  <w:vAlign w:val="center"/>
                </w:tcPr>
                <w:p w14:paraId="6119D1D0">
                  <w:pPr>
                    <w:widowControl/>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项目属于纸和纸板容器制造，生产设备用电，不涉及煤炭使用、也不涉及工业炉窑使用，使用得油墨属于水性油墨。</w:t>
                  </w:r>
                </w:p>
              </w:tc>
              <w:tc>
                <w:tcPr>
                  <w:tcW w:w="563" w:type="pct"/>
                  <w:noWrap w:val="0"/>
                  <w:vAlign w:val="center"/>
                </w:tcPr>
                <w:p w14:paraId="417BB3C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bl>
          <w:p w14:paraId="386E25F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综上所述，本项目符合“三线一单”要求。</w:t>
            </w:r>
          </w:p>
          <w:p w14:paraId="21BD2BA9">
            <w:pPr>
              <w:pStyle w:val="30"/>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2、产业政策符合性</w:t>
            </w:r>
          </w:p>
          <w:p w14:paraId="75F0E2C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根据《国民经济行业分类》（GB/T4754-2017）可知，本项目属于“C2231</w:t>
            </w:r>
            <w:r>
              <w:rPr>
                <w:rFonts w:hint="default" w:ascii="Times New Roman" w:hAnsi="Times New Roman" w:eastAsia="宋体" w:cs="Times New Roman"/>
                <w:color w:val="auto"/>
                <w:sz w:val="24"/>
                <w:lang w:val="en-US" w:eastAsia="zh-CN"/>
              </w:rPr>
              <w:t>纸和纸板容器制造</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根据《产业结构调整指导目录（20</w:t>
            </w:r>
            <w:r>
              <w:rPr>
                <w:rFonts w:hint="default" w:ascii="Times New Roman" w:hAnsi="Times New Roman" w:eastAsia="宋体" w:cs="Times New Roman"/>
                <w:color w:val="auto"/>
                <w:sz w:val="24"/>
                <w:lang w:val="en-US" w:eastAsia="zh-CN"/>
              </w:rPr>
              <w:t>24</w:t>
            </w:r>
            <w:r>
              <w:rPr>
                <w:rFonts w:hint="default" w:ascii="Times New Roman" w:hAnsi="Times New Roman" w:eastAsia="宋体" w:cs="Times New Roman"/>
                <w:color w:val="auto"/>
                <w:sz w:val="24"/>
                <w:lang w:eastAsia="zh-CN"/>
              </w:rPr>
              <w:t>年本）》，本项目不属于鼓励类、限制类和淘汰类，属于允许类项目。</w:t>
            </w:r>
          </w:p>
          <w:p w14:paraId="7275817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本项目已于202</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eastAsia="zh-CN"/>
              </w:rPr>
              <w:t>年</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eastAsia="zh-CN"/>
              </w:rPr>
              <w:t>月</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日由宿州市埇桥区</w:t>
            </w:r>
            <w:r>
              <w:rPr>
                <w:rFonts w:hint="default" w:ascii="Times New Roman" w:hAnsi="Times New Roman" w:eastAsia="宋体" w:cs="Times New Roman"/>
                <w:color w:val="auto"/>
                <w:sz w:val="24"/>
                <w:lang w:val="en-US" w:eastAsia="zh-CN"/>
              </w:rPr>
              <w:t>工业和信息化局</w:t>
            </w:r>
            <w:r>
              <w:rPr>
                <w:rFonts w:hint="default" w:ascii="Times New Roman" w:hAnsi="Times New Roman" w:eastAsia="宋体" w:cs="Times New Roman"/>
                <w:color w:val="auto"/>
                <w:sz w:val="24"/>
                <w:lang w:eastAsia="zh-CN"/>
              </w:rPr>
              <w:t>予以备案。项目代码为2507-341302-07-01-106238。</w:t>
            </w:r>
          </w:p>
          <w:p w14:paraId="7913F16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因此，本项目的建设符合国家和地方产业政策要求。</w:t>
            </w:r>
          </w:p>
          <w:p w14:paraId="24D70B68">
            <w:pPr>
              <w:pStyle w:val="30"/>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3、其他政策相符性分析</w:t>
            </w:r>
          </w:p>
          <w:p w14:paraId="59D4F03A">
            <w:pPr>
              <w:pStyle w:val="30"/>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（1）项目与关于印发《宿州市“十四五”生态环境保护规划》的通知（宿环委会〔2022〕2号）相符性分析详见下表：</w:t>
            </w:r>
          </w:p>
          <w:p w14:paraId="611FE56F">
            <w:pPr>
              <w:pStyle w:val="30"/>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center"/>
              <w:textAlignment w:val="auto"/>
              <w:rPr>
                <w:rFonts w:hint="default" w:ascii="Times New Roman" w:hAnsi="Times New Roman" w:eastAsia="宋体" w:cs="Times New Roman"/>
                <w:b/>
                <w:bCs/>
                <w:snapToGrid w:val="0"/>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rPr>
              <w:t>表</w:t>
            </w:r>
            <w:r>
              <w:rPr>
                <w:rFonts w:hint="eastAsia" w:ascii="Times New Roman" w:hAnsi="Times New Roman" w:eastAsia="宋体" w:cs="Times New Roman"/>
                <w:b/>
                <w:bCs/>
                <w:color w:val="auto"/>
                <w:sz w:val="24"/>
                <w:szCs w:val="24"/>
                <w:highlight w:val="none"/>
                <w:lang w:val="en-US" w:eastAsia="zh-CN"/>
              </w:rPr>
              <w:t>1.2</w:t>
            </w:r>
            <w:r>
              <w:rPr>
                <w:rFonts w:hint="default" w:ascii="Times New Roman" w:hAnsi="Times New Roman" w:eastAsia="宋体" w:cs="Times New Roman"/>
                <w:b/>
                <w:bCs/>
                <w:color w:val="auto"/>
                <w:sz w:val="24"/>
                <w:szCs w:val="24"/>
                <w:highlight w:val="none"/>
                <w:lang w:val="en-US" w:eastAsia="zh-CN"/>
              </w:rPr>
              <w:t xml:space="preserve"> 与关于印发《宿州市“十四五”生态环境保护规划》的通知（宿环委会</w:t>
            </w:r>
            <w:r>
              <w:rPr>
                <w:rFonts w:hint="default" w:ascii="Times New Roman" w:hAnsi="Times New Roman" w:eastAsia="宋体" w:cs="Times New Roman"/>
                <w:b/>
                <w:bCs/>
                <w:snapToGrid w:val="0"/>
                <w:color w:val="auto"/>
                <w:sz w:val="24"/>
                <w:szCs w:val="24"/>
                <w:highlight w:val="none"/>
                <w:lang w:val="en-US" w:eastAsia="zh-CN" w:bidi="ar-SA"/>
              </w:rPr>
              <w:t>〔20</w:t>
            </w:r>
            <w:r>
              <w:rPr>
                <w:rFonts w:hint="eastAsia" w:ascii="Times New Roman" w:hAnsi="Times New Roman" w:eastAsia="宋体" w:cs="Times New Roman"/>
                <w:b/>
                <w:bCs/>
                <w:snapToGrid w:val="0"/>
                <w:color w:val="auto"/>
                <w:sz w:val="24"/>
                <w:szCs w:val="24"/>
                <w:highlight w:val="none"/>
                <w:lang w:val="en-US" w:eastAsia="zh-CN" w:bidi="ar-SA"/>
              </w:rPr>
              <w:t>22</w:t>
            </w:r>
            <w:r>
              <w:rPr>
                <w:rFonts w:hint="default" w:ascii="Times New Roman" w:hAnsi="Times New Roman" w:eastAsia="宋体" w:cs="Times New Roman"/>
                <w:b/>
                <w:bCs/>
                <w:snapToGrid w:val="0"/>
                <w:color w:val="auto"/>
                <w:sz w:val="24"/>
                <w:szCs w:val="24"/>
                <w:highlight w:val="none"/>
                <w:lang w:val="en-US" w:eastAsia="zh-CN" w:bidi="ar-SA"/>
              </w:rPr>
              <w:t>〕2号）相符性分析一览表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4095"/>
              <w:gridCol w:w="2201"/>
              <w:gridCol w:w="744"/>
            </w:tblGrid>
            <w:tr w14:paraId="017E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noWrap w:val="0"/>
                  <w:vAlign w:val="center"/>
                </w:tcPr>
                <w:p w14:paraId="57ED4620">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序号</w:t>
                  </w:r>
                </w:p>
              </w:tc>
              <w:tc>
                <w:tcPr>
                  <w:tcW w:w="2724" w:type="pct"/>
                  <w:noWrap w:val="0"/>
                  <w:vAlign w:val="center"/>
                </w:tcPr>
                <w:p w14:paraId="1EB89D3E">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宿州市生态环境保护委员会关于印发“十四五”生态环境保护规划的通知</w:t>
                  </w:r>
                </w:p>
              </w:tc>
              <w:tc>
                <w:tcPr>
                  <w:tcW w:w="1464" w:type="pct"/>
                  <w:noWrap w:val="0"/>
                  <w:vAlign w:val="center"/>
                </w:tcPr>
                <w:p w14:paraId="613C285E">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本项目情况</w:t>
                  </w:r>
                </w:p>
              </w:tc>
              <w:tc>
                <w:tcPr>
                  <w:tcW w:w="495" w:type="pct"/>
                  <w:noWrap w:val="0"/>
                  <w:vAlign w:val="center"/>
                </w:tcPr>
                <w:p w14:paraId="0771DFB3">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相符性</w:t>
                  </w:r>
                </w:p>
              </w:tc>
            </w:tr>
            <w:tr w14:paraId="0871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noWrap w:val="0"/>
                  <w:vAlign w:val="center"/>
                </w:tcPr>
                <w:p w14:paraId="3DFA6FFF">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2724" w:type="pct"/>
                  <w:noWrap w:val="0"/>
                  <w:vAlign w:val="center"/>
                </w:tcPr>
                <w:p w14:paraId="6AC9F94F">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tc>
              <w:tc>
                <w:tcPr>
                  <w:tcW w:w="1464" w:type="pct"/>
                  <w:noWrap w:val="0"/>
                  <w:vAlign w:val="center"/>
                </w:tcPr>
                <w:p w14:paraId="1B50BF02">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w:t>
                  </w:r>
                  <w:r>
                    <w:rPr>
                      <w:rFonts w:hint="eastAsia" w:ascii="Times New Roman" w:hAnsi="Times New Roman" w:eastAsia="宋体" w:cs="Times New Roman"/>
                      <w:color w:val="auto"/>
                      <w:sz w:val="21"/>
                      <w:szCs w:val="21"/>
                      <w:highlight w:val="none"/>
                      <w:vertAlign w:val="baseline"/>
                      <w:lang w:val="en-US" w:eastAsia="zh-CN"/>
                    </w:rPr>
                    <w:t>使用的油墨为水性油墨，属于低VOCs含量原辅材料</w:t>
                  </w:r>
                  <w:r>
                    <w:rPr>
                      <w:rFonts w:hint="default" w:ascii="Times New Roman" w:hAnsi="Times New Roman" w:eastAsia="宋体" w:cs="Times New Roman"/>
                      <w:color w:val="auto"/>
                      <w:sz w:val="21"/>
                      <w:szCs w:val="21"/>
                      <w:highlight w:val="none"/>
                      <w:vertAlign w:val="baseline"/>
                      <w:lang w:val="en-US" w:eastAsia="zh-CN"/>
                    </w:rPr>
                    <w:t>。</w:t>
                  </w:r>
                </w:p>
              </w:tc>
              <w:tc>
                <w:tcPr>
                  <w:tcW w:w="495" w:type="pct"/>
                  <w:noWrap w:val="0"/>
                  <w:vAlign w:val="center"/>
                </w:tcPr>
                <w:p w14:paraId="754E41B0">
                  <w:pPr>
                    <w:keepNext w:val="0"/>
                    <w:keepLines w:val="0"/>
                    <w:pageBreakBefore w:val="0"/>
                    <w:widowControl/>
                    <w:numPr>
                      <w:ilvl w:val="0"/>
                      <w:numId w:val="0"/>
                    </w:numP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75D6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6" w:type="pct"/>
                  <w:noWrap w:val="0"/>
                  <w:vAlign w:val="center"/>
                </w:tcPr>
                <w:p w14:paraId="1C5A2F04">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2724" w:type="pct"/>
                  <w:noWrap w:val="0"/>
                  <w:vAlign w:val="center"/>
                </w:tcPr>
                <w:p w14:paraId="74FB7E08">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深化集中治理。全面加大工业园区、企业集群和重点企业VOCs治理力度。筛选全市VOCs控制的重点污染物和重点行业，编制重点行业“一行一策”、工业园区“一园一策”控制方案，实施重点行业VOCs排放总量控制。加强化工、工业涂装、包装印刷、油品储运销等重点行业VOCs治理，确定并发布VOCs重点监管企业名录，督促纳入重点监管企业名录的企业编制并实施“一企一策”综合治理方案。严格落实《挥发性有机物无组织排放控制标准》，加强VOCs无组织排放控制，加快废气收集系统建设，提高废气收集率。加强设备与管线组件泄漏控制，按相关要求开展LDAR工作。推进工业园区和企业集群建设涉VOCs“绿岛”项目，建设一批集中涂装中心、活性炭集中处理中心、有机溶剂回收中心等，多个市场主体共享环保基础设施，实施统一收集、集中收集、集中治理、稳定达标排放。</w:t>
                  </w:r>
                </w:p>
              </w:tc>
              <w:tc>
                <w:tcPr>
                  <w:tcW w:w="1464" w:type="pct"/>
                  <w:noWrap w:val="0"/>
                  <w:vAlign w:val="center"/>
                </w:tcPr>
                <w:p w14:paraId="7F83C014">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本项目属</w:t>
                  </w:r>
                  <w:r>
                    <w:rPr>
                      <w:rFonts w:hint="eastAsia" w:ascii="Times New Roman" w:hAnsi="Times New Roman" w:eastAsia="宋体" w:cs="Times New Roman"/>
                      <w:color w:val="auto"/>
                      <w:sz w:val="21"/>
                      <w:szCs w:val="21"/>
                      <w:highlight w:val="none"/>
                      <w:vertAlign w:val="baseline"/>
                      <w:lang w:val="en-US" w:eastAsia="zh-CN"/>
                    </w:rPr>
                    <w:t>于纸制品制造</w:t>
                  </w:r>
                  <w:r>
                    <w:rPr>
                      <w:rFonts w:hint="default" w:ascii="Times New Roman" w:hAnsi="Times New Roman" w:eastAsia="宋体" w:cs="Times New Roman"/>
                      <w:color w:val="auto"/>
                      <w:sz w:val="21"/>
                      <w:szCs w:val="21"/>
                      <w:highlight w:val="none"/>
                      <w:vertAlign w:val="baseline"/>
                      <w:lang w:val="en-US" w:eastAsia="zh-CN"/>
                    </w:rPr>
                    <w:t>，不属于化工、工业涂装、包装印刷、油品储运销等重点行业。项目</w:t>
                  </w:r>
                  <w:r>
                    <w:rPr>
                      <w:rFonts w:hint="eastAsia" w:ascii="Times New Roman" w:hAnsi="Times New Roman" w:eastAsia="宋体" w:cs="Times New Roman"/>
                      <w:color w:val="auto"/>
                      <w:sz w:val="21"/>
                      <w:szCs w:val="21"/>
                      <w:highlight w:val="none"/>
                      <w:vertAlign w:val="baseline"/>
                      <w:lang w:val="en-US" w:eastAsia="zh-CN"/>
                    </w:rPr>
                    <w:t>喷码废气采用</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集气罩+二级活性炭吸附装置处理</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18m</w:t>
                  </w:r>
                  <w:r>
                    <w:rPr>
                      <w:rFonts w:hint="default" w:ascii="Times New Roman" w:hAnsi="Times New Roman" w:eastAsia="宋体" w:cs="Times New Roman"/>
                      <w:color w:val="auto"/>
                      <w:sz w:val="21"/>
                      <w:szCs w:val="21"/>
                      <w:highlight w:val="none"/>
                    </w:rPr>
                    <w:t>高排气筒（DA00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排放</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vertAlign w:val="baseline"/>
                      <w:lang w:val="en-US" w:eastAsia="zh-CN"/>
                    </w:rPr>
                    <w:t>项目无组织废气治理方案，严格按照方案执行，可确保无组织废气达标排放。</w:t>
                  </w:r>
                </w:p>
              </w:tc>
              <w:tc>
                <w:tcPr>
                  <w:tcW w:w="495" w:type="pct"/>
                  <w:noWrap w:val="0"/>
                  <w:vAlign w:val="center"/>
                </w:tcPr>
                <w:p w14:paraId="5C22E487">
                  <w:pPr>
                    <w:keepNext w:val="0"/>
                    <w:keepLines w:val="0"/>
                    <w:pageBreakBefore w:val="0"/>
                    <w:widowControl/>
                    <w:numPr>
                      <w:ilvl w:val="0"/>
                      <w:numId w:val="0"/>
                    </w:numP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bl>
          <w:p w14:paraId="75C081A9">
            <w:pPr>
              <w:adjustRightInd w:val="0"/>
              <w:snapToGrid w:val="0"/>
              <w:spacing w:before="120" w:beforeLines="50" w:line="360" w:lineRule="auto"/>
              <w:ind w:firstLine="480" w:firstLineChars="200"/>
              <w:rPr>
                <w:color w:val="auto"/>
                <w:sz w:val="24"/>
              </w:rPr>
            </w:pPr>
            <w:r>
              <w:rPr>
                <w:rFonts w:hint="eastAsia"/>
                <w:color w:val="auto"/>
                <w:kern w:val="0"/>
                <w:sz w:val="24"/>
              </w:rPr>
              <w:t>（</w:t>
            </w:r>
            <w:r>
              <w:rPr>
                <w:rFonts w:hint="eastAsia"/>
                <w:color w:val="auto"/>
                <w:kern w:val="0"/>
                <w:sz w:val="24"/>
                <w:lang w:val="en-US" w:eastAsia="zh-CN"/>
              </w:rPr>
              <w:t>2</w:t>
            </w:r>
            <w:r>
              <w:rPr>
                <w:rFonts w:hint="eastAsia"/>
                <w:color w:val="auto"/>
                <w:kern w:val="0"/>
                <w:sz w:val="24"/>
              </w:rPr>
              <w:t>）</w:t>
            </w:r>
            <w:r>
              <w:rPr>
                <w:color w:val="auto"/>
                <w:sz w:val="24"/>
              </w:rPr>
              <w:t>项目与《挥发性有机物（VOC</w:t>
            </w:r>
            <w:r>
              <w:rPr>
                <w:color w:val="auto"/>
                <w:sz w:val="24"/>
                <w:vertAlign w:val="subscript"/>
              </w:rPr>
              <w:t>S</w:t>
            </w:r>
            <w:r>
              <w:rPr>
                <w:color w:val="auto"/>
                <w:sz w:val="24"/>
              </w:rPr>
              <w:t>）污染防治技术政策》相符性分析详见下表。</w:t>
            </w:r>
          </w:p>
          <w:p w14:paraId="5E075F70">
            <w:pPr>
              <w:pStyle w:val="30"/>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ascii="Times New Roman" w:hAnsi="Times New Roman" w:eastAsia="宋体" w:cs="Times New Roman"/>
                <w:b/>
                <w:bCs/>
                <w:color w:val="auto"/>
                <w:sz w:val="24"/>
                <w:szCs w:val="24"/>
                <w:highlight w:val="none"/>
                <w:lang w:val="en-US" w:eastAsia="zh-CN"/>
              </w:rPr>
              <w:t xml:space="preserve">3 </w:t>
            </w:r>
            <w:r>
              <w:rPr>
                <w:rFonts w:hint="default" w:ascii="Times New Roman" w:hAnsi="Times New Roman" w:eastAsia="宋体" w:cs="Times New Roman"/>
                <w:b/>
                <w:bCs/>
                <w:color w:val="auto"/>
                <w:sz w:val="24"/>
                <w:szCs w:val="24"/>
                <w:highlight w:val="none"/>
                <w:lang w:val="en-US" w:eastAsia="zh-CN"/>
              </w:rPr>
              <w:t xml:space="preserve"> 挥发性有机物（VOCS）污染防治技术政策相符性分析一览表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3"/>
              <w:gridCol w:w="794"/>
              <w:gridCol w:w="2589"/>
              <w:gridCol w:w="2011"/>
              <w:gridCol w:w="917"/>
            </w:tblGrid>
            <w:tr w14:paraId="4D99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noWrap w:val="0"/>
                  <w:vAlign w:val="center"/>
                </w:tcPr>
                <w:p w14:paraId="27B7B3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255" w:type="dxa"/>
                  <w:gridSpan w:val="3"/>
                  <w:noWrap w:val="0"/>
                  <w:vAlign w:val="center"/>
                </w:tcPr>
                <w:p w14:paraId="23071F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）污染防治技术</w:t>
                  </w:r>
                </w:p>
                <w:p w14:paraId="6523AB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政策</w:t>
                  </w:r>
                </w:p>
              </w:tc>
              <w:tc>
                <w:tcPr>
                  <w:tcW w:w="2138" w:type="dxa"/>
                  <w:noWrap w:val="0"/>
                  <w:vAlign w:val="center"/>
                </w:tcPr>
                <w:p w14:paraId="24A0D5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990" w:type="dxa"/>
                  <w:noWrap w:val="0"/>
                  <w:vAlign w:val="center"/>
                </w:tcPr>
                <w:p w14:paraId="289A96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相符性</w:t>
                  </w:r>
                </w:p>
              </w:tc>
            </w:tr>
            <w:tr w14:paraId="4D21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Merge w:val="restart"/>
                  <w:noWrap w:val="0"/>
                  <w:vAlign w:val="center"/>
                </w:tcPr>
                <w:p w14:paraId="40205C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8" w:type="dxa"/>
                  <w:vMerge w:val="restart"/>
                  <w:noWrap w:val="0"/>
                  <w:vAlign w:val="center"/>
                </w:tcPr>
                <w:p w14:paraId="1D7532A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源头和过程控制</w:t>
                  </w:r>
                </w:p>
                <w:p w14:paraId="4A03343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02" w:type="dxa"/>
                  <w:vMerge w:val="restart"/>
                  <w:noWrap w:val="0"/>
                  <w:vAlign w:val="center"/>
                </w:tcPr>
                <w:p w14:paraId="577F86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在涂装、印刷、粘合、工业清洗等VOCs产品的使用过程中的VOCs污染防治技术措施</w:t>
                  </w:r>
                </w:p>
              </w:tc>
              <w:tc>
                <w:tcPr>
                  <w:tcW w:w="2835" w:type="dxa"/>
                  <w:noWrap w:val="0"/>
                  <w:vAlign w:val="center"/>
                </w:tcPr>
                <w:p w14:paraId="224DDB9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1.鼓励使用通过环境标志产品认证的环保型涂料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油墨、胶粘剂和清洗剂；</w:t>
                  </w:r>
                </w:p>
              </w:tc>
              <w:tc>
                <w:tcPr>
                  <w:tcW w:w="2138" w:type="dxa"/>
                  <w:vMerge w:val="restart"/>
                  <w:noWrap w:val="0"/>
                  <w:vAlign w:val="center"/>
                </w:tcPr>
                <w:p w14:paraId="50B417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本项目使用</w:t>
                  </w:r>
                  <w:r>
                    <w:rPr>
                      <w:rFonts w:hint="eastAsia" w:ascii="Times New Roman" w:hAnsi="Times New Roman" w:eastAsia="宋体" w:cs="Times New Roman"/>
                      <w:color w:val="auto"/>
                      <w:sz w:val="21"/>
                      <w:szCs w:val="21"/>
                      <w:lang w:val="en-US" w:eastAsia="zh-CN"/>
                    </w:rPr>
                    <w:t>水性油墨</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喷码</w:t>
                  </w:r>
                  <w:r>
                    <w:rPr>
                      <w:rFonts w:hint="default" w:ascii="Times New Roman" w:hAnsi="Times New Roman" w:eastAsia="宋体" w:cs="Times New Roman"/>
                      <w:color w:val="auto"/>
                      <w:sz w:val="21"/>
                      <w:szCs w:val="21"/>
                      <w:lang w:val="en-US" w:eastAsia="zh-CN"/>
                    </w:rPr>
                    <w:t>工序采用</w:t>
                  </w:r>
                  <w:r>
                    <w:rPr>
                      <w:rFonts w:hint="default" w:ascii="Times New Roman" w:hAnsi="Times New Roman" w:eastAsia="宋体" w:cs="Times New Roman"/>
                      <w:color w:val="auto"/>
                      <w:sz w:val="21"/>
                      <w:szCs w:val="21"/>
                      <w:highlight w:val="none"/>
                      <w:lang w:val="en-US" w:eastAsia="zh-CN"/>
                    </w:rPr>
                    <w:t>通过环境标志产品认证的水性油墨</w:t>
                  </w:r>
                  <w:r>
                    <w:rPr>
                      <w:rFonts w:hint="eastAsia" w:ascii="Times New Roman" w:hAnsi="Times New Roman" w:eastAsia="宋体" w:cs="Times New Roman"/>
                      <w:color w:val="auto"/>
                      <w:sz w:val="21"/>
                      <w:szCs w:val="21"/>
                      <w:highlight w:val="none"/>
                      <w:lang w:val="en-US" w:eastAsia="zh-CN"/>
                    </w:rPr>
                    <w:t>，根据业主提供油墨检测报告项目使用的水性油墨挥发性有机化合物（VOCs）限值0.9%</w:t>
                  </w:r>
                  <w:r>
                    <w:rPr>
                      <w:rFonts w:hint="default" w:ascii="Times New Roman" w:hAnsi="Times New Roman" w:eastAsia="宋体" w:cs="Times New Roman"/>
                      <w:color w:val="auto"/>
                      <w:sz w:val="21"/>
                      <w:szCs w:val="21"/>
                      <w:highlight w:val="none"/>
                      <w:lang w:val="en-US" w:eastAsia="zh-CN"/>
                    </w:rPr>
                    <w:t>。</w:t>
                  </w:r>
                </w:p>
              </w:tc>
              <w:tc>
                <w:tcPr>
                  <w:tcW w:w="990" w:type="dxa"/>
                  <w:vMerge w:val="restart"/>
                  <w:noWrap w:val="0"/>
                  <w:vAlign w:val="center"/>
                </w:tcPr>
                <w:p w14:paraId="57DD3E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0A3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vMerge w:val="continue"/>
                  <w:noWrap w:val="0"/>
                  <w:vAlign w:val="center"/>
                </w:tcPr>
                <w:p w14:paraId="788377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618" w:type="dxa"/>
                  <w:vMerge w:val="continue"/>
                  <w:noWrap w:val="0"/>
                  <w:vAlign w:val="center"/>
                </w:tcPr>
                <w:p w14:paraId="0A5E16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802" w:type="dxa"/>
                  <w:vMerge w:val="continue"/>
                  <w:noWrap w:val="0"/>
                  <w:vAlign w:val="center"/>
                </w:tcPr>
                <w:p w14:paraId="338204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2835" w:type="dxa"/>
                  <w:noWrap w:val="0"/>
                  <w:vAlign w:val="center"/>
                </w:tcPr>
                <w:p w14:paraId="5BAE674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3.在印刷工艺中推广使用水性油墨，印铁制罐行业鼓励使用紫外光固化（UV）油墨，书刊印刷行业鼓励使用预涂膜技术</w:t>
                  </w:r>
                  <w:r>
                    <w:rPr>
                      <w:rFonts w:hint="default" w:ascii="Times New Roman" w:hAnsi="Times New Roman" w:eastAsia="宋体" w:cs="Times New Roman"/>
                      <w:color w:val="auto"/>
                      <w:sz w:val="21"/>
                      <w:szCs w:val="21"/>
                      <w:lang w:eastAsia="zh-CN"/>
                    </w:rPr>
                    <w:t>；</w:t>
                  </w:r>
                </w:p>
              </w:tc>
              <w:tc>
                <w:tcPr>
                  <w:tcW w:w="2138" w:type="dxa"/>
                  <w:vMerge w:val="continue"/>
                  <w:noWrap w:val="0"/>
                  <w:vAlign w:val="center"/>
                </w:tcPr>
                <w:p w14:paraId="19704D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990" w:type="dxa"/>
                  <w:vMerge w:val="continue"/>
                  <w:noWrap w:val="0"/>
                  <w:vAlign w:val="center"/>
                </w:tcPr>
                <w:p w14:paraId="60F0E7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r>
            <w:tr w14:paraId="415C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4" w:type="dxa"/>
                  <w:vMerge w:val="continue"/>
                  <w:noWrap w:val="0"/>
                  <w:vAlign w:val="center"/>
                </w:tcPr>
                <w:p w14:paraId="773DE1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18" w:type="dxa"/>
                  <w:vMerge w:val="continue"/>
                  <w:noWrap w:val="0"/>
                  <w:vAlign w:val="center"/>
                </w:tcPr>
                <w:p w14:paraId="64C542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02" w:type="dxa"/>
                  <w:vMerge w:val="continue"/>
                  <w:noWrap w:val="0"/>
                  <w:vAlign w:val="center"/>
                </w:tcPr>
                <w:p w14:paraId="69E7D4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835" w:type="dxa"/>
                  <w:noWrap w:val="0"/>
                  <w:vAlign w:val="center"/>
                </w:tcPr>
                <w:p w14:paraId="2FFEBBD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6.含VOCs产品的使用过程中，应采取废气收集措施，提高废气收集效率，减少废气的无组织排放与逸散，并对收集后的废气进行回收或处理后达标排放。</w:t>
                  </w:r>
                </w:p>
              </w:tc>
              <w:tc>
                <w:tcPr>
                  <w:tcW w:w="2138" w:type="dxa"/>
                  <w:noWrap w:val="0"/>
                  <w:vAlign w:val="center"/>
                </w:tcPr>
                <w:p w14:paraId="16FB316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生产过程中产生的废气采用有组织收集，有效减少废气的无组织排放与逸散。</w:t>
                  </w:r>
                </w:p>
              </w:tc>
              <w:tc>
                <w:tcPr>
                  <w:tcW w:w="990" w:type="dxa"/>
                  <w:noWrap w:val="0"/>
                  <w:vAlign w:val="center"/>
                </w:tcPr>
                <w:p w14:paraId="7D971D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745D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dxa"/>
                  <w:noWrap w:val="0"/>
                  <w:vAlign w:val="center"/>
                </w:tcPr>
                <w:p w14:paraId="0FC0A7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18" w:type="dxa"/>
                  <w:noWrap w:val="0"/>
                  <w:vAlign w:val="center"/>
                </w:tcPr>
                <w:p w14:paraId="2AB0722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末端治理与综合利用</w:t>
                  </w:r>
                </w:p>
              </w:tc>
              <w:tc>
                <w:tcPr>
                  <w:tcW w:w="3637" w:type="dxa"/>
                  <w:gridSpan w:val="2"/>
                  <w:noWrap w:val="0"/>
                  <w:vAlign w:val="center"/>
                </w:tcPr>
                <w:p w14:paraId="0800985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138" w:type="dxa"/>
                  <w:noWrap w:val="0"/>
                  <w:vAlign w:val="center"/>
                </w:tcPr>
                <w:p w14:paraId="02BFD79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喷码</w:t>
                  </w:r>
                  <w:r>
                    <w:rPr>
                      <w:rFonts w:hint="default" w:ascii="Times New Roman" w:hAnsi="Times New Roman" w:eastAsia="宋体" w:cs="Times New Roman"/>
                      <w:color w:val="auto"/>
                      <w:sz w:val="21"/>
                      <w:szCs w:val="21"/>
                      <w:highlight w:val="none"/>
                      <w:lang w:val="en-US" w:eastAsia="zh-CN"/>
                    </w:rPr>
                    <w:t>均在</w:t>
                  </w:r>
                  <w:r>
                    <w:rPr>
                      <w:rFonts w:hint="eastAsia" w:ascii="Times New Roman" w:hAnsi="Times New Roman" w:eastAsia="宋体" w:cs="Times New Roman"/>
                      <w:color w:val="auto"/>
                      <w:sz w:val="21"/>
                      <w:szCs w:val="21"/>
                      <w:highlight w:val="none"/>
                      <w:lang w:val="en-US" w:eastAsia="zh-CN"/>
                    </w:rPr>
                    <w:t>厂房</w:t>
                  </w:r>
                  <w:r>
                    <w:rPr>
                      <w:rFonts w:hint="default" w:ascii="Times New Roman" w:hAnsi="Times New Roman" w:eastAsia="宋体" w:cs="Times New Roman"/>
                      <w:color w:val="auto"/>
                      <w:sz w:val="21"/>
                      <w:szCs w:val="21"/>
                      <w:highlight w:val="none"/>
                      <w:lang w:val="en-US" w:eastAsia="zh-CN"/>
                    </w:rPr>
                    <w:t>内进行，不露天作业，产生的VOCs废气采用集气罩收集后经过二级活性炭吸附装置处理后通过1根</w:t>
                  </w:r>
                  <w:r>
                    <w:rPr>
                      <w:rFonts w:hint="eastAsia" w:ascii="Times New Roman" w:hAnsi="Times New Roman" w:eastAsia="宋体" w:cs="Times New Roman"/>
                      <w:color w:val="auto"/>
                      <w:sz w:val="21"/>
                      <w:szCs w:val="21"/>
                      <w:highlight w:val="none"/>
                      <w:lang w:val="en-US" w:eastAsia="zh-CN"/>
                    </w:rPr>
                    <w:t>18m</w:t>
                  </w:r>
                  <w:r>
                    <w:rPr>
                      <w:rFonts w:hint="default" w:ascii="Times New Roman" w:hAnsi="Times New Roman" w:eastAsia="宋体" w:cs="Times New Roman"/>
                      <w:color w:val="auto"/>
                      <w:sz w:val="21"/>
                      <w:szCs w:val="21"/>
                      <w:highlight w:val="none"/>
                      <w:lang w:val="en-US" w:eastAsia="zh-CN"/>
                    </w:rPr>
                    <w:t>高排气筒达标排放。</w:t>
                  </w:r>
                </w:p>
              </w:tc>
              <w:tc>
                <w:tcPr>
                  <w:tcW w:w="990" w:type="dxa"/>
                  <w:noWrap w:val="0"/>
                  <w:vAlign w:val="center"/>
                </w:tcPr>
                <w:p w14:paraId="77251B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4C753295">
            <w:pPr>
              <w:widowControl/>
              <w:spacing w:before="120" w:beforeLines="50" w:line="360" w:lineRule="auto"/>
              <w:ind w:firstLine="480" w:firstLineChars="200"/>
              <w:jc w:val="left"/>
              <w:rPr>
                <w:color w:val="auto"/>
                <w:sz w:val="24"/>
              </w:rPr>
            </w:pPr>
            <w:r>
              <w:rPr>
                <w:rFonts w:hint="eastAsia"/>
                <w:color w:val="auto"/>
                <w:kern w:val="0"/>
                <w:sz w:val="24"/>
                <w:lang w:bidi="ar"/>
              </w:rPr>
              <w:t>（</w:t>
            </w:r>
            <w:r>
              <w:rPr>
                <w:rFonts w:hint="eastAsia"/>
                <w:color w:val="auto"/>
                <w:kern w:val="0"/>
                <w:sz w:val="24"/>
                <w:lang w:val="en-US" w:eastAsia="zh-CN" w:bidi="ar"/>
              </w:rPr>
              <w:t>3</w:t>
            </w:r>
            <w:r>
              <w:rPr>
                <w:rFonts w:hint="eastAsia"/>
                <w:color w:val="auto"/>
                <w:kern w:val="0"/>
                <w:sz w:val="24"/>
                <w:lang w:bidi="ar"/>
              </w:rPr>
              <w:t>）</w:t>
            </w:r>
            <w:r>
              <w:rPr>
                <w:color w:val="auto"/>
                <w:sz w:val="24"/>
              </w:rPr>
              <w:t>项目</w:t>
            </w:r>
            <w:r>
              <w:rPr>
                <w:color w:val="auto"/>
                <w:kern w:val="0"/>
                <w:sz w:val="24"/>
                <w:lang w:bidi="ar"/>
              </w:rPr>
              <w:t>与《安徽省挥发性有机物污染整治工作方案》的符合性分析</w:t>
            </w:r>
            <w:r>
              <w:rPr>
                <w:rFonts w:hint="eastAsia"/>
                <w:color w:val="auto"/>
                <w:kern w:val="0"/>
                <w:sz w:val="24"/>
                <w:lang w:bidi="ar"/>
              </w:rPr>
              <w:t>详见下表：</w:t>
            </w:r>
          </w:p>
          <w:p w14:paraId="10D834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color w:val="auto"/>
                <w:sz w:val="24"/>
              </w:rPr>
            </w:pPr>
            <w:r>
              <w:rPr>
                <w:rFonts w:ascii="Times New Roman" w:hAnsi="Times New Roman" w:eastAsia="宋体" w:cs="Times New Roman"/>
                <w:b/>
                <w:bCs/>
                <w:color w:val="auto"/>
                <w:sz w:val="24"/>
              </w:rPr>
              <w:t>表 1</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4</w:t>
            </w:r>
            <w:r>
              <w:rPr>
                <w:rFonts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rPr>
              <w:t xml:space="preserve"> </w:t>
            </w:r>
            <w:r>
              <w:rPr>
                <w:rFonts w:ascii="Times New Roman" w:hAnsi="Times New Roman" w:eastAsia="宋体" w:cs="Times New Roman"/>
                <w:b/>
                <w:bCs/>
                <w:color w:val="auto"/>
                <w:sz w:val="24"/>
              </w:rPr>
              <w:t>项目与《安徽省挥发性有机物污染整治工作方案》符合性分析一览表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3"/>
              <w:gridCol w:w="2847"/>
              <w:gridCol w:w="478"/>
            </w:tblGrid>
            <w:tr w14:paraId="4F0A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8" w:type="pct"/>
                  <w:noWrap w:val="0"/>
                  <w:vAlign w:val="center"/>
                </w:tcPr>
                <w:p w14:paraId="6D08514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与本项目相关的要求</w:t>
                  </w:r>
                </w:p>
              </w:tc>
              <w:tc>
                <w:tcPr>
                  <w:tcW w:w="1893" w:type="pct"/>
                  <w:noWrap w:val="0"/>
                  <w:vAlign w:val="center"/>
                </w:tcPr>
                <w:p w14:paraId="64C4C2D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本项目情况</w:t>
                  </w:r>
                </w:p>
              </w:tc>
              <w:tc>
                <w:tcPr>
                  <w:tcW w:w="318" w:type="pct"/>
                  <w:noWrap w:val="0"/>
                  <w:vAlign w:val="center"/>
                </w:tcPr>
                <w:p w14:paraId="531404F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相符性</w:t>
                  </w:r>
                </w:p>
              </w:tc>
            </w:tr>
            <w:tr w14:paraId="4DC0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8" w:type="pct"/>
                  <w:noWrap w:val="0"/>
                  <w:vAlign w:val="center"/>
                </w:tcPr>
                <w:p w14:paraId="0E0C4D1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（二）建立 VOCs 污染治理台账。各地在VOCs排放现状调查的基础上，组织开展VOCs排放清单编制工作。采取“一区一策、一厂一策”，排出时限进度，确定整治要求，建好VOCs污染治理台账。</w:t>
                  </w:r>
                </w:p>
              </w:tc>
              <w:tc>
                <w:tcPr>
                  <w:tcW w:w="1893" w:type="pct"/>
                  <w:noWrap w:val="0"/>
                  <w:vAlign w:val="center"/>
                </w:tcPr>
                <w:p w14:paraId="3AFE910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企业正常运行后，需根据环评文件及实际生产情况，建立VOCs污染治理台账。</w:t>
                  </w:r>
                </w:p>
              </w:tc>
              <w:tc>
                <w:tcPr>
                  <w:tcW w:w="318" w:type="pct"/>
                  <w:noWrap w:val="0"/>
                  <w:vAlign w:val="center"/>
                </w:tcPr>
                <w:p w14:paraId="6607DF4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284B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8" w:type="pct"/>
                  <w:noWrap w:val="0"/>
                  <w:vAlign w:val="center"/>
                </w:tcPr>
                <w:p w14:paraId="1B49C58E">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（三）开展工业企业 VOCs 污染治理。自2014年起，各地要围绕 VOCs 污染整治的重点突出开展石化、有机化工、表面涂装、包装印刷等行业 VOCs 专项整治和石化行业“泄漏检测与修复”技术改造</w:t>
                  </w:r>
                </w:p>
              </w:tc>
              <w:tc>
                <w:tcPr>
                  <w:tcW w:w="1893" w:type="pct"/>
                  <w:noWrap w:val="0"/>
                  <w:vAlign w:val="center"/>
                </w:tcPr>
                <w:p w14:paraId="537AC56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喷码</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val="en-US" w:eastAsia="zh-CN"/>
                    </w:rPr>
                    <w:t>产生的VOCs废气采用集气罩收集后经过二级活性炭吸附装置处理后通过1根</w:t>
                  </w:r>
                  <w:r>
                    <w:rPr>
                      <w:rFonts w:hint="eastAsia" w:ascii="Times New Roman" w:hAnsi="Times New Roman" w:eastAsia="宋体" w:cs="Times New Roman"/>
                      <w:color w:val="auto"/>
                      <w:sz w:val="21"/>
                      <w:szCs w:val="21"/>
                      <w:highlight w:val="none"/>
                      <w:lang w:val="en-US" w:eastAsia="zh-CN"/>
                    </w:rPr>
                    <w:t>18m</w:t>
                  </w:r>
                  <w:r>
                    <w:rPr>
                      <w:rFonts w:hint="default" w:ascii="Times New Roman" w:hAnsi="Times New Roman" w:eastAsia="宋体" w:cs="Times New Roman"/>
                      <w:color w:val="auto"/>
                      <w:sz w:val="21"/>
                      <w:szCs w:val="21"/>
                      <w:highlight w:val="none"/>
                      <w:lang w:val="en-US" w:eastAsia="zh-CN"/>
                    </w:rPr>
                    <w:t>高排气筒达标排放</w:t>
                  </w:r>
                  <w:r>
                    <w:rPr>
                      <w:rFonts w:hint="default" w:ascii="Times New Roman" w:hAnsi="Times New Roman" w:eastAsia="宋体" w:cs="Times New Roman"/>
                      <w:color w:val="auto"/>
                      <w:sz w:val="21"/>
                      <w:szCs w:val="21"/>
                      <w:highlight w:val="none"/>
                    </w:rPr>
                    <w:t>。</w:t>
                  </w:r>
                </w:p>
              </w:tc>
              <w:tc>
                <w:tcPr>
                  <w:tcW w:w="318" w:type="pct"/>
                  <w:noWrap w:val="0"/>
                  <w:vAlign w:val="center"/>
                </w:tcPr>
                <w:p w14:paraId="38B32DA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0882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8" w:type="pct"/>
                  <w:noWrap w:val="0"/>
                  <w:vAlign w:val="center"/>
                </w:tcPr>
                <w:p w14:paraId="11A187E7">
                  <w:pPr>
                    <w:keepNext w:val="0"/>
                    <w:keepLines w:val="0"/>
                    <w:pageBreakBefore w:val="0"/>
                    <w:widowControl/>
                    <w:kinsoku/>
                    <w:wordWrap/>
                    <w:overflowPunct/>
                    <w:topLinePunct w:val="0"/>
                    <w:autoSpaceDE/>
                    <w:autoSpaceDN/>
                    <w:bidi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六、具体措施</w:t>
                  </w:r>
                </w:p>
                <w:p w14:paraId="4CF3E74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一）优化产业布局。结合城市总体规划、主体功能区规划要求，优化调整VOCs产业布局。在城市建成区、自然保护区、水源保护区、风景名胜区、森林公园、重要湿地、生态敏感区和其他重要生态功能区实行强制性保护，禁止新建VOCs高污染企业。在水源涵养区、水土保持区等生态功能区实施限制开发。对城市建成区和重要生态功能区内现有重污染企业结合产业布局调整实施搬迁或改造，积极推动VOCs 排放重点行业企业向园区集中。严格各类产业园区的设立和布局，各类产业园区必须履行规划环评，通过规划环评和项目环评联动，促进产业布局调整优化。</w:t>
                  </w:r>
                </w:p>
              </w:tc>
              <w:tc>
                <w:tcPr>
                  <w:tcW w:w="1893" w:type="pct"/>
                  <w:noWrap w:val="0"/>
                  <w:vAlign w:val="center"/>
                </w:tcPr>
                <w:p w14:paraId="12043CC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本项目位于</w:t>
                  </w:r>
                  <w:r>
                    <w:rPr>
                      <w:rFonts w:hint="eastAsia" w:ascii="Times New Roman" w:hAnsi="Times New Roman" w:eastAsia="宋体" w:cs="Times New Roman"/>
                      <w:color w:val="auto"/>
                      <w:kern w:val="0"/>
                      <w:sz w:val="21"/>
                      <w:szCs w:val="21"/>
                      <w:lang w:eastAsia="zh-CN" w:bidi="ar"/>
                    </w:rPr>
                    <w:t>安徽省宿州市埇桥区</w:t>
                  </w:r>
                  <w:r>
                    <w:rPr>
                      <w:rFonts w:hint="eastAsia" w:ascii="Times New Roman" w:hAnsi="Times New Roman" w:eastAsia="宋体" w:cs="Times New Roman"/>
                      <w:color w:val="auto"/>
                      <w:kern w:val="0"/>
                      <w:sz w:val="21"/>
                      <w:szCs w:val="21"/>
                      <w:highlight w:val="none"/>
                      <w:lang w:eastAsia="zh-CN" w:bidi="ar"/>
                    </w:rPr>
                    <w:t>朱仙庄镇三塔路与幸福路向南20米</w:t>
                  </w:r>
                  <w:r>
                    <w:rPr>
                      <w:rFonts w:hint="default" w:ascii="Times New Roman" w:hAnsi="Times New Roman" w:eastAsia="宋体" w:cs="Times New Roman"/>
                      <w:color w:val="auto"/>
                      <w:kern w:val="0"/>
                      <w:sz w:val="21"/>
                      <w:szCs w:val="21"/>
                      <w:highlight w:val="none"/>
                      <w:lang w:bidi="ar"/>
                    </w:rPr>
                    <w:t>，</w:t>
                  </w:r>
                  <w:r>
                    <w:rPr>
                      <w:rFonts w:hint="eastAsia" w:ascii="Times New Roman" w:hAnsi="Times New Roman" w:eastAsia="宋体" w:cs="Times New Roman"/>
                      <w:color w:val="auto"/>
                      <w:kern w:val="0"/>
                      <w:sz w:val="21"/>
                      <w:szCs w:val="21"/>
                      <w:highlight w:val="none"/>
                      <w:lang w:val="en-US" w:eastAsia="zh-CN" w:bidi="ar"/>
                    </w:rPr>
                    <w:t>周边</w:t>
                  </w:r>
                  <w:r>
                    <w:rPr>
                      <w:rFonts w:hint="default" w:ascii="Times New Roman" w:hAnsi="Times New Roman" w:eastAsia="宋体" w:cs="Times New Roman"/>
                      <w:color w:val="auto"/>
                      <w:kern w:val="0"/>
                      <w:sz w:val="21"/>
                      <w:szCs w:val="21"/>
                      <w:highlight w:val="none"/>
                      <w:lang w:bidi="ar"/>
                    </w:rPr>
                    <w:t>不涉及自然保护区、水源保护区、风景名胜区、森林公园、重要湿地、生态敏感区和其他重要生态功能区。</w:t>
                  </w:r>
                </w:p>
              </w:tc>
              <w:tc>
                <w:tcPr>
                  <w:tcW w:w="318" w:type="pct"/>
                  <w:noWrap w:val="0"/>
                  <w:vAlign w:val="center"/>
                </w:tcPr>
                <w:p w14:paraId="08CF4D1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4594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8" w:type="pct"/>
                  <w:noWrap w:val="0"/>
                  <w:vAlign w:val="center"/>
                </w:tcPr>
                <w:p w14:paraId="54EB6A30">
                  <w:pPr>
                    <w:keepNext w:val="0"/>
                    <w:keepLines w:val="0"/>
                    <w:pageBreakBefore w:val="0"/>
                    <w:widowControl/>
                    <w:numPr>
                      <w:ilvl w:val="0"/>
                      <w:numId w:val="2"/>
                    </w:numPr>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加快产业升级。</w:t>
                  </w:r>
                </w:p>
                <w:p w14:paraId="363DD17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1.加快淘汰落后产能。严格执行 VOCs 重点行业相关产业政策，加快淘汰落后产品、技术和工艺装备，提前淘汰污染物排放强度大、产品附加值低、环境信访多的落后产能，关闭能耗超标、污染物排放超标且治理无望的企业和生产线。</w:t>
                  </w:r>
                </w:p>
              </w:tc>
              <w:tc>
                <w:tcPr>
                  <w:tcW w:w="1893" w:type="pct"/>
                  <w:noWrap w:val="0"/>
                  <w:vAlign w:val="center"/>
                </w:tcPr>
                <w:p w14:paraId="3133F49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本项目不属于淘汰落后产品，本项目污染物均达标排放。</w:t>
                  </w:r>
                </w:p>
              </w:tc>
              <w:tc>
                <w:tcPr>
                  <w:tcW w:w="318" w:type="pct"/>
                  <w:noWrap w:val="0"/>
                  <w:vAlign w:val="center"/>
                </w:tcPr>
                <w:p w14:paraId="15F2B38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2D4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8" w:type="pct"/>
                  <w:noWrap w:val="0"/>
                  <w:vAlign w:val="center"/>
                </w:tcPr>
                <w:p w14:paraId="7ADEFB8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3.严格建设项目准入。将控制挥发性有机物排放列入建设项目环境影响评价重要内容，严格环境准入，严控“两高”行业新增产能。新建、迁建VOCs 排放量大的企业应入工业园区并符合规划要求，必须建设挥发性有机物污染治理设施，安装废气收集、回收或净化装置，原则上总净化效率不得低于 90%。建立 VOCs 排放总量控制制度。重点行业建设项目报批环评文件时应附VOCs 等量替代的来源说明，并落实相应的有机废气治理措施。</w:t>
                  </w:r>
                </w:p>
              </w:tc>
              <w:tc>
                <w:tcPr>
                  <w:tcW w:w="1893" w:type="pct"/>
                  <w:noWrap w:val="0"/>
                  <w:vAlign w:val="center"/>
                </w:tcPr>
                <w:p w14:paraId="28BD434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bidi="ar"/>
                    </w:rPr>
                    <w:t>项目选址位于</w:t>
                  </w:r>
                  <w:r>
                    <w:rPr>
                      <w:rFonts w:hint="eastAsia" w:ascii="Times New Roman" w:hAnsi="Times New Roman" w:eastAsia="宋体" w:cs="Times New Roman"/>
                      <w:color w:val="auto"/>
                      <w:kern w:val="0"/>
                      <w:sz w:val="21"/>
                      <w:szCs w:val="21"/>
                      <w:lang w:eastAsia="zh-CN" w:bidi="ar"/>
                    </w:rPr>
                    <w:t>安徽省宿州市埇桥区朱仙庄镇三塔路与幸福路向南20米</w:t>
                  </w:r>
                  <w:r>
                    <w:rPr>
                      <w:rFonts w:hint="eastAsia" w:cs="Times New Roman"/>
                      <w:color w:val="auto"/>
                      <w:kern w:val="0"/>
                      <w:sz w:val="21"/>
                      <w:szCs w:val="21"/>
                      <w:lang w:eastAsia="zh-CN" w:bidi="ar"/>
                    </w:rPr>
                    <w:t>，</w:t>
                  </w: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喷码</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val="en-US" w:eastAsia="zh-CN"/>
                    </w:rPr>
                    <w:t>产生的VOCs废气采用集气罩收集后经过二级活性炭吸附装置处理后通过1根</w:t>
                  </w:r>
                  <w:r>
                    <w:rPr>
                      <w:rFonts w:hint="eastAsia" w:ascii="Times New Roman" w:hAnsi="Times New Roman" w:eastAsia="宋体" w:cs="Times New Roman"/>
                      <w:color w:val="auto"/>
                      <w:sz w:val="21"/>
                      <w:szCs w:val="21"/>
                      <w:highlight w:val="none"/>
                      <w:lang w:val="en-US" w:eastAsia="zh-CN"/>
                    </w:rPr>
                    <w:t>18m</w:t>
                  </w:r>
                  <w:r>
                    <w:rPr>
                      <w:rFonts w:hint="default" w:ascii="Times New Roman" w:hAnsi="Times New Roman" w:eastAsia="宋体" w:cs="Times New Roman"/>
                      <w:color w:val="auto"/>
                      <w:sz w:val="21"/>
                      <w:szCs w:val="21"/>
                      <w:highlight w:val="none"/>
                      <w:lang w:val="en-US" w:eastAsia="zh-CN"/>
                    </w:rPr>
                    <w:t>高排气筒达标排放。</w:t>
                  </w:r>
                </w:p>
              </w:tc>
              <w:tc>
                <w:tcPr>
                  <w:tcW w:w="318" w:type="pct"/>
                  <w:noWrap w:val="0"/>
                  <w:vAlign w:val="center"/>
                </w:tcPr>
                <w:p w14:paraId="38E5083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4284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8" w:type="pct"/>
                  <w:noWrap w:val="0"/>
                  <w:vAlign w:val="center"/>
                </w:tcPr>
                <w:p w14:paraId="2CB99CEE">
                  <w:pPr>
                    <w:keepNext w:val="0"/>
                    <w:keepLines w:val="0"/>
                    <w:pageBreakBefore w:val="0"/>
                    <w:widowControl/>
                    <w:numPr>
                      <w:ilvl w:val="0"/>
                      <w:numId w:val="3"/>
                    </w:numPr>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严格环保监管。</w:t>
                  </w:r>
                </w:p>
                <w:p w14:paraId="0DFFFAD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建立 VOCs 排放监测监控体系。按照规范要求定期对重点企业、VOCs 排放集中区或工业园区开展监测。提升环保执法能力建设，配备便携式VOCs 检测仪，加强对企业 VOCs 排放的监管。化工企业逐步建立与 LDAR（泄漏检测与修复）体系适应的检测能力，配备在线或便携式 VOCs检测仪，提升自行检测能力。</w:t>
                  </w:r>
                </w:p>
              </w:tc>
              <w:tc>
                <w:tcPr>
                  <w:tcW w:w="1893" w:type="pct"/>
                  <w:noWrap w:val="0"/>
                  <w:vAlign w:val="center"/>
                </w:tcPr>
                <w:p w14:paraId="47649A2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本</w:t>
                  </w:r>
                  <w:r>
                    <w:rPr>
                      <w:rFonts w:hint="default" w:ascii="Times New Roman" w:hAnsi="Times New Roman" w:eastAsia="宋体" w:cs="Times New Roman"/>
                      <w:color w:val="auto"/>
                      <w:kern w:val="0"/>
                      <w:sz w:val="21"/>
                      <w:szCs w:val="21"/>
                      <w:highlight w:val="none"/>
                      <w:lang w:bidi="ar"/>
                    </w:rPr>
                    <w:t>项目属于</w:t>
                  </w:r>
                  <w:r>
                    <w:rPr>
                      <w:rFonts w:hint="eastAsia" w:ascii="Times New Roman" w:hAnsi="Times New Roman" w:eastAsia="宋体" w:cs="Times New Roman"/>
                      <w:b/>
                      <w:bCs/>
                      <w:color w:val="auto"/>
                      <w:kern w:val="0"/>
                      <w:sz w:val="21"/>
                      <w:szCs w:val="21"/>
                      <w:highlight w:val="none"/>
                      <w:lang w:val="en-US" w:eastAsia="zh-CN" w:bidi="ar"/>
                    </w:rPr>
                    <w:t>简化</w:t>
                  </w:r>
                  <w:r>
                    <w:rPr>
                      <w:rFonts w:hint="default" w:ascii="Times New Roman" w:hAnsi="Times New Roman" w:eastAsia="宋体" w:cs="Times New Roman"/>
                      <w:b/>
                      <w:bCs/>
                      <w:color w:val="auto"/>
                      <w:kern w:val="0"/>
                      <w:sz w:val="21"/>
                      <w:szCs w:val="21"/>
                      <w:highlight w:val="none"/>
                      <w:lang w:bidi="ar"/>
                    </w:rPr>
                    <w:t>管理</w:t>
                  </w:r>
                  <w:r>
                    <w:rPr>
                      <w:rFonts w:hint="default" w:ascii="Times New Roman" w:hAnsi="Times New Roman" w:eastAsia="宋体" w:cs="Times New Roman"/>
                      <w:color w:val="auto"/>
                      <w:kern w:val="0"/>
                      <w:sz w:val="21"/>
                      <w:szCs w:val="21"/>
                      <w:highlight w:val="none"/>
                      <w:lang w:bidi="ar"/>
                    </w:rPr>
                    <w:t>排污单位，企业建成后将建立 VOCs排放管控制度，制定检测方案，定期检测</w:t>
                  </w:r>
                  <w:r>
                    <w:rPr>
                      <w:rFonts w:hint="default" w:ascii="Times New Roman" w:hAnsi="Times New Roman" w:eastAsia="宋体" w:cs="Times New Roman"/>
                      <w:color w:val="auto"/>
                      <w:kern w:val="0"/>
                      <w:sz w:val="21"/>
                      <w:szCs w:val="21"/>
                      <w:highlight w:val="none"/>
                      <w:lang w:eastAsia="zh-CN" w:bidi="ar"/>
                    </w:rPr>
                    <w:t>。</w:t>
                  </w:r>
                </w:p>
              </w:tc>
              <w:tc>
                <w:tcPr>
                  <w:tcW w:w="318" w:type="pct"/>
                  <w:noWrap w:val="0"/>
                  <w:vAlign w:val="center"/>
                </w:tcPr>
                <w:p w14:paraId="0FFBD42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0DA568CC">
            <w:pPr>
              <w:adjustRightInd w:val="0"/>
              <w:snapToGrid w:val="0"/>
              <w:spacing w:before="120" w:beforeLines="50" w:line="360" w:lineRule="auto"/>
              <w:ind w:firstLine="480" w:firstLineChars="200"/>
              <w:rPr>
                <w:color w:val="auto"/>
                <w:sz w:val="24"/>
              </w:rPr>
            </w:pPr>
            <w:r>
              <w:rPr>
                <w:rFonts w:hint="eastAsia"/>
                <w:color w:val="auto"/>
                <w:sz w:val="24"/>
              </w:rPr>
              <w:t>（</w:t>
            </w:r>
            <w:r>
              <w:rPr>
                <w:rFonts w:hint="eastAsia"/>
                <w:color w:val="auto"/>
                <w:sz w:val="24"/>
                <w:lang w:val="en-US" w:eastAsia="zh-CN"/>
              </w:rPr>
              <w:t>4</w:t>
            </w:r>
            <w:r>
              <w:rPr>
                <w:rFonts w:hint="eastAsia"/>
                <w:color w:val="auto"/>
                <w:sz w:val="24"/>
              </w:rPr>
              <w:t>）项目</w:t>
            </w:r>
            <w:r>
              <w:rPr>
                <w:color w:val="auto"/>
                <w:sz w:val="24"/>
              </w:rPr>
              <w:t>与《重点行业挥发性有机物综合治理方案》</w:t>
            </w:r>
            <w:r>
              <w:rPr>
                <w:rFonts w:hint="eastAsia"/>
                <w:color w:val="auto"/>
                <w:sz w:val="24"/>
              </w:rPr>
              <w:t>（</w:t>
            </w:r>
            <w:r>
              <w:rPr>
                <w:color w:val="auto"/>
                <w:sz w:val="24"/>
              </w:rPr>
              <w:t>环大气</w:t>
            </w:r>
            <w:r>
              <w:rPr>
                <w:rFonts w:hint="eastAsia"/>
                <w:color w:val="auto"/>
                <w:sz w:val="24"/>
                <w:lang w:eastAsia="zh-CN"/>
              </w:rPr>
              <w:t>〔2019〕53号</w:t>
            </w:r>
            <w:r>
              <w:rPr>
                <w:rFonts w:hint="eastAsia"/>
                <w:color w:val="auto"/>
                <w:sz w:val="24"/>
              </w:rPr>
              <w:t>）</w:t>
            </w:r>
            <w:r>
              <w:rPr>
                <w:color w:val="auto"/>
                <w:sz w:val="24"/>
              </w:rPr>
              <w:t>相符性</w:t>
            </w:r>
            <w:r>
              <w:rPr>
                <w:rFonts w:hint="eastAsia"/>
                <w:color w:val="auto"/>
                <w:sz w:val="24"/>
              </w:rPr>
              <w:t>详见下表：</w:t>
            </w:r>
          </w:p>
          <w:p w14:paraId="6C8208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表1</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5</w:t>
            </w:r>
            <w:r>
              <w:rPr>
                <w:rFonts w:hint="eastAsia" w:ascii="Times New Roman" w:hAnsi="Times New Roman" w:eastAsia="宋体" w:cs="Times New Roman"/>
                <w:b/>
                <w:bCs/>
                <w:color w:val="auto"/>
                <w:sz w:val="24"/>
              </w:rPr>
              <w:t xml:space="preserve"> </w:t>
            </w:r>
            <w:r>
              <w:rPr>
                <w:rFonts w:ascii="Times New Roman" w:hAnsi="Times New Roman" w:eastAsia="宋体" w:cs="Times New Roman"/>
                <w:b/>
                <w:bCs/>
                <w:color w:val="auto"/>
                <w:sz w:val="24"/>
              </w:rPr>
              <w:t>与《重点行业挥发性有机物综合治理方案》</w:t>
            </w:r>
            <w:r>
              <w:rPr>
                <w:rFonts w:hint="eastAsia" w:ascii="Times New Roman" w:hAnsi="Times New Roman" w:eastAsia="宋体" w:cs="Times New Roman"/>
                <w:b/>
                <w:bCs/>
                <w:color w:val="auto"/>
                <w:sz w:val="24"/>
              </w:rPr>
              <w:t>（</w:t>
            </w:r>
            <w:r>
              <w:rPr>
                <w:rFonts w:ascii="Times New Roman" w:hAnsi="Times New Roman" w:eastAsia="宋体" w:cs="Times New Roman"/>
                <w:b/>
                <w:bCs/>
                <w:color w:val="auto"/>
                <w:sz w:val="24"/>
              </w:rPr>
              <w:t>环大气</w:t>
            </w:r>
            <w:r>
              <w:rPr>
                <w:rFonts w:hint="eastAsia" w:ascii="Times New Roman" w:hAnsi="Times New Roman" w:eastAsia="宋体" w:cs="Times New Roman"/>
                <w:b/>
                <w:bCs/>
                <w:color w:val="auto"/>
                <w:sz w:val="24"/>
                <w:lang w:eastAsia="zh-CN"/>
              </w:rPr>
              <w:t>〔2019〕53号</w:t>
            </w:r>
            <w:r>
              <w:rPr>
                <w:rFonts w:hint="eastAsia" w:ascii="Times New Roman" w:hAnsi="Times New Roman" w:eastAsia="宋体" w:cs="Times New Roman"/>
                <w:b/>
                <w:bCs/>
                <w:color w:val="auto"/>
                <w:sz w:val="24"/>
              </w:rPr>
              <w:t>）</w:t>
            </w:r>
            <w:r>
              <w:rPr>
                <w:rFonts w:ascii="Times New Roman" w:hAnsi="Times New Roman" w:eastAsia="宋体" w:cs="Times New Roman"/>
                <w:b/>
                <w:bCs/>
                <w:color w:val="auto"/>
                <w:sz w:val="24"/>
              </w:rPr>
              <w:t>相符性分析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3829"/>
              <w:gridCol w:w="1623"/>
              <w:gridCol w:w="1122"/>
            </w:tblGrid>
            <w:tr w14:paraId="08E7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7" w:type="pct"/>
                  <w:noWrap w:val="0"/>
                  <w:vAlign w:val="center"/>
                </w:tcPr>
                <w:p w14:paraId="47229D77">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名称</w:t>
                  </w:r>
                </w:p>
              </w:tc>
              <w:tc>
                <w:tcPr>
                  <w:tcW w:w="2545" w:type="pct"/>
                  <w:noWrap w:val="0"/>
                  <w:vAlign w:val="center"/>
                </w:tcPr>
                <w:p w14:paraId="60751B5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政策规定</w:t>
                  </w:r>
                </w:p>
              </w:tc>
              <w:tc>
                <w:tcPr>
                  <w:tcW w:w="1079" w:type="pct"/>
                  <w:noWrap w:val="0"/>
                  <w:vAlign w:val="center"/>
                </w:tcPr>
                <w:p w14:paraId="15303C18">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本项目情况</w:t>
                  </w:r>
                </w:p>
              </w:tc>
              <w:tc>
                <w:tcPr>
                  <w:tcW w:w="746" w:type="pct"/>
                  <w:noWrap w:val="0"/>
                  <w:vAlign w:val="center"/>
                </w:tcPr>
                <w:p w14:paraId="0EDB12D1">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是否符合</w:t>
                  </w:r>
                </w:p>
              </w:tc>
            </w:tr>
            <w:tr w14:paraId="085D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7" w:type="pct"/>
                  <w:noWrap w:val="0"/>
                  <w:vAlign w:val="center"/>
                </w:tcPr>
                <w:p w14:paraId="34153E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 力 推 进 源 头 替代</w:t>
                  </w:r>
                </w:p>
              </w:tc>
              <w:tc>
                <w:tcPr>
                  <w:tcW w:w="2545" w:type="pct"/>
                  <w:noWrap w:val="0"/>
                  <w:vAlign w:val="center"/>
                </w:tcPr>
                <w:p w14:paraId="5B4C0FE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 含量涂料、油墨、胶粘剂等研发和生产。</w:t>
                  </w:r>
                </w:p>
              </w:tc>
              <w:tc>
                <w:tcPr>
                  <w:tcW w:w="1079" w:type="pct"/>
                  <w:noWrap w:val="0"/>
                  <w:vAlign w:val="center"/>
                </w:tcPr>
                <w:p w14:paraId="22A9C6B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本项目生产过程中使用</w:t>
                  </w:r>
                  <w:r>
                    <w:rPr>
                      <w:rFonts w:hint="default" w:ascii="Times New Roman" w:hAnsi="Times New Roman" w:eastAsia="宋体" w:cs="Times New Roman"/>
                      <w:color w:val="auto"/>
                      <w:sz w:val="21"/>
                      <w:szCs w:val="21"/>
                      <w:lang w:val="en-US" w:eastAsia="zh-CN"/>
                    </w:rPr>
                    <w:t>水性油墨</w:t>
                  </w:r>
                  <w:r>
                    <w:rPr>
                      <w:rFonts w:hint="default" w:ascii="Times New Roman" w:hAnsi="Times New Roman" w:eastAsia="宋体" w:cs="Times New Roman"/>
                      <w:color w:val="auto"/>
                      <w:sz w:val="21"/>
                      <w:szCs w:val="21"/>
                    </w:rPr>
                    <w:t>，根据</w:t>
                  </w:r>
                  <w:r>
                    <w:rPr>
                      <w:rFonts w:hint="default" w:ascii="Times New Roman" w:hAnsi="Times New Roman" w:eastAsia="宋体" w:cs="Times New Roman"/>
                      <w:color w:val="auto"/>
                      <w:sz w:val="21"/>
                      <w:szCs w:val="21"/>
                      <w:lang w:val="en-US" w:eastAsia="zh-CN"/>
                    </w:rPr>
                    <w:t>油墨检测报告知</w:t>
                  </w:r>
                  <w:r>
                    <w:rPr>
                      <w:rFonts w:hint="default" w:ascii="Times New Roman" w:hAnsi="Times New Roman" w:eastAsia="宋体" w:cs="Times New Roman"/>
                      <w:color w:val="auto"/>
                      <w:sz w:val="21"/>
                      <w:szCs w:val="21"/>
                    </w:rPr>
                    <w:t>，不属于高VOCs含量的涂料，符合要求。</w:t>
                  </w:r>
                </w:p>
              </w:tc>
              <w:tc>
                <w:tcPr>
                  <w:tcW w:w="746" w:type="pct"/>
                  <w:noWrap w:val="0"/>
                  <w:vAlign w:val="center"/>
                </w:tcPr>
                <w:p w14:paraId="4DF3A0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p w14:paraId="462B09A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r>
            <w:tr w14:paraId="6B72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7" w:type="pct"/>
                  <w:vMerge w:val="restart"/>
                  <w:noWrap w:val="0"/>
                  <w:vAlign w:val="center"/>
                </w:tcPr>
                <w:p w14:paraId="4DFB117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全面加强无组织排放</w:t>
                  </w:r>
                </w:p>
              </w:tc>
              <w:tc>
                <w:tcPr>
                  <w:tcW w:w="2545" w:type="pct"/>
                  <w:noWrap w:val="0"/>
                  <w:vAlign w:val="center"/>
                </w:tcPr>
                <w:p w14:paraId="7F94801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加强设备与场所密闭管理。含VOCs物料应储存于密闭容器、包装袋，高效密封储罐，封闭式储库、料仓等。含VOCs物料转移和输送，应采用密闭管道或密闭容器、罐车等。高VOCs含量废水（废水液面上方100 毫米处VOCs检测浓度超过200ppm，其中，重点区域超过100ppm，以碳计）的集输、储存和处理过程，应加盖密闭。含VOCs物料生产和使用过程，应采取有效收集措施或在密闭空间中操作。</w:t>
                  </w:r>
                </w:p>
              </w:tc>
              <w:tc>
                <w:tcPr>
                  <w:tcW w:w="1079" w:type="pct"/>
                  <w:vMerge w:val="restart"/>
                  <w:noWrap w:val="0"/>
                  <w:vAlign w:val="center"/>
                </w:tcPr>
                <w:p w14:paraId="1B0DB4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喷码</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val="en-US" w:eastAsia="zh-CN"/>
                    </w:rPr>
                    <w:t>产生的VOCs废气采用集气罩收集后经过二级活性炭吸附装置处理后通过1根</w:t>
                  </w:r>
                  <w:r>
                    <w:rPr>
                      <w:rFonts w:hint="eastAsia" w:ascii="Times New Roman" w:hAnsi="Times New Roman" w:eastAsia="宋体" w:cs="Times New Roman"/>
                      <w:color w:val="auto"/>
                      <w:sz w:val="21"/>
                      <w:szCs w:val="21"/>
                      <w:highlight w:val="none"/>
                      <w:lang w:val="en-US" w:eastAsia="zh-CN"/>
                    </w:rPr>
                    <w:t>18m</w:t>
                  </w:r>
                  <w:r>
                    <w:rPr>
                      <w:rFonts w:hint="default" w:ascii="Times New Roman" w:hAnsi="Times New Roman" w:eastAsia="宋体" w:cs="Times New Roman"/>
                      <w:color w:val="auto"/>
                      <w:sz w:val="21"/>
                      <w:szCs w:val="21"/>
                      <w:highlight w:val="none"/>
                      <w:lang w:val="en-US" w:eastAsia="zh-CN"/>
                    </w:rPr>
                    <w:t>高排气筒达标排放</w:t>
                  </w:r>
                  <w:r>
                    <w:rPr>
                      <w:rFonts w:hint="default" w:ascii="Times New Roman" w:hAnsi="Times New Roman" w:eastAsia="宋体" w:cs="Times New Roman"/>
                      <w:color w:val="auto"/>
                      <w:sz w:val="21"/>
                      <w:szCs w:val="21"/>
                      <w:highlight w:val="none"/>
                    </w:rPr>
                    <w:t>。可以尽量减少VOCs无组织排放量，并严格执行总量控制指标。</w:t>
                  </w:r>
                </w:p>
              </w:tc>
              <w:tc>
                <w:tcPr>
                  <w:tcW w:w="746" w:type="pct"/>
                  <w:vMerge w:val="restart"/>
                  <w:noWrap w:val="0"/>
                  <w:vAlign w:val="center"/>
                </w:tcPr>
                <w:p w14:paraId="7A3266C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p w14:paraId="33A749C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r>
            <w:tr w14:paraId="73FA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7" w:type="pct"/>
                  <w:vMerge w:val="continue"/>
                  <w:noWrap w:val="0"/>
                  <w:vAlign w:val="center"/>
                </w:tcPr>
                <w:p w14:paraId="5873D3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2545" w:type="pct"/>
                  <w:noWrap w:val="0"/>
                  <w:vAlign w:val="center"/>
                </w:tcPr>
                <w:p w14:paraId="5F7E474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高废气收集率。遵循“应收尽收、分质收集”的原则，科学设计废气收集系统，将无组织排放转变为有组织排放进行控制。采用全密闭微负压或密闭空间的，除行业有特殊要求外，应保持微负压状态，并根据相关规范合理设置通风量。采用局部微负压的，距微负压开口面最远处的VOCs无组织排放位置，控制风速应不低于0.3米/秒，有行业要求的按相关规定执行。</w:t>
                  </w:r>
                </w:p>
              </w:tc>
              <w:tc>
                <w:tcPr>
                  <w:tcW w:w="1079" w:type="pct"/>
                  <w:vMerge w:val="continue"/>
                  <w:noWrap w:val="0"/>
                  <w:vAlign w:val="center"/>
                </w:tcPr>
                <w:p w14:paraId="2839C09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46" w:type="pct"/>
                  <w:vMerge w:val="continue"/>
                  <w:noWrap w:val="0"/>
                  <w:vAlign w:val="center"/>
                </w:tcPr>
                <w:p w14:paraId="31035A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r>
          </w:tbl>
          <w:p w14:paraId="61A8A0B7">
            <w:pPr>
              <w:pStyle w:val="5"/>
              <w:keepNext w:val="0"/>
              <w:keepLines w:val="0"/>
              <w:pageBreakBefore w:val="0"/>
              <w:widowControl/>
              <w:kinsoku/>
              <w:wordWrap/>
              <w:overflowPunct/>
              <w:topLinePunct w:val="0"/>
              <w:autoSpaceDE w:val="0"/>
              <w:autoSpaceDN w:val="0"/>
              <w:bidi w:val="0"/>
              <w:adjustRightInd w:val="0"/>
              <w:snapToGrid/>
              <w:spacing w:line="360" w:lineRule="auto"/>
              <w:ind w:left="0" w:firstLine="480" w:firstLineChars="200"/>
              <w:textAlignment w:val="baseline"/>
              <w:rPr>
                <w:rFonts w:hint="eastAsia" w:ascii="Times New Roman" w:hAnsi="Times New Roman" w:eastAsia="宋体" w:cs="Times New Roman"/>
                <w:b w:val="0"/>
                <w:bCs w:val="0"/>
                <w:color w:val="auto"/>
                <w:szCs w:val="24"/>
                <w:highlight w:val="none"/>
                <w:lang w:eastAsia="zh-CN"/>
              </w:rPr>
            </w:pPr>
            <w:r>
              <w:rPr>
                <w:rFonts w:hint="eastAsia" w:ascii="Times New Roman" w:hAnsi="Times New Roman" w:eastAsia="宋体" w:cs="Times New Roman"/>
                <w:b w:val="0"/>
                <w:bCs w:val="0"/>
                <w:color w:val="auto"/>
                <w:szCs w:val="24"/>
                <w:highlight w:val="none"/>
                <w:lang w:val="en-US" w:eastAsia="zh-CN"/>
              </w:rPr>
              <w:t>（5）项目与</w:t>
            </w:r>
            <w:r>
              <w:rPr>
                <w:rFonts w:hint="default" w:ascii="Times New Roman" w:hAnsi="Times New Roman" w:eastAsia="宋体" w:cs="Times New Roman"/>
                <w:b w:val="0"/>
                <w:bCs w:val="0"/>
                <w:color w:val="auto"/>
                <w:szCs w:val="24"/>
                <w:highlight w:val="none"/>
                <w:lang w:eastAsia="zh-CN"/>
              </w:rPr>
              <w:t>《油墨中可挥发性有机化</w:t>
            </w:r>
            <w:r>
              <w:rPr>
                <w:rFonts w:hint="eastAsia" w:ascii="Times New Roman" w:hAnsi="Times New Roman" w:eastAsia="宋体" w:cs="Times New Roman"/>
                <w:b w:val="0"/>
                <w:bCs w:val="0"/>
                <w:color w:val="auto"/>
                <w:szCs w:val="24"/>
                <w:highlight w:val="none"/>
                <w:lang w:eastAsia="zh-CN"/>
              </w:rPr>
              <w:t>合物</w:t>
            </w:r>
            <w:r>
              <w:rPr>
                <w:rFonts w:hint="default" w:ascii="Times New Roman" w:hAnsi="Times New Roman" w:eastAsia="宋体" w:cs="Times New Roman"/>
                <w:b w:val="0"/>
                <w:bCs w:val="0"/>
                <w:color w:val="auto"/>
                <w:szCs w:val="24"/>
                <w:highlight w:val="none"/>
                <w:lang w:eastAsia="zh-CN"/>
              </w:rPr>
              <w:t xml:space="preserve">（VOCs）含量的限值》 </w:t>
            </w:r>
            <w:r>
              <w:rPr>
                <w:rFonts w:hint="eastAsia" w:ascii="Times New Roman" w:hAnsi="Times New Roman" w:eastAsia="宋体" w:cs="Times New Roman"/>
                <w:b w:val="0"/>
                <w:bCs w:val="0"/>
                <w:color w:val="auto"/>
                <w:szCs w:val="24"/>
                <w:highlight w:val="none"/>
                <w:lang w:eastAsia="zh-CN"/>
              </w:rPr>
              <w:t>（</w:t>
            </w:r>
            <w:r>
              <w:rPr>
                <w:rFonts w:hint="default" w:ascii="Times New Roman" w:hAnsi="Times New Roman" w:eastAsia="宋体" w:cs="Times New Roman"/>
                <w:b w:val="0"/>
                <w:bCs w:val="0"/>
                <w:color w:val="auto"/>
                <w:szCs w:val="24"/>
                <w:highlight w:val="none"/>
                <w:lang w:eastAsia="zh-CN"/>
              </w:rPr>
              <w:t>GB38507-2020</w:t>
            </w:r>
            <w:r>
              <w:rPr>
                <w:rFonts w:hint="eastAsia" w:ascii="Times New Roman" w:hAnsi="Times New Roman" w:eastAsia="宋体" w:cs="Times New Roman"/>
                <w:b w:val="0"/>
                <w:bCs w:val="0"/>
                <w:color w:val="auto"/>
                <w:szCs w:val="24"/>
                <w:highlight w:val="none"/>
                <w:lang w:eastAsia="zh-CN"/>
              </w:rPr>
              <w:t>）</w:t>
            </w:r>
            <w:r>
              <w:rPr>
                <w:rFonts w:ascii="Times New Roman" w:hAnsi="Times New Roman" w:eastAsia="宋体" w:cs="Times New Roman"/>
                <w:b w:val="0"/>
                <w:bCs w:val="0"/>
                <w:color w:val="auto"/>
                <w:szCs w:val="24"/>
                <w:highlight w:val="none"/>
                <w:lang w:eastAsia="zh-CN"/>
              </w:rPr>
              <w:t>相符性</w:t>
            </w:r>
            <w:r>
              <w:rPr>
                <w:rFonts w:hint="eastAsia" w:ascii="Times New Roman" w:hAnsi="Times New Roman" w:eastAsia="宋体" w:cs="Times New Roman"/>
                <w:b w:val="0"/>
                <w:bCs w:val="0"/>
                <w:color w:val="auto"/>
                <w:szCs w:val="24"/>
                <w:highlight w:val="none"/>
                <w:lang w:eastAsia="zh-CN"/>
              </w:rPr>
              <w:t>详见下表：</w:t>
            </w:r>
          </w:p>
          <w:p w14:paraId="4AF2BD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24"/>
                <w:lang w:val="en-US" w:eastAsia="zh-CN"/>
              </w:rPr>
            </w:pPr>
            <w:r>
              <w:rPr>
                <w:rFonts w:ascii="Times New Roman" w:hAnsi="Times New Roman" w:eastAsia="宋体" w:cs="Times New Roman"/>
                <w:b/>
                <w:bCs/>
                <w:color w:val="auto"/>
                <w:sz w:val="24"/>
              </w:rPr>
              <w:t>表1.</w:t>
            </w:r>
            <w:r>
              <w:rPr>
                <w:rFonts w:hint="eastAsia" w:ascii="Times New Roman" w:hAnsi="Times New Roman" w:eastAsia="宋体" w:cs="Times New Roman"/>
                <w:b/>
                <w:bCs/>
                <w:color w:val="auto"/>
                <w:sz w:val="24"/>
                <w:lang w:val="en-US" w:eastAsia="zh-CN"/>
              </w:rPr>
              <w:t>6</w:t>
            </w:r>
            <w:r>
              <w:rPr>
                <w:rFonts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rPr>
              <w:t>与</w:t>
            </w:r>
            <w:r>
              <w:rPr>
                <w:rFonts w:hint="eastAsia" w:ascii="Times New Roman" w:hAnsi="Times New Roman" w:eastAsia="宋体" w:cs="Times New Roman"/>
                <w:b/>
                <w:bCs/>
                <w:color w:val="auto"/>
                <w:sz w:val="24"/>
              </w:rPr>
              <w:fldChar w:fldCharType="begin"/>
            </w:r>
            <w:r>
              <w:rPr>
                <w:rFonts w:hint="eastAsia" w:ascii="Times New Roman" w:hAnsi="Times New Roman" w:eastAsia="宋体" w:cs="Times New Roman"/>
                <w:b/>
                <w:bCs/>
                <w:color w:val="auto"/>
                <w:sz w:val="24"/>
              </w:rPr>
              <w:instrText xml:space="preserve"> HYPERLINK "https://www.eiacloud.com/hpy/lawstandardApp/javascript:" </w:instrText>
            </w:r>
            <w:r>
              <w:rPr>
                <w:rFonts w:hint="eastAsia" w:ascii="Times New Roman" w:hAnsi="Times New Roman" w:eastAsia="宋体" w:cs="Times New Roman"/>
                <w:b/>
                <w:bCs/>
                <w:color w:val="auto"/>
                <w:sz w:val="24"/>
              </w:rPr>
              <w:fldChar w:fldCharType="separate"/>
            </w:r>
            <w:r>
              <w:rPr>
                <w:rFonts w:hint="eastAsia" w:ascii="Times New Roman" w:hAnsi="Times New Roman" w:eastAsia="宋体" w:cs="Times New Roman"/>
                <w:b/>
                <w:bCs/>
                <w:color w:val="auto"/>
                <w:sz w:val="24"/>
              </w:rPr>
              <w:t>低挥发性有机化合物含量涂料产品技术要求</w:t>
            </w:r>
            <w:r>
              <w:rPr>
                <w:rFonts w:hint="eastAsia" w:ascii="Times New Roman" w:hAnsi="Times New Roman" w:eastAsia="宋体" w:cs="Times New Roman"/>
                <w:b/>
                <w:bCs/>
                <w:color w:val="auto"/>
                <w:sz w:val="24"/>
              </w:rPr>
              <w:fldChar w:fldCharType="end"/>
            </w:r>
            <w:r>
              <w:rPr>
                <w:rFonts w:ascii="Times New Roman" w:hAnsi="Times New Roman" w:eastAsia="宋体" w:cs="Times New Roman"/>
                <w:b/>
                <w:bCs/>
                <w:color w:val="auto"/>
                <w:sz w:val="24"/>
              </w:rPr>
              <w:t>分析一览表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3462"/>
              <w:gridCol w:w="2470"/>
              <w:gridCol w:w="902"/>
            </w:tblGrid>
            <w:tr w14:paraId="3096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noWrap w:val="0"/>
                  <w:vAlign w:val="center"/>
                </w:tcPr>
                <w:p w14:paraId="7B4C506F">
                  <w:pPr>
                    <w:pStyle w:val="30"/>
                    <w:spacing w:before="48" w:beforeLines="20"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3462" w:type="dxa"/>
                  <w:noWrap w:val="0"/>
                  <w:vAlign w:val="center"/>
                </w:tcPr>
                <w:p w14:paraId="04BA333E">
                  <w:pPr>
                    <w:pStyle w:val="30"/>
                    <w:spacing w:before="48" w:beforeLines="20"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油墨中可挥发性有机化</w:t>
                  </w:r>
                  <w:r>
                    <w:rPr>
                      <w:rFonts w:hint="eastAsia" w:ascii="Times New Roman" w:hAnsi="Times New Roman" w:eastAsia="宋体" w:cs="Times New Roman"/>
                      <w:b w:val="0"/>
                      <w:bCs w:val="0"/>
                      <w:color w:val="auto"/>
                      <w:sz w:val="21"/>
                      <w:szCs w:val="21"/>
                      <w:lang w:eastAsia="zh-CN"/>
                    </w:rPr>
                    <w:t>合物</w:t>
                  </w:r>
                  <w:r>
                    <w:rPr>
                      <w:rFonts w:hint="default" w:ascii="Times New Roman" w:hAnsi="Times New Roman" w:eastAsia="宋体" w:cs="Times New Roman"/>
                      <w:b w:val="0"/>
                      <w:bCs w:val="0"/>
                      <w:color w:val="auto"/>
                      <w:sz w:val="21"/>
                      <w:szCs w:val="21"/>
                    </w:rPr>
                    <w:t>（VOCs）含量的限值</w:t>
                  </w:r>
                </w:p>
              </w:tc>
              <w:tc>
                <w:tcPr>
                  <w:tcW w:w="2470" w:type="dxa"/>
                  <w:noWrap w:val="0"/>
                  <w:vAlign w:val="center"/>
                </w:tcPr>
                <w:p w14:paraId="78AD570C">
                  <w:pPr>
                    <w:pStyle w:val="30"/>
                    <w:spacing w:before="48" w:beforeLines="20"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项目情况</w:t>
                  </w:r>
                </w:p>
              </w:tc>
              <w:tc>
                <w:tcPr>
                  <w:tcW w:w="902" w:type="dxa"/>
                  <w:noWrap w:val="0"/>
                  <w:vAlign w:val="center"/>
                </w:tcPr>
                <w:p w14:paraId="16B959F8">
                  <w:pPr>
                    <w:pStyle w:val="30"/>
                    <w:spacing w:before="48" w:beforeLines="20"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相符性</w:t>
                  </w:r>
                </w:p>
              </w:tc>
            </w:tr>
            <w:tr w14:paraId="317B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686" w:type="dxa"/>
                  <w:noWrap w:val="0"/>
                  <w:vAlign w:val="center"/>
                </w:tcPr>
                <w:p w14:paraId="4B3C7011">
                  <w:pPr>
                    <w:pStyle w:val="30"/>
                    <w:spacing w:before="48" w:beforeLines="2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462" w:type="dxa"/>
                  <w:noWrap w:val="0"/>
                  <w:vAlign w:val="center"/>
                </w:tcPr>
                <w:p w14:paraId="6F9811A0">
                  <w:pPr>
                    <w:pStyle w:val="30"/>
                    <w:spacing w:before="48" w:beforeLines="20"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根据</w:t>
                  </w:r>
                  <w:r>
                    <w:rPr>
                      <w:rFonts w:hint="default" w:ascii="Times New Roman" w:hAnsi="Times New Roman" w:eastAsia="宋体" w:cs="Times New Roman"/>
                      <w:color w:val="auto"/>
                      <w:sz w:val="21"/>
                      <w:szCs w:val="21"/>
                      <w:lang w:bidi="ar"/>
                    </w:rPr>
                    <w:t>表1油墨中可挥发性有机化合物含量的限值</w:t>
                  </w:r>
                  <w:r>
                    <w:rPr>
                      <w:rFonts w:hint="default" w:ascii="Times New Roman" w:hAnsi="Times New Roman" w:eastAsia="宋体" w:cs="Times New Roman"/>
                      <w:color w:val="auto"/>
                      <w:sz w:val="21"/>
                      <w:szCs w:val="21"/>
                      <w:lang w:val="en-US" w:eastAsia="zh-CN" w:bidi="ar"/>
                    </w:rPr>
                    <w:t>要求</w:t>
                  </w:r>
                </w:p>
              </w:tc>
              <w:tc>
                <w:tcPr>
                  <w:tcW w:w="2470" w:type="dxa"/>
                  <w:noWrap w:val="0"/>
                  <w:vAlign w:val="center"/>
                </w:tcPr>
                <w:p w14:paraId="46F57D33">
                  <w:pPr>
                    <w:pStyle w:val="30"/>
                    <w:spacing w:before="48" w:beforeLines="2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根据</w:t>
                  </w:r>
                  <w:r>
                    <w:rPr>
                      <w:rFonts w:hint="default" w:ascii="Times New Roman" w:hAnsi="Times New Roman" w:eastAsia="宋体" w:cs="Times New Roman"/>
                      <w:color w:val="auto"/>
                      <w:sz w:val="21"/>
                      <w:szCs w:val="21"/>
                      <w:highlight w:val="none"/>
                      <w:lang w:val="en-US" w:eastAsia="zh-CN" w:bidi="ar"/>
                    </w:rPr>
                    <w:t>提供</w:t>
                  </w:r>
                  <w:r>
                    <w:rPr>
                      <w:rFonts w:hint="eastAsia" w:ascii="Times New Roman" w:hAnsi="Times New Roman" w:eastAsia="宋体" w:cs="Times New Roman"/>
                      <w:color w:val="auto"/>
                      <w:sz w:val="21"/>
                      <w:szCs w:val="21"/>
                      <w:highlight w:val="none"/>
                      <w:lang w:val="en-US" w:eastAsia="zh-CN" w:bidi="ar"/>
                    </w:rPr>
                    <w:t>的</w:t>
                  </w:r>
                  <w:r>
                    <w:rPr>
                      <w:rFonts w:hint="default" w:ascii="Times New Roman" w:hAnsi="Times New Roman" w:eastAsia="宋体" w:cs="Times New Roman"/>
                      <w:color w:val="auto"/>
                      <w:sz w:val="21"/>
                      <w:szCs w:val="21"/>
                      <w:highlight w:val="none"/>
                      <w:lang w:val="en-US" w:eastAsia="zh-CN" w:bidi="ar"/>
                    </w:rPr>
                    <w:t>检测报告</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rPr>
                    <w:t>项目使用的</w:t>
                  </w:r>
                  <w:r>
                    <w:rPr>
                      <w:rFonts w:hint="default" w:ascii="Times New Roman" w:hAnsi="Times New Roman" w:eastAsia="宋体" w:cs="Times New Roman"/>
                      <w:color w:val="auto"/>
                      <w:sz w:val="21"/>
                      <w:szCs w:val="21"/>
                      <w:highlight w:val="none"/>
                      <w:lang w:val="en-US" w:eastAsia="zh-CN" w:bidi="ar"/>
                    </w:rPr>
                    <w:t>水性油墨挥发性有机化合物（VOCs）限值0.</w:t>
                  </w:r>
                  <w:r>
                    <w:rPr>
                      <w:rFonts w:hint="eastAsia" w:ascii="Times New Roman" w:hAnsi="Times New Roman" w:eastAsia="宋体" w:cs="Times New Roman"/>
                      <w:color w:val="auto"/>
                      <w:sz w:val="21"/>
                      <w:szCs w:val="21"/>
                      <w:highlight w:val="none"/>
                      <w:lang w:val="en-US" w:eastAsia="zh-CN" w:bidi="ar"/>
                    </w:rPr>
                    <w:t>9</w:t>
                  </w:r>
                  <w:r>
                    <w:rPr>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color w:val="auto"/>
                      <w:sz w:val="21"/>
                      <w:szCs w:val="21"/>
                      <w:highlight w:val="none"/>
                      <w:lang w:bidi="ar"/>
                    </w:rPr>
                    <w:t>。</w:t>
                  </w:r>
                </w:p>
              </w:tc>
              <w:tc>
                <w:tcPr>
                  <w:tcW w:w="902" w:type="dxa"/>
                  <w:noWrap w:val="0"/>
                  <w:vAlign w:val="center"/>
                </w:tcPr>
                <w:p w14:paraId="75EC5D50">
                  <w:pPr>
                    <w:pStyle w:val="30"/>
                    <w:spacing w:before="48" w:beforeLines="2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相符</w:t>
                  </w:r>
                </w:p>
              </w:tc>
            </w:tr>
          </w:tbl>
          <w:p w14:paraId="3481D259">
            <w:pPr>
              <w:pStyle w:val="5"/>
              <w:keepNext w:val="0"/>
              <w:keepLines w:val="0"/>
              <w:pageBreakBefore w:val="0"/>
              <w:widowControl/>
              <w:kinsoku/>
              <w:wordWrap/>
              <w:overflowPunct/>
              <w:topLinePunct w:val="0"/>
              <w:autoSpaceDE w:val="0"/>
              <w:autoSpaceDN w:val="0"/>
              <w:bidi w:val="0"/>
              <w:adjustRightInd w:val="0"/>
              <w:snapToGrid/>
              <w:spacing w:line="360" w:lineRule="auto"/>
              <w:ind w:left="0" w:firstLine="480" w:firstLineChars="200"/>
              <w:textAlignment w:val="baseline"/>
              <w:rPr>
                <w:rFonts w:ascii="Times New Roman" w:hAnsi="Times New Roman" w:eastAsia="宋体" w:cs="Times New Roman"/>
                <w:b w:val="0"/>
                <w:bCs w:val="0"/>
                <w:color w:val="auto"/>
                <w:szCs w:val="24"/>
                <w:highlight w:val="none"/>
                <w:lang w:eastAsia="zh-CN"/>
              </w:rPr>
            </w:pPr>
            <w:r>
              <w:rPr>
                <w:rFonts w:ascii="Times New Roman" w:hAnsi="Times New Roman" w:eastAsia="宋体" w:cs="Times New Roman"/>
                <w:b w:val="0"/>
                <w:bCs w:val="0"/>
                <w:color w:val="auto"/>
                <w:szCs w:val="24"/>
                <w:highlight w:val="none"/>
                <w:lang w:eastAsia="zh-CN"/>
              </w:rPr>
              <w:t>（</w:t>
            </w:r>
            <w:r>
              <w:rPr>
                <w:rFonts w:hint="eastAsia" w:ascii="Times New Roman" w:hAnsi="Times New Roman" w:eastAsia="宋体" w:cs="Times New Roman"/>
                <w:b w:val="0"/>
                <w:bCs w:val="0"/>
                <w:color w:val="auto"/>
                <w:szCs w:val="24"/>
                <w:highlight w:val="none"/>
                <w:lang w:val="en-US" w:eastAsia="zh-CN"/>
              </w:rPr>
              <w:t>6</w:t>
            </w:r>
            <w:r>
              <w:rPr>
                <w:rFonts w:ascii="Times New Roman" w:hAnsi="Times New Roman" w:eastAsia="宋体" w:cs="Times New Roman"/>
                <w:b w:val="0"/>
                <w:bCs w:val="0"/>
                <w:color w:val="auto"/>
                <w:szCs w:val="24"/>
                <w:highlight w:val="none"/>
                <w:lang w:eastAsia="zh-CN"/>
              </w:rPr>
              <w:t>）《安徽省低挥发性有机物含量原辅材料替代工作方案》（皖环发</w:t>
            </w:r>
            <w:r>
              <w:rPr>
                <w:rFonts w:hint="default" w:ascii="Times New Roman" w:hAnsi="Times New Roman" w:eastAsia="宋体" w:cs="Times New Roman"/>
                <w:b w:val="0"/>
                <w:bCs w:val="0"/>
                <w:color w:val="auto"/>
                <w:szCs w:val="24"/>
                <w:highlight w:val="none"/>
                <w:lang w:eastAsia="zh-CN"/>
              </w:rPr>
              <w:t>〔202</w:t>
            </w:r>
            <w:r>
              <w:rPr>
                <w:rFonts w:hint="eastAsia" w:ascii="Times New Roman" w:hAnsi="Times New Roman" w:eastAsia="宋体" w:cs="Times New Roman"/>
                <w:b w:val="0"/>
                <w:bCs w:val="0"/>
                <w:color w:val="auto"/>
                <w:szCs w:val="24"/>
                <w:highlight w:val="none"/>
                <w:lang w:val="en-US" w:eastAsia="zh-CN"/>
              </w:rPr>
              <w:t>4</w:t>
            </w:r>
            <w:r>
              <w:rPr>
                <w:rFonts w:hint="default" w:ascii="Times New Roman" w:hAnsi="Times New Roman" w:eastAsia="宋体" w:cs="Times New Roman"/>
                <w:b w:val="0"/>
                <w:bCs w:val="0"/>
                <w:color w:val="auto"/>
                <w:szCs w:val="24"/>
                <w:highlight w:val="none"/>
                <w:lang w:eastAsia="zh-CN"/>
              </w:rPr>
              <w:t>〕</w:t>
            </w:r>
            <w:r>
              <w:rPr>
                <w:rFonts w:ascii="Times New Roman" w:hAnsi="Times New Roman" w:eastAsia="宋体" w:cs="Times New Roman"/>
                <w:b w:val="0"/>
                <w:bCs w:val="0"/>
                <w:color w:val="auto"/>
                <w:szCs w:val="24"/>
                <w:highlight w:val="none"/>
                <w:lang w:eastAsia="zh-CN"/>
              </w:rPr>
              <w:t>1号）相符性分析</w:t>
            </w:r>
          </w:p>
          <w:p w14:paraId="2761B46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 xml:space="preserve">  </w:t>
            </w:r>
            <w:r>
              <w:rPr>
                <w:rFonts w:ascii="Times New Roman" w:hAnsi="Times New Roman" w:eastAsia="宋体" w:cs="Times New Roman"/>
                <w:b/>
                <w:bCs/>
                <w:color w:val="auto"/>
                <w:sz w:val="24"/>
                <w:szCs w:val="24"/>
                <w:highlight w:val="none"/>
                <w:lang w:eastAsia="zh-CN"/>
              </w:rPr>
              <w:t>表1</w:t>
            </w:r>
            <w:r>
              <w:rPr>
                <w:rFonts w:hint="eastAsia" w:ascii="Times New Roman" w:hAnsi="Times New Roman" w:eastAsia="宋体" w:cs="Times New Roman"/>
                <w:b/>
                <w:bCs/>
                <w:color w:val="auto"/>
                <w:sz w:val="24"/>
                <w:szCs w:val="24"/>
                <w:highlight w:val="none"/>
                <w:lang w:val="en-US" w:eastAsia="zh-CN"/>
              </w:rPr>
              <w:t xml:space="preserve">.7  </w:t>
            </w:r>
            <w:r>
              <w:rPr>
                <w:rFonts w:ascii="Times New Roman" w:hAnsi="Times New Roman" w:eastAsia="宋体" w:cs="Times New Roman"/>
                <w:b/>
                <w:bCs/>
                <w:color w:val="auto"/>
                <w:sz w:val="24"/>
                <w:szCs w:val="24"/>
                <w:highlight w:val="none"/>
                <w:lang w:eastAsia="zh-CN"/>
              </w:rPr>
              <w:t>与《安徽省低挥发性有机物含量原辅材料替代工作方案》（皖环发</w:t>
            </w:r>
            <w:r>
              <w:rPr>
                <w:rFonts w:hint="default" w:ascii="Times New Roman" w:hAnsi="Times New Roman" w:eastAsia="宋体" w:cs="Times New Roman"/>
                <w:b/>
                <w:bCs/>
                <w:color w:val="auto"/>
                <w:sz w:val="24"/>
                <w:szCs w:val="24"/>
                <w:highlight w:val="none"/>
                <w:lang w:eastAsia="zh-CN"/>
              </w:rPr>
              <w:t>〔202</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1号）相符性分析</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8"/>
              <w:gridCol w:w="1442"/>
              <w:gridCol w:w="815"/>
            </w:tblGrid>
            <w:tr w14:paraId="4EC7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8" w:type="pct"/>
                  <w:noWrap w:val="0"/>
                  <w:vAlign w:val="center"/>
                </w:tcPr>
                <w:p w14:paraId="5883A395">
                  <w:pPr>
                    <w:kinsoku/>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文件要求</w:t>
                  </w:r>
                </w:p>
              </w:tc>
              <w:tc>
                <w:tcPr>
                  <w:tcW w:w="959" w:type="pct"/>
                  <w:noWrap w:val="0"/>
                  <w:vAlign w:val="center"/>
                </w:tcPr>
                <w:p w14:paraId="5D68E1A6">
                  <w:pPr>
                    <w:kinsoku/>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本项目建设内容</w:t>
                  </w:r>
                </w:p>
              </w:tc>
              <w:tc>
                <w:tcPr>
                  <w:tcW w:w="542" w:type="pct"/>
                  <w:noWrap w:val="0"/>
                  <w:vAlign w:val="center"/>
                </w:tcPr>
                <w:p w14:paraId="5B367E87">
                  <w:pPr>
                    <w:kinsoku/>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符合性</w:t>
                  </w:r>
                </w:p>
              </w:tc>
            </w:tr>
            <w:tr w14:paraId="5EC9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8" w:type="pct"/>
                  <w:noWrap w:val="0"/>
                  <w:vAlign w:val="center"/>
                </w:tcPr>
                <w:p w14:paraId="127C4610">
                  <w:pPr>
                    <w:pStyle w:val="9"/>
                    <w:kinsoku/>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一）加强替代管理。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附件2），对具备替代条件的，加强调度指导；对无法替代的，要开展论证核实，严格把关并逐一说明。</w:t>
                  </w:r>
                </w:p>
              </w:tc>
              <w:tc>
                <w:tcPr>
                  <w:tcW w:w="959" w:type="pct"/>
                  <w:vMerge w:val="restart"/>
                  <w:noWrap w:val="0"/>
                  <w:vAlign w:val="center"/>
                </w:tcPr>
                <w:p w14:paraId="51798D03">
                  <w:pPr>
                    <w:kinsoku/>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为纸和纸板容器制造，喷码使用的水性油墨为低VOCs含量的油墨。</w:t>
                  </w:r>
                  <w:r>
                    <w:rPr>
                      <w:rFonts w:hint="default" w:ascii="Times New Roman" w:hAnsi="Times New Roman" w:eastAsia="宋体" w:cs="Times New Roman"/>
                      <w:color w:val="auto"/>
                      <w:sz w:val="21"/>
                      <w:szCs w:val="21"/>
                      <w:highlight w:val="none"/>
                      <w:lang w:val="en-US" w:eastAsia="zh-CN"/>
                    </w:rPr>
                    <w:t>在使用过程中，产生的废气</w:t>
                  </w:r>
                  <w:r>
                    <w:rPr>
                      <w:rFonts w:hint="eastAsia" w:ascii="Times New Roman" w:hAnsi="Times New Roman" w:eastAsia="宋体" w:cs="Times New Roman"/>
                      <w:color w:val="auto"/>
                      <w:sz w:val="21"/>
                      <w:szCs w:val="21"/>
                      <w:highlight w:val="none"/>
                      <w:lang w:val="en-US" w:eastAsia="zh-CN"/>
                    </w:rPr>
                    <w:t>采用集气罩收集+二级活性炭吸附装置处理+</w:t>
                  </w:r>
                  <w:r>
                    <w:rPr>
                      <w:rFonts w:hint="default" w:ascii="Times New Roman" w:hAnsi="Times New Roman" w:eastAsia="宋体" w:cs="Times New Roman"/>
                      <w:color w:val="auto"/>
                      <w:sz w:val="21"/>
                      <w:szCs w:val="21"/>
                      <w:highlight w:val="none"/>
                      <w:lang w:val="en-US" w:eastAsia="zh-CN"/>
                    </w:rPr>
                    <w:t>通过18m高排气筒（DA00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）排放。</w:t>
                  </w:r>
                </w:p>
              </w:tc>
              <w:tc>
                <w:tcPr>
                  <w:tcW w:w="542" w:type="pct"/>
                  <w:noWrap w:val="0"/>
                  <w:vAlign w:val="center"/>
                </w:tcPr>
                <w:p w14:paraId="08A79134">
                  <w:pPr>
                    <w:kinsoku/>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675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8" w:type="pct"/>
                  <w:noWrap w:val="0"/>
                  <w:vAlign w:val="center"/>
                </w:tcPr>
                <w:p w14:paraId="06E4BA5B">
                  <w:pPr>
                    <w:kinsoku/>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（二）严格项目准入。根据《低挥发性有机化合物含量涂料产品技术要求》（GB/T 38597-2020）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959" w:type="pct"/>
                  <w:vMerge w:val="continue"/>
                  <w:noWrap w:val="0"/>
                  <w:vAlign w:val="center"/>
                </w:tcPr>
                <w:p w14:paraId="42081485">
                  <w:pPr>
                    <w:kinsoku/>
                    <w:jc w:val="center"/>
                    <w:rPr>
                      <w:rFonts w:hint="default" w:ascii="Times New Roman" w:hAnsi="Times New Roman" w:eastAsia="宋体" w:cs="Times New Roman"/>
                      <w:color w:val="auto"/>
                      <w:sz w:val="21"/>
                      <w:szCs w:val="21"/>
                      <w:highlight w:val="none"/>
                      <w:lang w:eastAsia="zh-CN"/>
                    </w:rPr>
                  </w:pPr>
                </w:p>
              </w:tc>
              <w:tc>
                <w:tcPr>
                  <w:tcW w:w="542" w:type="pct"/>
                  <w:noWrap w:val="0"/>
                  <w:vAlign w:val="center"/>
                </w:tcPr>
                <w:p w14:paraId="4B14F43C">
                  <w:pPr>
                    <w:kinsoku/>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bl>
          <w:p w14:paraId="417F448E">
            <w:pPr>
              <w:pStyle w:val="9"/>
              <w:widowControl w:val="0"/>
              <w:numPr>
                <w:ilvl w:val="0"/>
                <w:numId w:val="0"/>
              </w:numPr>
              <w:adjustRightInd w:val="0"/>
              <w:spacing w:before="0" w:after="0" w:line="360" w:lineRule="auto"/>
              <w:ind w:right="113" w:rightChars="0"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（7）与《固体废物鉴别标准通则》（GB34330-2017）符合性分析 根据《固体废物鉴别标准通则》（GB34330-2017），本项目 与标准相关要求相符性分析见表1.8 </w:t>
            </w:r>
          </w:p>
          <w:p w14:paraId="03798B4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表1.8  本项目与《固体废物鉴别标准通则》（GB34330-2017）相关要求相符性分析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023"/>
              <w:gridCol w:w="2789"/>
              <w:gridCol w:w="1056"/>
            </w:tblGrid>
            <w:tr w14:paraId="3D0F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2" w:type="dxa"/>
                  <w:vAlign w:val="center"/>
                </w:tcPr>
                <w:p w14:paraId="3F2926C3">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3023" w:type="dxa"/>
                  <w:vAlign w:val="center"/>
                </w:tcPr>
                <w:p w14:paraId="0369CEAB">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要求</w:t>
                  </w:r>
                </w:p>
              </w:tc>
              <w:tc>
                <w:tcPr>
                  <w:tcW w:w="2789" w:type="dxa"/>
                  <w:vAlign w:val="center"/>
                </w:tcPr>
                <w:p w14:paraId="7158CBB1">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本项目情况</w:t>
                  </w:r>
                </w:p>
              </w:tc>
              <w:tc>
                <w:tcPr>
                  <w:tcW w:w="1056" w:type="dxa"/>
                  <w:vAlign w:val="center"/>
                </w:tcPr>
                <w:p w14:paraId="0D02075D">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是否符合</w:t>
                  </w:r>
                </w:p>
              </w:tc>
            </w:tr>
            <w:tr w14:paraId="78CA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2" w:type="dxa"/>
                  <w:vAlign w:val="center"/>
                </w:tcPr>
                <w:p w14:paraId="001F696D">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3023" w:type="dxa"/>
                  <w:vAlign w:val="center"/>
                </w:tcPr>
                <w:p w14:paraId="376DF90C">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符合国家、地方制定或行业通行的被替代原料生产的产品质量标准</w:t>
                  </w:r>
                  <w:r>
                    <w:rPr>
                      <w:rFonts w:hint="eastAsia" w:ascii="Times New Roman" w:hAnsi="Times New Roman" w:eastAsia="宋体" w:cs="Times New Roman"/>
                      <w:sz w:val="21"/>
                      <w:szCs w:val="21"/>
                      <w:lang w:eastAsia="zh-CN"/>
                    </w:rPr>
                    <w:t>。</w:t>
                  </w:r>
                </w:p>
              </w:tc>
              <w:tc>
                <w:tcPr>
                  <w:tcW w:w="2789" w:type="dxa"/>
                  <w:vAlign w:val="center"/>
                </w:tcPr>
                <w:p w14:paraId="39A2C9FA">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本项目产品标准执行 《纸浆模塑制品技术通则》（GB/T 1142943-2023）</w:t>
                  </w:r>
                </w:p>
              </w:tc>
              <w:tc>
                <w:tcPr>
                  <w:tcW w:w="1056" w:type="dxa"/>
                  <w:vAlign w:val="center"/>
                </w:tcPr>
                <w:p w14:paraId="4DA6A0AB">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符合</w:t>
                  </w:r>
                </w:p>
              </w:tc>
            </w:tr>
            <w:tr w14:paraId="4FB2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2" w:type="dxa"/>
                  <w:vAlign w:val="center"/>
                </w:tcPr>
                <w:p w14:paraId="3174E18A">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3023" w:type="dxa"/>
                  <w:vAlign w:val="center"/>
                </w:tcPr>
                <w:p w14:paraId="4D429304">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符合相关国家污染物排放（控制）标准或技术规范要求，包括该产物生产过程中排放到环境中的有害物质限值和该产物中有害物质的含量限值；当没有国家污染控制标准或技术规范时，该产物中所含有害成分含量不高于利用被替代原料生产的产品中的有害成分含量，并且在该产物生产过程中，排放到环境中的有害物质浓度不高于利用所替代原料生产产品过程中排放到环境中的有害物质浓度，当没有被替代原料时，不考虑该条件</w:t>
                  </w:r>
                  <w:r>
                    <w:rPr>
                      <w:rFonts w:hint="eastAsia" w:ascii="Times New Roman" w:hAnsi="Times New Roman" w:eastAsia="宋体" w:cs="Times New Roman"/>
                      <w:sz w:val="21"/>
                      <w:szCs w:val="21"/>
                      <w:lang w:eastAsia="zh-CN"/>
                    </w:rPr>
                    <w:t>。</w:t>
                  </w:r>
                </w:p>
              </w:tc>
              <w:tc>
                <w:tcPr>
                  <w:tcW w:w="2789" w:type="dxa"/>
                  <w:vAlign w:val="center"/>
                </w:tcPr>
                <w:p w14:paraId="67F873C2">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本项目主要原料废瓦楞纸来源于纸板厂边角料，不沾染污泥、涂料、油墨和胶水等，洁净度较高且不含有毒有害物质</w:t>
                  </w:r>
                  <w:r>
                    <w:rPr>
                      <w:rFonts w:hint="eastAsia" w:ascii="Times New Roman" w:hAnsi="Times New Roman" w:eastAsia="宋体" w:cs="Times New Roman"/>
                      <w:sz w:val="21"/>
                      <w:szCs w:val="21"/>
                      <w:lang w:eastAsia="zh-CN"/>
                    </w:rPr>
                    <w:t>。</w:t>
                  </w:r>
                </w:p>
              </w:tc>
              <w:tc>
                <w:tcPr>
                  <w:tcW w:w="1056" w:type="dxa"/>
                  <w:vAlign w:val="center"/>
                </w:tcPr>
                <w:p w14:paraId="0DB6513C">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符合</w:t>
                  </w:r>
                </w:p>
              </w:tc>
            </w:tr>
            <w:tr w14:paraId="04BA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2" w:type="dxa"/>
                  <w:vAlign w:val="center"/>
                </w:tcPr>
                <w:p w14:paraId="6302FC94">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3023" w:type="dxa"/>
                  <w:vAlign w:val="center"/>
                </w:tcPr>
                <w:p w14:paraId="42DA7133">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rPr>
                    <w:t>有稳定、合理的市场需求</w:t>
                  </w:r>
                  <w:r>
                    <w:rPr>
                      <w:rFonts w:hint="eastAsia" w:ascii="Times New Roman" w:hAnsi="Times New Roman" w:eastAsia="宋体" w:cs="Times New Roman"/>
                      <w:sz w:val="21"/>
                      <w:szCs w:val="21"/>
                      <w:highlight w:val="none"/>
                      <w:lang w:eastAsia="zh-CN"/>
                    </w:rPr>
                    <w:t>。</w:t>
                  </w:r>
                </w:p>
              </w:tc>
              <w:tc>
                <w:tcPr>
                  <w:tcW w:w="2789" w:type="dxa"/>
                  <w:vAlign w:val="center"/>
                </w:tcPr>
                <w:p w14:paraId="57CA0934">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rPr>
                    <w:t>本项目产品纸托主要用于</w:t>
                  </w:r>
                  <w:r>
                    <w:rPr>
                      <w:rFonts w:hint="eastAsia" w:cs="Times New Roman"/>
                      <w:sz w:val="21"/>
                      <w:szCs w:val="21"/>
                      <w:highlight w:val="none"/>
                      <w:lang w:val="en-US" w:eastAsia="zh-CN"/>
                    </w:rPr>
                    <w:t>饮料等</w:t>
                  </w:r>
                  <w:r>
                    <w:rPr>
                      <w:rFonts w:hint="default" w:ascii="Times New Roman" w:hAnsi="Times New Roman" w:eastAsia="宋体" w:cs="Times New Roman"/>
                      <w:sz w:val="21"/>
                      <w:szCs w:val="21"/>
                      <w:highlight w:val="none"/>
                    </w:rPr>
                    <w:t>内衬包装，市场需求稳定、合理。</w:t>
                  </w:r>
                </w:p>
              </w:tc>
              <w:tc>
                <w:tcPr>
                  <w:tcW w:w="1056" w:type="dxa"/>
                  <w:vAlign w:val="center"/>
                </w:tcPr>
                <w:p w14:paraId="47DB6996">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rPr>
                    <w:t>符合</w:t>
                  </w:r>
                </w:p>
              </w:tc>
            </w:tr>
          </w:tbl>
          <w:p w14:paraId="4F71D7E2">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b/>
                <w:bCs/>
                <w:color w:val="auto"/>
                <w:sz w:val="24"/>
                <w:szCs w:val="24"/>
                <w:highlight w:val="none"/>
                <w:lang w:eastAsia="zh-CN"/>
              </w:rPr>
              <w:t>环境相容性</w:t>
            </w:r>
          </w:p>
          <w:p w14:paraId="167CEA6B">
            <w:pPr>
              <w:keepNext w:val="0"/>
              <w:keepLines w:val="0"/>
              <w:pageBreakBefore w:val="0"/>
              <w:widowControl w:val="0"/>
              <w:numPr>
                <w:ilvl w:val="0"/>
                <w:numId w:val="0"/>
              </w:numPr>
              <w:kinsoku/>
              <w:wordWrap w:val="0"/>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）选址合理性</w:t>
            </w:r>
          </w:p>
          <w:p w14:paraId="67E30ED6">
            <w:pPr>
              <w:keepNext w:val="0"/>
              <w:keepLines w:val="0"/>
              <w:pageBreakBefore w:val="0"/>
              <w:widowControl w:val="0"/>
              <w:numPr>
                <w:ilvl w:val="0"/>
                <w:numId w:val="0"/>
              </w:numPr>
              <w:kinsoku/>
              <w:wordWrap w:val="0"/>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项目建设地点位于</w:t>
            </w:r>
            <w:r>
              <w:rPr>
                <w:rFonts w:hint="eastAsia" w:ascii="Times New Roman" w:hAnsi="Times New Roman" w:eastAsia="宋体" w:cs="Times New Roman"/>
                <w:b w:val="0"/>
                <w:bCs w:val="0"/>
                <w:color w:val="auto"/>
                <w:sz w:val="24"/>
                <w:szCs w:val="24"/>
                <w:highlight w:val="none"/>
                <w:lang w:val="en-US" w:eastAsia="zh-CN"/>
              </w:rPr>
              <w:t>安徽省宿州市埇桥区朱仙庄镇三塔路与幸福路向南20米</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根据</w:t>
            </w:r>
            <w:r>
              <w:rPr>
                <w:rFonts w:hint="eastAsia" w:cs="Times New Roman"/>
                <w:b w:val="0"/>
                <w:bCs w:val="0"/>
                <w:color w:val="auto"/>
                <w:sz w:val="24"/>
                <w:szCs w:val="24"/>
                <w:highlight w:val="none"/>
                <w:lang w:val="en-US" w:eastAsia="zh-CN"/>
              </w:rPr>
              <w:t>三区三线套合图本项目位于城镇开发边界外，不占用永久基本农田和生态保护红线。</w:t>
            </w:r>
            <w:r>
              <w:rPr>
                <w:rStyle w:val="28"/>
                <w:rFonts w:hint="default" w:ascii="Times New Roman" w:hAnsi="Times New Roman" w:eastAsia="宋体" w:cs="Times New Roman"/>
                <w:b w:val="0"/>
                <w:bCs/>
                <w:color w:val="auto"/>
                <w:sz w:val="24"/>
                <w:szCs w:val="24"/>
                <w:highlight w:val="none"/>
                <w:lang w:eastAsia="zh-CN"/>
              </w:rPr>
              <w:t>因此，项目选址基本合理。</w:t>
            </w:r>
          </w:p>
          <w:p w14:paraId="3EDD8B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rPr>
              <w:t>建设项目厂址地理位置优越，交通便利，评价范围内无自然保护区、</w:t>
            </w:r>
            <w:r>
              <w:rPr>
                <w:rFonts w:hint="default" w:ascii="Times New Roman" w:hAnsi="Times New Roman" w:eastAsia="宋体" w:cs="Times New Roman"/>
                <w:b w:val="0"/>
                <w:bCs/>
                <w:color w:val="auto"/>
                <w:sz w:val="24"/>
                <w:szCs w:val="24"/>
                <w:highlight w:val="none"/>
              </w:rPr>
              <w:t>风景名胜区、其他著名旅游景点和文物古迹等需要特殊保护的环境敏感对象，从环境保护角度而言，项目选址合适、可行。</w:t>
            </w:r>
          </w:p>
          <w:p w14:paraId="2709C94A">
            <w:pPr>
              <w:keepNext w:val="0"/>
              <w:keepLines w:val="0"/>
              <w:pageBreakBefore w:val="0"/>
              <w:widowControl w:val="0"/>
              <w:numPr>
                <w:ilvl w:val="0"/>
                <w:numId w:val="0"/>
              </w:numPr>
              <w:kinsoku/>
              <w:wordWrap w:val="0"/>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环境相容性</w:t>
            </w:r>
          </w:p>
          <w:p w14:paraId="6274D5D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项目位于</w:t>
            </w:r>
            <w:r>
              <w:rPr>
                <w:rFonts w:hint="eastAsia" w:ascii="Times New Roman" w:hAnsi="Times New Roman" w:eastAsia="宋体" w:cs="Times New Roman"/>
                <w:color w:val="auto"/>
                <w:kern w:val="0"/>
                <w:sz w:val="24"/>
                <w:szCs w:val="24"/>
                <w:highlight w:val="none"/>
                <w:lang w:eastAsia="zh-CN"/>
              </w:rPr>
              <w:t>安徽省宿州市埇桥区朱仙庄镇三塔路与幸福路向南20米</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厂区南侧为</w:t>
            </w:r>
            <w:r>
              <w:rPr>
                <w:rFonts w:hint="eastAsia" w:ascii="Times New Roman" w:hAnsi="Times New Roman" w:eastAsia="宋体" w:cs="Times New Roman"/>
                <w:color w:val="auto"/>
                <w:sz w:val="24"/>
                <w:szCs w:val="24"/>
                <w:highlight w:val="none"/>
                <w:lang w:val="en-US" w:eastAsia="zh-CN"/>
              </w:rPr>
              <w:t>耕地</w:t>
            </w:r>
            <w:r>
              <w:rPr>
                <w:rFonts w:hint="default" w:ascii="Times New Roman" w:hAnsi="Times New Roman" w:eastAsia="宋体" w:cs="Times New Roman"/>
                <w:color w:val="auto"/>
                <w:sz w:val="24"/>
                <w:szCs w:val="24"/>
                <w:highlight w:val="none"/>
              </w:rPr>
              <w:t>，</w:t>
            </w:r>
            <w:r>
              <w:rPr>
                <w:sz w:val="24"/>
              </w:rPr>
              <w:t>北侧</w:t>
            </w:r>
            <w:r>
              <w:rPr>
                <w:rFonts w:hint="eastAsia"/>
                <w:sz w:val="24"/>
                <w:lang w:val="en-US" w:eastAsia="zh-CN"/>
              </w:rPr>
              <w:t>隔</w:t>
            </w:r>
            <w:r>
              <w:rPr>
                <w:rFonts w:hint="eastAsia"/>
                <w:color w:val="auto"/>
                <w:sz w:val="24"/>
                <w:lang w:val="en-US" w:eastAsia="zh-CN"/>
              </w:rPr>
              <w:t>幸福路为高家</w:t>
            </w:r>
            <w:r>
              <w:rPr>
                <w:rFonts w:hint="default" w:ascii="Times New Roman" w:hAnsi="Times New Roman" w:eastAsia="宋体" w:cs="Times New Roman"/>
                <w:color w:val="auto"/>
                <w:sz w:val="24"/>
                <w:szCs w:val="24"/>
                <w:highlight w:val="none"/>
              </w:rPr>
              <w:t>，西侧为宿州泉兴相山水泥有限公司</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东侧为三铺村四组</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项目属于主导风向下风向，产生的废气对周边</w:t>
            </w:r>
            <w:r>
              <w:rPr>
                <w:rFonts w:hint="default" w:ascii="Times New Roman" w:hAnsi="Times New Roman" w:eastAsia="宋体" w:cs="Times New Roman"/>
                <w:color w:val="auto"/>
                <w:sz w:val="24"/>
                <w:szCs w:val="24"/>
                <w:highlight w:val="none"/>
              </w:rPr>
              <w:t>环境产生影响较小。附图</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本项目周边环境示意图</w:t>
            </w:r>
            <w:r>
              <w:rPr>
                <w:rFonts w:hint="eastAsia"/>
                <w:sz w:val="24"/>
                <w:highlight w:val="none"/>
              </w:rPr>
              <w:t>。</w:t>
            </w:r>
          </w:p>
          <w:p w14:paraId="3849A644">
            <w:pPr>
              <w:spacing w:line="360" w:lineRule="auto"/>
              <w:ind w:firstLine="480" w:firstLineChars="200"/>
              <w:rPr>
                <w:rFonts w:cs="宋体"/>
                <w:kern w:val="0"/>
                <w:sz w:val="24"/>
                <w:highlight w:val="none"/>
              </w:rPr>
            </w:pPr>
            <w:r>
              <w:rPr>
                <w:rFonts w:hint="default" w:ascii="Times New Roman" w:hAnsi="Times New Roman" w:eastAsia="宋体" w:cs="Times New Roman"/>
                <w:color w:val="auto"/>
                <w:sz w:val="24"/>
                <w:szCs w:val="24"/>
                <w:highlight w:val="none"/>
              </w:rPr>
              <w:t>本项目属于C2231</w:t>
            </w:r>
            <w:r>
              <w:rPr>
                <w:rFonts w:hint="default" w:ascii="Times New Roman" w:hAnsi="Times New Roman" w:eastAsia="宋体" w:cs="Times New Roman"/>
                <w:color w:val="auto"/>
                <w:sz w:val="24"/>
                <w:szCs w:val="24"/>
                <w:highlight w:val="none"/>
                <w:lang w:val="en-US" w:eastAsia="zh-CN"/>
              </w:rPr>
              <w:t>纸和纸板容器制造</w:t>
            </w: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喷码</w:t>
            </w:r>
            <w:r>
              <w:rPr>
                <w:rFonts w:hint="default" w:ascii="Times New Roman" w:hAnsi="Times New Roman" w:eastAsia="宋体" w:cs="Times New Roman"/>
                <w:color w:val="auto"/>
                <w:sz w:val="24"/>
                <w:szCs w:val="24"/>
                <w:highlight w:val="none"/>
              </w:rPr>
              <w:t>产</w:t>
            </w:r>
            <w:r>
              <w:rPr>
                <w:rFonts w:hint="default" w:ascii="Times New Roman" w:hAnsi="Times New Roman" w:eastAsia="宋体" w:cs="Times New Roman"/>
                <w:color w:val="auto"/>
                <w:sz w:val="24"/>
                <w:szCs w:val="24"/>
                <w:highlight w:val="none"/>
                <w:lang w:eastAsia="zh-CN"/>
              </w:rPr>
              <w:t>生的</w:t>
            </w:r>
            <w:r>
              <w:rPr>
                <w:rFonts w:hint="default" w:ascii="Times New Roman" w:hAnsi="Times New Roman" w:eastAsia="宋体" w:cs="Times New Roman"/>
                <w:color w:val="auto"/>
                <w:sz w:val="24"/>
                <w:szCs w:val="24"/>
                <w:highlight w:val="none"/>
                <w:lang w:val="en-US" w:eastAsia="zh-CN"/>
              </w:rPr>
              <w:t>挥发性有机废气采用集气罩收集经过二级活性炭吸附装置处理通过18m高排气筒</w:t>
            </w:r>
            <w:r>
              <w:rPr>
                <w:rFonts w:hint="eastAsia" w:ascii="Times New Roman" w:hAnsi="Times New Roman" w:eastAsia="宋体" w:cs="Times New Roman"/>
                <w:color w:val="auto"/>
                <w:sz w:val="24"/>
                <w:szCs w:val="24"/>
                <w:highlight w:val="none"/>
                <w:lang w:val="en-US" w:eastAsia="zh-CN"/>
              </w:rPr>
              <w:t>达标</w:t>
            </w:r>
            <w:r>
              <w:rPr>
                <w:rFonts w:hint="default" w:ascii="Times New Roman" w:hAnsi="Times New Roman" w:eastAsia="宋体" w:cs="Times New Roman"/>
                <w:color w:val="auto"/>
                <w:sz w:val="24"/>
                <w:szCs w:val="24"/>
                <w:highlight w:val="none"/>
                <w:lang w:val="en-US" w:eastAsia="zh-CN"/>
              </w:rPr>
              <w:t>排放。根据平面布局设置项目排气筒设置在主导风向下风向，距离项目厂房东厂界</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m处是三铺村四组，位于上风向，</w:t>
            </w:r>
            <w:r>
              <w:rPr>
                <w:rFonts w:hint="eastAsia" w:cs="宋体"/>
                <w:kern w:val="0"/>
                <w:sz w:val="24"/>
                <w:highlight w:val="none"/>
              </w:rPr>
              <w:t>废气处理达标后排放，对空气环境影响较小</w:t>
            </w:r>
            <w:r>
              <w:rPr>
                <w:rFonts w:hint="eastAsia" w:cs="宋体"/>
                <w:kern w:val="0"/>
                <w:sz w:val="24"/>
                <w:highlight w:val="none"/>
                <w:lang w:eastAsia="zh-CN"/>
              </w:rPr>
              <w:t>；</w:t>
            </w:r>
            <w:r>
              <w:rPr>
                <w:sz w:val="24"/>
                <w:highlight w:val="none"/>
              </w:rPr>
              <w:t>项目区排水采用雨、污分流制。雨水经厂区雨水管道收集后排入附近沟渠</w:t>
            </w:r>
            <w:r>
              <w:rPr>
                <w:rFonts w:hint="eastAsia"/>
                <w:sz w:val="24"/>
                <w:highlight w:val="none"/>
                <w:lang w:eastAsia="zh-CN"/>
              </w:rPr>
              <w:t>。</w:t>
            </w:r>
            <w:r>
              <w:rPr>
                <w:rFonts w:hint="eastAsia" w:ascii="宋体" w:hAnsi="宋体" w:cs="宋体"/>
                <w:sz w:val="24"/>
                <w:highlight w:val="none"/>
                <w:lang w:val="en-US" w:eastAsia="zh-CN"/>
              </w:rPr>
              <w:t>生产废水经沉淀池回用生产，</w:t>
            </w:r>
            <w:r>
              <w:rPr>
                <w:rFonts w:hint="eastAsia" w:ascii="宋体" w:hAnsi="宋体" w:cs="宋体"/>
                <w:sz w:val="24"/>
                <w:highlight w:val="none"/>
              </w:rPr>
              <w:t>不外排</w:t>
            </w:r>
            <w:r>
              <w:rPr>
                <w:rFonts w:hint="eastAsia" w:ascii="宋体" w:hAnsi="宋体" w:cs="宋体"/>
                <w:sz w:val="24"/>
                <w:highlight w:val="none"/>
                <w:lang w:eastAsia="zh-CN"/>
              </w:rPr>
              <w:t>。</w:t>
            </w:r>
            <w:r>
              <w:rPr>
                <w:sz w:val="24"/>
                <w:highlight w:val="none"/>
              </w:rPr>
              <w:t>生活污水</w:t>
            </w:r>
            <w:r>
              <w:rPr>
                <w:rFonts w:hint="eastAsia"/>
                <w:sz w:val="24"/>
                <w:highlight w:val="none"/>
                <w:lang w:val="en-US" w:eastAsia="zh-CN"/>
              </w:rPr>
              <w:t>经</w:t>
            </w:r>
            <w:r>
              <w:rPr>
                <w:sz w:val="24"/>
                <w:highlight w:val="none"/>
              </w:rPr>
              <w:t>化粪池处理后，定期清掏，不外排</w:t>
            </w:r>
            <w:r>
              <w:rPr>
                <w:rFonts w:hint="eastAsia"/>
                <w:sz w:val="24"/>
                <w:highlight w:val="none"/>
              </w:rPr>
              <w:t>；</w:t>
            </w:r>
            <w:r>
              <w:rPr>
                <w:rFonts w:hint="eastAsia" w:cs="宋体"/>
                <w:sz w:val="24"/>
                <w:highlight w:val="none"/>
              </w:rPr>
              <w:t>项目产生的危险废物暂存于危废暂存间，定期委托有危废处理资质公司的单位妥善处置</w:t>
            </w:r>
            <w:r>
              <w:rPr>
                <w:rFonts w:hint="default" w:ascii="Times New Roman" w:hAnsi="Times New Roman" w:eastAsia="宋体" w:cs="Times New Roman"/>
                <w:color w:val="auto"/>
                <w:sz w:val="24"/>
                <w:szCs w:val="24"/>
                <w:highlight w:val="none"/>
                <w:lang w:eastAsia="zh-CN"/>
              </w:rPr>
              <w:t>。</w:t>
            </w:r>
            <w:r>
              <w:rPr>
                <w:rFonts w:hint="eastAsia" w:cs="宋体"/>
                <w:sz w:val="24"/>
                <w:highlight w:val="none"/>
              </w:rPr>
              <w:t>对周围环境影响较小。本项目在运营期</w:t>
            </w:r>
            <w:r>
              <w:rPr>
                <w:rFonts w:hint="eastAsia" w:cs="宋体"/>
                <w:kern w:val="0"/>
                <w:sz w:val="24"/>
                <w:highlight w:val="none"/>
              </w:rPr>
              <w:t>采取相应的环保措施后，可以有效地避免或者降低给周边敏感点和项目区域环境带来的不利影响。</w:t>
            </w:r>
          </w:p>
          <w:p w14:paraId="470CEB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宋体" w:hAnsi="宋体" w:cs="宋体"/>
                <w:kern w:val="0"/>
                <w:sz w:val="24"/>
              </w:rPr>
            </w:pPr>
            <w:r>
              <w:rPr>
                <w:rFonts w:hint="eastAsia" w:ascii="Times New Roman" w:hAnsi="Times New Roman" w:eastAsia="宋体" w:cs="Times New Roman"/>
                <w:b w:val="0"/>
                <w:bCs/>
                <w:color w:val="auto"/>
                <w:sz w:val="24"/>
                <w:szCs w:val="24"/>
                <w:highlight w:val="none"/>
                <w:lang w:val="en-US" w:eastAsia="zh-CN"/>
              </w:rPr>
              <w:t>综上所述，本项目的实施对周围的影响较小，同时项目地周边环境没有重污染企业（如医药</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化工企业等），周围环境没有对本项目建设运营产生重大制约因素的企业，项目建设与周围环境具有相容性。</w:t>
            </w:r>
          </w:p>
        </w:tc>
      </w:tr>
    </w:tbl>
    <w:p w14:paraId="424CDEA7">
      <w:pPr>
        <w:spacing w:line="360" w:lineRule="auto"/>
        <w:outlineLvl w:val="0"/>
        <w:rPr>
          <w:rFonts w:eastAsia="黑体"/>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6E89986">
      <w:pPr>
        <w:pStyle w:val="20"/>
        <w:widowControl/>
        <w:kinsoku/>
        <w:autoSpaceDE w:val="0"/>
        <w:autoSpaceDN w:val="0"/>
        <w:adjustRightInd w:val="0"/>
        <w:snapToGrid w:val="0"/>
        <w:spacing w:before="0" w:beforeAutospacing="0" w:after="0" w:afterAutospacing="0" w:line="360" w:lineRule="auto"/>
        <w:jc w:val="center"/>
        <w:textAlignment w:val="baseline"/>
        <w:outlineLvl w:val="0"/>
        <w:rPr>
          <w:rFonts w:hint="eastAsia" w:ascii="宋体" w:hAnsi="宋体" w:eastAsia="宋体" w:cs="宋体"/>
          <w:b/>
          <w:bCs/>
          <w:snapToGrid w:val="0"/>
          <w:color w:val="000000"/>
          <w:kern w:val="0"/>
          <w:sz w:val="30"/>
          <w:szCs w:val="30"/>
          <w:lang w:eastAsia="en-US"/>
        </w:rPr>
      </w:pPr>
      <w:r>
        <w:rPr>
          <w:rFonts w:hint="eastAsia" w:ascii="宋体" w:hAnsi="宋体" w:eastAsia="宋体" w:cs="宋体"/>
          <w:b/>
          <w:bCs/>
          <w:snapToGrid w:val="0"/>
          <w:color w:val="000000"/>
          <w:kern w:val="0"/>
          <w:sz w:val="30"/>
          <w:szCs w:val="30"/>
          <w:lang w:eastAsia="en-US"/>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222"/>
      </w:tblGrid>
      <w:tr w14:paraId="7691B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23" w:type="dxa"/>
            <w:vAlign w:val="center"/>
          </w:tcPr>
          <w:p w14:paraId="57975816">
            <w:pPr>
              <w:pStyle w:val="20"/>
              <w:adjustRightInd w:val="0"/>
              <w:snapToGrid w:val="0"/>
              <w:spacing w:before="0" w:beforeAutospacing="0" w:after="0" w:afterAutospacing="0"/>
              <w:jc w:val="center"/>
              <w:rPr>
                <w:rFonts w:cs="宋体"/>
                <w:sz w:val="21"/>
                <w:szCs w:val="21"/>
              </w:rPr>
            </w:pPr>
            <w:r>
              <w:rPr>
                <w:rFonts w:hint="eastAsia" w:cs="宋体"/>
                <w:sz w:val="24"/>
                <w:szCs w:val="24"/>
              </w:rPr>
              <w:t>建设内容</w:t>
            </w:r>
          </w:p>
        </w:tc>
        <w:tc>
          <w:tcPr>
            <w:tcW w:w="8161" w:type="dxa"/>
          </w:tcPr>
          <w:p w14:paraId="069EB843">
            <w:pPr>
              <w:adjustRightInd w:val="0"/>
              <w:snapToGrid w:val="0"/>
              <w:spacing w:line="360" w:lineRule="auto"/>
              <w:ind w:firstLine="482" w:firstLineChars="200"/>
              <w:outlineLvl w:val="2"/>
              <w:rPr>
                <w:b/>
                <w:bCs/>
                <w:sz w:val="24"/>
              </w:rPr>
            </w:pPr>
            <w:r>
              <w:rPr>
                <w:b/>
                <w:bCs/>
                <w:sz w:val="24"/>
              </w:rPr>
              <w:t>1、项目基本情况</w:t>
            </w:r>
          </w:p>
          <w:p w14:paraId="29A2628A">
            <w:pPr>
              <w:adjustRightInd w:val="0"/>
              <w:snapToGrid w:val="0"/>
              <w:spacing w:line="360" w:lineRule="auto"/>
              <w:ind w:firstLine="480" w:firstLineChars="200"/>
              <w:outlineLvl w:val="2"/>
              <w:rPr>
                <w:sz w:val="24"/>
              </w:rPr>
            </w:pPr>
            <w:r>
              <w:rPr>
                <w:sz w:val="24"/>
              </w:rPr>
              <w:t>项目名称：</w:t>
            </w:r>
            <w:r>
              <w:rPr>
                <w:rFonts w:hint="eastAsia"/>
                <w:sz w:val="24"/>
              </w:rPr>
              <w:t>年产</w:t>
            </w:r>
            <w:r>
              <w:rPr>
                <w:rFonts w:hint="eastAsia"/>
                <w:sz w:val="24"/>
                <w:lang w:val="en-US" w:eastAsia="zh-CN"/>
              </w:rPr>
              <w:t>1</w:t>
            </w:r>
            <w:r>
              <w:rPr>
                <w:rFonts w:hint="eastAsia"/>
                <w:sz w:val="24"/>
              </w:rPr>
              <w:t>万吨</w:t>
            </w:r>
            <w:r>
              <w:rPr>
                <w:rFonts w:hint="eastAsia"/>
                <w:sz w:val="24"/>
                <w:lang w:val="en-US" w:eastAsia="zh-CN"/>
              </w:rPr>
              <w:t>纸托技改</w:t>
            </w:r>
            <w:r>
              <w:rPr>
                <w:rFonts w:hint="eastAsia"/>
                <w:sz w:val="24"/>
              </w:rPr>
              <w:t>项目</w:t>
            </w:r>
          </w:p>
          <w:p w14:paraId="5A6C46D4">
            <w:pPr>
              <w:adjustRightInd w:val="0"/>
              <w:snapToGrid w:val="0"/>
              <w:spacing w:line="360" w:lineRule="auto"/>
              <w:ind w:firstLine="480" w:firstLineChars="200"/>
              <w:outlineLvl w:val="2"/>
              <w:rPr>
                <w:sz w:val="24"/>
              </w:rPr>
            </w:pPr>
            <w:r>
              <w:rPr>
                <w:sz w:val="24"/>
              </w:rPr>
              <w:t>建设单位：</w:t>
            </w:r>
            <w:r>
              <w:rPr>
                <w:rFonts w:hint="eastAsia"/>
                <w:sz w:val="24"/>
              </w:rPr>
              <w:t>安徽云泽环保材料</w:t>
            </w:r>
            <w:r>
              <w:rPr>
                <w:sz w:val="24"/>
              </w:rPr>
              <w:t>有限公司</w:t>
            </w:r>
          </w:p>
          <w:p w14:paraId="6992311E">
            <w:pPr>
              <w:adjustRightInd w:val="0"/>
              <w:snapToGrid w:val="0"/>
              <w:spacing w:line="360" w:lineRule="auto"/>
              <w:ind w:firstLine="480" w:firstLineChars="200"/>
              <w:rPr>
                <w:rFonts w:hint="eastAsia"/>
                <w:sz w:val="24"/>
                <w:lang w:val="en-US" w:eastAsia="zh-CN"/>
              </w:rPr>
            </w:pPr>
            <w:r>
              <w:rPr>
                <w:sz w:val="24"/>
              </w:rPr>
              <w:t>项目性质：</w:t>
            </w:r>
            <w:r>
              <w:rPr>
                <w:rFonts w:hint="eastAsia"/>
                <w:sz w:val="24"/>
                <w:lang w:val="en-US" w:eastAsia="zh-CN"/>
              </w:rPr>
              <w:t>技改</w:t>
            </w:r>
          </w:p>
          <w:p w14:paraId="331D0251">
            <w:pPr>
              <w:adjustRightInd w:val="0"/>
              <w:snapToGrid w:val="0"/>
              <w:spacing w:line="360" w:lineRule="auto"/>
              <w:ind w:firstLine="480" w:firstLineChars="200"/>
              <w:rPr>
                <w:rFonts w:hint="eastAsia" w:eastAsia="宋体"/>
                <w:sz w:val="24"/>
                <w:lang w:eastAsia="zh-CN"/>
              </w:rPr>
            </w:pPr>
            <w:r>
              <w:rPr>
                <w:sz w:val="24"/>
              </w:rPr>
              <w:t>建设地点：</w:t>
            </w:r>
            <w:r>
              <w:rPr>
                <w:rFonts w:hint="eastAsia"/>
                <w:sz w:val="24"/>
                <w:lang w:eastAsia="zh-CN"/>
              </w:rPr>
              <w:t>安徽省宿州市埇桥区朱仙庄镇三塔路与幸福路向南20米</w:t>
            </w:r>
          </w:p>
          <w:p w14:paraId="4997B896">
            <w:pPr>
              <w:adjustRightInd w:val="0"/>
              <w:snapToGrid w:val="0"/>
              <w:spacing w:line="360" w:lineRule="auto"/>
              <w:ind w:firstLine="480" w:firstLineChars="200"/>
              <w:rPr>
                <w:sz w:val="24"/>
              </w:rPr>
            </w:pPr>
            <w:r>
              <w:rPr>
                <w:sz w:val="24"/>
              </w:rPr>
              <w:t>投资金额：项目总投资为</w:t>
            </w:r>
            <w:r>
              <w:rPr>
                <w:rFonts w:hint="eastAsia"/>
                <w:sz w:val="24"/>
              </w:rPr>
              <w:t>20</w:t>
            </w:r>
            <w:r>
              <w:rPr>
                <w:sz w:val="24"/>
              </w:rPr>
              <w:t>00万</w:t>
            </w:r>
            <w:r>
              <w:rPr>
                <w:sz w:val="24"/>
                <w:highlight w:val="none"/>
              </w:rPr>
              <w:t>元，其中环保投资为1</w:t>
            </w:r>
            <w:r>
              <w:rPr>
                <w:rFonts w:hint="eastAsia"/>
                <w:sz w:val="24"/>
                <w:highlight w:val="none"/>
                <w:lang w:val="en-US" w:eastAsia="zh-CN"/>
              </w:rPr>
              <w:t>05</w:t>
            </w:r>
            <w:r>
              <w:rPr>
                <w:sz w:val="24"/>
                <w:highlight w:val="none"/>
              </w:rPr>
              <w:t>万元</w:t>
            </w:r>
          </w:p>
          <w:p w14:paraId="6393716E">
            <w:pPr>
              <w:adjustRightInd w:val="0"/>
              <w:snapToGrid w:val="0"/>
              <w:spacing w:line="360" w:lineRule="auto"/>
              <w:ind w:firstLine="480" w:firstLineChars="200"/>
              <w:outlineLvl w:val="2"/>
              <w:rPr>
                <w:rFonts w:hint="eastAsia"/>
                <w:color w:val="auto"/>
                <w:sz w:val="24"/>
                <w:highlight w:val="none"/>
                <w:lang w:eastAsia="zh-CN"/>
              </w:rPr>
            </w:pPr>
            <w:r>
              <w:rPr>
                <w:rFonts w:hint="eastAsia"/>
                <w:color w:val="auto"/>
                <w:sz w:val="24"/>
              </w:rPr>
              <w:t>安徽云泽环保材料</w:t>
            </w:r>
            <w:r>
              <w:rPr>
                <w:color w:val="auto"/>
                <w:sz w:val="24"/>
              </w:rPr>
              <w:t>有限公司</w:t>
            </w:r>
            <w:r>
              <w:rPr>
                <w:color w:val="auto"/>
                <w:sz w:val="24"/>
                <w:highlight w:val="none"/>
              </w:rPr>
              <w:t>位于</w:t>
            </w:r>
            <w:r>
              <w:rPr>
                <w:rFonts w:hint="eastAsia"/>
                <w:color w:val="auto"/>
                <w:sz w:val="24"/>
                <w:highlight w:val="none"/>
                <w:lang w:eastAsia="zh-CN"/>
              </w:rPr>
              <w:t>安徽省宿州市埇桥区朱仙庄镇三塔路与幸福路向南20米，</w:t>
            </w:r>
            <w:r>
              <w:rPr>
                <w:rFonts w:hint="eastAsia" w:eastAsia="宋体"/>
                <w:color w:val="auto"/>
                <w:sz w:val="24"/>
                <w:lang w:eastAsia="zh-CN"/>
              </w:rPr>
              <w:t>成立于2022年04月19日</w:t>
            </w:r>
            <w:r>
              <w:rPr>
                <w:color w:val="auto"/>
                <w:sz w:val="24"/>
                <w:highlight w:val="none"/>
              </w:rPr>
              <w:t>，总投资</w:t>
            </w:r>
            <w:r>
              <w:rPr>
                <w:rFonts w:hint="eastAsia"/>
                <w:color w:val="auto"/>
                <w:sz w:val="24"/>
                <w:highlight w:val="none"/>
              </w:rPr>
              <w:t>2000</w:t>
            </w:r>
            <w:r>
              <w:rPr>
                <w:color w:val="auto"/>
                <w:sz w:val="24"/>
                <w:highlight w:val="none"/>
              </w:rPr>
              <w:t>万</w:t>
            </w:r>
            <w:r>
              <w:rPr>
                <w:rFonts w:hint="eastAsia"/>
                <w:color w:val="auto"/>
                <w:sz w:val="24"/>
                <w:highlight w:val="none"/>
                <w:lang w:eastAsia="zh-CN"/>
              </w:rPr>
              <w:t>。</w:t>
            </w:r>
            <w:r>
              <w:rPr>
                <w:rFonts w:hint="eastAsia"/>
                <w:color w:val="auto"/>
                <w:sz w:val="24"/>
                <w:highlight w:val="none"/>
                <w:lang w:val="en-US" w:eastAsia="zh-CN"/>
              </w:rPr>
              <w:t>租</w:t>
            </w:r>
            <w:r>
              <w:rPr>
                <w:color w:val="auto"/>
                <w:sz w:val="24"/>
                <w:highlight w:val="none"/>
              </w:rPr>
              <w:t>赁宿州市埇桥区工业发展投资有限公司</w:t>
            </w:r>
            <w:r>
              <w:rPr>
                <w:rFonts w:hint="eastAsia"/>
                <w:color w:val="auto"/>
                <w:sz w:val="24"/>
                <w:highlight w:val="none"/>
              </w:rPr>
              <w:t>闲置</w:t>
            </w:r>
            <w:r>
              <w:rPr>
                <w:color w:val="auto"/>
                <w:sz w:val="24"/>
                <w:highlight w:val="none"/>
              </w:rPr>
              <w:t>厂房，</w:t>
            </w:r>
            <w:r>
              <w:rPr>
                <w:rFonts w:hint="eastAsia"/>
                <w:color w:val="auto"/>
                <w:sz w:val="24"/>
                <w:highlight w:val="none"/>
              </w:rPr>
              <w:t>总建筑面积约1</w:t>
            </w:r>
            <w:r>
              <w:rPr>
                <w:rFonts w:hint="eastAsia"/>
                <w:color w:val="auto"/>
                <w:sz w:val="24"/>
                <w:highlight w:val="none"/>
                <w:lang w:val="en-US" w:eastAsia="zh-CN"/>
              </w:rPr>
              <w:t>1</w:t>
            </w:r>
            <w:r>
              <w:rPr>
                <w:rFonts w:hint="eastAsia"/>
                <w:color w:val="auto"/>
                <w:sz w:val="24"/>
                <w:highlight w:val="none"/>
              </w:rPr>
              <w:t>000平方米</w:t>
            </w:r>
            <w:r>
              <w:rPr>
                <w:rFonts w:hint="eastAsia"/>
                <w:color w:val="auto"/>
                <w:sz w:val="24"/>
                <w:highlight w:val="none"/>
                <w:lang w:eastAsia="zh-CN"/>
              </w:rPr>
              <w:t>。</w:t>
            </w:r>
          </w:p>
          <w:p w14:paraId="31F29B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olor w:val="auto"/>
                <w:sz w:val="24"/>
                <w:highlight w:val="none"/>
                <w:lang w:val="en-US" w:eastAsia="zh-CN"/>
              </w:rPr>
              <w:t>现有纸托项目不涉及有工业废水或者废气排放的，根据</w:t>
            </w:r>
            <w:r>
              <w:rPr>
                <w:rFonts w:hint="default" w:ascii="Times New Roman" w:hAnsi="Times New Roman" w:eastAsia="宋体" w:cs="Times New Roman"/>
                <w:color w:val="auto"/>
                <w:sz w:val="24"/>
                <w:szCs w:val="24"/>
                <w:highlight w:val="none"/>
                <w:lang w:val="en-US" w:eastAsia="zh-CN"/>
              </w:rPr>
              <w:t>《建设项目环境影响评价分类管理名录（2021 年版）》</w:t>
            </w:r>
            <w:r>
              <w:rPr>
                <w:rFonts w:hint="eastAsia" w:ascii="Times New Roman" w:hAnsi="Times New Roman" w:eastAsia="宋体" w:cs="Times New Roman"/>
                <w:color w:val="auto"/>
                <w:sz w:val="24"/>
                <w:szCs w:val="24"/>
                <w:highlight w:val="none"/>
                <w:lang w:val="en-US" w:eastAsia="zh-CN"/>
              </w:rPr>
              <w:t>，现有纸托项目无需履行环评手续；根据《固定污染源排污许可分类管理名录》（2019年版），现有纸托项目属于“其他”为登记管理，2025年07月30日取得登记回执（登记编号：91341302MA8NY6PJ93001P）。</w:t>
            </w:r>
          </w:p>
          <w:p w14:paraId="026FA2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highlight w:val="none"/>
                <w:lang w:val="en-US" w:eastAsia="zh-CN"/>
              </w:rPr>
            </w:pPr>
            <w:r>
              <w:rPr>
                <w:rFonts w:hint="eastAsia" w:eastAsia="宋体"/>
                <w:color w:val="auto"/>
                <w:sz w:val="24"/>
                <w:lang w:val="en-US" w:eastAsia="zh-CN"/>
              </w:rPr>
              <w:t>现为降低成本，提高纸托产品质量。安徽云泽环保材料有限公司将现有纸托生产</w:t>
            </w:r>
            <w:r>
              <w:rPr>
                <w:rFonts w:hint="eastAsia" w:eastAsia="宋体"/>
                <w:color w:val="auto"/>
                <w:sz w:val="24"/>
                <w:highlight w:val="none"/>
                <w:lang w:val="en-US" w:eastAsia="zh-CN"/>
              </w:rPr>
              <w:t>工艺进行调整，湿法破碎工序加入纸模专用施胶剂，成品纸托外包装箱进行喷码。</w:t>
            </w:r>
          </w:p>
          <w:p w14:paraId="0FB400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在此背景下，安徽云泽环保材料有限公司年产1万吨纸托技改项目，项目已于</w:t>
            </w:r>
            <w:r>
              <w:rPr>
                <w:rFonts w:hint="eastAsia" w:ascii="Times New Roman" w:hAnsi="Times New Roman" w:eastAsia="宋体" w:cs="Times New Roman"/>
                <w:bCs/>
                <w:color w:val="auto"/>
                <w:sz w:val="24"/>
                <w:highlight w:val="none"/>
                <w:lang w:val="en-US" w:eastAsia="zh-CN"/>
              </w:rPr>
              <w:t>埇桥区</w:t>
            </w:r>
            <w:r>
              <w:rPr>
                <w:rFonts w:hint="eastAsia" w:ascii="Times New Roman" w:hAnsi="Times New Roman" w:eastAsia="宋体" w:cs="Times New Roman"/>
                <w:bCs/>
                <w:color w:val="auto"/>
                <w:sz w:val="24"/>
                <w:highlight w:val="none"/>
                <w:lang w:eastAsia="zh-CN"/>
              </w:rPr>
              <w:t>经济和信息化局</w:t>
            </w:r>
            <w:r>
              <w:rPr>
                <w:rFonts w:hint="eastAsia" w:eastAsia="宋体"/>
                <w:color w:val="auto"/>
                <w:sz w:val="24"/>
                <w:highlight w:val="none"/>
                <w:lang w:val="en-US" w:eastAsia="zh-CN"/>
              </w:rPr>
              <w:t>备案，</w:t>
            </w:r>
            <w:r>
              <w:rPr>
                <w:rFonts w:hint="eastAsia" w:ascii="Times New Roman" w:hAnsi="Times New Roman" w:eastAsia="宋体" w:cs="Times New Roman"/>
                <w:bCs/>
                <w:color w:val="auto"/>
                <w:sz w:val="24"/>
                <w:highlight w:val="none"/>
                <w:lang w:val="en-US" w:eastAsia="zh-CN"/>
              </w:rPr>
              <w:t>项目代码为2507-341302-07-01-106238</w:t>
            </w:r>
            <w:r>
              <w:rPr>
                <w:rFonts w:hint="eastAsia" w:eastAsia="宋体"/>
                <w:color w:val="auto"/>
                <w:sz w:val="24"/>
                <w:highlight w:val="none"/>
                <w:lang w:val="en-US" w:eastAsia="zh-CN"/>
              </w:rPr>
              <w:t>。</w:t>
            </w:r>
          </w:p>
          <w:p w14:paraId="012F3955">
            <w:pPr>
              <w:spacing w:line="360" w:lineRule="auto"/>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val="en-US" w:eastAsia="zh-CN"/>
              </w:rPr>
              <w:t>新购入喷码设备、废气环保设施。晾晒棚、生产车间、办公楼等依托现有。</w:t>
            </w:r>
          </w:p>
          <w:p w14:paraId="16616D7B">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项目技术改造过程中，原有项目不停产，仅将原有生产线中</w:t>
            </w:r>
            <w:r>
              <w:rPr>
                <w:rFonts w:hint="eastAsia" w:cs="Times New Roman"/>
                <w:color w:val="auto"/>
                <w:sz w:val="24"/>
                <w:szCs w:val="24"/>
                <w:highlight w:val="none"/>
                <w:lang w:val="en-US" w:eastAsia="zh-CN"/>
              </w:rPr>
              <w:t>包装环节进行喷码，增加新的喷码设备</w:t>
            </w:r>
            <w:r>
              <w:rPr>
                <w:rFonts w:hint="default" w:ascii="Times New Roman" w:hAnsi="Times New Roman" w:eastAsia="宋体" w:cs="Times New Roman"/>
                <w:color w:val="auto"/>
                <w:sz w:val="24"/>
                <w:szCs w:val="24"/>
                <w:highlight w:val="none"/>
                <w:lang w:val="en-US" w:eastAsia="zh-CN"/>
              </w:rPr>
              <w:t>。</w:t>
            </w:r>
          </w:p>
          <w:p w14:paraId="526687A4">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（2）环评报告类别确定</w:t>
            </w:r>
          </w:p>
          <w:p w14:paraId="4C345F53">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根据《中华人民共和国环境保护法》《中华人民共和国环境影响评价法》《建设项目环境影响评价分类管理名录（2021 年版）》（生态环境部令第16号）中的有关</w:t>
            </w:r>
            <w:r>
              <w:rPr>
                <w:rFonts w:hint="default" w:ascii="Times New Roman" w:hAnsi="Times New Roman" w:eastAsia="宋体" w:cs="Times New Roman"/>
                <w:color w:val="auto"/>
                <w:sz w:val="24"/>
                <w:szCs w:val="24"/>
                <w:highlight w:val="none"/>
                <w:lang w:val="en-US" w:eastAsia="zh-CN"/>
              </w:rPr>
              <w:t>规定，本项目属于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十九、造纸和纸制品业 22 </w:t>
            </w:r>
            <w:r>
              <w:rPr>
                <w:rFonts w:hint="eastAsia" w:ascii="Times New Roman" w:hAnsi="Times New Roman" w:eastAsia="宋体" w:cs="Times New Roman"/>
                <w:color w:val="auto"/>
                <w:sz w:val="24"/>
                <w:szCs w:val="24"/>
                <w:highlight w:val="none"/>
                <w:lang w:val="en-US" w:eastAsia="zh-CN"/>
              </w:rPr>
              <w:t>纸制品制造 223*，有涂布、浸渍、印刷、粘胶工艺的”、“三十九、废弃资源综合利用业 42”，按最高类别确定应编制环境影响报告表</w:t>
            </w:r>
            <w:r>
              <w:rPr>
                <w:rFonts w:hint="default" w:ascii="Times New Roman" w:hAnsi="Times New Roman" w:eastAsia="宋体" w:cs="Times New Roman"/>
                <w:color w:val="auto"/>
                <w:sz w:val="24"/>
                <w:szCs w:val="24"/>
                <w:highlight w:val="none"/>
                <w:lang w:val="en-US" w:eastAsia="zh-CN"/>
              </w:rPr>
              <w:t>。</w:t>
            </w:r>
          </w:p>
          <w:p w14:paraId="774C40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eastAsia="宋体" w:cs="Times New Roman"/>
                <w:b/>
                <w:bCs/>
                <w:color w:val="auto"/>
                <w:sz w:val="24"/>
                <w:lang w:val="en-US" w:eastAsia="zh-CN"/>
              </w:rPr>
              <w:t>表</w:t>
            </w:r>
            <w:r>
              <w:rPr>
                <w:rFonts w:hint="eastAsia" w:ascii="Times New Roman" w:hAnsi="Times New Roman" w:eastAsia="宋体" w:cs="Times New Roman"/>
                <w:b/>
                <w:bCs/>
                <w:color w:val="auto"/>
                <w:sz w:val="24"/>
                <w:lang w:val="en-US" w:eastAsia="zh-CN"/>
              </w:rPr>
              <w:t>2.</w:t>
            </w:r>
            <w:r>
              <w:rPr>
                <w:rFonts w:hint="default" w:ascii="Times New Roman" w:hAnsi="Times New Roman" w:cs="Times New Roman"/>
                <w:b/>
                <w:bCs/>
                <w:color w:val="auto"/>
                <w:sz w:val="24"/>
                <w:lang w:val="en-US" w:eastAsia="zh-CN"/>
              </w:rPr>
              <w:t xml:space="preserve">1  </w:t>
            </w:r>
            <w:r>
              <w:rPr>
                <w:rFonts w:hint="default" w:ascii="Times New Roman" w:hAnsi="Times New Roman" w:eastAsia="宋体" w:cs="Times New Roman"/>
                <w:b/>
                <w:bCs/>
                <w:color w:val="auto"/>
                <w:kern w:val="0"/>
                <w:sz w:val="24"/>
                <w:szCs w:val="24"/>
                <w:lang w:val="en-US" w:eastAsia="zh-CN" w:bidi="ar"/>
              </w:rPr>
              <w:t>环评类别对照表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866"/>
              <w:gridCol w:w="982"/>
              <w:gridCol w:w="2478"/>
              <w:gridCol w:w="980"/>
              <w:gridCol w:w="1207"/>
            </w:tblGrid>
            <w:tr w14:paraId="2EDC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pct"/>
                  <w:gridSpan w:val="2"/>
                  <w:vMerge w:val="restart"/>
                  <w:noWrap w:val="0"/>
                  <w:vAlign w:val="center"/>
                </w:tcPr>
                <w:p w14:paraId="504E8582">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项目类别</w:t>
                  </w:r>
                </w:p>
                <w:p w14:paraId="2F63D875">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环评类别</w:t>
                  </w:r>
                </w:p>
              </w:tc>
              <w:tc>
                <w:tcPr>
                  <w:tcW w:w="2777" w:type="pct"/>
                  <w:gridSpan w:val="3"/>
                  <w:noWrap w:val="0"/>
                  <w:vAlign w:val="center"/>
                </w:tcPr>
                <w:p w14:paraId="2C4F79D1">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环境影响评价类别</w:t>
                  </w:r>
                </w:p>
              </w:tc>
              <w:tc>
                <w:tcPr>
                  <w:tcW w:w="753" w:type="pct"/>
                  <w:vMerge w:val="restart"/>
                  <w:noWrap w:val="0"/>
                  <w:vAlign w:val="center"/>
                </w:tcPr>
                <w:p w14:paraId="5F748E7D">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项目环评类别判定</w:t>
                  </w:r>
                </w:p>
              </w:tc>
            </w:tr>
            <w:tr w14:paraId="6C92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pct"/>
                  <w:gridSpan w:val="2"/>
                  <w:vMerge w:val="continue"/>
                  <w:noWrap w:val="0"/>
                  <w:vAlign w:val="center"/>
                </w:tcPr>
                <w:p w14:paraId="24278C29">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p>
              </w:tc>
              <w:tc>
                <w:tcPr>
                  <w:tcW w:w="614" w:type="pct"/>
                  <w:noWrap w:val="0"/>
                  <w:vAlign w:val="center"/>
                </w:tcPr>
                <w:p w14:paraId="13C8A769">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报告书</w:t>
                  </w:r>
                </w:p>
              </w:tc>
              <w:tc>
                <w:tcPr>
                  <w:tcW w:w="1550" w:type="pct"/>
                  <w:noWrap w:val="0"/>
                  <w:vAlign w:val="center"/>
                </w:tcPr>
                <w:p w14:paraId="2B09BEB5">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报告表</w:t>
                  </w:r>
                </w:p>
              </w:tc>
              <w:tc>
                <w:tcPr>
                  <w:tcW w:w="612" w:type="pct"/>
                  <w:noWrap w:val="0"/>
                  <w:vAlign w:val="center"/>
                </w:tcPr>
                <w:p w14:paraId="6D7D90CB">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登记表</w:t>
                  </w:r>
                </w:p>
              </w:tc>
              <w:tc>
                <w:tcPr>
                  <w:tcW w:w="753" w:type="pct"/>
                  <w:vMerge w:val="continue"/>
                  <w:noWrap w:val="0"/>
                  <w:vAlign w:val="center"/>
                </w:tcPr>
                <w:p w14:paraId="26EEEDF0">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rPr>
                  </w:pPr>
                </w:p>
              </w:tc>
            </w:tr>
            <w:tr w14:paraId="73A3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76412A99">
                  <w:pPr>
                    <w:keepNext w:val="0"/>
                    <w:keepLines w:val="0"/>
                    <w:pageBreakBefore w:val="0"/>
                    <w:widowControl/>
                    <w:kinsoku/>
                    <w:wordWrap/>
                    <w:overflowPunct/>
                    <w:topLinePunct w:val="0"/>
                    <w:autoSpaceDE/>
                    <w:autoSpaceDN/>
                    <w:bidi w:val="0"/>
                    <w:adjustRightInd/>
                    <w:snapToGrid/>
                    <w:ind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十九、造纸和纸制品业 22 </w:t>
                  </w:r>
                </w:p>
              </w:tc>
            </w:tr>
            <w:tr w14:paraId="14F2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shd w:val="clear" w:color="auto" w:fill="auto"/>
                  <w:noWrap w:val="0"/>
                  <w:vAlign w:val="center"/>
                </w:tcPr>
                <w:p w14:paraId="665EDDB7">
                  <w:pPr>
                    <w:keepNext w:val="0"/>
                    <w:keepLines w:val="0"/>
                    <w:pageBreakBefore w:val="0"/>
                    <w:widowControl/>
                    <w:kinsoku/>
                    <w:wordWrap/>
                    <w:overflowPunct/>
                    <w:topLinePunct w:val="0"/>
                    <w:autoSpaceDE/>
                    <w:autoSpaceDN/>
                    <w:bidi w:val="0"/>
                    <w:adjustRightInd/>
                    <w:snapToGrid/>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1166" w:type="pct"/>
                  <w:shd w:val="clear" w:color="auto" w:fill="auto"/>
                  <w:noWrap w:val="0"/>
                  <w:vAlign w:val="center"/>
                </w:tcPr>
                <w:p w14:paraId="0338EC74">
                  <w:pPr>
                    <w:keepNext w:val="0"/>
                    <w:keepLines w:val="0"/>
                    <w:pageBreakBefore w:val="0"/>
                    <w:widowControl/>
                    <w:kinsoku/>
                    <w:wordWrap/>
                    <w:overflowPunct/>
                    <w:topLinePunct w:val="0"/>
                    <w:autoSpaceDE/>
                    <w:autoSpaceDN/>
                    <w:bidi w:val="0"/>
                    <w:adjustRightInd/>
                    <w:snapToGrid/>
                    <w:ind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纸制品制造 223*</w:t>
                  </w:r>
                </w:p>
              </w:tc>
              <w:tc>
                <w:tcPr>
                  <w:tcW w:w="614" w:type="pct"/>
                  <w:shd w:val="clear" w:color="auto" w:fill="auto"/>
                  <w:noWrap w:val="0"/>
                  <w:vAlign w:val="center"/>
                </w:tcPr>
                <w:p w14:paraId="09A9169A">
                  <w:pPr>
                    <w:keepNext w:val="0"/>
                    <w:keepLines w:val="0"/>
                    <w:pageBreakBefore w:val="0"/>
                    <w:widowControl/>
                    <w:kinsoku/>
                    <w:wordWrap/>
                    <w:overflowPunct/>
                    <w:topLinePunct w:val="0"/>
                    <w:autoSpaceDE/>
                    <w:autoSpaceDN/>
                    <w:bidi w:val="0"/>
                    <w:adjustRightInd/>
                    <w:snapToGrid/>
                    <w:ind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c>
                <w:tcPr>
                  <w:tcW w:w="1550" w:type="pct"/>
                  <w:shd w:val="clear" w:color="auto" w:fill="BEBEBE"/>
                  <w:noWrap w:val="0"/>
                  <w:vAlign w:val="center"/>
                </w:tcPr>
                <w:p w14:paraId="294955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有涂布、浸渍、印刷、粘胶工艺的</w:t>
                  </w:r>
                </w:p>
              </w:tc>
              <w:tc>
                <w:tcPr>
                  <w:tcW w:w="612" w:type="pct"/>
                  <w:noWrap w:val="0"/>
                  <w:vAlign w:val="center"/>
                </w:tcPr>
                <w:p w14:paraId="52F47FFE">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53" w:type="pct"/>
                  <w:noWrap w:val="0"/>
                  <w:vAlign w:val="center"/>
                </w:tcPr>
                <w:p w14:paraId="3DB604E5">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bidi="ar"/>
                    </w:rPr>
                    <w:t>报告表</w:t>
                  </w:r>
                </w:p>
              </w:tc>
            </w:tr>
            <w:tr w14:paraId="4821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0"/>
                  <w:vAlign w:val="center"/>
                </w:tcPr>
                <w:p w14:paraId="66457A06">
                  <w:pPr>
                    <w:keepNext w:val="0"/>
                    <w:keepLines w:val="0"/>
                    <w:pageBreakBefore w:val="0"/>
                    <w:widowControl/>
                    <w:kinsoku/>
                    <w:wordWrap/>
                    <w:overflowPunct/>
                    <w:topLinePunct w:val="0"/>
                    <w:autoSpaceDE/>
                    <w:autoSpaceDN/>
                    <w:bidi w:val="0"/>
                    <w:adjustRightInd/>
                    <w:snapToGrid/>
                    <w:ind w:firstLineChars="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
                      <w:bCs/>
                      <w:color w:val="auto"/>
                      <w:sz w:val="21"/>
                      <w:szCs w:val="21"/>
                      <w:lang w:val="en-US" w:eastAsia="zh-CN"/>
                    </w:rPr>
                    <w:t>三十九、废弃资源综合利用业 42</w:t>
                  </w:r>
                </w:p>
              </w:tc>
            </w:tr>
            <w:tr w14:paraId="3B5A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shd w:val="clear" w:color="auto" w:fill="auto"/>
                  <w:noWrap w:val="0"/>
                  <w:vAlign w:val="center"/>
                </w:tcPr>
                <w:p w14:paraId="19EE8748">
                  <w:pPr>
                    <w:keepNext w:val="0"/>
                    <w:keepLines w:val="0"/>
                    <w:pageBreakBefore w:val="0"/>
                    <w:widowControl/>
                    <w:kinsoku/>
                    <w:wordWrap/>
                    <w:overflowPunct/>
                    <w:topLinePunct w:val="0"/>
                    <w:autoSpaceDE/>
                    <w:autoSpaceDN/>
                    <w:bidi w:val="0"/>
                    <w:adjustRightInd/>
                    <w:snapToGrid/>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w:t>
                  </w:r>
                </w:p>
              </w:tc>
              <w:tc>
                <w:tcPr>
                  <w:tcW w:w="1166" w:type="pct"/>
                  <w:shd w:val="clear" w:color="auto" w:fill="auto"/>
                  <w:noWrap w:val="0"/>
                  <w:vAlign w:val="center"/>
                </w:tcPr>
                <w:p w14:paraId="34516317">
                  <w:pPr>
                    <w:keepNext w:val="0"/>
                    <w:keepLines w:val="0"/>
                    <w:pageBreakBefore w:val="0"/>
                    <w:widowControl/>
                    <w:kinsoku/>
                    <w:wordWrap/>
                    <w:overflowPunct/>
                    <w:topLinePunct w:val="0"/>
                    <w:autoSpaceDE/>
                    <w:autoSpaceDN/>
                    <w:bidi w:val="0"/>
                    <w:adjustRightInd/>
                    <w:snapToGrid/>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金属废料和碎屑加工处理421；非 金属废料和碎屑加工处理422 （421和422均不含原料为危险废物的，均不含仅分 拣、破碎的）</w:t>
                  </w:r>
                </w:p>
              </w:tc>
              <w:tc>
                <w:tcPr>
                  <w:tcW w:w="614" w:type="pct"/>
                  <w:shd w:val="clear" w:color="auto" w:fill="auto"/>
                  <w:noWrap w:val="0"/>
                  <w:vAlign w:val="center"/>
                </w:tcPr>
                <w:p w14:paraId="711CE7F5">
                  <w:pPr>
                    <w:keepNext w:val="0"/>
                    <w:keepLines w:val="0"/>
                    <w:pageBreakBefore w:val="0"/>
                    <w:widowControl/>
                    <w:kinsoku/>
                    <w:wordWrap/>
                    <w:overflowPunct/>
                    <w:topLinePunct w:val="0"/>
                    <w:autoSpaceDE/>
                    <w:autoSpaceDN/>
                    <w:bidi w:val="0"/>
                    <w:adjustRightInd/>
                    <w:snapToGrid/>
                    <w:ind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废电池、废油加工处理</w:t>
                  </w:r>
                </w:p>
              </w:tc>
              <w:tc>
                <w:tcPr>
                  <w:tcW w:w="1550" w:type="pct"/>
                  <w:shd w:val="clear" w:color="auto" w:fill="auto"/>
                  <w:noWrap w:val="0"/>
                  <w:vAlign w:val="center"/>
                </w:tcPr>
                <w:p w14:paraId="17DAB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废弃电器电子产品、废机动车、废电机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废电线电缆、废钢、废铁、金属和金属化合物矿灰及残渣、有色金属废料与碎屑、废塑料、废轮 胎、废船、含水洗工艺的其他废料和碎屑加工处理（农业生产产生的废旧秧盘</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薄膜破碎和清洗工艺的除外）</w:t>
                  </w:r>
                </w:p>
              </w:tc>
              <w:tc>
                <w:tcPr>
                  <w:tcW w:w="612" w:type="pct"/>
                  <w:shd w:val="clear" w:color="auto" w:fill="BEBEBE" w:themeFill="background1" w:themeFillShade="BF"/>
                  <w:noWrap w:val="0"/>
                  <w:vAlign w:val="center"/>
                </w:tcPr>
                <w:p w14:paraId="7FCF9DFE">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ascii="宋体" w:hAnsi="宋体" w:eastAsia="宋体" w:cs="宋体"/>
                      <w:sz w:val="24"/>
                      <w:szCs w:val="24"/>
                    </w:rPr>
                    <w:t>/</w:t>
                  </w:r>
                </w:p>
              </w:tc>
              <w:tc>
                <w:tcPr>
                  <w:tcW w:w="753" w:type="pct"/>
                  <w:noWrap w:val="0"/>
                  <w:vAlign w:val="center"/>
                </w:tcPr>
                <w:p w14:paraId="045B4D76">
                  <w:pPr>
                    <w:pStyle w:val="1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w:t>
                  </w:r>
                </w:p>
              </w:tc>
            </w:tr>
          </w:tbl>
          <w:p w14:paraId="4D4C037F">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（3）排污许可管理类别确定</w:t>
            </w:r>
          </w:p>
          <w:p w14:paraId="659BA2F5">
            <w:pPr>
              <w:widowControl w:val="0"/>
              <w:kinsoku/>
              <w:autoSpaceDE/>
              <w:autoSpaceDN/>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根据《固定污染源排污许可分类管理名录》（</w:t>
            </w:r>
            <w:r>
              <w:rPr>
                <w:rFonts w:hint="default" w:ascii="Times New Roman" w:hAnsi="Times New Roman" w:eastAsia="宋体" w:cs="Times New Roman"/>
                <w:color w:val="auto"/>
                <w:sz w:val="24"/>
                <w:szCs w:val="24"/>
                <w:highlight w:val="none"/>
                <w:lang w:val="en-US" w:eastAsia="zh-CN"/>
              </w:rPr>
              <w:t>2019年版），本项目属于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十七、造纸和纸制品业 22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。其中</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纸制品制造 223</w:t>
            </w:r>
            <w:r>
              <w:rPr>
                <w:rFonts w:hint="eastAsia" w:ascii="Times New Roman" w:hAnsi="Times New Roman" w:eastAsia="宋体" w:cs="Times New Roman"/>
                <w:color w:val="auto"/>
                <w:sz w:val="24"/>
                <w:szCs w:val="24"/>
                <w:highlight w:val="none"/>
                <w:lang w:val="en-US" w:eastAsia="zh-CN"/>
              </w:rPr>
              <w:t xml:space="preserve"> 有工业废水或者废气排放的”</w:t>
            </w:r>
            <w:r>
              <w:rPr>
                <w:rFonts w:hint="default" w:ascii="Times New Roman" w:hAnsi="Times New Roman" w:eastAsia="宋体" w:cs="Times New Roman"/>
                <w:color w:val="auto"/>
                <w:sz w:val="24"/>
                <w:szCs w:val="24"/>
                <w:highlight w:val="none"/>
                <w:lang w:eastAsia="zh-CN"/>
              </w:rPr>
              <w:t>为</w:t>
            </w:r>
            <w:r>
              <w:rPr>
                <w:rFonts w:hint="eastAsia" w:ascii="Times New Roman" w:hAnsi="Times New Roman" w:eastAsia="宋体" w:cs="Times New Roman"/>
                <w:color w:val="auto"/>
                <w:sz w:val="24"/>
                <w:szCs w:val="24"/>
                <w:highlight w:val="none"/>
                <w:lang w:val="en-US" w:eastAsia="zh-CN"/>
              </w:rPr>
              <w:t>简化</w:t>
            </w:r>
            <w:r>
              <w:rPr>
                <w:rFonts w:hint="default" w:ascii="Times New Roman" w:hAnsi="Times New Roman" w:eastAsia="宋体" w:cs="Times New Roman"/>
                <w:color w:val="auto"/>
                <w:sz w:val="24"/>
                <w:szCs w:val="24"/>
                <w:highlight w:val="none"/>
                <w:lang w:eastAsia="zh-CN"/>
              </w:rPr>
              <w:t>管理，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其他</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为登记管理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三十七、废弃资源综合利用业 42”，其中</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废电池、废油、废轮胎加工处理”</w:t>
            </w:r>
            <w:r>
              <w:rPr>
                <w:rFonts w:hint="default" w:ascii="Times New Roman" w:hAnsi="Times New Roman" w:eastAsia="宋体" w:cs="Times New Roman"/>
                <w:color w:val="auto"/>
                <w:sz w:val="24"/>
                <w:szCs w:val="24"/>
                <w:highlight w:val="none"/>
                <w:lang w:eastAsia="zh-CN"/>
              </w:rPr>
              <w:t>为</w:t>
            </w:r>
            <w:r>
              <w:rPr>
                <w:rFonts w:hint="eastAsia" w:ascii="Times New Roman" w:hAnsi="Times New Roman" w:eastAsia="宋体" w:cs="Times New Roman"/>
                <w:color w:val="auto"/>
                <w:sz w:val="24"/>
                <w:szCs w:val="24"/>
                <w:highlight w:val="none"/>
                <w:lang w:val="en-US" w:eastAsia="zh-CN"/>
              </w:rPr>
              <w:t>重点</w:t>
            </w:r>
            <w:r>
              <w:rPr>
                <w:rFonts w:hint="default" w:ascii="Times New Roman" w:hAnsi="Times New Roman" w:eastAsia="宋体" w:cs="Times New Roman"/>
                <w:color w:val="auto"/>
                <w:sz w:val="24"/>
                <w:szCs w:val="24"/>
                <w:highlight w:val="none"/>
                <w:lang w:eastAsia="zh-CN"/>
              </w:rPr>
              <w:t>管理，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废弃电器电子产品、废机动车、废电机、废电线电缆、废塑料、废船、含水洗工艺的其他废料和碎屑加工处理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为简化管理，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其他</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为登记管理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综合考虑，</w:t>
            </w:r>
            <w:r>
              <w:rPr>
                <w:rFonts w:hint="default" w:ascii="Times New Roman" w:hAnsi="Times New Roman" w:eastAsia="宋体" w:cs="Times New Roman"/>
                <w:color w:val="auto"/>
                <w:sz w:val="24"/>
                <w:szCs w:val="24"/>
                <w:highlight w:val="none"/>
                <w:lang w:eastAsia="zh-CN"/>
              </w:rPr>
              <w:t>本项目年产</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万吨</w:t>
            </w:r>
            <w:r>
              <w:rPr>
                <w:rFonts w:hint="default" w:ascii="Times New Roman" w:hAnsi="Times New Roman" w:eastAsia="宋体" w:cs="Times New Roman"/>
                <w:color w:val="auto"/>
                <w:sz w:val="24"/>
                <w:szCs w:val="24"/>
                <w:highlight w:val="none"/>
                <w:lang w:val="en-US" w:eastAsia="zh-CN"/>
              </w:rPr>
              <w:t>纸托技改</w:t>
            </w:r>
            <w:r>
              <w:rPr>
                <w:rFonts w:hint="default" w:ascii="Times New Roman" w:hAnsi="Times New Roman" w:eastAsia="宋体" w:cs="Times New Roman"/>
                <w:color w:val="auto"/>
                <w:sz w:val="24"/>
                <w:szCs w:val="24"/>
                <w:highlight w:val="none"/>
                <w:lang w:eastAsia="zh-CN"/>
              </w:rPr>
              <w:t>项</w:t>
            </w:r>
            <w:r>
              <w:rPr>
                <w:rFonts w:hint="eastAsia" w:ascii="Times New Roman" w:hAnsi="Times New Roman" w:eastAsia="宋体" w:cs="Times New Roman"/>
                <w:color w:val="auto"/>
                <w:sz w:val="24"/>
                <w:szCs w:val="24"/>
                <w:highlight w:val="none"/>
                <w:lang w:val="en-US" w:eastAsia="zh-CN"/>
              </w:rPr>
              <w:t>目</w:t>
            </w:r>
            <w:r>
              <w:rPr>
                <w:rFonts w:hint="default" w:ascii="Times New Roman" w:hAnsi="Times New Roman" w:eastAsia="宋体" w:cs="Times New Roman"/>
                <w:color w:val="auto"/>
                <w:sz w:val="24"/>
                <w:szCs w:val="24"/>
                <w:highlight w:val="none"/>
                <w:lang w:val="en-US" w:eastAsia="zh-CN"/>
              </w:rPr>
              <w:t>，属于</w:t>
            </w:r>
            <w:r>
              <w:rPr>
                <w:rFonts w:hint="eastAsia" w:ascii="Times New Roman" w:hAnsi="Times New Roman" w:eastAsia="宋体" w:cs="Times New Roman"/>
                <w:b/>
                <w:bCs/>
                <w:color w:val="auto"/>
                <w:sz w:val="24"/>
                <w:szCs w:val="24"/>
                <w:highlight w:val="none"/>
                <w:lang w:val="en-US" w:eastAsia="zh-CN"/>
              </w:rPr>
              <w:t>简化</w:t>
            </w:r>
            <w:r>
              <w:rPr>
                <w:rFonts w:hint="default" w:ascii="Times New Roman" w:hAnsi="Times New Roman" w:eastAsia="宋体" w:cs="Times New Roman"/>
                <w:b/>
                <w:bCs/>
                <w:color w:val="auto"/>
                <w:sz w:val="24"/>
                <w:szCs w:val="24"/>
                <w:highlight w:val="none"/>
                <w:lang w:eastAsia="zh-CN"/>
              </w:rPr>
              <w:t>管理</w:t>
            </w:r>
            <w:r>
              <w:rPr>
                <w:rFonts w:hint="default" w:ascii="Times New Roman" w:hAnsi="Times New Roman" w:eastAsia="宋体" w:cs="Times New Roman"/>
                <w:color w:val="auto"/>
                <w:sz w:val="24"/>
                <w:szCs w:val="24"/>
                <w:highlight w:val="none"/>
                <w:lang w:val="en-US" w:eastAsia="zh-CN"/>
              </w:rPr>
              <w:t>。</w:t>
            </w:r>
          </w:p>
          <w:p w14:paraId="76F491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2  排污许可类别对照</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1164"/>
              <w:gridCol w:w="1052"/>
              <w:gridCol w:w="3120"/>
              <w:gridCol w:w="1081"/>
              <w:gridCol w:w="1073"/>
            </w:tblGrid>
            <w:tr w14:paraId="7041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3" w:type="pct"/>
                  <w:gridSpan w:val="2"/>
                  <w:vMerge w:val="restart"/>
                  <w:noWrap w:val="0"/>
                  <w:vAlign w:val="center"/>
                </w:tcPr>
                <w:p w14:paraId="3D4F7125">
                  <w:pPr>
                    <w:keepNext w:val="0"/>
                    <w:keepLines w:val="0"/>
                    <w:pageBreakBefore w:val="0"/>
                    <w:widowControl w:val="0"/>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项目类别</w:t>
                  </w:r>
                </w:p>
                <w:p w14:paraId="0EBC74A3">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排污许可类别</w:t>
                  </w:r>
                </w:p>
              </w:tc>
              <w:tc>
                <w:tcPr>
                  <w:tcW w:w="3286" w:type="pct"/>
                  <w:gridSpan w:val="3"/>
                  <w:noWrap w:val="0"/>
                  <w:vAlign w:val="center"/>
                </w:tcPr>
                <w:p w14:paraId="257A475A">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排污许可类别</w:t>
                  </w:r>
                </w:p>
              </w:tc>
              <w:tc>
                <w:tcPr>
                  <w:tcW w:w="669" w:type="pct"/>
                  <w:vMerge w:val="restart"/>
                  <w:noWrap w:val="0"/>
                  <w:vAlign w:val="center"/>
                </w:tcPr>
                <w:p w14:paraId="572E0F7C">
                  <w:pPr>
                    <w:keepNext w:val="0"/>
                    <w:keepLines w:val="0"/>
                    <w:pageBreakBefore w:val="0"/>
                    <w:widowControl/>
                    <w:kinsoku/>
                    <w:wordWrap/>
                    <w:overflowPunct/>
                    <w:topLinePunct w:val="0"/>
                    <w:autoSpaceDE/>
                    <w:autoSpaceDN/>
                    <w:bidi w:val="0"/>
                    <w:adjustRightInd w:val="0"/>
                    <w:snapToGrid w:val="0"/>
                    <w:ind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排污许可</w:t>
                  </w:r>
                </w:p>
                <w:p w14:paraId="654D2E07">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管理类别</w:t>
                  </w:r>
                </w:p>
              </w:tc>
            </w:tr>
            <w:tr w14:paraId="2975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3" w:type="pct"/>
                  <w:gridSpan w:val="2"/>
                  <w:vMerge w:val="continue"/>
                  <w:noWrap w:val="0"/>
                  <w:vAlign w:val="center"/>
                </w:tcPr>
                <w:p w14:paraId="0332085C">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rPr>
                  </w:pPr>
                </w:p>
              </w:tc>
              <w:tc>
                <w:tcPr>
                  <w:tcW w:w="658" w:type="pct"/>
                  <w:noWrap w:val="0"/>
                  <w:vAlign w:val="center"/>
                </w:tcPr>
                <w:p w14:paraId="4F2ECEEF">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w:t>
                  </w:r>
                </w:p>
              </w:tc>
              <w:tc>
                <w:tcPr>
                  <w:tcW w:w="1952" w:type="pct"/>
                  <w:noWrap w:val="0"/>
                  <w:vAlign w:val="center"/>
                </w:tcPr>
                <w:p w14:paraId="492B1802">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简化</w:t>
                  </w:r>
                </w:p>
              </w:tc>
              <w:tc>
                <w:tcPr>
                  <w:tcW w:w="675" w:type="pct"/>
                  <w:noWrap w:val="0"/>
                  <w:vAlign w:val="center"/>
                </w:tcPr>
                <w:p w14:paraId="58490284">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登记</w:t>
                  </w:r>
                </w:p>
              </w:tc>
              <w:tc>
                <w:tcPr>
                  <w:tcW w:w="669" w:type="pct"/>
                  <w:vMerge w:val="continue"/>
                  <w:noWrap w:val="0"/>
                  <w:vAlign w:val="center"/>
                </w:tcPr>
                <w:p w14:paraId="74381F47">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rPr>
                  </w:pPr>
                </w:p>
              </w:tc>
            </w:tr>
            <w:tr w14:paraId="2E6D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6"/>
                  <w:noWrap w:val="0"/>
                  <w:vAlign w:val="center"/>
                </w:tcPr>
                <w:p w14:paraId="30BE3227">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十七、造纸和纸制品业 22</w:t>
                  </w:r>
                </w:p>
              </w:tc>
            </w:tr>
            <w:tr w14:paraId="04D3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shd w:val="clear" w:color="auto" w:fill="auto"/>
                  <w:noWrap w:val="0"/>
                  <w:vAlign w:val="center"/>
                </w:tcPr>
                <w:p w14:paraId="06157ABC">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728" w:type="pct"/>
                  <w:shd w:val="clear" w:color="auto" w:fill="auto"/>
                  <w:noWrap w:val="0"/>
                  <w:vAlign w:val="center"/>
                </w:tcPr>
                <w:p w14:paraId="197B32AC">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纸制品制造 223</w:t>
                  </w:r>
                </w:p>
              </w:tc>
              <w:tc>
                <w:tcPr>
                  <w:tcW w:w="658" w:type="pct"/>
                  <w:shd w:val="clear" w:color="auto" w:fill="auto"/>
                  <w:noWrap w:val="0"/>
                  <w:vAlign w:val="center"/>
                </w:tcPr>
                <w:p w14:paraId="31662766">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952" w:type="pct"/>
                  <w:shd w:val="clear" w:color="auto" w:fill="BEBEBE" w:themeFill="background1" w:themeFillShade="BF"/>
                  <w:noWrap w:val="0"/>
                  <w:vAlign w:val="center"/>
                </w:tcPr>
                <w:p w14:paraId="730C6066">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有工业废水或者废气排放的</w:t>
                  </w:r>
                </w:p>
              </w:tc>
              <w:tc>
                <w:tcPr>
                  <w:tcW w:w="675" w:type="pct"/>
                  <w:shd w:val="clear" w:color="auto" w:fill="auto"/>
                  <w:noWrap w:val="0"/>
                  <w:vAlign w:val="center"/>
                </w:tcPr>
                <w:p w14:paraId="408FC7D7">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其他﹡</w:t>
                  </w:r>
                </w:p>
              </w:tc>
              <w:tc>
                <w:tcPr>
                  <w:tcW w:w="669" w:type="pct"/>
                  <w:noWrap w:val="0"/>
                  <w:vAlign w:val="center"/>
                </w:tcPr>
                <w:p w14:paraId="072FDDC8">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简化</w:t>
                  </w:r>
                </w:p>
              </w:tc>
            </w:tr>
            <w:tr w14:paraId="3576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0"/>
                  <w:vAlign w:val="center"/>
                </w:tcPr>
                <w:p w14:paraId="4C2C55A0">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lang w:val="en-US" w:eastAsia="zh-CN"/>
                    </w:rPr>
                    <w:t>三十七、废弃资源综合利用业 42</w:t>
                  </w:r>
                </w:p>
              </w:tc>
            </w:tr>
            <w:tr w14:paraId="4BE3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shd w:val="clear" w:color="auto" w:fill="auto"/>
                  <w:noWrap w:val="0"/>
                  <w:vAlign w:val="center"/>
                </w:tcPr>
                <w:p w14:paraId="78D7738E">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93</w:t>
                  </w:r>
                </w:p>
              </w:tc>
              <w:tc>
                <w:tcPr>
                  <w:tcW w:w="728" w:type="pct"/>
                  <w:shd w:val="clear" w:color="auto" w:fill="auto"/>
                  <w:noWrap w:val="0"/>
                  <w:vAlign w:val="center"/>
                </w:tcPr>
                <w:p w14:paraId="24E74AD0">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非金</w:t>
                  </w:r>
                </w:p>
                <w:p w14:paraId="5ABD1D5B">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属废料和碎屑加工处理 422</w:t>
                  </w:r>
                </w:p>
              </w:tc>
              <w:tc>
                <w:tcPr>
                  <w:tcW w:w="658" w:type="pct"/>
                  <w:shd w:val="clear" w:color="auto" w:fill="auto"/>
                  <w:noWrap w:val="0"/>
                  <w:vAlign w:val="center"/>
                </w:tcPr>
                <w:p w14:paraId="50ED009E">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废电池、废油、废轮胎加工处理</w:t>
                  </w:r>
                </w:p>
                <w:p w14:paraId="0A93EE61">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952" w:type="pct"/>
                  <w:shd w:val="clear" w:color="auto" w:fill="auto"/>
                  <w:noWrap w:val="0"/>
                  <w:vAlign w:val="center"/>
                </w:tcPr>
                <w:p w14:paraId="40368264">
                  <w:pPr>
                    <w:keepNext w:val="0"/>
                    <w:keepLines w:val="0"/>
                    <w:pageBreakBefore w:val="0"/>
                    <w:widowControl/>
                    <w:kinsoku/>
                    <w:wordWrap/>
                    <w:overflowPunct/>
                    <w:topLinePunct w:val="0"/>
                    <w:autoSpaceDE/>
                    <w:autoSpaceDN/>
                    <w:bidi w:val="0"/>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废弃电器电子产品、废机动车、废电机、废电线电缆、废塑料、废船、含水洗工艺的其他废料和碎屑加工处理</w:t>
                  </w:r>
                </w:p>
              </w:tc>
              <w:tc>
                <w:tcPr>
                  <w:tcW w:w="675" w:type="pct"/>
                  <w:shd w:val="clear" w:color="auto" w:fill="BEBEBE" w:themeFill="background1" w:themeFillShade="BF"/>
                  <w:noWrap w:val="0"/>
                  <w:vAlign w:val="center"/>
                </w:tcPr>
                <w:p w14:paraId="2FD962F9">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w:t>
                  </w:r>
                </w:p>
              </w:tc>
              <w:tc>
                <w:tcPr>
                  <w:tcW w:w="669" w:type="pct"/>
                  <w:noWrap w:val="0"/>
                  <w:vAlign w:val="center"/>
                </w:tcPr>
                <w:p w14:paraId="75646A6D">
                  <w:pPr>
                    <w:pStyle w:val="1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登记</w:t>
                  </w:r>
                </w:p>
              </w:tc>
            </w:tr>
          </w:tbl>
          <w:p w14:paraId="324430B6">
            <w:pPr>
              <w:pStyle w:val="30"/>
              <w:spacing w:line="360" w:lineRule="auto"/>
              <w:ind w:firstLine="482" w:firstLineChars="200"/>
              <w:rPr>
                <w:rFonts w:ascii="Times New Roman" w:hAnsi="Times New Roman"/>
                <w:b/>
                <w:bCs/>
                <w:color w:val="auto"/>
              </w:rPr>
            </w:pPr>
            <w:r>
              <w:rPr>
                <w:rFonts w:ascii="Times New Roman" w:hAnsi="Times New Roman"/>
                <w:b/>
                <w:bCs/>
                <w:color w:val="auto"/>
              </w:rPr>
              <w:t>2、项目建设内容</w:t>
            </w:r>
          </w:p>
          <w:p w14:paraId="16D801E8">
            <w:pPr>
              <w:pStyle w:val="30"/>
              <w:spacing w:line="360" w:lineRule="auto"/>
              <w:ind w:firstLine="480" w:firstLineChars="200"/>
              <w:rPr>
                <w:rFonts w:ascii="Times New Roman" w:hAnsi="Times New Roman"/>
                <w:b/>
                <w:bCs/>
                <w:color w:val="auto"/>
              </w:rPr>
            </w:pPr>
            <w:r>
              <w:rPr>
                <w:rFonts w:ascii="Times New Roman" w:hAnsi="Times New Roman"/>
                <w:color w:val="auto"/>
              </w:rPr>
              <w:t>项目建设内容及建设规模见下表</w:t>
            </w:r>
            <w:r>
              <w:rPr>
                <w:rFonts w:hint="eastAsia" w:ascii="Times New Roman" w:hAnsi="Times New Roman"/>
                <w:color w:val="auto"/>
                <w:lang w:val="en-US" w:eastAsia="zh-CN"/>
              </w:rPr>
              <w:t>2.3</w:t>
            </w:r>
            <w:r>
              <w:rPr>
                <w:rFonts w:ascii="Times New Roman" w:hAnsi="Times New Roman"/>
                <w:color w:val="auto"/>
              </w:rPr>
              <w:t>：</w:t>
            </w:r>
          </w:p>
          <w:p w14:paraId="1BA405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w:t>
            </w:r>
            <w:r>
              <w:rPr>
                <w:rFonts w:hint="eastAsia" w:ascii="Times New Roman" w:hAnsi="Times New Roman" w:eastAsia="宋体" w:cs="Times New Roman"/>
                <w:b/>
                <w:bCs/>
                <w:color w:val="auto"/>
                <w:sz w:val="24"/>
                <w:lang w:val="en-US" w:eastAsia="zh-CN"/>
              </w:rPr>
              <w:t>2.3</w:t>
            </w:r>
            <w:r>
              <w:rPr>
                <w:rFonts w:hint="default"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lang w:val="en-US" w:eastAsia="zh-CN"/>
              </w:rPr>
              <w:t>建设项目主要</w:t>
            </w:r>
            <w:r>
              <w:rPr>
                <w:rFonts w:hint="default" w:ascii="Times New Roman" w:hAnsi="Times New Roman" w:eastAsia="宋体" w:cs="Times New Roman"/>
                <w:b/>
                <w:bCs/>
                <w:color w:val="auto"/>
                <w:sz w:val="24"/>
                <w:lang w:val="en-US" w:eastAsia="zh-CN"/>
              </w:rPr>
              <w:t>组成一览表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539"/>
              <w:gridCol w:w="539"/>
              <w:gridCol w:w="4303"/>
              <w:gridCol w:w="1913"/>
            </w:tblGrid>
            <w:tr w14:paraId="7806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noWrap w:val="0"/>
                  <w:vAlign w:val="center"/>
                </w:tcPr>
                <w:p w14:paraId="2D2709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r>
                    <w:rPr>
                      <w:rFonts w:hint="default"/>
                      <w:color w:val="000000"/>
                      <w:sz w:val="21"/>
                      <w:szCs w:val="21"/>
                      <w:lang w:eastAsia="zh-CN"/>
                    </w:rPr>
                    <w:t>工程类别</w:t>
                  </w:r>
                </w:p>
              </w:tc>
              <w:tc>
                <w:tcPr>
                  <w:tcW w:w="674" w:type="pct"/>
                  <w:gridSpan w:val="2"/>
                  <w:noWrap w:val="0"/>
                  <w:vAlign w:val="center"/>
                </w:tcPr>
                <w:p w14:paraId="3FF7E5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r>
                    <w:rPr>
                      <w:rFonts w:hint="default"/>
                      <w:color w:val="000000"/>
                      <w:sz w:val="21"/>
                      <w:szCs w:val="21"/>
                      <w:lang w:eastAsia="zh-CN"/>
                    </w:rPr>
                    <w:t>单项目工程名称</w:t>
                  </w:r>
                </w:p>
              </w:tc>
              <w:tc>
                <w:tcPr>
                  <w:tcW w:w="2691" w:type="pct"/>
                  <w:noWrap w:val="0"/>
                  <w:vAlign w:val="center"/>
                </w:tcPr>
                <w:p w14:paraId="74B4A9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r>
                    <w:rPr>
                      <w:rFonts w:hint="default"/>
                      <w:color w:val="000000"/>
                      <w:sz w:val="21"/>
                      <w:szCs w:val="21"/>
                      <w:lang w:eastAsia="zh-CN"/>
                    </w:rPr>
                    <w:t>工程内容及工程规模</w:t>
                  </w:r>
                </w:p>
              </w:tc>
              <w:tc>
                <w:tcPr>
                  <w:tcW w:w="1196" w:type="pct"/>
                  <w:noWrap w:val="0"/>
                  <w:vAlign w:val="center"/>
                </w:tcPr>
                <w:p w14:paraId="7DFB43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r>
                    <w:rPr>
                      <w:rFonts w:hint="eastAsia"/>
                      <w:color w:val="000000"/>
                      <w:sz w:val="21"/>
                      <w:szCs w:val="21"/>
                      <w:lang w:val="en-US" w:eastAsia="zh-CN"/>
                    </w:rPr>
                    <w:t>备注</w:t>
                  </w:r>
                </w:p>
              </w:tc>
            </w:tr>
            <w:tr w14:paraId="37A0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restart"/>
                  <w:noWrap w:val="0"/>
                  <w:vAlign w:val="center"/>
                </w:tcPr>
                <w:p w14:paraId="041E96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r>
                    <w:rPr>
                      <w:rFonts w:hint="default"/>
                      <w:color w:val="000000"/>
                      <w:sz w:val="21"/>
                      <w:szCs w:val="21"/>
                      <w:lang w:eastAsia="zh-CN"/>
                    </w:rPr>
                    <w:t>主体工程</w:t>
                  </w:r>
                </w:p>
              </w:tc>
              <w:tc>
                <w:tcPr>
                  <w:tcW w:w="674" w:type="pct"/>
                  <w:gridSpan w:val="2"/>
                  <w:shd w:val="clear" w:color="auto" w:fill="auto"/>
                  <w:noWrap w:val="0"/>
                  <w:vAlign w:val="center"/>
                </w:tcPr>
                <w:p w14:paraId="4644416B">
                  <w:pPr>
                    <w:spacing w:before="120"/>
                    <w:jc w:val="center"/>
                    <w:rPr>
                      <w:rFonts w:hint="default" w:ascii="Times New Roman" w:hAnsi="Times New Roman" w:eastAsia="宋体" w:cs="Times New Roman"/>
                      <w:color w:val="FF0000"/>
                      <w:kern w:val="2"/>
                      <w:sz w:val="21"/>
                      <w:szCs w:val="24"/>
                      <w:lang w:val="en-US" w:eastAsia="zh-CN" w:bidi="ar-SA"/>
                    </w:rPr>
                  </w:pPr>
                  <w:r>
                    <w:rPr>
                      <w:szCs w:val="21"/>
                    </w:rPr>
                    <w:t>1#厂房</w:t>
                  </w:r>
                </w:p>
              </w:tc>
              <w:tc>
                <w:tcPr>
                  <w:tcW w:w="2691" w:type="pct"/>
                  <w:shd w:val="clear" w:color="auto" w:fill="auto"/>
                  <w:noWrap w:val="0"/>
                  <w:vAlign w:val="center"/>
                </w:tcPr>
                <w:p w14:paraId="388EA440">
                  <w:pPr>
                    <w:widowControl/>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1F</w:t>
                  </w:r>
                  <w:r>
                    <w:rPr>
                      <w:rFonts w:hint="eastAsia"/>
                      <w:szCs w:val="21"/>
                      <w:highlight w:val="none"/>
                    </w:rPr>
                    <w:t>：</w:t>
                  </w:r>
                  <w:r>
                    <w:rPr>
                      <w:rFonts w:hint="eastAsia"/>
                      <w:szCs w:val="21"/>
                      <w:highlight w:val="none"/>
                      <w:lang w:val="en-US" w:eastAsia="zh-CN"/>
                    </w:rPr>
                    <w:t>东侧布设办公室</w:t>
                  </w:r>
                  <w:r>
                    <w:rPr>
                      <w:color w:val="auto"/>
                      <w:szCs w:val="21"/>
                      <w:highlight w:val="none"/>
                    </w:rPr>
                    <w:t>，</w:t>
                  </w:r>
                  <w:r>
                    <w:rPr>
                      <w:rFonts w:hint="eastAsia"/>
                      <w:color w:val="auto"/>
                      <w:szCs w:val="21"/>
                      <w:highlight w:val="none"/>
                      <w:lang w:val="en-US" w:eastAsia="zh-CN"/>
                    </w:rPr>
                    <w:t>南侧放置</w:t>
                  </w:r>
                  <w:r>
                    <w:rPr>
                      <w:rFonts w:hint="eastAsia" w:ascii="Times New Roman" w:hAnsi="Times New Roman" w:cs="Times New Roman"/>
                      <w:b w:val="0"/>
                      <w:bCs w:val="0"/>
                      <w:color w:val="auto"/>
                      <w:sz w:val="21"/>
                      <w:szCs w:val="21"/>
                      <w:highlight w:val="none"/>
                      <w:lang w:val="en-US" w:eastAsia="zh-CN"/>
                    </w:rPr>
                    <w:t>整型、修边机</w:t>
                  </w:r>
                  <w:r>
                    <w:rPr>
                      <w:rFonts w:hint="eastAsia" w:cs="Times New Roman"/>
                      <w:b w:val="0"/>
                      <w:bCs w:val="0"/>
                      <w:color w:val="auto"/>
                      <w:sz w:val="21"/>
                      <w:szCs w:val="21"/>
                      <w:highlight w:val="none"/>
                      <w:lang w:val="en-US" w:eastAsia="zh-CN"/>
                    </w:rPr>
                    <w:t>，喷码设备</w:t>
                  </w:r>
                  <w:r>
                    <w:rPr>
                      <w:rFonts w:hint="eastAsia"/>
                      <w:color w:val="auto"/>
                      <w:szCs w:val="21"/>
                      <w:highlight w:val="none"/>
                      <w:lang w:eastAsia="zh-CN"/>
                    </w:rPr>
                    <w:t>。</w:t>
                  </w:r>
                  <w:r>
                    <w:rPr>
                      <w:rFonts w:hint="eastAsia"/>
                      <w:color w:val="auto"/>
                      <w:szCs w:val="21"/>
                      <w:highlight w:val="none"/>
                      <w:lang w:val="en-US" w:eastAsia="zh-CN"/>
                    </w:rPr>
                    <w:t>2-4F</w:t>
                  </w:r>
                  <w:r>
                    <w:rPr>
                      <w:rFonts w:hint="eastAsia"/>
                      <w:color w:val="auto"/>
                      <w:szCs w:val="21"/>
                      <w:highlight w:val="none"/>
                    </w:rPr>
                    <w:t>：</w:t>
                  </w:r>
                  <w:r>
                    <w:rPr>
                      <w:rFonts w:hint="eastAsia"/>
                      <w:color w:val="auto"/>
                      <w:szCs w:val="21"/>
                      <w:highlight w:val="none"/>
                      <w:lang w:val="en-US" w:eastAsia="zh-CN"/>
                    </w:rPr>
                    <w:t>作为纸托产品仓库。</w:t>
                  </w:r>
                </w:p>
              </w:tc>
              <w:tc>
                <w:tcPr>
                  <w:tcW w:w="1196" w:type="pct"/>
                  <w:shd w:val="clear" w:color="auto" w:fill="auto"/>
                  <w:noWrap w:val="0"/>
                  <w:vAlign w:val="center"/>
                </w:tcPr>
                <w:p w14:paraId="138E78A5">
                  <w:pPr>
                    <w:widowControl/>
                    <w:jc w:val="center"/>
                    <w:rPr>
                      <w:rFonts w:hint="default" w:ascii="Times New Roman" w:hAnsi="Times New Roman" w:eastAsia="宋体" w:cs="Times New Roman"/>
                      <w:kern w:val="0"/>
                      <w:sz w:val="21"/>
                      <w:szCs w:val="21"/>
                      <w:highlight w:val="none"/>
                      <w:lang w:val="en-US" w:eastAsia="zh-CN" w:bidi="ar-SA"/>
                    </w:rPr>
                  </w:pPr>
                  <w:r>
                    <w:rPr>
                      <w:rFonts w:hint="eastAsia"/>
                      <w:szCs w:val="21"/>
                      <w:highlight w:val="none"/>
                      <w:lang w:val="en-US" w:eastAsia="zh-CN"/>
                    </w:rPr>
                    <w:t>依托现有</w:t>
                  </w:r>
                  <w:r>
                    <w:rPr>
                      <w:rFonts w:hint="eastAsia"/>
                      <w:szCs w:val="21"/>
                      <w:highlight w:val="none"/>
                    </w:rPr>
                    <w:t>，总建筑面积约8000m</w:t>
                  </w:r>
                  <w:r>
                    <w:rPr>
                      <w:rFonts w:hint="eastAsia"/>
                      <w:szCs w:val="21"/>
                      <w:highlight w:val="none"/>
                      <w:vertAlign w:val="superscript"/>
                    </w:rPr>
                    <w:t>2</w:t>
                  </w:r>
                  <w:r>
                    <w:rPr>
                      <w:rFonts w:hint="eastAsia"/>
                      <w:szCs w:val="21"/>
                      <w:highlight w:val="none"/>
                    </w:rPr>
                    <w:t>，高14.85m</w:t>
                  </w:r>
                </w:p>
              </w:tc>
            </w:tr>
            <w:tr w14:paraId="4CCF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322CBE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p>
              </w:tc>
              <w:tc>
                <w:tcPr>
                  <w:tcW w:w="674" w:type="pct"/>
                  <w:gridSpan w:val="2"/>
                  <w:shd w:val="clear" w:color="auto" w:fill="auto"/>
                  <w:noWrap w:val="0"/>
                  <w:vAlign w:val="center"/>
                </w:tcPr>
                <w:p w14:paraId="39D51AAD">
                  <w:pPr>
                    <w:spacing w:before="120"/>
                    <w:jc w:val="center"/>
                    <w:rPr>
                      <w:rFonts w:hint="eastAsia" w:ascii="Times New Roman" w:hAnsi="Times New Roman" w:eastAsia="宋体" w:cs="Times New Roman"/>
                      <w:kern w:val="2"/>
                      <w:sz w:val="21"/>
                      <w:szCs w:val="21"/>
                      <w:lang w:val="en-US" w:eastAsia="zh-CN" w:bidi="ar-SA"/>
                    </w:rPr>
                  </w:pPr>
                  <w:r>
                    <w:rPr>
                      <w:szCs w:val="21"/>
                    </w:rPr>
                    <w:t>2#厂房</w:t>
                  </w:r>
                </w:p>
              </w:tc>
              <w:tc>
                <w:tcPr>
                  <w:tcW w:w="2691" w:type="pct"/>
                  <w:shd w:val="clear" w:color="auto" w:fill="auto"/>
                  <w:noWrap w:val="0"/>
                  <w:vAlign w:val="center"/>
                </w:tcPr>
                <w:p w14:paraId="7DAF2954">
                  <w:pPr>
                    <w:widowControl/>
                    <w:jc w:val="center"/>
                    <w:rPr>
                      <w:rFonts w:hint="default" w:ascii="Times New Roman" w:hAnsi="Times New Roman" w:eastAsia="宋体" w:cs="Times New Roman"/>
                      <w:kern w:val="2"/>
                      <w:sz w:val="21"/>
                      <w:szCs w:val="21"/>
                      <w:highlight w:val="none"/>
                      <w:lang w:val="en-US" w:eastAsia="zh-CN" w:bidi="ar-SA"/>
                    </w:rPr>
                  </w:pPr>
                  <w:r>
                    <w:rPr>
                      <w:szCs w:val="21"/>
                      <w:highlight w:val="none"/>
                    </w:rPr>
                    <w:t>在2#厂房</w:t>
                  </w:r>
                  <w:r>
                    <w:rPr>
                      <w:rFonts w:hint="eastAsia"/>
                      <w:szCs w:val="21"/>
                      <w:highlight w:val="none"/>
                    </w:rPr>
                    <w:t>内布设</w:t>
                  </w:r>
                  <w:r>
                    <w:rPr>
                      <w:rFonts w:hint="eastAsia"/>
                      <w:szCs w:val="21"/>
                      <w:highlight w:val="none"/>
                      <w:lang w:val="en-US" w:eastAsia="zh-CN"/>
                    </w:rPr>
                    <w:t>成型机、湿法破碎机、真空泵、气泵等</w:t>
                  </w:r>
                  <w:r>
                    <w:rPr>
                      <w:szCs w:val="21"/>
                      <w:highlight w:val="none"/>
                    </w:rPr>
                    <w:t>，</w:t>
                  </w:r>
                  <w:r>
                    <w:rPr>
                      <w:rFonts w:hint="eastAsia"/>
                      <w:szCs w:val="21"/>
                      <w:highlight w:val="none"/>
                    </w:rPr>
                    <w:t>项目建成后能实现</w:t>
                  </w:r>
                  <w:r>
                    <w:rPr>
                      <w:rFonts w:hint="eastAsia"/>
                      <w:szCs w:val="21"/>
                      <w:highlight w:val="none"/>
                      <w:lang w:eastAsia="zh-CN"/>
                    </w:rPr>
                    <w:t>年产</w:t>
                  </w:r>
                  <w:r>
                    <w:rPr>
                      <w:rFonts w:hint="eastAsia"/>
                      <w:szCs w:val="21"/>
                      <w:highlight w:val="none"/>
                      <w:lang w:val="en-US" w:eastAsia="zh-CN"/>
                    </w:rPr>
                    <w:t>1</w:t>
                  </w:r>
                  <w:r>
                    <w:rPr>
                      <w:rFonts w:hint="eastAsia"/>
                      <w:szCs w:val="21"/>
                      <w:highlight w:val="none"/>
                      <w:lang w:eastAsia="zh-CN"/>
                    </w:rPr>
                    <w:t>万吨</w:t>
                  </w:r>
                  <w:r>
                    <w:rPr>
                      <w:rFonts w:hint="eastAsia"/>
                      <w:szCs w:val="21"/>
                      <w:highlight w:val="none"/>
                      <w:lang w:val="en-US" w:eastAsia="zh-CN"/>
                    </w:rPr>
                    <w:t>纸托</w:t>
                  </w:r>
                  <w:r>
                    <w:rPr>
                      <w:rFonts w:hint="eastAsia"/>
                      <w:szCs w:val="21"/>
                      <w:highlight w:val="none"/>
                    </w:rPr>
                    <w:t>的产能。</w:t>
                  </w:r>
                </w:p>
              </w:tc>
              <w:tc>
                <w:tcPr>
                  <w:tcW w:w="1196" w:type="pct"/>
                  <w:shd w:val="clear" w:color="auto" w:fill="auto"/>
                  <w:noWrap w:val="0"/>
                  <w:vAlign w:val="center"/>
                </w:tcPr>
                <w:p w14:paraId="3A327320">
                  <w:pPr>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依托现有</w:t>
                  </w:r>
                  <w:r>
                    <w:rPr>
                      <w:rFonts w:hint="eastAsia"/>
                      <w:szCs w:val="21"/>
                      <w:highlight w:val="none"/>
                    </w:rPr>
                    <w:t>，</w:t>
                  </w:r>
                  <w:r>
                    <w:rPr>
                      <w:rFonts w:hint="eastAsia"/>
                      <w:szCs w:val="21"/>
                      <w:highlight w:val="none"/>
                      <w:lang w:val="en-US" w:eastAsia="zh-CN"/>
                    </w:rPr>
                    <w:t>1F，</w:t>
                  </w:r>
                  <w:r>
                    <w:rPr>
                      <w:rFonts w:hint="eastAsia"/>
                      <w:szCs w:val="21"/>
                      <w:highlight w:val="none"/>
                    </w:rPr>
                    <w:t>建筑面积约2000m</w:t>
                  </w:r>
                  <w:r>
                    <w:rPr>
                      <w:rFonts w:hint="eastAsia"/>
                      <w:szCs w:val="21"/>
                      <w:highlight w:val="none"/>
                      <w:vertAlign w:val="superscript"/>
                    </w:rPr>
                    <w:t>2</w:t>
                  </w:r>
                  <w:r>
                    <w:rPr>
                      <w:rFonts w:hint="eastAsia"/>
                      <w:szCs w:val="21"/>
                      <w:highlight w:val="none"/>
                    </w:rPr>
                    <w:t>，高6.5m</w:t>
                  </w:r>
                </w:p>
              </w:tc>
            </w:tr>
            <w:tr w14:paraId="1260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noWrap w:val="0"/>
                  <w:vAlign w:val="center"/>
                </w:tcPr>
                <w:p w14:paraId="13937F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000000"/>
                      <w:sz w:val="21"/>
                      <w:szCs w:val="21"/>
                      <w:lang w:val="en-US" w:eastAsia="zh-CN"/>
                    </w:rPr>
                  </w:pPr>
                  <w:r>
                    <w:rPr>
                      <w:rFonts w:hint="eastAsia"/>
                      <w:color w:val="000000"/>
                      <w:sz w:val="21"/>
                      <w:szCs w:val="21"/>
                      <w:lang w:val="en-US" w:eastAsia="zh-CN"/>
                    </w:rPr>
                    <w:t>辅助工程</w:t>
                  </w:r>
                </w:p>
              </w:tc>
              <w:tc>
                <w:tcPr>
                  <w:tcW w:w="674" w:type="pct"/>
                  <w:gridSpan w:val="2"/>
                  <w:noWrap w:val="0"/>
                  <w:vAlign w:val="center"/>
                </w:tcPr>
                <w:p w14:paraId="265D687C">
                  <w:pPr>
                    <w:adjustRightInd w:val="0"/>
                    <w:snapToGrid w:val="0"/>
                    <w:jc w:val="center"/>
                    <w:rPr>
                      <w:rFonts w:hint="default" w:ascii="Times New Roman" w:hAnsi="Times New Roman" w:cs="Times New Roman"/>
                      <w:color w:val="000000"/>
                      <w:sz w:val="21"/>
                      <w:szCs w:val="21"/>
                      <w:lang w:val="en-US" w:eastAsia="zh-CN"/>
                    </w:rPr>
                  </w:pPr>
                  <w:r>
                    <w:t>办公室</w:t>
                  </w:r>
                </w:p>
              </w:tc>
              <w:tc>
                <w:tcPr>
                  <w:tcW w:w="2691" w:type="pct"/>
                  <w:noWrap w:val="0"/>
                  <w:vAlign w:val="center"/>
                </w:tcPr>
                <w:p w14:paraId="73EE091C">
                  <w:pPr>
                    <w:adjustRightInd w:val="0"/>
                    <w:snapToGrid w:val="0"/>
                    <w:jc w:val="center"/>
                    <w:rPr>
                      <w:rFonts w:hint="eastAsia" w:ascii="Times New Roman" w:hAnsi="Times New Roman" w:eastAsia="宋体" w:cs="Times New Roman"/>
                      <w:color w:val="000000"/>
                      <w:sz w:val="21"/>
                      <w:szCs w:val="21"/>
                      <w:vertAlign w:val="baseline"/>
                      <w:lang w:val="en-US" w:eastAsia="zh-CN"/>
                    </w:rPr>
                  </w:pPr>
                  <w:r>
                    <w:rPr>
                      <w:rFonts w:hint="eastAsia"/>
                      <w:szCs w:val="21"/>
                    </w:rPr>
                    <w:t>在</w:t>
                  </w:r>
                  <w:r>
                    <w:rPr>
                      <w:szCs w:val="21"/>
                    </w:rPr>
                    <w:t>1#厂房一层</w:t>
                  </w:r>
                  <w:r>
                    <w:rPr>
                      <w:rFonts w:hint="eastAsia"/>
                      <w:szCs w:val="21"/>
                    </w:rPr>
                    <w:t>内</w:t>
                  </w:r>
                  <w:r>
                    <w:rPr>
                      <w:szCs w:val="21"/>
                    </w:rPr>
                    <w:t>东侧</w:t>
                  </w:r>
                  <w:r>
                    <w:rPr>
                      <w:rFonts w:hint="eastAsia"/>
                      <w:szCs w:val="21"/>
                    </w:rPr>
                    <w:t>布设1间员工办公室</w:t>
                  </w:r>
                  <w:r>
                    <w:rPr>
                      <w:szCs w:val="21"/>
                    </w:rPr>
                    <w:t>，</w:t>
                  </w:r>
                  <w:r>
                    <w:t>用于员工办公，建筑面积约50</w:t>
                  </w:r>
                  <w:r>
                    <w:rPr>
                      <w:szCs w:val="21"/>
                    </w:rPr>
                    <w:t>m</w:t>
                  </w:r>
                  <w:r>
                    <w:rPr>
                      <w:szCs w:val="21"/>
                      <w:vertAlign w:val="superscript"/>
                    </w:rPr>
                    <w:t>2</w:t>
                  </w:r>
                  <w:r>
                    <w:rPr>
                      <w:rFonts w:hint="eastAsia"/>
                      <w:szCs w:val="21"/>
                      <w:vertAlign w:val="baseline"/>
                      <w:lang w:eastAsia="zh-CN"/>
                    </w:rPr>
                    <w:t>。</w:t>
                  </w:r>
                </w:p>
              </w:tc>
              <w:tc>
                <w:tcPr>
                  <w:tcW w:w="1196" w:type="pct"/>
                  <w:noWrap w:val="0"/>
                  <w:vAlign w:val="center"/>
                </w:tcPr>
                <w:p w14:paraId="695A9AEA">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依托现有</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无变更</w:t>
                  </w:r>
                </w:p>
              </w:tc>
            </w:tr>
            <w:tr w14:paraId="2343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restart"/>
                  <w:noWrap w:val="0"/>
                  <w:vAlign w:val="center"/>
                </w:tcPr>
                <w:p w14:paraId="2C778A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r>
                    <w:rPr>
                      <w:rFonts w:hint="default"/>
                      <w:color w:val="000000"/>
                      <w:sz w:val="21"/>
                      <w:szCs w:val="21"/>
                      <w:lang w:eastAsia="zh-CN"/>
                    </w:rPr>
                    <w:t>储运工程</w:t>
                  </w:r>
                </w:p>
              </w:tc>
              <w:tc>
                <w:tcPr>
                  <w:tcW w:w="674" w:type="pct"/>
                  <w:gridSpan w:val="2"/>
                  <w:shd w:val="clear" w:color="auto" w:fill="auto"/>
                  <w:noWrap w:val="0"/>
                  <w:vAlign w:val="center"/>
                </w:tcPr>
                <w:p w14:paraId="03457A03">
                  <w:pPr>
                    <w:snapToGrid w:val="0"/>
                    <w:jc w:val="center"/>
                    <w:rPr>
                      <w:rFonts w:hint="default" w:ascii="Times New Roman" w:hAnsi="Times New Roman" w:eastAsia="宋体" w:cs="Times New Roman"/>
                      <w:kern w:val="2"/>
                      <w:sz w:val="21"/>
                      <w:szCs w:val="21"/>
                      <w:lang w:val="en-US" w:eastAsia="zh-CN" w:bidi="ar-SA"/>
                    </w:rPr>
                  </w:pPr>
                  <w:r>
                    <w:t>原料仓库</w:t>
                  </w:r>
                </w:p>
              </w:tc>
              <w:tc>
                <w:tcPr>
                  <w:tcW w:w="2691" w:type="pct"/>
                  <w:shd w:val="clear" w:color="auto" w:fill="auto"/>
                  <w:noWrap w:val="0"/>
                  <w:vAlign w:val="center"/>
                </w:tcPr>
                <w:p w14:paraId="36DF93EB">
                  <w:pPr>
                    <w:snapToGrid w:val="0"/>
                    <w:jc w:val="center"/>
                    <w:rPr>
                      <w:rFonts w:hint="eastAsia" w:ascii="Times New Roman" w:hAnsi="Times New Roman" w:eastAsia="宋体" w:cs="Times New Roman"/>
                      <w:kern w:val="0"/>
                      <w:sz w:val="21"/>
                      <w:szCs w:val="21"/>
                      <w:lang w:val="en-US" w:eastAsia="zh-CN" w:bidi="ar-SA"/>
                    </w:rPr>
                  </w:pPr>
                  <w:r>
                    <w:rPr>
                      <w:rFonts w:hint="eastAsia"/>
                      <w:szCs w:val="21"/>
                    </w:rPr>
                    <w:t>在</w:t>
                  </w:r>
                  <w:r>
                    <w:rPr>
                      <w:szCs w:val="21"/>
                    </w:rPr>
                    <w:t>2#厂房</w:t>
                  </w:r>
                  <w:r>
                    <w:rPr>
                      <w:rFonts w:hint="eastAsia"/>
                      <w:szCs w:val="21"/>
                      <w:lang w:val="en-US" w:eastAsia="zh-CN"/>
                    </w:rPr>
                    <w:t>东</w:t>
                  </w:r>
                  <w:r>
                    <w:rPr>
                      <w:szCs w:val="21"/>
                    </w:rPr>
                    <w:t>南角</w:t>
                  </w:r>
                  <w:r>
                    <w:rPr>
                      <w:rFonts w:hint="eastAsia"/>
                      <w:szCs w:val="21"/>
                    </w:rPr>
                    <w:t>设置原料仓库</w:t>
                  </w:r>
                  <w:r>
                    <w:t>，用于储存</w:t>
                  </w:r>
                  <w:r>
                    <w:rPr>
                      <w:rFonts w:hint="eastAsia"/>
                      <w:lang w:val="en-US" w:eastAsia="zh-CN"/>
                    </w:rPr>
                    <w:t>废瓦楞纸</w:t>
                  </w:r>
                  <w:r>
                    <w:t>，面积约为200</w:t>
                  </w:r>
                  <w:r>
                    <w:rPr>
                      <w:szCs w:val="21"/>
                    </w:rPr>
                    <w:t>m</w:t>
                  </w:r>
                  <w:r>
                    <w:rPr>
                      <w:szCs w:val="21"/>
                      <w:vertAlign w:val="superscript"/>
                    </w:rPr>
                    <w:t>2</w:t>
                  </w:r>
                  <w:r>
                    <w:rPr>
                      <w:rFonts w:hint="eastAsia"/>
                      <w:szCs w:val="21"/>
                      <w:vertAlign w:val="baseline"/>
                      <w:lang w:eastAsia="zh-CN"/>
                    </w:rPr>
                    <w:t>。</w:t>
                  </w:r>
                </w:p>
              </w:tc>
              <w:tc>
                <w:tcPr>
                  <w:tcW w:w="1196" w:type="pct"/>
                  <w:shd w:val="clear" w:color="auto" w:fill="auto"/>
                  <w:noWrap w:val="0"/>
                  <w:vAlign w:val="center"/>
                </w:tcPr>
                <w:p w14:paraId="4F63518B">
                  <w:pPr>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sz w:val="21"/>
                      <w:szCs w:val="21"/>
                    </w:rPr>
                    <w:t>依托现有</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无变更</w:t>
                  </w:r>
                </w:p>
              </w:tc>
            </w:tr>
            <w:tr w14:paraId="3AE6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772A7A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p>
              </w:tc>
              <w:tc>
                <w:tcPr>
                  <w:tcW w:w="674" w:type="pct"/>
                  <w:gridSpan w:val="2"/>
                  <w:shd w:val="clear" w:color="auto" w:fill="auto"/>
                  <w:noWrap w:val="0"/>
                  <w:vAlign w:val="center"/>
                </w:tcPr>
                <w:p w14:paraId="49CC108A">
                  <w:pPr>
                    <w:snapToGrid w:val="0"/>
                    <w:jc w:val="center"/>
                    <w:rPr>
                      <w:rFonts w:hint="eastAsia" w:ascii="Times New Roman" w:hAnsi="Times New Roman" w:eastAsia="宋体" w:cs="Times New Roman"/>
                      <w:kern w:val="2"/>
                      <w:sz w:val="21"/>
                      <w:szCs w:val="21"/>
                      <w:lang w:val="en-US" w:eastAsia="zh-CN" w:bidi="ar-SA"/>
                    </w:rPr>
                  </w:pPr>
                  <w:r>
                    <w:t>成品仓库</w:t>
                  </w:r>
                </w:p>
              </w:tc>
              <w:tc>
                <w:tcPr>
                  <w:tcW w:w="2691" w:type="pct"/>
                  <w:shd w:val="clear" w:color="auto" w:fill="auto"/>
                  <w:noWrap w:val="0"/>
                  <w:vAlign w:val="center"/>
                </w:tcPr>
                <w:p w14:paraId="5028FB01">
                  <w:pPr>
                    <w:snapToGrid w:val="0"/>
                    <w:jc w:val="center"/>
                    <w:rPr>
                      <w:rFonts w:hint="eastAsia" w:ascii="Times New Roman" w:hAnsi="Times New Roman" w:eastAsia="宋体" w:cs="Times New Roman"/>
                      <w:kern w:val="0"/>
                      <w:sz w:val="21"/>
                      <w:szCs w:val="21"/>
                      <w:lang w:val="en-US" w:eastAsia="zh-CN" w:bidi="ar-SA"/>
                    </w:rPr>
                  </w:pPr>
                  <w:r>
                    <w:rPr>
                      <w:rFonts w:hint="eastAsia"/>
                      <w:szCs w:val="21"/>
                    </w:rPr>
                    <w:t>在</w:t>
                  </w:r>
                  <w:r>
                    <w:rPr>
                      <w:rFonts w:hint="eastAsia"/>
                      <w:szCs w:val="21"/>
                      <w:lang w:val="en-US" w:eastAsia="zh-CN"/>
                    </w:rPr>
                    <w:t>1</w:t>
                  </w:r>
                  <w:r>
                    <w:rPr>
                      <w:szCs w:val="21"/>
                    </w:rPr>
                    <w:t>#厂房</w:t>
                  </w:r>
                  <w:r>
                    <w:rPr>
                      <w:rFonts w:hint="eastAsia"/>
                      <w:szCs w:val="21"/>
                      <w:lang w:val="en-US" w:eastAsia="zh-CN"/>
                    </w:rPr>
                    <w:t>2-4F</w:t>
                  </w:r>
                  <w:r>
                    <w:rPr>
                      <w:rFonts w:hint="eastAsia"/>
                      <w:szCs w:val="21"/>
                    </w:rPr>
                    <w:t>设置成品仓库</w:t>
                  </w:r>
                  <w:r>
                    <w:t>，用于储存成品，面积约为</w:t>
                  </w:r>
                  <w:r>
                    <w:rPr>
                      <w:rFonts w:hint="eastAsia"/>
                      <w:lang w:val="en-US" w:eastAsia="zh-CN"/>
                    </w:rPr>
                    <w:t>6000</w:t>
                  </w:r>
                  <w:r>
                    <w:rPr>
                      <w:szCs w:val="21"/>
                    </w:rPr>
                    <w:t>m</w:t>
                  </w:r>
                  <w:r>
                    <w:rPr>
                      <w:szCs w:val="21"/>
                      <w:vertAlign w:val="superscript"/>
                    </w:rPr>
                    <w:t>2</w:t>
                  </w:r>
                  <w:r>
                    <w:rPr>
                      <w:rFonts w:hint="eastAsia"/>
                      <w:szCs w:val="21"/>
                      <w:vertAlign w:val="baseline"/>
                      <w:lang w:eastAsia="zh-CN"/>
                    </w:rPr>
                    <w:t>。</w:t>
                  </w:r>
                </w:p>
              </w:tc>
              <w:tc>
                <w:tcPr>
                  <w:tcW w:w="1196" w:type="pct"/>
                  <w:shd w:val="clear" w:color="auto" w:fill="auto"/>
                  <w:noWrap w:val="0"/>
                  <w:vAlign w:val="center"/>
                </w:tcPr>
                <w:p w14:paraId="4E516AB3">
                  <w:pPr>
                    <w:snapToGrid w:val="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color w:val="000000"/>
                      <w:sz w:val="21"/>
                      <w:szCs w:val="21"/>
                    </w:rPr>
                    <w:t>依托现有</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无变更</w:t>
                  </w:r>
                </w:p>
              </w:tc>
            </w:tr>
            <w:tr w14:paraId="3C25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080F7F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p>
              </w:tc>
              <w:tc>
                <w:tcPr>
                  <w:tcW w:w="674" w:type="pct"/>
                  <w:gridSpan w:val="2"/>
                  <w:shd w:val="clear" w:color="auto" w:fill="auto"/>
                  <w:noWrap w:val="0"/>
                  <w:vAlign w:val="center"/>
                </w:tcPr>
                <w:p w14:paraId="615A4EB8">
                  <w:pPr>
                    <w:snapToGrid w:val="0"/>
                    <w:jc w:val="center"/>
                    <w:rPr>
                      <w:rFonts w:hint="default" w:eastAsia="宋体"/>
                      <w:lang w:val="en-US" w:eastAsia="zh-CN"/>
                    </w:rPr>
                  </w:pPr>
                  <w:r>
                    <w:rPr>
                      <w:rFonts w:hint="eastAsia"/>
                      <w:lang w:val="en-US" w:eastAsia="zh-CN"/>
                    </w:rPr>
                    <w:t>晾晒棚1</w:t>
                  </w:r>
                </w:p>
              </w:tc>
              <w:tc>
                <w:tcPr>
                  <w:tcW w:w="2691" w:type="pct"/>
                  <w:shd w:val="clear" w:color="auto" w:fill="auto"/>
                  <w:noWrap w:val="0"/>
                  <w:vAlign w:val="center"/>
                </w:tcPr>
                <w:p w14:paraId="67C55B32">
                  <w:pPr>
                    <w:snapToGrid w:val="0"/>
                    <w:jc w:val="center"/>
                    <w:rPr>
                      <w:rFonts w:hint="default" w:eastAsia="宋体"/>
                      <w:szCs w:val="21"/>
                      <w:lang w:val="en-US" w:eastAsia="zh-CN"/>
                    </w:rPr>
                  </w:pPr>
                  <w:r>
                    <w:rPr>
                      <w:rFonts w:hint="eastAsia"/>
                      <w:szCs w:val="21"/>
                      <w:lang w:val="en-US" w:eastAsia="zh-CN"/>
                    </w:rPr>
                    <w:t>位于厂区西侧，建筑面积1000</w:t>
                  </w:r>
                  <w:r>
                    <w:rPr>
                      <w:szCs w:val="21"/>
                    </w:rPr>
                    <w:t>m</w:t>
                  </w:r>
                  <w:r>
                    <w:rPr>
                      <w:szCs w:val="21"/>
                      <w:vertAlign w:val="superscript"/>
                    </w:rPr>
                    <w:t>2</w:t>
                  </w:r>
                  <w:r>
                    <w:rPr>
                      <w:rFonts w:hint="eastAsia"/>
                      <w:szCs w:val="21"/>
                      <w:vertAlign w:val="baseline"/>
                      <w:lang w:eastAsia="zh-CN"/>
                    </w:rPr>
                    <w:t>。</w:t>
                  </w:r>
                </w:p>
              </w:tc>
              <w:tc>
                <w:tcPr>
                  <w:tcW w:w="1196" w:type="pct"/>
                  <w:shd w:val="clear" w:color="auto" w:fill="auto"/>
                  <w:noWrap w:val="0"/>
                  <w:vAlign w:val="center"/>
                </w:tcPr>
                <w:p w14:paraId="67BE3F08">
                  <w:pPr>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依托现有</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无变更</w:t>
                  </w:r>
                </w:p>
              </w:tc>
            </w:tr>
            <w:tr w14:paraId="7816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4701D8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p>
              </w:tc>
              <w:tc>
                <w:tcPr>
                  <w:tcW w:w="674" w:type="pct"/>
                  <w:gridSpan w:val="2"/>
                  <w:shd w:val="clear" w:color="auto" w:fill="auto"/>
                  <w:noWrap w:val="0"/>
                  <w:vAlign w:val="center"/>
                </w:tcPr>
                <w:p w14:paraId="25FBE173">
                  <w:pPr>
                    <w:snapToGrid w:val="0"/>
                    <w:jc w:val="center"/>
                    <w:rPr>
                      <w:rFonts w:hint="default"/>
                      <w:lang w:val="en-US"/>
                    </w:rPr>
                  </w:pPr>
                  <w:r>
                    <w:rPr>
                      <w:rFonts w:hint="eastAsia"/>
                      <w:lang w:val="en-US" w:eastAsia="zh-CN"/>
                    </w:rPr>
                    <w:t>晾晒棚2</w:t>
                  </w:r>
                </w:p>
              </w:tc>
              <w:tc>
                <w:tcPr>
                  <w:tcW w:w="2691" w:type="pct"/>
                  <w:shd w:val="clear" w:color="auto" w:fill="auto"/>
                  <w:noWrap w:val="0"/>
                  <w:vAlign w:val="center"/>
                </w:tcPr>
                <w:p w14:paraId="2ABBF4F1">
                  <w:pPr>
                    <w:snapToGrid w:val="0"/>
                    <w:jc w:val="center"/>
                    <w:rPr>
                      <w:rFonts w:hint="eastAsia" w:eastAsia="宋体"/>
                      <w:szCs w:val="21"/>
                      <w:vertAlign w:val="baseline"/>
                      <w:lang w:val="en-US" w:eastAsia="zh-CN"/>
                    </w:rPr>
                  </w:pPr>
                  <w:r>
                    <w:rPr>
                      <w:rFonts w:hint="eastAsia"/>
                      <w:szCs w:val="21"/>
                      <w:lang w:val="en-US" w:eastAsia="zh-CN"/>
                    </w:rPr>
                    <w:t>紧挨2#厂房，建筑面积800</w:t>
                  </w:r>
                  <w:r>
                    <w:rPr>
                      <w:szCs w:val="21"/>
                    </w:rPr>
                    <w:t>m</w:t>
                  </w:r>
                  <w:r>
                    <w:rPr>
                      <w:szCs w:val="21"/>
                      <w:vertAlign w:val="superscript"/>
                    </w:rPr>
                    <w:t>2</w:t>
                  </w:r>
                  <w:r>
                    <w:rPr>
                      <w:rFonts w:hint="eastAsia"/>
                      <w:szCs w:val="21"/>
                      <w:vertAlign w:val="baseline"/>
                      <w:lang w:eastAsia="zh-CN"/>
                    </w:rPr>
                    <w:t>。</w:t>
                  </w:r>
                </w:p>
              </w:tc>
              <w:tc>
                <w:tcPr>
                  <w:tcW w:w="1196" w:type="pct"/>
                  <w:shd w:val="clear" w:color="auto" w:fill="auto"/>
                  <w:noWrap w:val="0"/>
                  <w:vAlign w:val="center"/>
                </w:tcPr>
                <w:p w14:paraId="39EB4C0C">
                  <w:pPr>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依托现有</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无变更</w:t>
                  </w:r>
                </w:p>
              </w:tc>
            </w:tr>
            <w:tr w14:paraId="54BF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restart"/>
                  <w:noWrap w:val="0"/>
                  <w:vAlign w:val="center"/>
                </w:tcPr>
                <w:p w14:paraId="33029A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r>
                    <w:rPr>
                      <w:rFonts w:hint="default"/>
                      <w:color w:val="000000"/>
                      <w:sz w:val="21"/>
                      <w:szCs w:val="21"/>
                      <w:lang w:eastAsia="zh-CN"/>
                    </w:rPr>
                    <w:t>公用工程</w:t>
                  </w:r>
                </w:p>
              </w:tc>
              <w:tc>
                <w:tcPr>
                  <w:tcW w:w="674" w:type="pct"/>
                  <w:gridSpan w:val="2"/>
                  <w:shd w:val="clear" w:color="auto" w:fill="auto"/>
                  <w:noWrap w:val="0"/>
                  <w:vAlign w:val="center"/>
                </w:tcPr>
                <w:p w14:paraId="22B4F495">
                  <w:pPr>
                    <w:adjustRightInd w:val="0"/>
                    <w:snapToGrid w:val="0"/>
                    <w:jc w:val="center"/>
                    <w:rPr>
                      <w:rFonts w:hint="default" w:ascii="Times New Roman" w:hAnsi="Times New Roman" w:eastAsia="宋体" w:cs="Times New Roman"/>
                      <w:kern w:val="2"/>
                      <w:sz w:val="21"/>
                      <w:szCs w:val="24"/>
                      <w:lang w:val="en-US" w:eastAsia="zh-CN" w:bidi="ar-SA"/>
                    </w:rPr>
                  </w:pPr>
                  <w:r>
                    <w:t>供电</w:t>
                  </w:r>
                </w:p>
              </w:tc>
              <w:tc>
                <w:tcPr>
                  <w:tcW w:w="2691" w:type="pct"/>
                  <w:shd w:val="clear" w:color="auto" w:fill="auto"/>
                  <w:noWrap w:val="0"/>
                  <w:vAlign w:val="center"/>
                </w:tcPr>
                <w:p w14:paraId="6CABB24A">
                  <w:pPr>
                    <w:snapToGrid w:val="0"/>
                    <w:jc w:val="center"/>
                    <w:rPr>
                      <w:rFonts w:hint="default" w:ascii="Times New Roman" w:hAnsi="Times New Roman" w:eastAsia="宋体" w:cs="Times New Roman"/>
                      <w:kern w:val="2"/>
                      <w:sz w:val="21"/>
                      <w:szCs w:val="24"/>
                      <w:highlight w:val="none"/>
                      <w:lang w:val="en-US" w:eastAsia="zh-CN" w:bidi="ar-SA"/>
                    </w:rPr>
                  </w:pPr>
                  <w:r>
                    <w:rPr>
                      <w:highlight w:val="none"/>
                    </w:rPr>
                    <w:t>由区域供电系统提供，年用电量约为</w:t>
                  </w:r>
                  <w:r>
                    <w:rPr>
                      <w:rFonts w:hint="eastAsia"/>
                      <w:highlight w:val="none"/>
                      <w:lang w:val="en-US" w:eastAsia="zh-CN"/>
                    </w:rPr>
                    <w:t>45</w:t>
                  </w:r>
                  <w:r>
                    <w:rPr>
                      <w:highlight w:val="none"/>
                    </w:rPr>
                    <w:t>万kW·h</w:t>
                  </w:r>
                  <w:r>
                    <w:rPr>
                      <w:rFonts w:hint="eastAsia"/>
                      <w:szCs w:val="21"/>
                      <w:vertAlign w:val="baseline"/>
                      <w:lang w:eastAsia="zh-CN"/>
                    </w:rPr>
                    <w:t>。</w:t>
                  </w:r>
                </w:p>
              </w:tc>
              <w:tc>
                <w:tcPr>
                  <w:tcW w:w="1196" w:type="pct"/>
                  <w:shd w:val="clear" w:color="auto" w:fill="auto"/>
                  <w:noWrap w:val="0"/>
                  <w:vAlign w:val="center"/>
                </w:tcPr>
                <w:p w14:paraId="563358CC">
                  <w:pPr>
                    <w:snapToGrid w:val="0"/>
                    <w:jc w:val="center"/>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依托现有，无变更</w:t>
                  </w:r>
                </w:p>
              </w:tc>
            </w:tr>
            <w:tr w14:paraId="4D5F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14:paraId="634921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p>
              </w:tc>
              <w:tc>
                <w:tcPr>
                  <w:tcW w:w="674" w:type="pct"/>
                  <w:gridSpan w:val="2"/>
                  <w:shd w:val="clear" w:color="auto" w:fill="auto"/>
                  <w:noWrap w:val="0"/>
                  <w:vAlign w:val="center"/>
                </w:tcPr>
                <w:p w14:paraId="796B03E4">
                  <w:pPr>
                    <w:adjustRightInd w:val="0"/>
                    <w:snapToGrid w:val="0"/>
                    <w:jc w:val="center"/>
                    <w:rPr>
                      <w:rFonts w:hint="default" w:ascii="Times New Roman" w:hAnsi="Times New Roman" w:eastAsia="宋体" w:cs="Times New Roman"/>
                      <w:kern w:val="2"/>
                      <w:sz w:val="21"/>
                      <w:szCs w:val="24"/>
                      <w:lang w:val="en-US" w:eastAsia="zh-CN" w:bidi="ar-SA"/>
                    </w:rPr>
                  </w:pPr>
                  <w:r>
                    <w:t>给水</w:t>
                  </w:r>
                </w:p>
              </w:tc>
              <w:tc>
                <w:tcPr>
                  <w:tcW w:w="2691" w:type="pct"/>
                  <w:shd w:val="clear" w:color="auto" w:fill="auto"/>
                  <w:noWrap w:val="0"/>
                  <w:vAlign w:val="center"/>
                </w:tcPr>
                <w:p w14:paraId="52586F17">
                  <w:pPr>
                    <w:snapToGrid w:val="0"/>
                    <w:jc w:val="center"/>
                    <w:rPr>
                      <w:rFonts w:hint="default" w:ascii="Times New Roman" w:hAnsi="Times New Roman" w:eastAsia="宋体" w:cs="Times New Roman"/>
                      <w:kern w:val="2"/>
                      <w:sz w:val="21"/>
                      <w:szCs w:val="24"/>
                      <w:lang w:val="en-US" w:eastAsia="zh-CN" w:bidi="ar-SA"/>
                    </w:rPr>
                  </w:pPr>
                  <w:r>
                    <w:t>由区域自来水</w:t>
                  </w:r>
                  <w:r>
                    <w:rPr>
                      <w:highlight w:val="none"/>
                    </w:rPr>
                    <w:t>管网提供，年用水量约为</w:t>
                  </w:r>
                  <w:r>
                    <w:rPr>
                      <w:rFonts w:hint="eastAsia"/>
                      <w:highlight w:val="none"/>
                      <w:lang w:val="en-US" w:eastAsia="zh-CN"/>
                    </w:rPr>
                    <w:t>26730</w:t>
                  </w:r>
                  <w:r>
                    <w:rPr>
                      <w:highlight w:val="none"/>
                    </w:rPr>
                    <w:t>吨</w:t>
                  </w:r>
                  <w:r>
                    <w:rPr>
                      <w:rFonts w:hint="eastAsia"/>
                      <w:szCs w:val="21"/>
                      <w:highlight w:val="none"/>
                      <w:vertAlign w:val="baseline"/>
                      <w:lang w:eastAsia="zh-CN"/>
                    </w:rPr>
                    <w:t>。</w:t>
                  </w:r>
                </w:p>
              </w:tc>
              <w:tc>
                <w:tcPr>
                  <w:tcW w:w="1196" w:type="pct"/>
                  <w:shd w:val="clear" w:color="auto" w:fill="auto"/>
                  <w:noWrap w:val="0"/>
                  <w:vAlign w:val="center"/>
                </w:tcPr>
                <w:p w14:paraId="218FE9F6">
                  <w:pPr>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依托现有，无变更</w:t>
                  </w:r>
                </w:p>
              </w:tc>
            </w:tr>
            <w:tr w14:paraId="74EE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14:paraId="429F3F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p>
              </w:tc>
              <w:tc>
                <w:tcPr>
                  <w:tcW w:w="674" w:type="pct"/>
                  <w:gridSpan w:val="2"/>
                  <w:shd w:val="clear" w:color="auto" w:fill="auto"/>
                  <w:noWrap w:val="0"/>
                  <w:vAlign w:val="center"/>
                </w:tcPr>
                <w:p w14:paraId="0DBA9011">
                  <w:pPr>
                    <w:adjustRightInd w:val="0"/>
                    <w:snapToGrid w:val="0"/>
                    <w:jc w:val="center"/>
                    <w:rPr>
                      <w:rFonts w:hint="eastAsia" w:ascii="Times New Roman" w:hAnsi="Times New Roman" w:eastAsia="宋体" w:cs="Times New Roman"/>
                      <w:kern w:val="2"/>
                      <w:sz w:val="21"/>
                      <w:szCs w:val="24"/>
                      <w:lang w:val="en-US" w:eastAsia="zh-CN" w:bidi="ar-SA"/>
                    </w:rPr>
                  </w:pPr>
                  <w:r>
                    <w:t>排水</w:t>
                  </w:r>
                </w:p>
              </w:tc>
              <w:tc>
                <w:tcPr>
                  <w:tcW w:w="2691" w:type="pct"/>
                  <w:shd w:val="clear" w:color="auto" w:fill="auto"/>
                  <w:noWrap w:val="0"/>
                  <w:vAlign w:val="center"/>
                </w:tcPr>
                <w:p w14:paraId="7C1936F4">
                  <w:pPr>
                    <w:snapToGrid w:val="0"/>
                    <w:jc w:val="center"/>
                    <w:rPr>
                      <w:rFonts w:hint="default" w:ascii="Times New Roman" w:hAnsi="Times New Roman" w:eastAsia="宋体" w:cs="Times New Roman"/>
                      <w:kern w:val="2"/>
                      <w:sz w:val="21"/>
                      <w:szCs w:val="21"/>
                      <w:lang w:val="en-US" w:eastAsia="zh-CN" w:bidi="ar-SA"/>
                    </w:rPr>
                  </w:pPr>
                  <w:r>
                    <w:rPr>
                      <w:szCs w:val="21"/>
                    </w:rPr>
                    <w:t>项目区排水采用雨、污分流制。雨水经厂区雨水管道收集后排入附近沟渠；生活污水进入化粪池处理后，定期清掏，不外排</w:t>
                  </w:r>
                  <w:r>
                    <w:rPr>
                      <w:rFonts w:hint="eastAsia"/>
                      <w:szCs w:val="21"/>
                      <w:lang w:eastAsia="zh-CN"/>
                    </w:rPr>
                    <w:t>。</w:t>
                  </w:r>
                  <w:r>
                    <w:rPr>
                      <w:rFonts w:hint="eastAsia"/>
                      <w:szCs w:val="21"/>
                      <w:lang w:val="en-US" w:eastAsia="zh-CN"/>
                    </w:rPr>
                    <w:t>脱除废水回用于生产线，不外排。</w:t>
                  </w:r>
                </w:p>
              </w:tc>
              <w:tc>
                <w:tcPr>
                  <w:tcW w:w="1196" w:type="pct"/>
                  <w:shd w:val="clear" w:color="auto" w:fill="auto"/>
                  <w:noWrap w:val="0"/>
                  <w:vAlign w:val="center"/>
                </w:tcPr>
                <w:p w14:paraId="0EC8AAA6">
                  <w:pPr>
                    <w:snapToGrid w:val="0"/>
                    <w:jc w:val="center"/>
                    <w:rPr>
                      <w:rFonts w:hint="default" w:ascii="Times New Roman" w:hAnsi="Times New Roman" w:eastAsia="宋体" w:cs="Times New Roman"/>
                      <w:kern w:val="2"/>
                      <w:sz w:val="21"/>
                      <w:szCs w:val="24"/>
                      <w:lang w:val="en-US" w:eastAsia="zh-CN" w:bidi="ar-SA"/>
                    </w:rPr>
                  </w:pPr>
                  <w:r>
                    <w:rPr>
                      <w:rFonts w:hint="eastAsia"/>
                      <w:lang w:val="en-US" w:eastAsia="zh-CN"/>
                    </w:rPr>
                    <w:t>依托现有，无变更</w:t>
                  </w:r>
                </w:p>
              </w:tc>
            </w:tr>
            <w:tr w14:paraId="7D60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restart"/>
                  <w:noWrap w:val="0"/>
                  <w:vAlign w:val="center"/>
                </w:tcPr>
                <w:p w14:paraId="720589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eastAsia="zh-CN"/>
                    </w:rPr>
                  </w:pPr>
                  <w:r>
                    <w:rPr>
                      <w:rFonts w:hint="default"/>
                      <w:color w:val="000000"/>
                      <w:sz w:val="21"/>
                      <w:szCs w:val="21"/>
                      <w:lang w:eastAsia="zh-CN"/>
                    </w:rPr>
                    <w:t>环保工程</w:t>
                  </w:r>
                </w:p>
              </w:tc>
              <w:tc>
                <w:tcPr>
                  <w:tcW w:w="674" w:type="pct"/>
                  <w:gridSpan w:val="2"/>
                  <w:noWrap w:val="0"/>
                  <w:vAlign w:val="center"/>
                </w:tcPr>
                <w:p w14:paraId="5ECE698A">
                  <w:pPr>
                    <w:tabs>
                      <w:tab w:val="left" w:pos="3255"/>
                    </w:tabs>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废水治理</w:t>
                  </w:r>
                </w:p>
              </w:tc>
              <w:tc>
                <w:tcPr>
                  <w:tcW w:w="2691" w:type="pct"/>
                  <w:noWrap w:val="0"/>
                  <w:vAlign w:val="center"/>
                </w:tcPr>
                <w:p w14:paraId="53E0ECAF">
                  <w:pPr>
                    <w:snapToGrid w:val="0"/>
                    <w:jc w:val="center"/>
                    <w:rPr>
                      <w:rFonts w:hint="eastAsia" w:ascii="Times New Roman" w:hAnsi="Times New Roman" w:eastAsia="宋体" w:cs="Times New Roman"/>
                      <w:color w:val="000000"/>
                      <w:sz w:val="21"/>
                      <w:szCs w:val="21"/>
                      <w:lang w:val="en-US" w:eastAsia="zh-CN"/>
                    </w:rPr>
                  </w:pPr>
                  <w:r>
                    <w:t>项目区排水采用雨、污分流制。雨水经厂区雨水</w:t>
                  </w:r>
                  <w:r>
                    <w:rPr>
                      <w:highlight w:val="none"/>
                    </w:rPr>
                    <w:t>管道收集后排入附近沟渠；</w:t>
                  </w:r>
                  <w:r>
                    <w:rPr>
                      <w:rFonts w:hint="eastAsia"/>
                      <w:highlight w:val="none"/>
                    </w:rPr>
                    <w:t>本项目</w:t>
                  </w:r>
                  <w:r>
                    <w:rPr>
                      <w:rFonts w:hint="eastAsia"/>
                      <w:highlight w:val="none"/>
                      <w:lang w:val="en-US" w:eastAsia="zh-CN"/>
                    </w:rPr>
                    <w:t>生活污水经化粪池预处理后定期清掏，不外排；生产废水循环使用不外排。</w:t>
                  </w:r>
                </w:p>
              </w:tc>
              <w:tc>
                <w:tcPr>
                  <w:tcW w:w="1196" w:type="pct"/>
                  <w:noWrap w:val="0"/>
                  <w:vAlign w:val="center"/>
                </w:tcPr>
                <w:p w14:paraId="544A1D17">
                  <w:pPr>
                    <w:snapToGrid w:val="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依托现有</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无变更</w:t>
                  </w:r>
                </w:p>
              </w:tc>
            </w:tr>
            <w:tr w14:paraId="3472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14:paraId="1B2367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rPr>
                  </w:pPr>
                </w:p>
              </w:tc>
              <w:tc>
                <w:tcPr>
                  <w:tcW w:w="674" w:type="pct"/>
                  <w:gridSpan w:val="2"/>
                  <w:vMerge w:val="restart"/>
                  <w:noWrap w:val="0"/>
                  <w:vAlign w:val="center"/>
                </w:tcPr>
                <w:p w14:paraId="6D753325">
                  <w:pPr>
                    <w:tabs>
                      <w:tab w:val="left" w:pos="3255"/>
                    </w:tabs>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废气治理</w:t>
                  </w:r>
                </w:p>
              </w:tc>
              <w:tc>
                <w:tcPr>
                  <w:tcW w:w="2691" w:type="pct"/>
                  <w:noWrap w:val="0"/>
                  <w:vAlign w:val="center"/>
                </w:tcPr>
                <w:p w14:paraId="08551882">
                  <w:pPr>
                    <w:keepNext w:val="0"/>
                    <w:keepLines w:val="0"/>
                    <w:pageBreakBefore w:val="0"/>
                    <w:widowControl w:val="0"/>
                    <w:tabs>
                      <w:tab w:val="left" w:pos="325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水模成型和成型后晾干产生的少量臭气浓度车间内无组织排放</w:t>
                  </w:r>
                  <w:r>
                    <w:rPr>
                      <w:rFonts w:hint="eastAsia" w:cs="Times New Roman"/>
                      <w:color w:val="000000"/>
                      <w:sz w:val="21"/>
                      <w:szCs w:val="21"/>
                      <w:lang w:val="en-US" w:eastAsia="zh-CN"/>
                    </w:rPr>
                    <w:t>，定期喷洒除臭剂。</w:t>
                  </w:r>
                </w:p>
              </w:tc>
              <w:tc>
                <w:tcPr>
                  <w:tcW w:w="1196" w:type="pct"/>
                  <w:noWrap w:val="0"/>
                  <w:vAlign w:val="center"/>
                </w:tcPr>
                <w:p w14:paraId="264262A2">
                  <w:pPr>
                    <w:spacing w:line="240" w:lineRule="auto"/>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w:t>
                  </w:r>
                </w:p>
              </w:tc>
            </w:tr>
            <w:tr w14:paraId="5158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14:paraId="2C4EF4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rPr>
                  </w:pPr>
                </w:p>
              </w:tc>
              <w:tc>
                <w:tcPr>
                  <w:tcW w:w="674" w:type="pct"/>
                  <w:gridSpan w:val="2"/>
                  <w:vMerge w:val="continue"/>
                  <w:noWrap w:val="0"/>
                  <w:vAlign w:val="center"/>
                </w:tcPr>
                <w:p w14:paraId="504A2FE1">
                  <w:pPr>
                    <w:tabs>
                      <w:tab w:val="left" w:pos="3255"/>
                    </w:tabs>
                    <w:spacing w:line="240" w:lineRule="auto"/>
                    <w:jc w:val="center"/>
                    <w:rPr>
                      <w:rFonts w:hint="default" w:ascii="Times New Roman" w:hAnsi="Times New Roman" w:cs="Times New Roman"/>
                      <w:color w:val="000000"/>
                      <w:sz w:val="21"/>
                      <w:szCs w:val="21"/>
                    </w:rPr>
                  </w:pPr>
                </w:p>
              </w:tc>
              <w:tc>
                <w:tcPr>
                  <w:tcW w:w="2691" w:type="pct"/>
                  <w:noWrap w:val="0"/>
                  <w:vAlign w:val="center"/>
                </w:tcPr>
                <w:p w14:paraId="37E56FEE">
                  <w:pPr>
                    <w:keepNext w:val="0"/>
                    <w:keepLines w:val="0"/>
                    <w:pageBreakBefore w:val="0"/>
                    <w:widowControl w:val="0"/>
                    <w:tabs>
                      <w:tab w:val="left" w:pos="325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喷码废气经集气罩收集+二级活性炭吸附装置+15m高排气筒（DA001）排放。</w:t>
                  </w:r>
                </w:p>
              </w:tc>
              <w:tc>
                <w:tcPr>
                  <w:tcW w:w="1196" w:type="pct"/>
                  <w:noWrap w:val="0"/>
                  <w:vAlign w:val="center"/>
                </w:tcPr>
                <w:p w14:paraId="536DD5CE">
                  <w:pPr>
                    <w:spacing w:line="240" w:lineRule="auto"/>
                    <w:jc w:val="center"/>
                    <w:rPr>
                      <w:rFonts w:hint="eastAsia" w:ascii="Times New Roman" w:hAnsi="Times New Roman" w:cs="Times New Roman"/>
                      <w:color w:val="000000"/>
                      <w:sz w:val="21"/>
                      <w:szCs w:val="21"/>
                      <w:lang w:val="en-US" w:eastAsia="zh-CN"/>
                    </w:rPr>
                  </w:pPr>
                  <w:r>
                    <w:t>新建</w:t>
                  </w:r>
                </w:p>
              </w:tc>
            </w:tr>
            <w:tr w14:paraId="5041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14:paraId="7D4059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rPr>
                  </w:pPr>
                </w:p>
              </w:tc>
              <w:tc>
                <w:tcPr>
                  <w:tcW w:w="674" w:type="pct"/>
                  <w:gridSpan w:val="2"/>
                  <w:noWrap w:val="0"/>
                  <w:vAlign w:val="center"/>
                </w:tcPr>
                <w:p w14:paraId="214BE9A9">
                  <w:pPr>
                    <w:tabs>
                      <w:tab w:val="left" w:pos="3255"/>
                    </w:tabs>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噪声</w:t>
                  </w:r>
                  <w:r>
                    <w:rPr>
                      <w:rFonts w:hint="default" w:ascii="Times New Roman" w:hAnsi="Times New Roman" w:cs="Times New Roman"/>
                      <w:color w:val="000000"/>
                      <w:sz w:val="21"/>
                      <w:szCs w:val="21"/>
                      <w:lang w:eastAsia="zh-CN"/>
                    </w:rPr>
                    <w:t>治理</w:t>
                  </w:r>
                </w:p>
              </w:tc>
              <w:tc>
                <w:tcPr>
                  <w:tcW w:w="2691" w:type="pct"/>
                  <w:noWrap w:val="0"/>
                  <w:vAlign w:val="center"/>
                </w:tcPr>
                <w:p w14:paraId="028D8778">
                  <w:pPr>
                    <w:keepNext w:val="0"/>
                    <w:keepLines w:val="0"/>
                    <w:pageBreakBefore w:val="0"/>
                    <w:widowControl w:val="0"/>
                    <w:tabs>
                      <w:tab w:val="left" w:pos="325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eastAsia="zh-CN"/>
                    </w:rPr>
                  </w:pPr>
                  <w:r>
                    <w:rPr>
                      <w:rFonts w:hint="default" w:ascii="Times New Roman" w:hAnsi="Times New Roman" w:cs="Times New Roman"/>
                      <w:color w:val="000000"/>
                      <w:spacing w:val="4"/>
                      <w:sz w:val="21"/>
                      <w:szCs w:val="21"/>
                      <w:lang w:val="en-US" w:eastAsia="zh-CN"/>
                    </w:rPr>
                    <w:t>选用低噪设备、厂房隔声、基础减震等。</w:t>
                  </w:r>
                </w:p>
              </w:tc>
              <w:tc>
                <w:tcPr>
                  <w:tcW w:w="1196" w:type="pct"/>
                  <w:noWrap w:val="0"/>
                  <w:vAlign w:val="center"/>
                </w:tcPr>
                <w:p w14:paraId="6E9B6919">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依托现有</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无变更</w:t>
                  </w:r>
                </w:p>
              </w:tc>
            </w:tr>
            <w:tr w14:paraId="77E2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14:paraId="4D9332D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rPr>
                  </w:pPr>
                </w:p>
              </w:tc>
              <w:tc>
                <w:tcPr>
                  <w:tcW w:w="337" w:type="pct"/>
                  <w:vMerge w:val="restart"/>
                  <w:noWrap w:val="0"/>
                  <w:vAlign w:val="center"/>
                </w:tcPr>
                <w:p w14:paraId="227208EF">
                  <w:pPr>
                    <w:tabs>
                      <w:tab w:val="left" w:pos="3255"/>
                    </w:tabs>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固废治理</w:t>
                  </w:r>
                </w:p>
              </w:tc>
              <w:tc>
                <w:tcPr>
                  <w:tcW w:w="337" w:type="pct"/>
                  <w:shd w:val="clear" w:color="auto" w:fill="auto"/>
                  <w:noWrap w:val="0"/>
                  <w:vAlign w:val="center"/>
                </w:tcPr>
                <w:p w14:paraId="2A72CEB0">
                  <w:pPr>
                    <w:adjustRightInd w:val="0"/>
                    <w:snapToGrid w:val="0"/>
                    <w:jc w:val="center"/>
                    <w:rPr>
                      <w:rFonts w:hint="default" w:ascii="Times New Roman" w:hAnsi="Times New Roman" w:eastAsia="宋体" w:cs="Times New Roman"/>
                      <w:kern w:val="2"/>
                      <w:sz w:val="21"/>
                      <w:szCs w:val="24"/>
                      <w:highlight w:val="none"/>
                      <w:lang w:val="zh-CN" w:eastAsia="zh-CN" w:bidi="ar-SA"/>
                    </w:rPr>
                  </w:pPr>
                  <w:r>
                    <w:rPr>
                      <w:highlight w:val="none"/>
                      <w:lang w:val="zh-CN"/>
                    </w:rPr>
                    <w:t>生活垃圾</w:t>
                  </w:r>
                </w:p>
              </w:tc>
              <w:tc>
                <w:tcPr>
                  <w:tcW w:w="2691" w:type="pct"/>
                  <w:shd w:val="clear" w:color="auto" w:fill="auto"/>
                  <w:noWrap w:val="0"/>
                  <w:vAlign w:val="center"/>
                </w:tcPr>
                <w:p w14:paraId="79DB4BAA">
                  <w:pPr>
                    <w:adjustRightInd w:val="0"/>
                    <w:snapToGrid w:val="0"/>
                    <w:jc w:val="center"/>
                    <w:rPr>
                      <w:rFonts w:hint="eastAsia" w:ascii="Times New Roman" w:hAnsi="Times New Roman" w:eastAsia="宋体" w:cs="Times New Roman"/>
                      <w:kern w:val="2"/>
                      <w:sz w:val="21"/>
                      <w:szCs w:val="24"/>
                      <w:highlight w:val="none"/>
                      <w:lang w:val="zh-CN" w:eastAsia="zh-CN" w:bidi="ar-SA"/>
                    </w:rPr>
                  </w:pPr>
                  <w:r>
                    <w:rPr>
                      <w:highlight w:val="none"/>
                    </w:rPr>
                    <w:t>经袋装或桶装分类收集后，委托环卫部门统一清运</w:t>
                  </w:r>
                  <w:r>
                    <w:rPr>
                      <w:rFonts w:hint="eastAsia"/>
                      <w:szCs w:val="21"/>
                      <w:vertAlign w:val="baseline"/>
                      <w:lang w:eastAsia="zh-CN"/>
                    </w:rPr>
                    <w:t>。</w:t>
                  </w:r>
                </w:p>
              </w:tc>
              <w:tc>
                <w:tcPr>
                  <w:tcW w:w="1196" w:type="pct"/>
                  <w:shd w:val="clear" w:color="auto" w:fill="auto"/>
                  <w:noWrap w:val="0"/>
                  <w:vAlign w:val="center"/>
                </w:tcPr>
                <w:p w14:paraId="548BEA54">
                  <w:pPr>
                    <w:adjustRightInd w:val="0"/>
                    <w:snapToGrid w:val="0"/>
                    <w:jc w:val="center"/>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color w:val="000000"/>
                      <w:sz w:val="21"/>
                      <w:szCs w:val="21"/>
                      <w:highlight w:val="none"/>
                    </w:rPr>
                    <w:t>依托现有</w:t>
                  </w:r>
                </w:p>
              </w:tc>
            </w:tr>
            <w:tr w14:paraId="10BD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14:paraId="2E98E1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rPr>
                  </w:pPr>
                </w:p>
              </w:tc>
              <w:tc>
                <w:tcPr>
                  <w:tcW w:w="337" w:type="pct"/>
                  <w:vMerge w:val="continue"/>
                  <w:noWrap w:val="0"/>
                  <w:vAlign w:val="center"/>
                </w:tcPr>
                <w:p w14:paraId="33301055">
                  <w:pPr>
                    <w:tabs>
                      <w:tab w:val="left" w:pos="3255"/>
                    </w:tabs>
                    <w:spacing w:line="240" w:lineRule="auto"/>
                    <w:jc w:val="center"/>
                    <w:rPr>
                      <w:rFonts w:hint="default" w:ascii="Times New Roman" w:hAnsi="Times New Roman" w:cs="Times New Roman"/>
                      <w:color w:val="000000"/>
                      <w:sz w:val="21"/>
                      <w:szCs w:val="21"/>
                    </w:rPr>
                  </w:pPr>
                </w:p>
              </w:tc>
              <w:tc>
                <w:tcPr>
                  <w:tcW w:w="337" w:type="pct"/>
                  <w:shd w:val="clear" w:color="auto" w:fill="auto"/>
                  <w:noWrap w:val="0"/>
                  <w:vAlign w:val="center"/>
                </w:tcPr>
                <w:p w14:paraId="18297D47">
                  <w:pPr>
                    <w:adjustRightInd w:val="0"/>
                    <w:snapToGrid w:val="0"/>
                    <w:jc w:val="center"/>
                    <w:rPr>
                      <w:rFonts w:hint="default" w:ascii="Times New Roman" w:hAnsi="Times New Roman" w:eastAsia="宋体" w:cs="Times New Roman"/>
                      <w:kern w:val="2"/>
                      <w:sz w:val="21"/>
                      <w:szCs w:val="24"/>
                      <w:highlight w:val="none"/>
                      <w:lang w:val="zh-CN" w:eastAsia="zh-CN" w:bidi="ar-SA"/>
                    </w:rPr>
                  </w:pPr>
                  <w:r>
                    <w:rPr>
                      <w:rFonts w:hint="eastAsia"/>
                      <w:highlight w:val="none"/>
                      <w:lang w:val="zh-CN"/>
                    </w:rPr>
                    <w:t>一般固废</w:t>
                  </w:r>
                </w:p>
              </w:tc>
              <w:tc>
                <w:tcPr>
                  <w:tcW w:w="2691" w:type="pct"/>
                  <w:shd w:val="clear" w:color="auto" w:fill="auto"/>
                  <w:noWrap w:val="0"/>
                  <w:vAlign w:val="center"/>
                </w:tcPr>
                <w:p w14:paraId="0455B39C">
                  <w:pPr>
                    <w:adjustRightInd w:val="0"/>
                    <w:snapToGrid w:val="0"/>
                    <w:jc w:val="center"/>
                    <w:rPr>
                      <w:rFonts w:hint="eastAsia" w:ascii="Times New Roman" w:hAnsi="Times New Roman" w:eastAsia="宋体" w:cs="Times New Roman"/>
                      <w:kern w:val="2"/>
                      <w:sz w:val="21"/>
                      <w:szCs w:val="21"/>
                      <w:highlight w:val="none"/>
                      <w:lang w:val="zh-CN" w:eastAsia="zh-CN" w:bidi="ar-SA"/>
                    </w:rPr>
                  </w:pPr>
                  <w:r>
                    <w:rPr>
                      <w:rFonts w:hint="eastAsia"/>
                      <w:szCs w:val="21"/>
                      <w:highlight w:val="none"/>
                      <w:lang w:val="en-US" w:eastAsia="zh-CN"/>
                    </w:rPr>
                    <w:t>废包装材料</w:t>
                  </w:r>
                  <w:r>
                    <w:rPr>
                      <w:rFonts w:hint="eastAsia"/>
                      <w:szCs w:val="21"/>
                      <w:highlight w:val="none"/>
                    </w:rPr>
                    <w:t>暂存于一般固废间（</w:t>
                  </w:r>
                  <w:r>
                    <w:rPr>
                      <w:rStyle w:val="28"/>
                      <w:rFonts w:hint="eastAsia"/>
                      <w:kern w:val="0"/>
                      <w:szCs w:val="20"/>
                      <w:highlight w:val="none"/>
                    </w:rPr>
                    <w:t>位于2#厂房外东</w:t>
                  </w:r>
                  <w:r>
                    <w:rPr>
                      <w:rStyle w:val="28"/>
                      <w:rFonts w:hint="eastAsia"/>
                      <w:kern w:val="0"/>
                      <w:szCs w:val="20"/>
                      <w:highlight w:val="none"/>
                      <w:lang w:val="en-US" w:eastAsia="zh-CN"/>
                    </w:rPr>
                    <w:t>南</w:t>
                  </w:r>
                  <w:r>
                    <w:rPr>
                      <w:rStyle w:val="28"/>
                      <w:rFonts w:hint="eastAsia"/>
                      <w:kern w:val="0"/>
                      <w:szCs w:val="20"/>
                      <w:highlight w:val="none"/>
                    </w:rPr>
                    <w:t>角，</w:t>
                  </w:r>
                  <w:r>
                    <w:rPr>
                      <w:highlight w:val="none"/>
                    </w:rPr>
                    <w:t>面积约为</w:t>
                  </w:r>
                  <w:r>
                    <w:rPr>
                      <w:rFonts w:hint="eastAsia"/>
                      <w:highlight w:val="none"/>
                      <w:lang w:val="en-US" w:eastAsia="zh-CN"/>
                    </w:rPr>
                    <w:t>10</w:t>
                  </w:r>
                  <w:r>
                    <w:rPr>
                      <w:szCs w:val="21"/>
                      <w:highlight w:val="none"/>
                    </w:rPr>
                    <w:t>m</w:t>
                  </w:r>
                  <w:r>
                    <w:rPr>
                      <w:szCs w:val="21"/>
                      <w:highlight w:val="none"/>
                      <w:vertAlign w:val="superscript"/>
                    </w:rPr>
                    <w:t>2</w:t>
                  </w:r>
                  <w:r>
                    <w:rPr>
                      <w:rFonts w:hint="eastAsia"/>
                      <w:szCs w:val="21"/>
                      <w:highlight w:val="none"/>
                    </w:rPr>
                    <w:t>）</w:t>
                  </w:r>
                  <w:r>
                    <w:rPr>
                      <w:szCs w:val="21"/>
                      <w:highlight w:val="none"/>
                    </w:rPr>
                    <w:t>，外售</w:t>
                  </w:r>
                  <w:r>
                    <w:rPr>
                      <w:rFonts w:hint="eastAsia"/>
                      <w:szCs w:val="21"/>
                      <w:highlight w:val="none"/>
                      <w:lang w:val="en-US" w:eastAsia="zh-CN"/>
                    </w:rPr>
                    <w:t>资源回收公司处置</w:t>
                  </w:r>
                  <w:r>
                    <w:rPr>
                      <w:rFonts w:hint="eastAsia"/>
                      <w:szCs w:val="21"/>
                      <w:highlight w:val="none"/>
                      <w:lang w:eastAsia="zh-CN"/>
                    </w:rPr>
                    <w:t>；</w:t>
                  </w:r>
                  <w:r>
                    <w:rPr>
                      <w:rFonts w:hint="eastAsia"/>
                      <w:szCs w:val="21"/>
                      <w:highlight w:val="none"/>
                      <w:lang w:val="en-US" w:eastAsia="zh-CN"/>
                    </w:rPr>
                    <w:t>废</w:t>
                  </w:r>
                  <w:r>
                    <w:rPr>
                      <w:rFonts w:hint="eastAsia"/>
                      <w:szCs w:val="21"/>
                      <w:highlight w:val="none"/>
                    </w:rPr>
                    <w:t>边角料、不合格产品</w:t>
                  </w:r>
                  <w:r>
                    <w:rPr>
                      <w:szCs w:val="21"/>
                      <w:highlight w:val="none"/>
                    </w:rPr>
                    <w:t>收集后，</w:t>
                  </w:r>
                  <w:r>
                    <w:rPr>
                      <w:rFonts w:hint="eastAsia"/>
                      <w:szCs w:val="21"/>
                      <w:highlight w:val="none"/>
                      <w:lang w:val="en-US" w:eastAsia="zh-CN"/>
                    </w:rPr>
                    <w:t>暂存于湿法破碎区域</w:t>
                  </w:r>
                  <w:r>
                    <w:rPr>
                      <w:szCs w:val="21"/>
                      <w:highlight w:val="none"/>
                    </w:rPr>
                    <w:t>，</w:t>
                  </w:r>
                  <w:r>
                    <w:rPr>
                      <w:rFonts w:hint="eastAsia"/>
                      <w:szCs w:val="21"/>
                      <w:highlight w:val="none"/>
                    </w:rPr>
                    <w:t>经破碎机破碎后，回用于生产</w:t>
                  </w:r>
                  <w:r>
                    <w:rPr>
                      <w:szCs w:val="21"/>
                      <w:highlight w:val="none"/>
                    </w:rPr>
                    <w:t>处理</w:t>
                  </w:r>
                  <w:r>
                    <w:rPr>
                      <w:rFonts w:hint="eastAsia"/>
                      <w:szCs w:val="21"/>
                      <w:vertAlign w:val="baseline"/>
                      <w:lang w:eastAsia="zh-CN"/>
                    </w:rPr>
                    <w:t>。</w:t>
                  </w:r>
                </w:p>
              </w:tc>
              <w:tc>
                <w:tcPr>
                  <w:tcW w:w="1196" w:type="pct"/>
                  <w:shd w:val="clear" w:color="auto" w:fill="auto"/>
                  <w:noWrap w:val="0"/>
                  <w:vAlign w:val="center"/>
                </w:tcPr>
                <w:p w14:paraId="7D6B5A35">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依托现有</w:t>
                  </w:r>
                </w:p>
              </w:tc>
            </w:tr>
            <w:tr w14:paraId="7F58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14:paraId="33046A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rPr>
                  </w:pPr>
                </w:p>
              </w:tc>
              <w:tc>
                <w:tcPr>
                  <w:tcW w:w="337" w:type="pct"/>
                  <w:vMerge w:val="continue"/>
                  <w:noWrap w:val="0"/>
                  <w:vAlign w:val="center"/>
                </w:tcPr>
                <w:p w14:paraId="5448A4DC">
                  <w:pPr>
                    <w:tabs>
                      <w:tab w:val="left" w:pos="3255"/>
                    </w:tabs>
                    <w:spacing w:line="240" w:lineRule="auto"/>
                    <w:jc w:val="center"/>
                    <w:rPr>
                      <w:rFonts w:hint="default" w:ascii="Times New Roman" w:hAnsi="Times New Roman" w:cs="Times New Roman"/>
                      <w:color w:val="000000"/>
                      <w:sz w:val="21"/>
                      <w:szCs w:val="21"/>
                    </w:rPr>
                  </w:pPr>
                </w:p>
              </w:tc>
              <w:tc>
                <w:tcPr>
                  <w:tcW w:w="337" w:type="pct"/>
                  <w:shd w:val="clear" w:color="auto" w:fill="auto"/>
                  <w:noWrap w:val="0"/>
                  <w:vAlign w:val="center"/>
                </w:tcPr>
                <w:p w14:paraId="3551FF71">
                  <w:pPr>
                    <w:adjustRightInd w:val="0"/>
                    <w:snapToGrid w:val="0"/>
                    <w:jc w:val="center"/>
                    <w:rPr>
                      <w:rFonts w:hint="default" w:ascii="Times New Roman" w:hAnsi="Times New Roman" w:eastAsia="宋体" w:cs="Times New Roman"/>
                      <w:color w:val="000000"/>
                      <w:kern w:val="2"/>
                      <w:sz w:val="21"/>
                      <w:szCs w:val="24"/>
                      <w:highlight w:val="none"/>
                      <w:lang w:val="en-US" w:eastAsia="zh-CN" w:bidi="ar-SA"/>
                    </w:rPr>
                  </w:pPr>
                  <w:r>
                    <w:rPr>
                      <w:rFonts w:hint="eastAsia"/>
                      <w:color w:val="000000"/>
                      <w:highlight w:val="none"/>
                    </w:rPr>
                    <w:t>危险废物</w:t>
                  </w:r>
                </w:p>
              </w:tc>
              <w:tc>
                <w:tcPr>
                  <w:tcW w:w="2691" w:type="pct"/>
                  <w:shd w:val="clear" w:color="auto" w:fill="auto"/>
                  <w:noWrap w:val="0"/>
                  <w:vAlign w:val="center"/>
                </w:tcPr>
                <w:p w14:paraId="3CA099FF">
                  <w:pPr>
                    <w:adjustRightInd w:val="0"/>
                    <w:snapToGrid w:val="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zh-CN"/>
                    </w:rPr>
                    <w:t>废弃的含油抹布、劳保用品、废机油、废机油桶和废活性炭</w:t>
                  </w:r>
                  <w:r>
                    <w:rPr>
                      <w:highlight w:val="none"/>
                      <w:lang w:val="zh-CN"/>
                    </w:rPr>
                    <w:t>分类收集后，暂存于危废暂存间</w:t>
                  </w:r>
                  <w:r>
                    <w:rPr>
                      <w:rStyle w:val="28"/>
                      <w:rFonts w:hint="eastAsia"/>
                      <w:kern w:val="0"/>
                      <w:szCs w:val="20"/>
                      <w:highlight w:val="none"/>
                    </w:rPr>
                    <w:t>（位于2#厂房外东</w:t>
                  </w:r>
                  <w:r>
                    <w:rPr>
                      <w:rStyle w:val="28"/>
                      <w:rFonts w:hint="eastAsia"/>
                      <w:kern w:val="0"/>
                      <w:szCs w:val="20"/>
                      <w:highlight w:val="none"/>
                      <w:lang w:val="en-US" w:eastAsia="zh-CN"/>
                    </w:rPr>
                    <w:t>南</w:t>
                  </w:r>
                  <w:r>
                    <w:rPr>
                      <w:rStyle w:val="28"/>
                      <w:rFonts w:hint="eastAsia"/>
                      <w:kern w:val="0"/>
                      <w:szCs w:val="20"/>
                      <w:highlight w:val="none"/>
                    </w:rPr>
                    <w:t>角，</w:t>
                  </w:r>
                  <w:r>
                    <w:rPr>
                      <w:highlight w:val="none"/>
                    </w:rPr>
                    <w:t>面积约为</w:t>
                  </w:r>
                  <w:r>
                    <w:rPr>
                      <w:rFonts w:hint="eastAsia"/>
                      <w:highlight w:val="none"/>
                      <w:lang w:val="en-US" w:eastAsia="zh-CN"/>
                    </w:rPr>
                    <w:t>10</w:t>
                  </w:r>
                  <w:r>
                    <w:rPr>
                      <w:szCs w:val="21"/>
                      <w:highlight w:val="none"/>
                    </w:rPr>
                    <w:t>m</w:t>
                  </w:r>
                  <w:r>
                    <w:rPr>
                      <w:szCs w:val="21"/>
                      <w:highlight w:val="none"/>
                      <w:vertAlign w:val="superscript"/>
                    </w:rPr>
                    <w:t>2</w:t>
                  </w:r>
                  <w:r>
                    <w:rPr>
                      <w:rStyle w:val="28"/>
                      <w:rFonts w:hint="eastAsia"/>
                      <w:kern w:val="0"/>
                      <w:szCs w:val="20"/>
                      <w:highlight w:val="none"/>
                    </w:rPr>
                    <w:t>）</w:t>
                  </w:r>
                  <w:r>
                    <w:rPr>
                      <w:highlight w:val="none"/>
                      <w:lang w:val="zh-CN"/>
                    </w:rPr>
                    <w:t>，定期委托有危废资质的单位妥善处理</w:t>
                  </w:r>
                  <w:r>
                    <w:rPr>
                      <w:rFonts w:hint="eastAsia"/>
                      <w:szCs w:val="21"/>
                      <w:vertAlign w:val="baseline"/>
                      <w:lang w:eastAsia="zh-CN"/>
                    </w:rPr>
                    <w:t>。</w:t>
                  </w:r>
                </w:p>
              </w:tc>
              <w:tc>
                <w:tcPr>
                  <w:tcW w:w="1196" w:type="pct"/>
                  <w:shd w:val="clear" w:color="auto" w:fill="auto"/>
                  <w:noWrap w:val="0"/>
                  <w:vAlign w:val="center"/>
                </w:tcPr>
                <w:p w14:paraId="0747664E">
                  <w:pPr>
                    <w:adjustRightInd w:val="0"/>
                    <w:snapToGrid w:val="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1"/>
                      <w:lang w:val="en-US" w:eastAsia="zh-CN" w:bidi="ar-SA"/>
                    </w:rPr>
                    <w:t>依托现有</w:t>
                  </w:r>
                </w:p>
              </w:tc>
            </w:tr>
            <w:tr w14:paraId="5EB8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vMerge w:val="continue"/>
                  <w:noWrap w:val="0"/>
                  <w:vAlign w:val="center"/>
                </w:tcPr>
                <w:p w14:paraId="4364EE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rPr>
                  </w:pPr>
                </w:p>
              </w:tc>
              <w:tc>
                <w:tcPr>
                  <w:tcW w:w="674" w:type="pct"/>
                  <w:gridSpan w:val="2"/>
                  <w:shd w:val="clear" w:color="auto" w:fill="auto"/>
                  <w:noWrap w:val="0"/>
                  <w:vAlign w:val="center"/>
                </w:tcPr>
                <w:p w14:paraId="0C20D49A">
                  <w:pPr>
                    <w:jc w:val="center"/>
                    <w:rPr>
                      <w:rFonts w:hint="default" w:ascii="Times New Roman" w:hAnsi="Times New Roman" w:eastAsia="宋体" w:cs="Times New Roman"/>
                      <w:kern w:val="2"/>
                      <w:sz w:val="21"/>
                      <w:szCs w:val="21"/>
                      <w:lang w:val="en-US" w:eastAsia="zh-CN" w:bidi="ar-SA"/>
                    </w:rPr>
                  </w:pPr>
                  <w:r>
                    <w:rPr>
                      <w:bCs/>
                    </w:rPr>
                    <w:t>环境风险防范</w:t>
                  </w:r>
                </w:p>
              </w:tc>
              <w:tc>
                <w:tcPr>
                  <w:tcW w:w="2691" w:type="pct"/>
                  <w:shd w:val="clear" w:color="auto" w:fill="auto"/>
                  <w:noWrap w:val="0"/>
                  <w:vAlign w:val="center"/>
                </w:tcPr>
                <w:p w14:paraId="7C88092D">
                  <w:pPr>
                    <w:jc w:val="center"/>
                    <w:rPr>
                      <w:rFonts w:hint="default" w:ascii="Times New Roman" w:hAnsi="Times New Roman" w:eastAsia="宋体" w:cs="Times New Roman"/>
                      <w:kern w:val="2"/>
                      <w:sz w:val="21"/>
                      <w:szCs w:val="24"/>
                      <w:lang w:val="en-US" w:eastAsia="zh-CN" w:bidi="ar-SA"/>
                    </w:rPr>
                  </w:pPr>
                  <w:r>
                    <w:rPr>
                      <w:szCs w:val="21"/>
                    </w:rPr>
                    <w:t>①原料贮存过程风险防范；②消防、火灾报警系统；③火灾和爆炸等防范措施；④固体废物事故风险防范措施；⑤总图布置防范措施；⑥废气事故应急措施；⑦应急预案</w:t>
                  </w:r>
                </w:p>
              </w:tc>
              <w:tc>
                <w:tcPr>
                  <w:tcW w:w="1196" w:type="pct"/>
                  <w:shd w:val="clear" w:color="auto" w:fill="auto"/>
                  <w:noWrap w:val="0"/>
                  <w:vAlign w:val="center"/>
                </w:tcPr>
                <w:p w14:paraId="4CCBD733">
                  <w:pPr>
                    <w:jc w:val="center"/>
                    <w:rPr>
                      <w:rFonts w:hint="default" w:ascii="Times New Roman" w:hAnsi="Times New Roman" w:eastAsia="宋体" w:cs="Times New Roman"/>
                      <w:kern w:val="2"/>
                      <w:sz w:val="21"/>
                      <w:szCs w:val="24"/>
                      <w:lang w:val="en-US" w:eastAsia="zh-CN" w:bidi="ar-SA"/>
                    </w:rPr>
                  </w:pPr>
                  <w:r>
                    <w:rPr>
                      <w:rFonts w:hint="eastAsia"/>
                      <w:lang w:val="en-US" w:eastAsia="zh-CN"/>
                    </w:rPr>
                    <w:t>依托现有</w:t>
                  </w:r>
                </w:p>
              </w:tc>
            </w:tr>
          </w:tbl>
          <w:p w14:paraId="49B0DE03">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firstLine="482" w:firstLineChars="200"/>
              <w:jc w:val="both"/>
              <w:textAlignment w:val="auto"/>
              <w:outlineLvl w:val="9"/>
              <w:rPr>
                <w:rFonts w:hint="default" w:ascii="Times New Roman" w:hAnsi="Times New Roman" w:eastAsia="宋体" w:cs="Times New Roman"/>
                <w:b/>
                <w:bCs/>
                <w:color w:val="000000"/>
                <w:kern w:val="2"/>
                <w:sz w:val="24"/>
                <w:szCs w:val="24"/>
                <w:lang w:eastAsia="zh-CN"/>
              </w:rPr>
            </w:pPr>
            <w:r>
              <w:rPr>
                <w:rFonts w:hint="default" w:ascii="Times New Roman" w:hAnsi="Times New Roman" w:eastAsia="宋体" w:cs="Times New Roman"/>
                <w:b/>
                <w:bCs/>
                <w:color w:val="000000"/>
                <w:kern w:val="2"/>
                <w:sz w:val="24"/>
                <w:szCs w:val="24"/>
                <w:lang w:eastAsia="zh-CN"/>
              </w:rPr>
              <w:t>现有工程依托可行性分析</w:t>
            </w:r>
            <w:r>
              <w:rPr>
                <w:rFonts w:hint="eastAsia" w:ascii="Times New Roman" w:hAnsi="Times New Roman" w:eastAsia="宋体" w:cs="Times New Roman"/>
                <w:b/>
                <w:bCs/>
                <w:color w:val="000000"/>
                <w:kern w:val="2"/>
                <w:sz w:val="24"/>
                <w:szCs w:val="24"/>
                <w:lang w:eastAsia="zh-CN"/>
              </w:rPr>
              <w:t>：</w:t>
            </w:r>
          </w:p>
          <w:p w14:paraId="471548D0">
            <w:pPr>
              <w:keepNext w:val="0"/>
              <w:keepLines w:val="0"/>
              <w:pageBreakBefore w:val="0"/>
              <w:widowControl w:val="0"/>
              <w:kinsoku/>
              <w:wordWrap/>
              <w:overflowPunct/>
              <w:topLinePunct w:val="0"/>
              <w:autoSpaceDE/>
              <w:autoSpaceDN/>
              <w:bidi w:val="0"/>
              <w:adjustRightInd w:val="0"/>
              <w:snapToGrid w:val="0"/>
              <w:spacing w:line="360" w:lineRule="auto"/>
              <w:ind w:firstLine="471"/>
              <w:textAlignment w:val="auto"/>
              <w:outlineLvl w:val="9"/>
              <w:rPr>
                <w:rFonts w:hint="default" w:ascii="Times New Roman" w:hAnsi="Times New Roman" w:eastAsia="宋体" w:cs="Times New Roman"/>
                <w:color w:val="000000"/>
                <w:kern w:val="2"/>
                <w:sz w:val="24"/>
                <w:szCs w:val="24"/>
                <w:lang w:eastAsia="zh-CN"/>
              </w:rPr>
            </w:pPr>
            <w:r>
              <w:rPr>
                <w:rFonts w:hint="default" w:ascii="Times New Roman" w:hAnsi="Times New Roman" w:eastAsia="宋体" w:cs="Times New Roman"/>
                <w:color w:val="000000"/>
                <w:kern w:val="2"/>
                <w:sz w:val="24"/>
                <w:szCs w:val="24"/>
                <w:lang w:eastAsia="zh-CN"/>
              </w:rPr>
              <w:t>本</w:t>
            </w:r>
            <w:r>
              <w:rPr>
                <w:rFonts w:hint="eastAsia" w:ascii="Times New Roman" w:hAnsi="Times New Roman" w:eastAsia="宋体" w:cs="Times New Roman"/>
                <w:color w:val="000000"/>
                <w:kern w:val="2"/>
                <w:sz w:val="24"/>
                <w:szCs w:val="24"/>
                <w:lang w:eastAsia="zh-CN"/>
              </w:rPr>
              <w:t>次技改</w:t>
            </w:r>
            <w:r>
              <w:rPr>
                <w:rFonts w:hint="default" w:ascii="Times New Roman" w:hAnsi="Times New Roman" w:eastAsia="宋体" w:cs="Times New Roman"/>
                <w:color w:val="000000"/>
                <w:kern w:val="2"/>
                <w:sz w:val="24"/>
                <w:szCs w:val="24"/>
                <w:lang w:eastAsia="zh-CN"/>
              </w:rPr>
              <w:t>项目依托现有工程内容主要包括：</w:t>
            </w:r>
          </w:p>
          <w:p w14:paraId="35ECC27F">
            <w:pPr>
              <w:pStyle w:val="33"/>
              <w:keepNext w:val="0"/>
              <w:keepLines w:val="0"/>
              <w:pageBreakBefore w:val="0"/>
              <w:widowControl w:val="0"/>
              <w:kinsoku/>
              <w:wordWrap/>
              <w:overflowPunct/>
              <w:topLinePunct w:val="0"/>
              <w:bidi w:val="0"/>
              <w:adjustRightInd w:val="0"/>
              <w:snapToGrid w:val="0"/>
              <w:spacing w:line="360" w:lineRule="auto"/>
              <w:ind w:firstLine="472"/>
              <w:textAlignment w:val="auto"/>
              <w:outlineLvl w:val="9"/>
              <w:rPr>
                <w:rFonts w:hint="default" w:ascii="Times New Roman" w:hAnsi="Times New Roman" w:eastAsia="宋体" w:cs="Times New Roman"/>
                <w:color w:val="000000"/>
                <w:spacing w:val="-2"/>
                <w:kern w:val="2"/>
                <w:sz w:val="24"/>
                <w:szCs w:val="24"/>
                <w:lang w:val="en-US" w:eastAsia="zh-CN" w:bidi="ar-SA"/>
              </w:rPr>
            </w:pPr>
            <w:r>
              <w:rPr>
                <w:rFonts w:hint="eastAsia" w:eastAsia="宋体"/>
                <w:color w:val="auto"/>
                <w:sz w:val="24"/>
                <w:lang w:val="en-US" w:eastAsia="zh-CN"/>
              </w:rPr>
              <w:t>安徽云泽环保材料有限公司将现有纸托生产</w:t>
            </w:r>
            <w:r>
              <w:rPr>
                <w:rFonts w:hint="eastAsia" w:eastAsia="宋体"/>
                <w:color w:val="auto"/>
                <w:sz w:val="24"/>
                <w:highlight w:val="none"/>
                <w:lang w:val="en-US" w:eastAsia="zh-CN"/>
              </w:rPr>
              <w:t>工艺进行调整，湿法破碎工序加入纸模专用施胶剂，成品纸托外包装箱进行喷码。生产厂房依托现有，成型机、湿法破碎机等</w:t>
            </w:r>
            <w:r>
              <w:rPr>
                <w:rFonts w:hint="default" w:ascii="Times New Roman" w:hAnsi="Times New Roman" w:eastAsia="宋体" w:cs="Times New Roman"/>
                <w:color w:val="000000"/>
                <w:spacing w:val="-2"/>
                <w:kern w:val="2"/>
                <w:sz w:val="24"/>
                <w:szCs w:val="24"/>
                <w:shd w:val="clear" w:color="auto" w:fill="auto"/>
                <w:lang w:val="en-US" w:eastAsia="zh-CN" w:bidi="ar-SA"/>
              </w:rPr>
              <w:t>依托现有</w:t>
            </w:r>
            <w:r>
              <w:rPr>
                <w:rFonts w:hint="default" w:ascii="Times New Roman" w:hAnsi="Times New Roman" w:eastAsia="宋体" w:cs="Times New Roman"/>
                <w:color w:val="000000"/>
                <w:spacing w:val="-2"/>
                <w:kern w:val="2"/>
                <w:sz w:val="24"/>
                <w:szCs w:val="24"/>
                <w:lang w:val="en-US" w:eastAsia="zh-CN" w:bidi="ar-SA"/>
              </w:rPr>
              <w:t>。</w:t>
            </w:r>
            <w:r>
              <w:rPr>
                <w:rFonts w:hint="eastAsia" w:ascii="Times New Roman" w:hAnsi="Times New Roman" w:cs="Times New Roman"/>
                <w:color w:val="000000"/>
                <w:spacing w:val="-2"/>
                <w:kern w:val="2"/>
                <w:sz w:val="24"/>
                <w:szCs w:val="24"/>
                <w:lang w:val="en-US" w:eastAsia="zh-CN" w:bidi="ar-SA"/>
              </w:rPr>
              <w:t>新增1台喷码机对</w:t>
            </w:r>
            <w:r>
              <w:rPr>
                <w:rFonts w:hint="eastAsia" w:eastAsia="宋体"/>
                <w:color w:val="auto"/>
                <w:sz w:val="24"/>
                <w:highlight w:val="none"/>
                <w:lang w:val="en-US" w:eastAsia="zh-CN"/>
              </w:rPr>
              <w:t>外包装箱</w:t>
            </w:r>
            <w:r>
              <w:rPr>
                <w:rFonts w:hint="eastAsia" w:ascii="Times New Roman" w:hAnsi="Times New Roman" w:cs="Times New Roman"/>
                <w:color w:val="000000"/>
                <w:spacing w:val="-2"/>
                <w:kern w:val="2"/>
                <w:sz w:val="24"/>
                <w:szCs w:val="24"/>
                <w:lang w:val="en-US" w:eastAsia="zh-CN" w:bidi="ar-SA"/>
              </w:rPr>
              <w:t>进行喷码</w:t>
            </w:r>
            <w:r>
              <w:rPr>
                <w:rFonts w:hint="default" w:ascii="Times New Roman" w:hAnsi="Times New Roman" w:eastAsia="宋体" w:cs="Times New Roman"/>
                <w:color w:val="000000"/>
                <w:spacing w:val="-2"/>
                <w:kern w:val="2"/>
                <w:sz w:val="24"/>
                <w:szCs w:val="24"/>
                <w:lang w:val="en-US" w:eastAsia="zh-CN" w:bidi="ar-SA"/>
              </w:rPr>
              <w:t>。</w:t>
            </w:r>
          </w:p>
          <w:p w14:paraId="0D7BB13B">
            <w:pPr>
              <w:pStyle w:val="33"/>
              <w:keepNext w:val="0"/>
              <w:keepLines w:val="0"/>
              <w:pageBreakBefore w:val="0"/>
              <w:widowControl w:val="0"/>
              <w:kinsoku/>
              <w:wordWrap/>
              <w:overflowPunct/>
              <w:topLinePunct w:val="0"/>
              <w:bidi w:val="0"/>
              <w:adjustRightInd w:val="0"/>
              <w:snapToGrid w:val="0"/>
              <w:spacing w:line="360" w:lineRule="auto"/>
              <w:ind w:firstLine="472"/>
              <w:jc w:val="both"/>
              <w:textAlignment w:val="auto"/>
              <w:outlineLvl w:val="9"/>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sz w:val="24"/>
                <w:szCs w:val="24"/>
                <w:vertAlign w:val="baseline"/>
                <w:lang w:val="en-US" w:eastAsia="zh-CN"/>
              </w:rPr>
              <w:t>现有工程劳动定员</w:t>
            </w:r>
            <w:r>
              <w:rPr>
                <w:rFonts w:hint="eastAsia" w:ascii="Times New Roman" w:hAnsi="Times New Roman" w:cs="Times New Roman"/>
                <w:color w:val="000000"/>
                <w:sz w:val="24"/>
                <w:szCs w:val="24"/>
                <w:vertAlign w:val="baseline"/>
                <w:lang w:val="en-US" w:eastAsia="zh-CN"/>
              </w:rPr>
              <w:t>不变</w:t>
            </w:r>
            <w:r>
              <w:rPr>
                <w:rFonts w:hint="default" w:ascii="Times New Roman" w:hAnsi="Times New Roman" w:eastAsia="宋体" w:cs="Times New Roman"/>
                <w:color w:val="000000"/>
                <w:sz w:val="24"/>
                <w:szCs w:val="24"/>
                <w:vertAlign w:val="baseline"/>
                <w:lang w:val="en-US" w:eastAsia="zh-CN"/>
              </w:rPr>
              <w:t>，</w:t>
            </w:r>
            <w:r>
              <w:rPr>
                <w:rFonts w:hint="eastAsia" w:ascii="Times New Roman" w:hAnsi="Times New Roman" w:cs="Times New Roman"/>
                <w:b w:val="0"/>
                <w:bCs w:val="0"/>
                <w:color w:val="000000"/>
                <w:sz w:val="24"/>
                <w:szCs w:val="24"/>
                <w:lang w:val="en-US" w:eastAsia="zh-CN"/>
              </w:rPr>
              <w:t>年工作时间不变</w:t>
            </w:r>
            <w:r>
              <w:rPr>
                <w:rFonts w:hint="default" w:ascii="Times New Roman" w:hAnsi="Times New Roman" w:cs="Times New Roman"/>
                <w:color w:val="000000"/>
                <w:sz w:val="24"/>
                <w:szCs w:val="24"/>
              </w:rPr>
              <w:t>。</w:t>
            </w:r>
            <w:r>
              <w:rPr>
                <w:rFonts w:hint="default" w:ascii="Times New Roman" w:hAnsi="Times New Roman" w:eastAsia="宋体" w:cs="Times New Roman"/>
                <w:color w:val="000000"/>
                <w:sz w:val="24"/>
                <w:szCs w:val="24"/>
                <w:highlight w:val="none"/>
                <w:vertAlign w:val="baseline"/>
                <w:lang w:val="en-US" w:eastAsia="zh-CN"/>
              </w:rPr>
              <w:t>依托原有办公用房可行。</w:t>
            </w:r>
          </w:p>
          <w:p w14:paraId="08102CB0">
            <w:pPr>
              <w:pStyle w:val="33"/>
              <w:keepNext w:val="0"/>
              <w:keepLines w:val="0"/>
              <w:pageBreakBefore w:val="0"/>
              <w:widowControl w:val="0"/>
              <w:kinsoku/>
              <w:wordWrap/>
              <w:overflowPunct/>
              <w:topLinePunct w:val="0"/>
              <w:bidi w:val="0"/>
              <w:adjustRightInd w:val="0"/>
              <w:snapToGrid w:val="0"/>
              <w:spacing w:line="360" w:lineRule="auto"/>
              <w:ind w:firstLine="472"/>
              <w:jc w:val="both"/>
              <w:textAlignment w:val="auto"/>
              <w:outlineLvl w:val="9"/>
              <w:rPr>
                <w:rFonts w:ascii="Times New Roman" w:hAnsi="Times New Roman" w:eastAsia="宋体" w:cs="Times New Roman"/>
                <w:b/>
                <w:bCs/>
                <w:color w:val="auto"/>
              </w:rPr>
            </w:pPr>
            <w:r>
              <w:rPr>
                <w:rFonts w:hint="eastAsia" w:ascii="Times New Roman" w:hAnsi="Times New Roman" w:cs="Times New Roman"/>
                <w:color w:val="000000"/>
                <w:sz w:val="24"/>
                <w:szCs w:val="24"/>
                <w:highlight w:val="none"/>
                <w:vertAlign w:val="baseline"/>
                <w:lang w:val="en-US" w:eastAsia="zh-CN"/>
              </w:rPr>
              <w:t>综上所述，项目现有工程依托可行。</w:t>
            </w:r>
          </w:p>
          <w:p w14:paraId="3C93D66A">
            <w:pPr>
              <w:pStyle w:val="30"/>
              <w:spacing w:line="360" w:lineRule="auto"/>
              <w:ind w:firstLine="482" w:firstLineChars="200"/>
              <w:rPr>
                <w:b/>
                <w:bCs/>
                <w:sz w:val="24"/>
              </w:rPr>
            </w:pPr>
            <w:r>
              <w:rPr>
                <w:rFonts w:ascii="Times New Roman" w:hAnsi="Times New Roman" w:eastAsia="宋体" w:cs="Times New Roman"/>
                <w:b/>
                <w:bCs/>
                <w:color w:val="auto"/>
              </w:rPr>
              <w:t>3、产品方案</w:t>
            </w:r>
          </w:p>
          <w:p w14:paraId="345870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 xml:space="preserve">.4  </w:t>
            </w:r>
            <w:r>
              <w:rPr>
                <w:rFonts w:hint="default" w:ascii="Times New Roman" w:hAnsi="Times New Roman" w:eastAsia="宋体" w:cs="Times New Roman"/>
                <w:b/>
                <w:bCs/>
                <w:color w:val="auto"/>
                <w:sz w:val="24"/>
                <w:lang w:val="en-US" w:eastAsia="zh-CN"/>
              </w:rPr>
              <w:t>本项目产品方案一览表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116"/>
              <w:gridCol w:w="1087"/>
              <w:gridCol w:w="1174"/>
              <w:gridCol w:w="1303"/>
              <w:gridCol w:w="1148"/>
              <w:gridCol w:w="1454"/>
            </w:tblGrid>
            <w:tr w14:paraId="20CC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Align w:val="center"/>
                </w:tcPr>
                <w:p w14:paraId="4D7D1592">
                  <w:pPr>
                    <w:jc w:val="center"/>
                    <w:rPr>
                      <w:color w:val="auto"/>
                    </w:rPr>
                  </w:pPr>
                  <w:r>
                    <w:rPr>
                      <w:color w:val="auto"/>
                    </w:rPr>
                    <w:t>序号</w:t>
                  </w:r>
                </w:p>
              </w:tc>
              <w:tc>
                <w:tcPr>
                  <w:tcW w:w="698" w:type="pct"/>
                  <w:vAlign w:val="center"/>
                </w:tcPr>
                <w:p w14:paraId="0C535328">
                  <w:pPr>
                    <w:jc w:val="center"/>
                    <w:rPr>
                      <w:color w:val="auto"/>
                    </w:rPr>
                  </w:pPr>
                  <w:r>
                    <w:rPr>
                      <w:color w:val="auto"/>
                    </w:rPr>
                    <w:t>产品名称</w:t>
                  </w:r>
                </w:p>
              </w:tc>
              <w:tc>
                <w:tcPr>
                  <w:tcW w:w="680" w:type="pct"/>
                  <w:vAlign w:val="center"/>
                </w:tcPr>
                <w:p w14:paraId="61FC9545">
                  <w:pPr>
                    <w:jc w:val="center"/>
                    <w:rPr>
                      <w:color w:val="auto"/>
                    </w:rPr>
                  </w:pPr>
                  <w:r>
                    <w:rPr>
                      <w:color w:val="auto"/>
                    </w:rPr>
                    <w:t>年产量</w:t>
                  </w:r>
                </w:p>
              </w:tc>
              <w:tc>
                <w:tcPr>
                  <w:tcW w:w="734" w:type="pct"/>
                  <w:vAlign w:val="center"/>
                </w:tcPr>
                <w:p w14:paraId="4359AB6A">
                  <w:pPr>
                    <w:jc w:val="center"/>
                    <w:rPr>
                      <w:color w:val="auto"/>
                    </w:rPr>
                  </w:pPr>
                  <w:r>
                    <w:rPr>
                      <w:color w:val="auto"/>
                    </w:rPr>
                    <w:t>年生产时间</w:t>
                  </w:r>
                </w:p>
              </w:tc>
              <w:tc>
                <w:tcPr>
                  <w:tcW w:w="815" w:type="pct"/>
                  <w:vAlign w:val="center"/>
                </w:tcPr>
                <w:p w14:paraId="22431E51">
                  <w:pPr>
                    <w:jc w:val="center"/>
                    <w:rPr>
                      <w:color w:val="auto"/>
                      <w:highlight w:val="none"/>
                    </w:rPr>
                  </w:pPr>
                  <w:r>
                    <w:rPr>
                      <w:color w:val="auto"/>
                      <w:highlight w:val="none"/>
                    </w:rPr>
                    <w:t>厂内最大暂存量</w:t>
                  </w:r>
                </w:p>
              </w:tc>
              <w:tc>
                <w:tcPr>
                  <w:tcW w:w="718" w:type="pct"/>
                  <w:vAlign w:val="center"/>
                </w:tcPr>
                <w:p w14:paraId="09EE03BD">
                  <w:pPr>
                    <w:jc w:val="center"/>
                    <w:rPr>
                      <w:color w:val="auto"/>
                      <w:highlight w:val="none"/>
                    </w:rPr>
                  </w:pPr>
                  <w:r>
                    <w:rPr>
                      <w:rFonts w:hint="eastAsia"/>
                      <w:color w:val="auto"/>
                      <w:highlight w:val="none"/>
                    </w:rPr>
                    <w:t>运输方式</w:t>
                  </w:r>
                </w:p>
              </w:tc>
              <w:tc>
                <w:tcPr>
                  <w:tcW w:w="909" w:type="pct"/>
                  <w:vAlign w:val="center"/>
                </w:tcPr>
                <w:p w14:paraId="2DC4B443">
                  <w:pPr>
                    <w:jc w:val="center"/>
                    <w:rPr>
                      <w:rFonts w:hint="eastAsia" w:eastAsia="宋体"/>
                      <w:color w:val="auto"/>
                      <w:highlight w:val="none"/>
                      <w:lang w:val="en-US" w:eastAsia="zh-CN"/>
                    </w:rPr>
                  </w:pPr>
                  <w:r>
                    <w:rPr>
                      <w:rFonts w:hint="eastAsia"/>
                      <w:color w:val="auto"/>
                      <w:highlight w:val="none"/>
                      <w:lang w:val="en-US" w:eastAsia="zh-CN"/>
                    </w:rPr>
                    <w:t>备注</w:t>
                  </w:r>
                </w:p>
              </w:tc>
            </w:tr>
            <w:tr w14:paraId="05F4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vAlign w:val="center"/>
                </w:tcPr>
                <w:p w14:paraId="140C5E23">
                  <w:pPr>
                    <w:jc w:val="center"/>
                    <w:rPr>
                      <w:color w:val="auto"/>
                    </w:rPr>
                  </w:pPr>
                  <w:r>
                    <w:rPr>
                      <w:color w:val="auto"/>
                    </w:rPr>
                    <w:t>1</w:t>
                  </w:r>
                </w:p>
              </w:tc>
              <w:tc>
                <w:tcPr>
                  <w:tcW w:w="698" w:type="pct"/>
                  <w:vAlign w:val="center"/>
                </w:tcPr>
                <w:p w14:paraId="035298E7">
                  <w:pPr>
                    <w:jc w:val="center"/>
                    <w:rPr>
                      <w:color w:val="auto"/>
                    </w:rPr>
                  </w:pPr>
                  <w:r>
                    <w:rPr>
                      <w:rFonts w:hint="eastAsia"/>
                      <w:color w:val="auto"/>
                      <w:lang w:val="en-US" w:eastAsia="zh-CN"/>
                    </w:rPr>
                    <w:t>纸托</w:t>
                  </w:r>
                </w:p>
              </w:tc>
              <w:tc>
                <w:tcPr>
                  <w:tcW w:w="680" w:type="pct"/>
                  <w:vAlign w:val="center"/>
                </w:tcPr>
                <w:p w14:paraId="7F8C26BD">
                  <w:pPr>
                    <w:jc w:val="center"/>
                    <w:rPr>
                      <w:rFonts w:hint="default" w:eastAsia="宋体"/>
                      <w:color w:val="auto"/>
                      <w:lang w:val="en-US" w:eastAsia="zh-CN"/>
                    </w:rPr>
                  </w:pPr>
                  <w:r>
                    <w:rPr>
                      <w:rFonts w:hint="eastAsia"/>
                      <w:color w:val="auto"/>
                      <w:lang w:val="en-US" w:eastAsia="zh-CN"/>
                    </w:rPr>
                    <w:t>1万吨</w:t>
                  </w:r>
                </w:p>
              </w:tc>
              <w:tc>
                <w:tcPr>
                  <w:tcW w:w="734" w:type="pct"/>
                  <w:vAlign w:val="center"/>
                </w:tcPr>
                <w:p w14:paraId="716909AB">
                  <w:pPr>
                    <w:jc w:val="center"/>
                    <w:rPr>
                      <w:rFonts w:hint="default" w:eastAsia="宋体"/>
                      <w:color w:val="auto"/>
                      <w:lang w:val="en-US" w:eastAsia="zh-CN"/>
                    </w:rPr>
                  </w:pPr>
                  <w:r>
                    <w:rPr>
                      <w:rFonts w:hint="eastAsia"/>
                      <w:color w:val="auto"/>
                      <w:lang w:val="en-US" w:eastAsia="zh-CN"/>
                    </w:rPr>
                    <w:t>2400</w:t>
                  </w:r>
                </w:p>
              </w:tc>
              <w:tc>
                <w:tcPr>
                  <w:tcW w:w="815" w:type="pct"/>
                  <w:vAlign w:val="center"/>
                </w:tcPr>
                <w:p w14:paraId="592AE0E0">
                  <w:pPr>
                    <w:jc w:val="center"/>
                    <w:rPr>
                      <w:rFonts w:hint="default" w:eastAsia="宋体"/>
                      <w:color w:val="auto"/>
                      <w:lang w:val="en-US" w:eastAsia="zh-CN"/>
                    </w:rPr>
                  </w:pPr>
                  <w:r>
                    <w:rPr>
                      <w:rFonts w:hint="eastAsia"/>
                      <w:color w:val="auto"/>
                      <w:lang w:val="en-US" w:eastAsia="zh-CN"/>
                    </w:rPr>
                    <w:t>30吨</w:t>
                  </w:r>
                </w:p>
              </w:tc>
              <w:tc>
                <w:tcPr>
                  <w:tcW w:w="718" w:type="pct"/>
                  <w:vAlign w:val="center"/>
                </w:tcPr>
                <w:p w14:paraId="600D25AE">
                  <w:pPr>
                    <w:jc w:val="center"/>
                    <w:rPr>
                      <w:rFonts w:hint="eastAsia" w:eastAsia="宋体"/>
                      <w:color w:val="auto"/>
                      <w:lang w:val="en-US" w:eastAsia="zh-CN"/>
                    </w:rPr>
                  </w:pPr>
                  <w:r>
                    <w:rPr>
                      <w:rFonts w:hint="eastAsia"/>
                      <w:color w:val="auto"/>
                      <w:lang w:val="en-US" w:eastAsia="zh-CN"/>
                    </w:rPr>
                    <w:t>车辆运输</w:t>
                  </w:r>
                </w:p>
              </w:tc>
              <w:tc>
                <w:tcPr>
                  <w:tcW w:w="909" w:type="pct"/>
                  <w:vAlign w:val="center"/>
                </w:tcPr>
                <w:p w14:paraId="1D43F694">
                  <w:pPr>
                    <w:jc w:val="center"/>
                    <w:rPr>
                      <w:rFonts w:hint="default"/>
                      <w:color w:val="auto"/>
                      <w:lang w:val="en-US" w:eastAsia="zh-CN"/>
                    </w:rPr>
                  </w:pPr>
                  <w:r>
                    <w:rPr>
                      <w:rFonts w:hint="eastAsia"/>
                      <w:color w:val="auto"/>
                      <w:lang w:val="en-US" w:eastAsia="zh-CN"/>
                    </w:rPr>
                    <w:t>饮料内衬包装</w:t>
                  </w:r>
                </w:p>
              </w:tc>
            </w:tr>
          </w:tbl>
          <w:p w14:paraId="37482D1D">
            <w:pPr>
              <w:spacing w:line="360" w:lineRule="auto"/>
              <w:ind w:firstLine="482" w:firstLineChars="200"/>
              <w:rPr>
                <w:sz w:val="24"/>
              </w:rPr>
            </w:pPr>
            <w:r>
              <w:rPr>
                <w:rFonts w:hint="eastAsia"/>
                <w:b/>
                <w:bCs/>
                <w:sz w:val="24"/>
              </w:rPr>
              <w:t>4</w:t>
            </w:r>
            <w:r>
              <w:rPr>
                <w:b/>
                <w:bCs/>
                <w:sz w:val="24"/>
              </w:rPr>
              <w:t>、</w:t>
            </w:r>
            <w:r>
              <w:rPr>
                <w:rFonts w:hint="eastAsia"/>
                <w:b/>
                <w:bCs/>
                <w:sz w:val="24"/>
              </w:rPr>
              <w:t>主要</w:t>
            </w:r>
            <w:r>
              <w:rPr>
                <w:b/>
                <w:bCs/>
                <w:sz w:val="24"/>
              </w:rPr>
              <w:t>原辅材料</w:t>
            </w:r>
            <w:r>
              <w:rPr>
                <w:rFonts w:hint="eastAsia"/>
                <w:b/>
                <w:bCs/>
                <w:sz w:val="24"/>
              </w:rPr>
              <w:t>及能源消耗</w:t>
            </w:r>
          </w:p>
          <w:p w14:paraId="45804EB0">
            <w:pPr>
              <w:adjustRightInd w:val="0"/>
              <w:snapToGrid w:val="0"/>
              <w:spacing w:line="360" w:lineRule="auto"/>
              <w:ind w:firstLine="480" w:firstLineChars="200"/>
              <w:rPr>
                <w:sz w:val="24"/>
              </w:rPr>
            </w:pPr>
            <w:r>
              <w:rPr>
                <w:sz w:val="24"/>
              </w:rPr>
              <w:t>根据建设单位提供的资料</w:t>
            </w:r>
            <w:r>
              <w:rPr>
                <w:rFonts w:hint="eastAsia"/>
                <w:sz w:val="24"/>
              </w:rPr>
              <w:t>，本</w:t>
            </w:r>
            <w:r>
              <w:rPr>
                <w:sz w:val="24"/>
              </w:rPr>
              <w:t>项目主要原辅材料及能源消耗情况见表</w:t>
            </w:r>
            <w:r>
              <w:rPr>
                <w:rFonts w:hint="eastAsia"/>
                <w:sz w:val="24"/>
                <w:lang w:val="en-US" w:eastAsia="zh-CN"/>
              </w:rPr>
              <w:t>2.5</w:t>
            </w:r>
            <w:r>
              <w:rPr>
                <w:rFonts w:hint="eastAsia"/>
                <w:sz w:val="24"/>
              </w:rPr>
              <w:t>。</w:t>
            </w:r>
          </w:p>
          <w:p w14:paraId="419AB8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w:t>
            </w:r>
            <w:r>
              <w:rPr>
                <w:rFonts w:hint="eastAsia" w:cs="Times New Roman"/>
                <w:b/>
                <w:bCs/>
                <w:color w:val="auto"/>
                <w:sz w:val="24"/>
                <w:lang w:val="en-US" w:eastAsia="zh-CN"/>
              </w:rPr>
              <w:t xml:space="preserve">2.5  </w:t>
            </w:r>
            <w:r>
              <w:rPr>
                <w:rFonts w:hint="eastAsia" w:ascii="Times New Roman" w:hAnsi="Times New Roman" w:eastAsia="宋体" w:cs="Times New Roman"/>
                <w:b/>
                <w:bCs/>
                <w:color w:val="auto"/>
                <w:sz w:val="24"/>
                <w:lang w:val="en-US" w:eastAsia="zh-CN"/>
              </w:rPr>
              <w:t>本项目产品主要原辅材料总消耗量消耗情况</w:t>
            </w:r>
          </w:p>
          <w:tbl>
            <w:tblPr>
              <w:tblStyle w:val="23"/>
              <w:tblW w:w="7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597"/>
              <w:gridCol w:w="1344"/>
              <w:gridCol w:w="645"/>
              <w:gridCol w:w="254"/>
              <w:gridCol w:w="428"/>
              <w:gridCol w:w="544"/>
              <w:gridCol w:w="1158"/>
              <w:gridCol w:w="1390"/>
            </w:tblGrid>
            <w:tr w14:paraId="7BEA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7A20A88F">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597" w:type="dxa"/>
                  <w:vAlign w:val="center"/>
                </w:tcPr>
                <w:p w14:paraId="2BF2CED7">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原辅材料名称</w:t>
                  </w:r>
                </w:p>
              </w:tc>
              <w:tc>
                <w:tcPr>
                  <w:tcW w:w="1344" w:type="dxa"/>
                  <w:vAlign w:val="center"/>
                </w:tcPr>
                <w:p w14:paraId="1E19882C">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消耗用量</w:t>
                  </w:r>
                </w:p>
              </w:tc>
              <w:tc>
                <w:tcPr>
                  <w:tcW w:w="899" w:type="dxa"/>
                  <w:gridSpan w:val="2"/>
                  <w:vAlign w:val="center"/>
                </w:tcPr>
                <w:p w14:paraId="7BF07514">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形态</w:t>
                  </w:r>
                </w:p>
              </w:tc>
              <w:tc>
                <w:tcPr>
                  <w:tcW w:w="972" w:type="dxa"/>
                  <w:gridSpan w:val="2"/>
                  <w:vAlign w:val="center"/>
                </w:tcPr>
                <w:p w14:paraId="4FB12877">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储存方式</w:t>
                  </w:r>
                </w:p>
              </w:tc>
              <w:tc>
                <w:tcPr>
                  <w:tcW w:w="1158" w:type="dxa"/>
                  <w:vAlign w:val="center"/>
                </w:tcPr>
                <w:p w14:paraId="33A60D86">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最大暂存量</w:t>
                  </w:r>
                </w:p>
              </w:tc>
              <w:tc>
                <w:tcPr>
                  <w:tcW w:w="1390" w:type="dxa"/>
                  <w:vAlign w:val="center"/>
                </w:tcPr>
                <w:p w14:paraId="7887F2B1">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08DB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1DE491E9">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97" w:type="dxa"/>
                  <w:vAlign w:val="center"/>
                </w:tcPr>
                <w:p w14:paraId="2AFD74AE">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废瓦楞纸</w:t>
                  </w:r>
                </w:p>
              </w:tc>
              <w:tc>
                <w:tcPr>
                  <w:tcW w:w="1344" w:type="dxa"/>
                  <w:shd w:val="clear" w:color="auto" w:fill="auto"/>
                  <w:vAlign w:val="center"/>
                </w:tcPr>
                <w:p w14:paraId="72123556">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8000</w:t>
                  </w:r>
                  <w:r>
                    <w:rPr>
                      <w:rFonts w:hint="default" w:ascii="Times New Roman" w:hAnsi="Times New Roman" w:eastAsia="宋体" w:cs="Times New Roman"/>
                      <w:color w:val="auto"/>
                      <w:sz w:val="21"/>
                      <w:szCs w:val="21"/>
                    </w:rPr>
                    <w:t>t/a</w:t>
                  </w:r>
                </w:p>
              </w:tc>
              <w:tc>
                <w:tcPr>
                  <w:tcW w:w="899" w:type="dxa"/>
                  <w:gridSpan w:val="2"/>
                  <w:shd w:val="clear" w:color="auto" w:fill="auto"/>
                  <w:vAlign w:val="center"/>
                </w:tcPr>
                <w:p w14:paraId="7B7BA429">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972" w:type="dxa"/>
                  <w:gridSpan w:val="2"/>
                  <w:shd w:val="clear" w:color="auto" w:fill="auto"/>
                  <w:vAlign w:val="center"/>
                </w:tcPr>
                <w:p w14:paraId="66794402">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捆装</w:t>
                  </w:r>
                </w:p>
              </w:tc>
              <w:tc>
                <w:tcPr>
                  <w:tcW w:w="1158" w:type="dxa"/>
                  <w:vAlign w:val="center"/>
                </w:tcPr>
                <w:p w14:paraId="272CA411">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350</w:t>
                  </w:r>
                  <w:r>
                    <w:rPr>
                      <w:rFonts w:hint="default" w:ascii="Times New Roman" w:hAnsi="Times New Roman" w:eastAsia="宋体" w:cs="Times New Roman"/>
                      <w:color w:val="auto"/>
                      <w:sz w:val="21"/>
                      <w:szCs w:val="21"/>
                    </w:rPr>
                    <w:t>t/a</w:t>
                  </w:r>
                </w:p>
              </w:tc>
              <w:tc>
                <w:tcPr>
                  <w:tcW w:w="1390" w:type="dxa"/>
                  <w:vAlign w:val="center"/>
                </w:tcPr>
                <w:p w14:paraId="310AC553">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14:paraId="5B40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6C051D5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597" w:type="dxa"/>
                  <w:shd w:val="clear" w:color="auto" w:fill="auto"/>
                  <w:vAlign w:val="center"/>
                </w:tcPr>
                <w:p w14:paraId="4B43CBA4">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秸秆浆</w:t>
                  </w:r>
                </w:p>
              </w:tc>
              <w:tc>
                <w:tcPr>
                  <w:tcW w:w="1344" w:type="dxa"/>
                  <w:shd w:val="clear" w:color="auto" w:fill="auto"/>
                  <w:vAlign w:val="center"/>
                </w:tcPr>
                <w:p w14:paraId="6BCBBA21">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00t/a</w:t>
                  </w:r>
                </w:p>
              </w:tc>
              <w:tc>
                <w:tcPr>
                  <w:tcW w:w="899" w:type="dxa"/>
                  <w:gridSpan w:val="2"/>
                  <w:shd w:val="clear" w:color="auto" w:fill="auto"/>
                  <w:vAlign w:val="center"/>
                </w:tcPr>
                <w:p w14:paraId="436A8236">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972" w:type="dxa"/>
                  <w:gridSpan w:val="2"/>
                  <w:shd w:val="clear" w:color="auto" w:fill="auto"/>
                  <w:vAlign w:val="center"/>
                </w:tcPr>
                <w:p w14:paraId="3B5B525D">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桶装</w:t>
                  </w:r>
                </w:p>
              </w:tc>
              <w:tc>
                <w:tcPr>
                  <w:tcW w:w="1158" w:type="dxa"/>
                  <w:vAlign w:val="center"/>
                </w:tcPr>
                <w:p w14:paraId="44FAA39E">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0t/a</w:t>
                  </w:r>
                </w:p>
              </w:tc>
              <w:tc>
                <w:tcPr>
                  <w:tcW w:w="1390" w:type="dxa"/>
                  <w:vAlign w:val="center"/>
                </w:tcPr>
                <w:p w14:paraId="5E370C35">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14:paraId="0ED2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43F2910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1597" w:type="dxa"/>
                  <w:vAlign w:val="center"/>
                </w:tcPr>
                <w:p w14:paraId="2CBB39C4">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包装材料</w:t>
                  </w:r>
                </w:p>
              </w:tc>
              <w:tc>
                <w:tcPr>
                  <w:tcW w:w="1344" w:type="dxa"/>
                  <w:shd w:val="clear" w:color="auto" w:fill="auto"/>
                  <w:vAlign w:val="center"/>
                </w:tcPr>
                <w:p w14:paraId="3B5999B1">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00t/a</w:t>
                  </w:r>
                </w:p>
              </w:tc>
              <w:tc>
                <w:tcPr>
                  <w:tcW w:w="899" w:type="dxa"/>
                  <w:gridSpan w:val="2"/>
                  <w:vAlign w:val="center"/>
                </w:tcPr>
                <w:p w14:paraId="6533CE9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固态</w:t>
                  </w:r>
                </w:p>
              </w:tc>
              <w:tc>
                <w:tcPr>
                  <w:tcW w:w="972" w:type="dxa"/>
                  <w:gridSpan w:val="2"/>
                  <w:vAlign w:val="center"/>
                </w:tcPr>
                <w:p w14:paraId="627BC1A5">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袋装</w:t>
                  </w:r>
                </w:p>
              </w:tc>
              <w:tc>
                <w:tcPr>
                  <w:tcW w:w="1158" w:type="dxa"/>
                  <w:vAlign w:val="center"/>
                </w:tcPr>
                <w:p w14:paraId="498381AA">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0t/a</w:t>
                  </w:r>
                </w:p>
              </w:tc>
              <w:tc>
                <w:tcPr>
                  <w:tcW w:w="1390" w:type="dxa"/>
                  <w:vAlign w:val="center"/>
                </w:tcPr>
                <w:p w14:paraId="2E28DDDF">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14:paraId="29C9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2D4F54BE">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1597" w:type="dxa"/>
                  <w:vAlign w:val="center"/>
                </w:tcPr>
                <w:p w14:paraId="23924570">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食品级水性胶（AKD乳液）</w:t>
                  </w:r>
                </w:p>
              </w:tc>
              <w:tc>
                <w:tcPr>
                  <w:tcW w:w="1344" w:type="dxa"/>
                  <w:vAlign w:val="center"/>
                </w:tcPr>
                <w:p w14:paraId="2B680855">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t/a</w:t>
                  </w:r>
                </w:p>
              </w:tc>
              <w:tc>
                <w:tcPr>
                  <w:tcW w:w="899" w:type="dxa"/>
                  <w:gridSpan w:val="2"/>
                  <w:vAlign w:val="center"/>
                </w:tcPr>
                <w:p w14:paraId="2D500F62">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液态</w:t>
                  </w:r>
                </w:p>
              </w:tc>
              <w:tc>
                <w:tcPr>
                  <w:tcW w:w="972" w:type="dxa"/>
                  <w:gridSpan w:val="2"/>
                  <w:vAlign w:val="center"/>
                </w:tcPr>
                <w:p w14:paraId="6D9C436A">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1158" w:type="dxa"/>
                  <w:vAlign w:val="center"/>
                </w:tcPr>
                <w:p w14:paraId="008C24E8">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rPr>
                    <w:t>t/a</w:t>
                  </w:r>
                </w:p>
              </w:tc>
              <w:tc>
                <w:tcPr>
                  <w:tcW w:w="1390" w:type="dxa"/>
                  <w:vAlign w:val="center"/>
                </w:tcPr>
                <w:p w14:paraId="1778100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14:paraId="1BFB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326982B5">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1597" w:type="dxa"/>
                  <w:vAlign w:val="center"/>
                </w:tcPr>
                <w:p w14:paraId="3FA85ACF">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水性油墨</w:t>
                  </w:r>
                </w:p>
              </w:tc>
              <w:tc>
                <w:tcPr>
                  <w:tcW w:w="1344" w:type="dxa"/>
                  <w:vAlign w:val="center"/>
                </w:tcPr>
                <w:p w14:paraId="2BAEF8A1">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t/a</w:t>
                  </w:r>
                </w:p>
              </w:tc>
              <w:tc>
                <w:tcPr>
                  <w:tcW w:w="899" w:type="dxa"/>
                  <w:gridSpan w:val="2"/>
                  <w:vAlign w:val="center"/>
                </w:tcPr>
                <w:p w14:paraId="58ED5A36">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液态</w:t>
                  </w:r>
                </w:p>
              </w:tc>
              <w:tc>
                <w:tcPr>
                  <w:tcW w:w="972" w:type="dxa"/>
                  <w:gridSpan w:val="2"/>
                  <w:vAlign w:val="center"/>
                </w:tcPr>
                <w:p w14:paraId="275F21B2">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1158" w:type="dxa"/>
                  <w:vAlign w:val="center"/>
                </w:tcPr>
                <w:p w14:paraId="09C5D83F">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t/a</w:t>
                  </w:r>
                </w:p>
              </w:tc>
              <w:tc>
                <w:tcPr>
                  <w:tcW w:w="1390" w:type="dxa"/>
                  <w:vAlign w:val="center"/>
                </w:tcPr>
                <w:p w14:paraId="52C40EE2">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14:paraId="6A14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446C4521">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597" w:type="dxa"/>
                  <w:vAlign w:val="center"/>
                </w:tcPr>
                <w:p w14:paraId="63ECF0E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润滑油</w:t>
                  </w:r>
                </w:p>
              </w:tc>
              <w:tc>
                <w:tcPr>
                  <w:tcW w:w="1344" w:type="dxa"/>
                  <w:shd w:val="clear" w:color="auto" w:fill="auto"/>
                  <w:vAlign w:val="center"/>
                </w:tcPr>
                <w:p w14:paraId="52AE3E6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0.3</w:t>
                  </w:r>
                  <w:r>
                    <w:rPr>
                      <w:rFonts w:hint="default" w:ascii="Times New Roman" w:hAnsi="Times New Roman" w:eastAsia="宋体" w:cs="Times New Roman"/>
                      <w:color w:val="auto"/>
                      <w:sz w:val="21"/>
                      <w:szCs w:val="21"/>
                    </w:rPr>
                    <w:t>t/a</w:t>
                  </w:r>
                </w:p>
              </w:tc>
              <w:tc>
                <w:tcPr>
                  <w:tcW w:w="899" w:type="dxa"/>
                  <w:gridSpan w:val="2"/>
                  <w:vAlign w:val="center"/>
                </w:tcPr>
                <w:p w14:paraId="6DD19709">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液态</w:t>
                  </w:r>
                </w:p>
              </w:tc>
              <w:tc>
                <w:tcPr>
                  <w:tcW w:w="972" w:type="dxa"/>
                  <w:gridSpan w:val="2"/>
                  <w:vAlign w:val="center"/>
                </w:tcPr>
                <w:p w14:paraId="3C397B6F">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20kg/</w:t>
                  </w:r>
                  <w:r>
                    <w:rPr>
                      <w:rFonts w:hint="default" w:ascii="Times New Roman" w:hAnsi="Times New Roman" w:eastAsia="宋体" w:cs="Times New Roman"/>
                      <w:color w:val="auto"/>
                      <w:sz w:val="21"/>
                      <w:szCs w:val="21"/>
                    </w:rPr>
                    <w:t>桶装</w:t>
                  </w:r>
                </w:p>
              </w:tc>
              <w:tc>
                <w:tcPr>
                  <w:tcW w:w="1158" w:type="dxa"/>
                  <w:shd w:val="clear" w:color="auto" w:fill="auto"/>
                  <w:vAlign w:val="center"/>
                </w:tcPr>
                <w:p w14:paraId="68D857F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0.04</w:t>
                  </w:r>
                  <w:r>
                    <w:rPr>
                      <w:rFonts w:hint="default" w:ascii="Times New Roman" w:hAnsi="Times New Roman" w:eastAsia="宋体" w:cs="Times New Roman"/>
                      <w:color w:val="auto"/>
                      <w:sz w:val="21"/>
                      <w:szCs w:val="21"/>
                    </w:rPr>
                    <w:t>t/a</w:t>
                  </w:r>
                </w:p>
              </w:tc>
              <w:tc>
                <w:tcPr>
                  <w:tcW w:w="1390" w:type="dxa"/>
                  <w:shd w:val="clear" w:color="auto" w:fill="auto"/>
                  <w:vAlign w:val="center"/>
                </w:tcPr>
                <w:p w14:paraId="1A3952C6">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w:t>
                  </w:r>
                </w:p>
              </w:tc>
            </w:tr>
            <w:tr w14:paraId="4CE5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09A80C22">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597" w:type="dxa"/>
                  <w:vAlign w:val="center"/>
                </w:tcPr>
                <w:p w14:paraId="1B52E27E">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除臭剂</w:t>
                  </w:r>
                </w:p>
              </w:tc>
              <w:tc>
                <w:tcPr>
                  <w:tcW w:w="1344" w:type="dxa"/>
                  <w:shd w:val="clear" w:color="auto" w:fill="auto"/>
                  <w:vAlign w:val="center"/>
                </w:tcPr>
                <w:p w14:paraId="20D1382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0.</w:t>
                  </w:r>
                  <w:r>
                    <w:rPr>
                      <w:rFonts w:hint="eastAsia" w:ascii="Times New Roman" w:hAnsi="Times New Roman" w:eastAsia="宋体" w:cs="Times New Roman"/>
                      <w:spacing w:val="-3"/>
                      <w:sz w:val="21"/>
                      <w:szCs w:val="21"/>
                      <w:lang w:val="en-US" w:eastAsia="zh-CN"/>
                    </w:rPr>
                    <w:t>5</w:t>
                  </w:r>
                  <w:r>
                    <w:rPr>
                      <w:rFonts w:hint="default" w:ascii="Times New Roman" w:hAnsi="Times New Roman" w:eastAsia="宋体" w:cs="Times New Roman"/>
                      <w:color w:val="auto"/>
                      <w:sz w:val="21"/>
                      <w:szCs w:val="21"/>
                    </w:rPr>
                    <w:t>t/a</w:t>
                  </w:r>
                </w:p>
              </w:tc>
              <w:tc>
                <w:tcPr>
                  <w:tcW w:w="899" w:type="dxa"/>
                  <w:gridSpan w:val="2"/>
                  <w:shd w:val="clear" w:color="auto" w:fill="auto"/>
                  <w:vAlign w:val="center"/>
                </w:tcPr>
                <w:p w14:paraId="6F1CADD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972" w:type="dxa"/>
                  <w:gridSpan w:val="2"/>
                  <w:shd w:val="clear" w:color="auto" w:fill="auto"/>
                  <w:vAlign w:val="center"/>
                </w:tcPr>
                <w:p w14:paraId="1DBFCFE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1L</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桶装</w:t>
                  </w:r>
                </w:p>
              </w:tc>
              <w:tc>
                <w:tcPr>
                  <w:tcW w:w="1158" w:type="dxa"/>
                  <w:shd w:val="clear" w:color="auto" w:fill="auto"/>
                  <w:vAlign w:val="center"/>
                </w:tcPr>
                <w:p w14:paraId="7A329C0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0.</w:t>
                  </w:r>
                  <w:r>
                    <w:rPr>
                      <w:rFonts w:hint="eastAsia" w:ascii="Times New Roman" w:hAnsi="Times New Roman" w:eastAsia="宋体" w:cs="Times New Roman"/>
                      <w:spacing w:val="-3"/>
                      <w:sz w:val="21"/>
                      <w:szCs w:val="21"/>
                      <w:lang w:val="en-US" w:eastAsia="zh-CN"/>
                    </w:rPr>
                    <w:t>2</w:t>
                  </w:r>
                  <w:r>
                    <w:rPr>
                      <w:rFonts w:hint="default" w:ascii="Times New Roman" w:hAnsi="Times New Roman" w:eastAsia="宋体" w:cs="Times New Roman"/>
                      <w:color w:val="auto"/>
                      <w:sz w:val="21"/>
                      <w:szCs w:val="21"/>
                    </w:rPr>
                    <w:t>t/a</w:t>
                  </w:r>
                </w:p>
              </w:tc>
              <w:tc>
                <w:tcPr>
                  <w:tcW w:w="1390" w:type="dxa"/>
                  <w:shd w:val="clear" w:color="auto" w:fill="auto"/>
                  <w:vAlign w:val="center"/>
                </w:tcPr>
                <w:p w14:paraId="03AC37D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w:t>
                  </w:r>
                </w:p>
              </w:tc>
            </w:tr>
            <w:tr w14:paraId="1B8E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6" w:type="dxa"/>
                  <w:gridSpan w:val="9"/>
                  <w:vAlign w:val="center"/>
                </w:tcPr>
                <w:p w14:paraId="572CFFCF">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能源消耗</w:t>
                  </w:r>
                </w:p>
              </w:tc>
            </w:tr>
            <w:tr w14:paraId="78C2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51ABE718">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597" w:type="dxa"/>
                  <w:vAlign w:val="center"/>
                </w:tcPr>
                <w:p w14:paraId="186A879C">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344" w:type="dxa"/>
                  <w:vAlign w:val="center"/>
                </w:tcPr>
                <w:p w14:paraId="3D671F84">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45</w:t>
                  </w:r>
                  <w:r>
                    <w:rPr>
                      <w:rFonts w:hint="default" w:ascii="Times New Roman" w:hAnsi="Times New Roman" w:eastAsia="宋体" w:cs="Times New Roman"/>
                      <w:color w:val="auto"/>
                      <w:sz w:val="21"/>
                      <w:szCs w:val="21"/>
                    </w:rPr>
                    <w:t>万kw·h</w:t>
                  </w:r>
                </w:p>
              </w:tc>
              <w:tc>
                <w:tcPr>
                  <w:tcW w:w="645" w:type="dxa"/>
                  <w:vAlign w:val="center"/>
                </w:tcPr>
                <w:p w14:paraId="1139FC86">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82" w:type="dxa"/>
                  <w:gridSpan w:val="2"/>
                  <w:vAlign w:val="center"/>
                </w:tcPr>
                <w:p w14:paraId="7EDD3D1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4" w:type="dxa"/>
                  <w:vAlign w:val="center"/>
                </w:tcPr>
                <w:p w14:paraId="13C94AF1">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548" w:type="dxa"/>
                  <w:gridSpan w:val="2"/>
                  <w:vAlign w:val="center"/>
                </w:tcPr>
                <w:p w14:paraId="4B11472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由区域供电系统提供</w:t>
                  </w:r>
                </w:p>
              </w:tc>
            </w:tr>
            <w:tr w14:paraId="7537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Align w:val="center"/>
                </w:tcPr>
                <w:p w14:paraId="3B86C919">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1597" w:type="dxa"/>
                  <w:vAlign w:val="center"/>
                </w:tcPr>
                <w:p w14:paraId="4B1F4C2C">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w:t>
                  </w:r>
                </w:p>
              </w:tc>
              <w:tc>
                <w:tcPr>
                  <w:tcW w:w="1344" w:type="dxa"/>
                  <w:vAlign w:val="center"/>
                </w:tcPr>
                <w:p w14:paraId="54315C02">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26730</w:t>
                  </w:r>
                  <w:r>
                    <w:rPr>
                      <w:rFonts w:hint="default" w:ascii="Times New Roman" w:hAnsi="Times New Roman" w:eastAsia="宋体" w:cs="Times New Roman"/>
                      <w:color w:val="auto"/>
                      <w:sz w:val="21"/>
                      <w:szCs w:val="21"/>
                      <w:highlight w:val="none"/>
                    </w:rPr>
                    <w:t>t/a</w:t>
                  </w:r>
                </w:p>
              </w:tc>
              <w:tc>
                <w:tcPr>
                  <w:tcW w:w="645" w:type="dxa"/>
                  <w:vAlign w:val="center"/>
                </w:tcPr>
                <w:p w14:paraId="717FA960">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82" w:type="dxa"/>
                  <w:gridSpan w:val="2"/>
                  <w:vAlign w:val="center"/>
                </w:tcPr>
                <w:p w14:paraId="4559909A">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44" w:type="dxa"/>
                  <w:vAlign w:val="center"/>
                </w:tcPr>
                <w:p w14:paraId="4DEBEFAE">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548" w:type="dxa"/>
                  <w:gridSpan w:val="2"/>
                  <w:vAlign w:val="center"/>
                </w:tcPr>
                <w:p w14:paraId="12D9FD9B">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区域自来水管网提供</w:t>
                  </w:r>
                </w:p>
              </w:tc>
            </w:tr>
          </w:tbl>
          <w:p w14:paraId="2A4D34D4">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主要原辅材料理化性质：</w:t>
            </w:r>
          </w:p>
          <w:p w14:paraId="51AF60EF">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rPr>
              <w:t>①废瓦楞纸：本项目废瓦楞纸来源于纸板厂边角料，不沾染污泥、涂料、油墨</w:t>
            </w:r>
            <w:r>
              <w:rPr>
                <w:rFonts w:hint="default" w:ascii="Times New Roman" w:hAnsi="Times New Roman" w:eastAsia="宋体" w:cs="Times New Roman"/>
                <w:sz w:val="24"/>
                <w:highlight w:val="none"/>
              </w:rPr>
              <w:t xml:space="preserve">和胶水等，洁净度较高且不含有毒有害物质。 </w:t>
            </w:r>
          </w:p>
          <w:p w14:paraId="78B90335">
            <w:pPr>
              <w:adjustRightInd w:val="0"/>
              <w:snapToGrid w:val="0"/>
              <w:spacing w:line="360" w:lineRule="auto"/>
              <w:ind w:firstLine="480" w:firstLineChars="200"/>
              <w:rPr>
                <w:rFonts w:hint="eastAsia" w:cs="Times New Roman"/>
                <w:color w:val="auto"/>
                <w:sz w:val="24"/>
                <w:lang w:val="en-US" w:eastAsia="zh-CN"/>
              </w:rPr>
            </w:pPr>
            <w:r>
              <w:rPr>
                <w:rFonts w:hint="default" w:ascii="Times New Roman" w:hAnsi="Times New Roman" w:eastAsia="宋体" w:cs="Times New Roman"/>
                <w:sz w:val="24"/>
                <w:highlight w:val="none"/>
              </w:rPr>
              <w:t>②食品级水性胶</w:t>
            </w:r>
            <w:r>
              <w:rPr>
                <w:rFonts w:hint="eastAsia" w:cs="Times New Roman"/>
                <w:sz w:val="24"/>
                <w:highlight w:val="none"/>
                <w:lang w:eastAsia="zh-CN"/>
              </w:rPr>
              <w:t>（</w:t>
            </w:r>
            <w:r>
              <w:rPr>
                <w:rFonts w:hint="eastAsia" w:cs="Times New Roman"/>
                <w:sz w:val="24"/>
                <w:highlight w:val="none"/>
                <w:lang w:val="en-US" w:eastAsia="zh-CN"/>
              </w:rPr>
              <w:t>AKD乳液）</w:t>
            </w:r>
            <w:r>
              <w:rPr>
                <w:rFonts w:hint="default" w:ascii="Times New Roman" w:hAnsi="Times New Roman" w:eastAsia="宋体" w:cs="Times New Roman"/>
                <w:sz w:val="24"/>
                <w:highlight w:val="none"/>
              </w:rPr>
              <w:t>：乳白色液体，有轻微气味，pH值</w:t>
            </w:r>
            <w:r>
              <w:rPr>
                <w:rFonts w:hint="eastAsia" w:cs="Times New Roman"/>
                <w:sz w:val="24"/>
                <w:highlight w:val="none"/>
                <w:lang w:val="en-US" w:eastAsia="zh-CN"/>
              </w:rPr>
              <w:t>6.5</w:t>
            </w:r>
            <w:r>
              <w:rPr>
                <w:rFonts w:hint="default" w:ascii="Times New Roman" w:hAnsi="Times New Roman" w:eastAsia="宋体" w:cs="Times New Roman"/>
                <w:sz w:val="24"/>
                <w:highlight w:val="none"/>
              </w:rPr>
              <w:t>~</w:t>
            </w:r>
            <w:r>
              <w:rPr>
                <w:rFonts w:hint="eastAsia" w:cs="Times New Roman"/>
                <w:sz w:val="24"/>
                <w:highlight w:val="none"/>
                <w:lang w:val="en-US" w:eastAsia="zh-CN"/>
              </w:rPr>
              <w:t>8.5</w:t>
            </w:r>
            <w:r>
              <w:rPr>
                <w:rFonts w:hint="default" w:ascii="Times New Roman" w:hAnsi="Times New Roman" w:eastAsia="宋体" w:cs="Times New Roman"/>
                <w:sz w:val="24"/>
                <w:highlight w:val="none"/>
              </w:rPr>
              <w:t>，</w:t>
            </w:r>
            <w:r>
              <w:rPr>
                <w:rFonts w:hint="eastAsia" w:cs="Times New Roman"/>
                <w:sz w:val="24"/>
                <w:highlight w:val="none"/>
                <w:lang w:val="en-US" w:eastAsia="zh-CN"/>
              </w:rPr>
              <w:t>粘度（25℃）≤50</w:t>
            </w:r>
            <w:r>
              <w:rPr>
                <w:rFonts w:hint="default" w:ascii="Times New Roman" w:hAnsi="Times New Roman" w:eastAsia="宋体" w:cs="Times New Roman"/>
                <w:sz w:val="24"/>
                <w:highlight w:val="none"/>
              </w:rPr>
              <w:t>，主要成分组成为：烷基烯酮二聚体</w:t>
            </w:r>
            <w:r>
              <w:rPr>
                <w:rFonts w:hint="default" w:ascii="Times New Roman" w:hAnsi="Times New Roman" w:eastAsia="宋体" w:cs="Times New Roman"/>
                <w:sz w:val="24"/>
                <w:highlight w:val="none"/>
                <w:lang w:val="en-US" w:eastAsia="zh-CN"/>
              </w:rPr>
              <w:t>15</w:t>
            </w:r>
            <w:r>
              <w:rPr>
                <w:rFonts w:hint="eastAsia" w:cs="Times New Roman"/>
                <w:sz w:val="24"/>
                <w:highlight w:val="none"/>
                <w:lang w:val="en-US" w:eastAsia="zh-CN"/>
              </w:rPr>
              <w:t>%，</w:t>
            </w:r>
            <w:r>
              <w:rPr>
                <w:rFonts w:hint="default" w:ascii="Times New Roman" w:hAnsi="Times New Roman" w:eastAsia="宋体" w:cs="Times New Roman"/>
                <w:sz w:val="24"/>
                <w:highlight w:val="none"/>
              </w:rPr>
              <w:t>水</w:t>
            </w:r>
            <w:r>
              <w:rPr>
                <w:rFonts w:hint="eastAsia" w:cs="Times New Roman"/>
                <w:sz w:val="24"/>
                <w:highlight w:val="none"/>
                <w:lang w:val="en-US" w:eastAsia="zh-CN"/>
              </w:rPr>
              <w:t>85</w:t>
            </w:r>
            <w:r>
              <w:rPr>
                <w:rFonts w:hint="default" w:ascii="Times New Roman" w:hAnsi="Times New Roman" w:eastAsia="宋体" w:cs="Times New Roman"/>
                <w:sz w:val="24"/>
                <w:highlight w:val="none"/>
              </w:rPr>
              <w:t>%</w:t>
            </w:r>
            <w:r>
              <w:rPr>
                <w:rFonts w:hint="eastAsia" w:cs="Times New Roman"/>
                <w:sz w:val="24"/>
                <w:highlight w:val="none"/>
                <w:lang w:eastAsia="zh-CN"/>
              </w:rPr>
              <w:t>。</w:t>
            </w:r>
            <w:r>
              <w:rPr>
                <w:rFonts w:hint="default" w:ascii="Times New Roman" w:hAnsi="Times New Roman" w:eastAsia="宋体" w:cs="Times New Roman"/>
                <w:sz w:val="24"/>
                <w:highlight w:val="none"/>
              </w:rPr>
              <w:t>本项目从事包装纸托生产，应用领域属于“包装”，AKD本身无毒，但合成过程可能涉及有害溶剂。</w:t>
            </w:r>
          </w:p>
          <w:p w14:paraId="5E96C97C">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lang w:val="en-US" w:eastAsia="zh-CN"/>
              </w:rPr>
              <w:t>③</w:t>
            </w:r>
            <w:r>
              <w:rPr>
                <w:rFonts w:hint="eastAsia" w:ascii="Times New Roman" w:hAnsi="Times New Roman" w:eastAsia="宋体" w:cs="Times New Roman"/>
                <w:color w:val="auto"/>
                <w:sz w:val="24"/>
                <w:lang w:val="en-US" w:eastAsia="zh-CN"/>
              </w:rPr>
              <w:t>水性油墨</w:t>
            </w:r>
          </w:p>
          <w:p w14:paraId="2201D1FB">
            <w:pPr>
              <w:adjustRightInd w:val="0"/>
              <w:snapToGrid w:val="0"/>
              <w:spacing w:line="360" w:lineRule="auto"/>
              <w:ind w:firstLine="480" w:firstLineChars="200"/>
              <w:rPr>
                <w:rFonts w:hint="default"/>
              </w:rPr>
            </w:pPr>
            <w:r>
              <w:rPr>
                <w:rFonts w:hint="eastAsia" w:ascii="Times New Roman" w:hAnsi="Times New Roman" w:eastAsia="宋体" w:cs="Times New Roman"/>
                <w:color w:val="auto"/>
                <w:sz w:val="24"/>
                <w:highlight w:val="none"/>
                <w:lang w:val="en-US" w:eastAsia="zh-CN"/>
              </w:rPr>
              <w:t>根据企业提供</w:t>
            </w:r>
            <w:r>
              <w:rPr>
                <w:rFonts w:hint="eastAsia" w:cs="Times New Roman"/>
                <w:color w:val="auto"/>
                <w:sz w:val="24"/>
                <w:highlight w:val="none"/>
                <w:lang w:val="en-US" w:eastAsia="zh-CN"/>
              </w:rPr>
              <w:t>MSDS</w:t>
            </w:r>
            <w:r>
              <w:rPr>
                <w:rFonts w:hint="eastAsia" w:ascii="Times New Roman" w:hAnsi="Times New Roman" w:eastAsia="宋体" w:cs="Times New Roman"/>
                <w:color w:val="auto"/>
                <w:sz w:val="24"/>
                <w:highlight w:val="none"/>
                <w:lang w:val="en-US" w:eastAsia="zh-CN"/>
              </w:rPr>
              <w:t>，水性油墨成分：丙烯酸乳液48%，有机颜料48%，去离子水2%，水性蜡浆1.8%，有机消泡剂0.2%。</w:t>
            </w:r>
          </w:p>
          <w:p w14:paraId="0155E1E8">
            <w:pPr>
              <w:spacing w:line="360" w:lineRule="auto"/>
              <w:ind w:firstLine="482" w:firstLineChars="200"/>
              <w:rPr>
                <w:sz w:val="24"/>
              </w:rPr>
            </w:pPr>
            <w:r>
              <w:rPr>
                <w:rFonts w:hint="eastAsia"/>
                <w:b/>
                <w:bCs/>
                <w:sz w:val="24"/>
              </w:rPr>
              <w:t>5</w:t>
            </w:r>
            <w:r>
              <w:rPr>
                <w:b/>
                <w:bCs/>
                <w:sz w:val="24"/>
              </w:rPr>
              <w:t>、主要生产设备</w:t>
            </w:r>
          </w:p>
          <w:p w14:paraId="5CBF481D">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w:t>
            </w:r>
            <w:r>
              <w:rPr>
                <w:rFonts w:hint="eastAsia" w:ascii="Times New Roman" w:hAnsi="Times New Roman" w:eastAsia="宋体" w:cs="Times New Roman"/>
                <w:sz w:val="24"/>
              </w:rPr>
              <w:t>工程</w:t>
            </w:r>
            <w:r>
              <w:rPr>
                <w:rFonts w:ascii="Times New Roman" w:hAnsi="Times New Roman" w:eastAsia="宋体" w:cs="Times New Roman"/>
                <w:sz w:val="24"/>
              </w:rPr>
              <w:t>主要生产设备见表</w:t>
            </w:r>
            <w:r>
              <w:rPr>
                <w:rFonts w:hint="eastAsia" w:ascii="Times New Roman" w:hAnsi="Times New Roman" w:eastAsia="宋体" w:cs="Times New Roman"/>
                <w:sz w:val="24"/>
                <w:lang w:val="en-US" w:eastAsia="zh-CN"/>
              </w:rPr>
              <w:t>2.6</w:t>
            </w:r>
            <w:r>
              <w:rPr>
                <w:rFonts w:ascii="Times New Roman" w:hAnsi="Times New Roman" w:eastAsia="宋体" w:cs="Times New Roman"/>
                <w:sz w:val="24"/>
              </w:rPr>
              <w:t>。</w:t>
            </w:r>
          </w:p>
          <w:p w14:paraId="160470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w:t>
            </w:r>
            <w:r>
              <w:rPr>
                <w:rFonts w:hint="eastAsia" w:ascii="Times New Roman" w:hAnsi="Times New Roman" w:eastAsia="宋体" w:cs="Times New Roman"/>
                <w:b/>
                <w:bCs/>
                <w:color w:val="auto"/>
                <w:sz w:val="24"/>
                <w:lang w:val="en-US" w:eastAsia="zh-CN"/>
              </w:rPr>
              <w:t>2.6  项目工程</w:t>
            </w:r>
            <w:r>
              <w:rPr>
                <w:rFonts w:hint="default" w:ascii="Times New Roman" w:hAnsi="Times New Roman" w:eastAsia="宋体" w:cs="Times New Roman"/>
                <w:b/>
                <w:bCs/>
                <w:color w:val="auto"/>
                <w:sz w:val="24"/>
                <w:lang w:val="en-US" w:eastAsia="zh-CN"/>
              </w:rPr>
              <w:t>主要</w:t>
            </w:r>
            <w:r>
              <w:rPr>
                <w:rFonts w:hint="eastAsia" w:ascii="Times New Roman" w:hAnsi="Times New Roman" w:eastAsia="宋体" w:cs="Times New Roman"/>
                <w:b/>
                <w:bCs/>
                <w:color w:val="auto"/>
                <w:sz w:val="24"/>
                <w:lang w:val="en-US" w:eastAsia="zh-CN"/>
              </w:rPr>
              <w:t>生产</w:t>
            </w:r>
            <w:r>
              <w:rPr>
                <w:rFonts w:hint="default" w:ascii="Times New Roman" w:hAnsi="Times New Roman" w:eastAsia="宋体" w:cs="Times New Roman"/>
                <w:b/>
                <w:bCs/>
                <w:color w:val="auto"/>
                <w:sz w:val="24"/>
                <w:lang w:val="en-US" w:eastAsia="zh-CN"/>
              </w:rPr>
              <w:t>设备一览表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2512"/>
              <w:gridCol w:w="2544"/>
              <w:gridCol w:w="1000"/>
              <w:gridCol w:w="995"/>
            </w:tblGrid>
            <w:tr w14:paraId="03F6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3FADE7C1">
                  <w:pPr>
                    <w:pStyle w:val="4"/>
                    <w:ind w:left="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序号</w:t>
                  </w:r>
                </w:p>
              </w:tc>
              <w:tc>
                <w:tcPr>
                  <w:tcW w:w="1571" w:type="pct"/>
                  <w:vAlign w:val="center"/>
                </w:tcPr>
                <w:p w14:paraId="76B2EA0D">
                  <w:pPr>
                    <w:pStyle w:val="4"/>
                    <w:ind w:left="0"/>
                    <w:jc w:val="center"/>
                    <w:rPr>
                      <w:rFonts w:ascii="Times New Roman" w:hAnsi="Times New Roman" w:cs="Times New Roman"/>
                      <w:b w:val="0"/>
                      <w:bCs w:val="0"/>
                      <w:color w:val="auto"/>
                      <w:sz w:val="21"/>
                      <w:szCs w:val="21"/>
                      <w:lang w:val="en-US"/>
                    </w:rPr>
                  </w:pPr>
                  <w:r>
                    <w:rPr>
                      <w:rFonts w:ascii="Times New Roman" w:hAnsi="Times New Roman" w:cs="Times New Roman"/>
                      <w:b w:val="0"/>
                      <w:bCs w:val="0"/>
                      <w:color w:val="auto"/>
                      <w:sz w:val="21"/>
                      <w:szCs w:val="21"/>
                    </w:rPr>
                    <w:t>设备名称</w:t>
                  </w:r>
                </w:p>
              </w:tc>
              <w:tc>
                <w:tcPr>
                  <w:tcW w:w="1591" w:type="pct"/>
                  <w:vAlign w:val="center"/>
                </w:tcPr>
                <w:p w14:paraId="42AFE52C">
                  <w:pPr>
                    <w:pStyle w:val="4"/>
                    <w:ind w:left="0"/>
                    <w:jc w:val="center"/>
                    <w:rPr>
                      <w:rFonts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型号</w:t>
                  </w:r>
                </w:p>
              </w:tc>
              <w:tc>
                <w:tcPr>
                  <w:tcW w:w="625" w:type="pct"/>
                  <w:vAlign w:val="center"/>
                </w:tcPr>
                <w:p w14:paraId="18A93F9D">
                  <w:pPr>
                    <w:pStyle w:val="4"/>
                    <w:ind w:left="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数量</w:t>
                  </w:r>
                </w:p>
              </w:tc>
              <w:tc>
                <w:tcPr>
                  <w:tcW w:w="622" w:type="pct"/>
                  <w:vAlign w:val="center"/>
                </w:tcPr>
                <w:p w14:paraId="5F5EF3BE">
                  <w:pPr>
                    <w:pStyle w:val="4"/>
                    <w:ind w:left="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单位</w:t>
                  </w:r>
                </w:p>
              </w:tc>
            </w:tr>
            <w:tr w14:paraId="60A9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0203ABC5">
                  <w:pPr>
                    <w:pStyle w:val="4"/>
                    <w:ind w:left="0"/>
                    <w:jc w:val="center"/>
                    <w:rPr>
                      <w:rFonts w:ascii="Times New Roman" w:hAnsi="Times New Roman" w:cs="Times New Roman"/>
                      <w:b w:val="0"/>
                      <w:bCs w:val="0"/>
                      <w:color w:val="auto"/>
                      <w:sz w:val="21"/>
                      <w:szCs w:val="21"/>
                      <w:lang w:val="en-US"/>
                    </w:rPr>
                  </w:pPr>
                  <w:r>
                    <w:rPr>
                      <w:rFonts w:ascii="Times New Roman" w:hAnsi="Times New Roman" w:cs="Times New Roman"/>
                      <w:b w:val="0"/>
                      <w:bCs w:val="0"/>
                      <w:color w:val="auto"/>
                      <w:sz w:val="21"/>
                      <w:szCs w:val="21"/>
                      <w:lang w:val="en-US"/>
                    </w:rPr>
                    <w:t>1</w:t>
                  </w:r>
                </w:p>
              </w:tc>
              <w:tc>
                <w:tcPr>
                  <w:tcW w:w="1571" w:type="pct"/>
                  <w:vAlign w:val="center"/>
                </w:tcPr>
                <w:p w14:paraId="42150901">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成型机</w:t>
                  </w:r>
                </w:p>
              </w:tc>
              <w:tc>
                <w:tcPr>
                  <w:tcW w:w="1591" w:type="pct"/>
                  <w:vAlign w:val="center"/>
                </w:tcPr>
                <w:p w14:paraId="5E863861">
                  <w:pPr>
                    <w:pStyle w:val="4"/>
                    <w:ind w:left="0"/>
                    <w:jc w:val="center"/>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w:t>
                  </w:r>
                </w:p>
              </w:tc>
              <w:tc>
                <w:tcPr>
                  <w:tcW w:w="625" w:type="pct"/>
                  <w:vAlign w:val="center"/>
                </w:tcPr>
                <w:p w14:paraId="5D8C1D58">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w:t>
                  </w:r>
                </w:p>
              </w:tc>
              <w:tc>
                <w:tcPr>
                  <w:tcW w:w="622" w:type="pct"/>
                  <w:vAlign w:val="center"/>
                </w:tcPr>
                <w:p w14:paraId="2F9F0041">
                  <w:pPr>
                    <w:pStyle w:val="4"/>
                    <w:ind w:left="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台</w:t>
                  </w:r>
                </w:p>
              </w:tc>
            </w:tr>
            <w:tr w14:paraId="1BD9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0ECDD557">
                  <w:pPr>
                    <w:pStyle w:val="4"/>
                    <w:ind w:left="0"/>
                    <w:jc w:val="center"/>
                    <w:rPr>
                      <w:rFonts w:ascii="Times New Roman" w:hAnsi="Times New Roman" w:cs="Times New Roman"/>
                      <w:b w:val="0"/>
                      <w:bCs w:val="0"/>
                      <w:color w:val="auto"/>
                      <w:sz w:val="21"/>
                      <w:szCs w:val="21"/>
                      <w:lang w:val="en-US"/>
                    </w:rPr>
                  </w:pPr>
                  <w:r>
                    <w:rPr>
                      <w:rFonts w:ascii="Times New Roman" w:hAnsi="Times New Roman" w:cs="Times New Roman"/>
                      <w:b w:val="0"/>
                      <w:bCs w:val="0"/>
                      <w:color w:val="auto"/>
                      <w:sz w:val="21"/>
                      <w:szCs w:val="21"/>
                      <w:lang w:val="en-US"/>
                    </w:rPr>
                    <w:t>2</w:t>
                  </w:r>
                </w:p>
              </w:tc>
              <w:tc>
                <w:tcPr>
                  <w:tcW w:w="1571" w:type="pct"/>
                  <w:vAlign w:val="center"/>
                </w:tcPr>
                <w:p w14:paraId="43BCB4E7">
                  <w:pPr>
                    <w:pStyle w:val="4"/>
                    <w:ind w:left="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真空泵</w:t>
                  </w:r>
                </w:p>
              </w:tc>
              <w:tc>
                <w:tcPr>
                  <w:tcW w:w="1591" w:type="pct"/>
                  <w:vAlign w:val="center"/>
                </w:tcPr>
                <w:p w14:paraId="2727222E">
                  <w:pPr>
                    <w:pStyle w:val="4"/>
                    <w:ind w:left="0"/>
                    <w:jc w:val="center"/>
                    <w:rPr>
                      <w:rFonts w:ascii="Times New Roman" w:hAnsi="Times New Roman" w:cs="Times New Roman"/>
                      <w:b w:val="0"/>
                      <w:bCs w:val="0"/>
                      <w:color w:val="auto"/>
                      <w:sz w:val="21"/>
                      <w:szCs w:val="21"/>
                      <w:lang w:val="en-US"/>
                    </w:rPr>
                  </w:pPr>
                  <w:r>
                    <w:rPr>
                      <w:rFonts w:hint="eastAsia" w:ascii="Times New Roman" w:hAnsi="Times New Roman" w:cs="Times New Roman"/>
                      <w:b w:val="0"/>
                      <w:bCs w:val="0"/>
                      <w:color w:val="auto"/>
                      <w:sz w:val="21"/>
                      <w:szCs w:val="21"/>
                      <w:lang w:val="en-US"/>
                    </w:rPr>
                    <w:t>/</w:t>
                  </w:r>
                </w:p>
              </w:tc>
              <w:tc>
                <w:tcPr>
                  <w:tcW w:w="625" w:type="pct"/>
                  <w:vAlign w:val="center"/>
                </w:tcPr>
                <w:p w14:paraId="1505E258">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622" w:type="pct"/>
                  <w:vAlign w:val="center"/>
                </w:tcPr>
                <w:p w14:paraId="60743991">
                  <w:pPr>
                    <w:pStyle w:val="4"/>
                    <w:ind w:left="0"/>
                    <w:jc w:val="center"/>
                    <w:rPr>
                      <w:rFonts w:ascii="Times New Roman" w:hAnsi="Times New Roman" w:cs="Times New Roman"/>
                      <w:b w:val="0"/>
                      <w:bCs w:val="0"/>
                      <w:color w:val="auto"/>
                      <w:sz w:val="21"/>
                      <w:szCs w:val="21"/>
                      <w:lang w:val="en-US"/>
                    </w:rPr>
                  </w:pPr>
                  <w:r>
                    <w:rPr>
                      <w:rFonts w:ascii="Times New Roman" w:hAnsi="Times New Roman" w:cs="Times New Roman"/>
                      <w:b w:val="0"/>
                      <w:bCs w:val="0"/>
                      <w:color w:val="auto"/>
                      <w:sz w:val="21"/>
                      <w:szCs w:val="21"/>
                    </w:rPr>
                    <w:t>台</w:t>
                  </w:r>
                </w:p>
              </w:tc>
            </w:tr>
            <w:tr w14:paraId="130A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2E46D8F6">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1571" w:type="pct"/>
                  <w:shd w:val="clear" w:color="auto" w:fill="auto"/>
                  <w:vAlign w:val="center"/>
                </w:tcPr>
                <w:p w14:paraId="68B5C55F">
                  <w:pPr>
                    <w:pStyle w:val="4"/>
                    <w:ind w:left="0" w:leftChars="0"/>
                    <w:jc w:val="center"/>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cs="Times New Roman"/>
                      <w:b w:val="0"/>
                      <w:bCs w:val="0"/>
                      <w:color w:val="auto"/>
                      <w:sz w:val="21"/>
                      <w:szCs w:val="21"/>
                      <w:lang w:val="en-US" w:eastAsia="zh-CN"/>
                    </w:rPr>
                    <w:t>空压机</w:t>
                  </w:r>
                </w:p>
              </w:tc>
              <w:tc>
                <w:tcPr>
                  <w:tcW w:w="1591" w:type="pct"/>
                  <w:shd w:val="clear" w:color="auto" w:fill="auto"/>
                  <w:vAlign w:val="center"/>
                </w:tcPr>
                <w:p w14:paraId="5040480B">
                  <w:pPr>
                    <w:pStyle w:val="4"/>
                    <w:ind w:left="0" w:leftChars="0"/>
                    <w:jc w:val="center"/>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cs="Times New Roman"/>
                      <w:b w:val="0"/>
                      <w:bCs w:val="0"/>
                      <w:color w:val="auto"/>
                      <w:sz w:val="21"/>
                      <w:szCs w:val="21"/>
                      <w:lang w:val="en-US" w:eastAsia="zh-CN"/>
                    </w:rPr>
                    <w:t>/</w:t>
                  </w:r>
                </w:p>
              </w:tc>
              <w:tc>
                <w:tcPr>
                  <w:tcW w:w="625" w:type="pct"/>
                  <w:shd w:val="clear" w:color="auto" w:fill="auto"/>
                  <w:vAlign w:val="center"/>
                </w:tcPr>
                <w:p w14:paraId="2701B31B">
                  <w:pPr>
                    <w:pStyle w:val="4"/>
                    <w:ind w:left="0" w:leftChars="0"/>
                    <w:jc w:val="center"/>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cs="Times New Roman"/>
                      <w:b w:val="0"/>
                      <w:bCs w:val="0"/>
                      <w:color w:val="auto"/>
                      <w:sz w:val="21"/>
                      <w:szCs w:val="21"/>
                      <w:lang w:val="en-US" w:eastAsia="zh-CN"/>
                    </w:rPr>
                    <w:t>3</w:t>
                  </w:r>
                </w:p>
              </w:tc>
              <w:tc>
                <w:tcPr>
                  <w:tcW w:w="622" w:type="pct"/>
                  <w:shd w:val="clear" w:color="auto" w:fill="auto"/>
                  <w:vAlign w:val="center"/>
                </w:tcPr>
                <w:p w14:paraId="61A75BF6">
                  <w:pPr>
                    <w:pStyle w:val="4"/>
                    <w:ind w:left="0" w:leftChars="0"/>
                    <w:jc w:val="center"/>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cs="Times New Roman"/>
                      <w:b w:val="0"/>
                      <w:bCs w:val="0"/>
                      <w:color w:val="auto"/>
                      <w:sz w:val="21"/>
                      <w:szCs w:val="21"/>
                      <w:lang w:val="en-US" w:eastAsia="zh-CN"/>
                    </w:rPr>
                    <w:t>个</w:t>
                  </w:r>
                </w:p>
              </w:tc>
            </w:tr>
            <w:tr w14:paraId="57BB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709B0ADA">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1571" w:type="pct"/>
                  <w:vAlign w:val="center"/>
                </w:tcPr>
                <w:p w14:paraId="5AA0BE9F">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真空负压罐</w:t>
                  </w:r>
                </w:p>
              </w:tc>
              <w:tc>
                <w:tcPr>
                  <w:tcW w:w="1591" w:type="pct"/>
                  <w:vAlign w:val="center"/>
                </w:tcPr>
                <w:p w14:paraId="40DF7464">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12m</w:t>
                  </w:r>
                  <w:r>
                    <w:rPr>
                      <w:rFonts w:hint="eastAsia" w:ascii="Times New Roman" w:hAnsi="Times New Roman" w:cs="Times New Roman"/>
                      <w:b w:val="0"/>
                      <w:bCs w:val="0"/>
                      <w:color w:val="auto"/>
                      <w:sz w:val="21"/>
                      <w:szCs w:val="21"/>
                      <w:vertAlign w:val="superscript"/>
                      <w:lang w:val="en-US" w:eastAsia="zh-CN"/>
                    </w:rPr>
                    <w:t>3</w:t>
                  </w:r>
                </w:p>
              </w:tc>
              <w:tc>
                <w:tcPr>
                  <w:tcW w:w="625" w:type="pct"/>
                  <w:vAlign w:val="center"/>
                </w:tcPr>
                <w:p w14:paraId="7D32B0C3">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622" w:type="pct"/>
                  <w:vAlign w:val="center"/>
                </w:tcPr>
                <w:p w14:paraId="6F52CCD9">
                  <w:pPr>
                    <w:pStyle w:val="4"/>
                    <w:ind w:left="0"/>
                    <w:jc w:val="center"/>
                    <w:rPr>
                      <w:rFonts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个</w:t>
                  </w:r>
                </w:p>
              </w:tc>
            </w:tr>
            <w:tr w14:paraId="69FB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7CEDF632">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w:t>
                  </w:r>
                </w:p>
              </w:tc>
              <w:tc>
                <w:tcPr>
                  <w:tcW w:w="1571" w:type="pct"/>
                  <w:vAlign w:val="center"/>
                </w:tcPr>
                <w:p w14:paraId="5529BC33">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整型、修边机</w:t>
                  </w:r>
                </w:p>
              </w:tc>
              <w:tc>
                <w:tcPr>
                  <w:tcW w:w="1591" w:type="pct"/>
                  <w:vAlign w:val="center"/>
                </w:tcPr>
                <w:p w14:paraId="26618B91">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625" w:type="pct"/>
                  <w:vAlign w:val="center"/>
                </w:tcPr>
                <w:p w14:paraId="7C3F00F8">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11</w:t>
                  </w:r>
                </w:p>
              </w:tc>
              <w:tc>
                <w:tcPr>
                  <w:tcW w:w="622" w:type="pct"/>
                  <w:vAlign w:val="center"/>
                </w:tcPr>
                <w:p w14:paraId="4482F958">
                  <w:pPr>
                    <w:pStyle w:val="4"/>
                    <w:ind w:left="0"/>
                    <w:jc w:val="center"/>
                    <w:rPr>
                      <w:rFonts w:ascii="Times New Roman" w:hAnsi="Times New Roman" w:cs="Times New Roman"/>
                      <w:b w:val="0"/>
                      <w:bCs w:val="0"/>
                      <w:color w:val="auto"/>
                      <w:sz w:val="21"/>
                      <w:szCs w:val="21"/>
                      <w:lang w:val="en-US"/>
                    </w:rPr>
                  </w:pPr>
                  <w:r>
                    <w:rPr>
                      <w:rFonts w:ascii="Times New Roman" w:hAnsi="Times New Roman" w:cs="Times New Roman"/>
                      <w:b w:val="0"/>
                      <w:bCs w:val="0"/>
                      <w:color w:val="auto"/>
                      <w:sz w:val="21"/>
                      <w:szCs w:val="21"/>
                    </w:rPr>
                    <w:t>台</w:t>
                  </w:r>
                </w:p>
              </w:tc>
            </w:tr>
            <w:tr w14:paraId="4F6F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268F91B3">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6</w:t>
                  </w:r>
                </w:p>
              </w:tc>
              <w:tc>
                <w:tcPr>
                  <w:tcW w:w="1571" w:type="pct"/>
                  <w:vAlign w:val="center"/>
                </w:tcPr>
                <w:p w14:paraId="129B7F39">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湿法破碎机</w:t>
                  </w:r>
                </w:p>
              </w:tc>
              <w:tc>
                <w:tcPr>
                  <w:tcW w:w="1591" w:type="pct"/>
                  <w:vAlign w:val="center"/>
                </w:tcPr>
                <w:p w14:paraId="6A51C0FF">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5m</w:t>
                  </w:r>
                  <w:r>
                    <w:rPr>
                      <w:rFonts w:hint="eastAsia" w:ascii="Times New Roman" w:hAnsi="Times New Roman" w:eastAsia="宋体" w:cs="Times New Roman"/>
                      <w:b w:val="0"/>
                      <w:bCs w:val="0"/>
                      <w:color w:val="auto"/>
                      <w:sz w:val="21"/>
                      <w:szCs w:val="21"/>
                      <w:vertAlign w:val="superscript"/>
                      <w:lang w:val="en-US" w:eastAsia="zh-CN"/>
                    </w:rPr>
                    <w:t>3</w:t>
                  </w:r>
                </w:p>
              </w:tc>
              <w:tc>
                <w:tcPr>
                  <w:tcW w:w="625" w:type="pct"/>
                  <w:vAlign w:val="center"/>
                </w:tcPr>
                <w:p w14:paraId="2498F1EB">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622" w:type="pct"/>
                  <w:vAlign w:val="center"/>
                </w:tcPr>
                <w:p w14:paraId="12D01114">
                  <w:pPr>
                    <w:pStyle w:val="4"/>
                    <w:ind w:left="0"/>
                    <w:jc w:val="center"/>
                    <w:rPr>
                      <w:rFonts w:ascii="Times New Roman" w:hAnsi="Times New Roman" w:cs="Times New Roman"/>
                      <w:b w:val="0"/>
                      <w:bCs w:val="0"/>
                      <w:color w:val="auto"/>
                      <w:sz w:val="21"/>
                      <w:szCs w:val="21"/>
                      <w:lang w:val="en-US"/>
                    </w:rPr>
                  </w:pPr>
                  <w:r>
                    <w:rPr>
                      <w:rFonts w:ascii="Times New Roman" w:hAnsi="Times New Roman" w:cs="Times New Roman"/>
                      <w:b w:val="0"/>
                      <w:bCs w:val="0"/>
                      <w:color w:val="auto"/>
                      <w:sz w:val="21"/>
                      <w:szCs w:val="21"/>
                    </w:rPr>
                    <w:t>台</w:t>
                  </w:r>
                </w:p>
              </w:tc>
            </w:tr>
            <w:tr w14:paraId="3849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7E3EA454">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w:t>
                  </w:r>
                </w:p>
              </w:tc>
              <w:tc>
                <w:tcPr>
                  <w:tcW w:w="1571" w:type="pct"/>
                  <w:vAlign w:val="center"/>
                </w:tcPr>
                <w:p w14:paraId="51B00037">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循环水罐</w:t>
                  </w:r>
                </w:p>
              </w:tc>
              <w:tc>
                <w:tcPr>
                  <w:tcW w:w="1591" w:type="pct"/>
                  <w:vAlign w:val="center"/>
                </w:tcPr>
                <w:p w14:paraId="5F34D1CB">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50t</w:t>
                  </w:r>
                </w:p>
              </w:tc>
              <w:tc>
                <w:tcPr>
                  <w:tcW w:w="625" w:type="pct"/>
                  <w:vAlign w:val="center"/>
                </w:tcPr>
                <w:p w14:paraId="5EC3EBC0">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622" w:type="pct"/>
                  <w:vAlign w:val="center"/>
                </w:tcPr>
                <w:p w14:paraId="435A7AA5">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个</w:t>
                  </w:r>
                </w:p>
              </w:tc>
            </w:tr>
            <w:tr w14:paraId="63C5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20DD6B52">
                  <w:pPr>
                    <w:pStyle w:val="4"/>
                    <w:ind w:lef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8</w:t>
                  </w:r>
                </w:p>
              </w:tc>
              <w:tc>
                <w:tcPr>
                  <w:tcW w:w="1571" w:type="pct"/>
                  <w:vAlign w:val="center"/>
                </w:tcPr>
                <w:p w14:paraId="0CD4703A">
                  <w:pPr>
                    <w:widowControl/>
                    <w:jc w:val="center"/>
                    <w:rPr>
                      <w:rFonts w:hint="eastAsia" w:eastAsia="宋体"/>
                      <w:color w:val="auto"/>
                      <w:szCs w:val="21"/>
                      <w:lang w:val="en-US" w:eastAsia="zh-CN"/>
                    </w:rPr>
                  </w:pPr>
                  <w:r>
                    <w:rPr>
                      <w:rFonts w:hint="eastAsia" w:ascii="Times New Roman" w:hAnsi="Times New Roman" w:cs="Times New Roman"/>
                      <w:b w:val="0"/>
                      <w:bCs w:val="0"/>
                      <w:color w:val="auto"/>
                      <w:sz w:val="21"/>
                      <w:szCs w:val="21"/>
                      <w:lang w:val="en-US" w:eastAsia="zh-CN"/>
                    </w:rPr>
                    <w:t>浆料浓度50%的</w:t>
                  </w:r>
                  <w:r>
                    <w:rPr>
                      <w:color w:val="auto"/>
                      <w:szCs w:val="21"/>
                    </w:rPr>
                    <w:t>料</w:t>
                  </w:r>
                  <w:r>
                    <w:rPr>
                      <w:rFonts w:hint="eastAsia"/>
                      <w:color w:val="auto"/>
                      <w:szCs w:val="21"/>
                      <w:lang w:val="en-US" w:eastAsia="zh-CN"/>
                    </w:rPr>
                    <w:t>罐</w:t>
                  </w:r>
                </w:p>
              </w:tc>
              <w:tc>
                <w:tcPr>
                  <w:tcW w:w="1591" w:type="pct"/>
                  <w:vAlign w:val="center"/>
                </w:tcPr>
                <w:p w14:paraId="4951C240">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50t</w:t>
                  </w:r>
                </w:p>
              </w:tc>
              <w:tc>
                <w:tcPr>
                  <w:tcW w:w="625" w:type="pct"/>
                  <w:vAlign w:val="center"/>
                </w:tcPr>
                <w:p w14:paraId="32DC9B72">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622" w:type="pct"/>
                  <w:vAlign w:val="center"/>
                </w:tcPr>
                <w:p w14:paraId="1B9E12D9">
                  <w:pPr>
                    <w:pStyle w:val="4"/>
                    <w:ind w:left="0"/>
                    <w:jc w:val="center"/>
                    <w:rPr>
                      <w:rFonts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个</w:t>
                  </w:r>
                </w:p>
              </w:tc>
            </w:tr>
            <w:tr w14:paraId="3B1B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0E4BF9A2">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9</w:t>
                  </w:r>
                </w:p>
              </w:tc>
              <w:tc>
                <w:tcPr>
                  <w:tcW w:w="1571" w:type="pct"/>
                  <w:vAlign w:val="center"/>
                </w:tcPr>
                <w:p w14:paraId="7E32B088">
                  <w:pPr>
                    <w:widowControl/>
                    <w:jc w:val="center"/>
                    <w:rPr>
                      <w:color w:val="auto"/>
                      <w:szCs w:val="21"/>
                    </w:rPr>
                  </w:pPr>
                  <w:r>
                    <w:rPr>
                      <w:rFonts w:hint="eastAsia" w:ascii="Times New Roman" w:hAnsi="Times New Roman" w:cs="Times New Roman"/>
                      <w:b w:val="0"/>
                      <w:bCs w:val="0"/>
                      <w:color w:val="auto"/>
                      <w:sz w:val="21"/>
                      <w:szCs w:val="21"/>
                      <w:lang w:val="en-US" w:eastAsia="zh-CN"/>
                    </w:rPr>
                    <w:t>浆料浓度5-10‰</w:t>
                  </w:r>
                  <w:r>
                    <w:rPr>
                      <w:color w:val="auto"/>
                      <w:szCs w:val="21"/>
                    </w:rPr>
                    <w:t>料</w:t>
                  </w:r>
                  <w:r>
                    <w:rPr>
                      <w:rFonts w:hint="eastAsia"/>
                      <w:color w:val="auto"/>
                      <w:szCs w:val="21"/>
                      <w:lang w:val="en-US" w:eastAsia="zh-CN"/>
                    </w:rPr>
                    <w:t>罐</w:t>
                  </w:r>
                </w:p>
              </w:tc>
              <w:tc>
                <w:tcPr>
                  <w:tcW w:w="1591" w:type="pct"/>
                  <w:vAlign w:val="center"/>
                </w:tcPr>
                <w:p w14:paraId="6AB26C61">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30t</w:t>
                  </w:r>
                </w:p>
              </w:tc>
              <w:tc>
                <w:tcPr>
                  <w:tcW w:w="625" w:type="pct"/>
                  <w:vAlign w:val="center"/>
                </w:tcPr>
                <w:p w14:paraId="2AEEF1BE">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w:t>
                  </w:r>
                </w:p>
              </w:tc>
              <w:tc>
                <w:tcPr>
                  <w:tcW w:w="622" w:type="pct"/>
                  <w:vAlign w:val="center"/>
                </w:tcPr>
                <w:p w14:paraId="59107CA7">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个</w:t>
                  </w:r>
                </w:p>
              </w:tc>
            </w:tr>
            <w:tr w14:paraId="1419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21675258">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1571" w:type="pct"/>
                  <w:vAlign w:val="center"/>
                </w:tcPr>
                <w:p w14:paraId="1B1711CA">
                  <w:pPr>
                    <w:widowControl/>
                    <w:jc w:val="center"/>
                    <w:rPr>
                      <w:color w:val="auto"/>
                      <w:szCs w:val="21"/>
                    </w:rPr>
                  </w:pPr>
                  <w:r>
                    <w:rPr>
                      <w:color w:val="auto"/>
                      <w:szCs w:val="21"/>
                    </w:rPr>
                    <w:t>管道泵</w:t>
                  </w:r>
                </w:p>
              </w:tc>
              <w:tc>
                <w:tcPr>
                  <w:tcW w:w="1591" w:type="pct"/>
                  <w:vAlign w:val="center"/>
                </w:tcPr>
                <w:p w14:paraId="56B2D622">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625" w:type="pct"/>
                  <w:vAlign w:val="center"/>
                </w:tcPr>
                <w:p w14:paraId="1A492EEE">
                  <w:pPr>
                    <w:pStyle w:val="4"/>
                    <w:ind w:lef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622" w:type="pct"/>
                  <w:vAlign w:val="center"/>
                </w:tcPr>
                <w:p w14:paraId="1C6B68DE">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台</w:t>
                  </w:r>
                </w:p>
              </w:tc>
            </w:tr>
            <w:tr w14:paraId="71D4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9" w:type="pct"/>
                  <w:vAlign w:val="center"/>
                </w:tcPr>
                <w:p w14:paraId="78FF23DC">
                  <w:pPr>
                    <w:pStyle w:val="4"/>
                    <w:ind w:lef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11</w:t>
                  </w:r>
                </w:p>
              </w:tc>
              <w:tc>
                <w:tcPr>
                  <w:tcW w:w="1571" w:type="pct"/>
                  <w:vAlign w:val="center"/>
                </w:tcPr>
                <w:p w14:paraId="602B2C8D">
                  <w:pPr>
                    <w:widowControl/>
                    <w:jc w:val="center"/>
                    <w:rPr>
                      <w:rFonts w:hint="eastAsia" w:eastAsia="宋体"/>
                      <w:color w:val="auto"/>
                      <w:szCs w:val="21"/>
                      <w:lang w:eastAsia="zh-CN"/>
                    </w:rPr>
                  </w:pPr>
                  <w:r>
                    <w:rPr>
                      <w:rFonts w:hint="eastAsia"/>
                      <w:color w:val="auto"/>
                      <w:szCs w:val="21"/>
                      <w:lang w:val="en-US" w:eastAsia="zh-CN"/>
                    </w:rPr>
                    <w:t>回浆泵</w:t>
                  </w:r>
                </w:p>
              </w:tc>
              <w:tc>
                <w:tcPr>
                  <w:tcW w:w="1591" w:type="pct"/>
                  <w:vAlign w:val="center"/>
                </w:tcPr>
                <w:p w14:paraId="78225E36">
                  <w:pPr>
                    <w:pStyle w:val="4"/>
                    <w:ind w:left="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625" w:type="pct"/>
                  <w:vAlign w:val="center"/>
                </w:tcPr>
                <w:p w14:paraId="3911BFAC">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622" w:type="pct"/>
                  <w:vAlign w:val="center"/>
                </w:tcPr>
                <w:p w14:paraId="1A7FB03F">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个</w:t>
                  </w:r>
                </w:p>
              </w:tc>
            </w:tr>
            <w:tr w14:paraId="2DB5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89" w:type="pct"/>
                  <w:vAlign w:val="center"/>
                </w:tcPr>
                <w:p w14:paraId="1919A16C">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12</w:t>
                  </w:r>
                </w:p>
              </w:tc>
              <w:tc>
                <w:tcPr>
                  <w:tcW w:w="1571" w:type="pct"/>
                  <w:vAlign w:val="center"/>
                </w:tcPr>
                <w:p w14:paraId="18B2495E">
                  <w:pPr>
                    <w:widowControl/>
                    <w:jc w:val="center"/>
                    <w:rPr>
                      <w:rFonts w:hint="default" w:eastAsia="宋体"/>
                      <w:color w:val="auto"/>
                      <w:szCs w:val="21"/>
                      <w:lang w:val="en-US" w:eastAsia="zh-CN"/>
                    </w:rPr>
                  </w:pPr>
                  <w:r>
                    <w:rPr>
                      <w:rFonts w:hint="eastAsia"/>
                      <w:color w:val="auto"/>
                      <w:szCs w:val="21"/>
                      <w:lang w:val="en-US" w:eastAsia="zh-CN"/>
                    </w:rPr>
                    <w:t>喷码设备</w:t>
                  </w:r>
                </w:p>
              </w:tc>
              <w:tc>
                <w:tcPr>
                  <w:tcW w:w="1591" w:type="pct"/>
                  <w:vAlign w:val="center"/>
                </w:tcPr>
                <w:p w14:paraId="2AEA5E20">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625" w:type="pct"/>
                  <w:vAlign w:val="center"/>
                </w:tcPr>
                <w:p w14:paraId="3215F464">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622" w:type="pct"/>
                  <w:vAlign w:val="center"/>
                </w:tcPr>
                <w:p w14:paraId="68342BDE">
                  <w:pPr>
                    <w:pStyle w:val="4"/>
                    <w:ind w:lef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台</w:t>
                  </w:r>
                </w:p>
              </w:tc>
            </w:tr>
          </w:tbl>
          <w:p w14:paraId="139B47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w:t>
            </w:r>
            <w:r>
              <w:rPr>
                <w:rFonts w:hint="eastAsia" w:ascii="Times New Roman" w:hAnsi="Times New Roman" w:eastAsia="宋体" w:cs="Times New Roman"/>
                <w:b/>
                <w:bCs/>
                <w:color w:val="auto"/>
                <w:sz w:val="24"/>
                <w:lang w:val="en-US" w:eastAsia="zh-CN"/>
              </w:rPr>
              <w:t xml:space="preserve">2.7  </w:t>
            </w:r>
            <w:r>
              <w:rPr>
                <w:rFonts w:hint="default" w:ascii="Times New Roman" w:hAnsi="Times New Roman" w:eastAsia="宋体" w:cs="Times New Roman"/>
                <w:b/>
                <w:bCs/>
                <w:color w:val="auto"/>
                <w:sz w:val="24"/>
                <w:lang w:val="en-US" w:eastAsia="zh-CN"/>
              </w:rPr>
              <w:t>设备产能匹配性分析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947"/>
              <w:gridCol w:w="1249"/>
              <w:gridCol w:w="1142"/>
              <w:gridCol w:w="1143"/>
              <w:gridCol w:w="1091"/>
              <w:gridCol w:w="1195"/>
            </w:tblGrid>
            <w:tr w14:paraId="2237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9" w:type="dxa"/>
                  <w:vAlign w:val="center"/>
                </w:tcPr>
                <w:p w14:paraId="17E43B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rPr>
                    <w:t>主要设备名称</w:t>
                  </w:r>
                </w:p>
              </w:tc>
              <w:tc>
                <w:tcPr>
                  <w:tcW w:w="947" w:type="dxa"/>
                  <w:vAlign w:val="center"/>
                </w:tcPr>
                <w:p w14:paraId="0C89FA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rPr>
                    <w:t>数量 （台）</w:t>
                  </w:r>
                </w:p>
              </w:tc>
              <w:tc>
                <w:tcPr>
                  <w:tcW w:w="1249" w:type="dxa"/>
                  <w:vAlign w:val="center"/>
                </w:tcPr>
                <w:p w14:paraId="17D7D5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rPr>
                    <w:t>单台设备设计产能</w:t>
                  </w:r>
                </w:p>
              </w:tc>
              <w:tc>
                <w:tcPr>
                  <w:tcW w:w="1142" w:type="dxa"/>
                  <w:vAlign w:val="center"/>
                </w:tcPr>
                <w:p w14:paraId="69C916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rPr>
                    <w:t>生产时间</w:t>
                  </w:r>
                </w:p>
              </w:tc>
              <w:tc>
                <w:tcPr>
                  <w:tcW w:w="1143" w:type="dxa"/>
                  <w:vAlign w:val="center"/>
                </w:tcPr>
                <w:p w14:paraId="12B88AA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rPr>
                    <w:t>设备合计 最大产能</w:t>
                  </w:r>
                </w:p>
              </w:tc>
              <w:tc>
                <w:tcPr>
                  <w:tcW w:w="1091" w:type="dxa"/>
                  <w:vAlign w:val="center"/>
                </w:tcPr>
                <w:p w14:paraId="403076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rPr>
                    <w:t>设计产能</w:t>
                  </w:r>
                </w:p>
              </w:tc>
              <w:tc>
                <w:tcPr>
                  <w:tcW w:w="1195" w:type="dxa"/>
                  <w:vAlign w:val="center"/>
                </w:tcPr>
                <w:p w14:paraId="3F82F36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rPr>
                    <w:t>是否满足生产需求</w:t>
                  </w:r>
                </w:p>
              </w:tc>
            </w:tr>
            <w:tr w14:paraId="6394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9" w:type="dxa"/>
                  <w:vAlign w:val="center"/>
                </w:tcPr>
                <w:p w14:paraId="43BAC81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成型机</w:t>
                  </w:r>
                </w:p>
              </w:tc>
              <w:tc>
                <w:tcPr>
                  <w:tcW w:w="947" w:type="dxa"/>
                  <w:vAlign w:val="center"/>
                </w:tcPr>
                <w:p w14:paraId="209F0B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w:t>
                  </w:r>
                </w:p>
              </w:tc>
              <w:tc>
                <w:tcPr>
                  <w:tcW w:w="1249" w:type="dxa"/>
                  <w:vAlign w:val="center"/>
                </w:tcPr>
                <w:p w14:paraId="51D67D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900kg/h</w:t>
                  </w:r>
                </w:p>
              </w:tc>
              <w:tc>
                <w:tcPr>
                  <w:tcW w:w="1142" w:type="dxa"/>
                  <w:vAlign w:val="center"/>
                </w:tcPr>
                <w:p w14:paraId="0BA357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2400h</w:t>
                  </w:r>
                </w:p>
              </w:tc>
              <w:tc>
                <w:tcPr>
                  <w:tcW w:w="1143" w:type="dxa"/>
                  <w:vAlign w:val="center"/>
                </w:tcPr>
                <w:p w14:paraId="1107B9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10800</w:t>
                  </w:r>
                </w:p>
              </w:tc>
              <w:tc>
                <w:tcPr>
                  <w:tcW w:w="1091" w:type="dxa"/>
                  <w:vAlign w:val="center"/>
                </w:tcPr>
                <w:p w14:paraId="7392049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10000t/a</w:t>
                  </w:r>
                </w:p>
              </w:tc>
              <w:tc>
                <w:tcPr>
                  <w:tcW w:w="1195" w:type="dxa"/>
                  <w:vAlign w:val="center"/>
                </w:tcPr>
                <w:p w14:paraId="06B056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是</w:t>
                  </w:r>
                </w:p>
              </w:tc>
            </w:tr>
          </w:tbl>
          <w:p w14:paraId="4E62DDE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根据企业提供资料，成型设备合计最大产量</w:t>
            </w:r>
            <w:r>
              <w:rPr>
                <w:rFonts w:hint="eastAsia" w:cs="Times New Roman"/>
                <w:sz w:val="24"/>
                <w:lang w:val="en-US" w:eastAsia="zh-CN"/>
              </w:rPr>
              <w:t>10800</w:t>
            </w:r>
            <w:r>
              <w:rPr>
                <w:rFonts w:hint="eastAsia" w:ascii="Times New Roman" w:hAnsi="Times New Roman" w:eastAsia="宋体" w:cs="Times New Roman"/>
                <w:sz w:val="24"/>
              </w:rPr>
              <w:t>t/a，企业申报产能</w:t>
            </w:r>
            <w:r>
              <w:rPr>
                <w:rFonts w:hint="eastAsia" w:cs="Times New Roman"/>
                <w:sz w:val="24"/>
                <w:lang w:val="en-US" w:eastAsia="zh-CN"/>
              </w:rPr>
              <w:t>100</w:t>
            </w:r>
            <w:r>
              <w:rPr>
                <w:rFonts w:hint="eastAsia" w:ascii="Times New Roman" w:hAnsi="Times New Roman" w:eastAsia="宋体" w:cs="Times New Roman"/>
                <w:sz w:val="24"/>
              </w:rPr>
              <w:t>00t/a， 设备利用率</w:t>
            </w:r>
            <w:r>
              <w:rPr>
                <w:rFonts w:hint="eastAsia" w:cs="Times New Roman"/>
                <w:sz w:val="24"/>
                <w:lang w:val="en-US" w:eastAsia="zh-CN"/>
              </w:rPr>
              <w:t>92.6</w:t>
            </w:r>
            <w:r>
              <w:rPr>
                <w:rFonts w:hint="eastAsia" w:ascii="Times New Roman" w:hAnsi="Times New Roman" w:eastAsia="宋体" w:cs="Times New Roman"/>
                <w:sz w:val="24"/>
              </w:rPr>
              <w:t>%，设备申报合理。</w:t>
            </w:r>
          </w:p>
          <w:p w14:paraId="60B47D8A">
            <w:pPr>
              <w:spacing w:line="360" w:lineRule="auto"/>
              <w:ind w:firstLine="482" w:firstLineChars="200"/>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6、工作制度和劳动定员</w:t>
            </w:r>
          </w:p>
          <w:p w14:paraId="205073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本项目劳动定员50人，采用单班制8h生产，年工作天数300天，厂区内不设食宿。</w:t>
            </w:r>
          </w:p>
          <w:p w14:paraId="795847DF">
            <w:pPr>
              <w:spacing w:line="360" w:lineRule="auto"/>
              <w:ind w:firstLine="482" w:firstLineChars="200"/>
              <w:rPr>
                <w:b/>
                <w:bCs/>
                <w:sz w:val="24"/>
              </w:rPr>
            </w:pPr>
            <w:r>
              <w:rPr>
                <w:rFonts w:hint="eastAsia"/>
                <w:b/>
                <w:bCs/>
                <w:sz w:val="24"/>
              </w:rPr>
              <w:t>7、水平衡</w:t>
            </w:r>
          </w:p>
          <w:p w14:paraId="40D3EC7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项目营运期用水主要为员工办公生活用水和</w:t>
            </w:r>
            <w:r>
              <w:rPr>
                <w:rFonts w:hint="default" w:ascii="Times New Roman" w:hAnsi="Times New Roman" w:eastAsia="宋体" w:cs="Times New Roman"/>
                <w:sz w:val="24"/>
                <w:szCs w:val="24"/>
              </w:rPr>
              <w:t>破碎及调浆用水</w:t>
            </w:r>
            <w:r>
              <w:rPr>
                <w:rFonts w:hint="eastAsia" w:ascii="Times New Roman" w:hAnsi="Times New Roman" w:eastAsia="宋体" w:cs="Times New Roman"/>
                <w:sz w:val="24"/>
                <w:highlight w:val="none"/>
              </w:rPr>
              <w:t>。</w:t>
            </w:r>
          </w:p>
          <w:p w14:paraId="6804CD9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①员工办公生活用水</w:t>
            </w:r>
          </w:p>
          <w:p w14:paraId="44C3DC3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highlight w:val="none"/>
              </w:rPr>
            </w:pPr>
            <w:r>
              <w:rPr>
                <w:rFonts w:hint="default" w:ascii="Times New Roman" w:hAnsi="Times New Roman" w:eastAsia="宋体" w:cs="Times New Roman"/>
                <w:color w:val="auto"/>
                <w:sz w:val="24"/>
                <w:szCs w:val="24"/>
                <w:highlight w:val="none"/>
                <w:lang w:eastAsia="zh-CN"/>
              </w:rPr>
              <w:t>本项目职工定员</w:t>
            </w:r>
            <w:r>
              <w:rPr>
                <w:rFonts w:hint="eastAsia" w:ascii="Times New Roman" w:hAnsi="Times New Roman"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eastAsia="zh-CN"/>
              </w:rPr>
              <w:t>人，年工作时间为</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eastAsia="zh-CN"/>
              </w:rPr>
              <w:t>天，厂区不提供食</w:t>
            </w:r>
            <w:r>
              <w:rPr>
                <w:rFonts w:hint="eastAsia" w:ascii="Times New Roman" w:hAnsi="Times New Roman" w:cs="Times New Roman"/>
                <w:color w:val="auto"/>
                <w:sz w:val="24"/>
                <w:szCs w:val="24"/>
                <w:highlight w:val="none"/>
                <w:lang w:val="en-US" w:eastAsia="zh-CN"/>
              </w:rPr>
              <w:t>宿</w:t>
            </w:r>
            <w:r>
              <w:rPr>
                <w:rFonts w:hint="default" w:ascii="Times New Roman" w:hAnsi="Times New Roman" w:eastAsia="宋体" w:cs="Times New Roman"/>
                <w:color w:val="auto"/>
                <w:sz w:val="24"/>
                <w:szCs w:val="24"/>
                <w:highlight w:val="none"/>
                <w:lang w:eastAsia="zh-CN"/>
              </w:rPr>
              <w:t>。根据《安徽省行业用水定额》（DB34/T 679-20</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eastAsia="zh-CN"/>
              </w:rPr>
              <w:t>），人均用水量取</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。则本项目生活用水量为</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eastAsia="zh-CN"/>
              </w:rPr>
              <w:t>t/d（</w:t>
            </w:r>
            <w:r>
              <w:rPr>
                <w:rFonts w:hint="eastAsia"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color w:val="auto"/>
                <w:sz w:val="24"/>
                <w:szCs w:val="24"/>
                <w:highlight w:val="none"/>
                <w:lang w:eastAsia="zh-CN"/>
              </w:rPr>
              <w:t>t/a），生活污水量按照用水量的80%计算，则生活污水产生量约为</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t/d（</w:t>
            </w:r>
            <w:r>
              <w:rPr>
                <w:rFonts w:hint="eastAsia" w:ascii="Times New Roman" w:hAnsi="Times New Roman" w:eastAsia="宋体" w:cs="Times New Roman"/>
                <w:color w:val="auto"/>
                <w:sz w:val="24"/>
                <w:szCs w:val="24"/>
                <w:highlight w:val="none"/>
                <w:lang w:val="en-US" w:eastAsia="zh-CN"/>
              </w:rPr>
              <w:t>600</w:t>
            </w:r>
            <w:r>
              <w:rPr>
                <w:rFonts w:hint="default" w:ascii="Times New Roman" w:hAnsi="Times New Roman" w:eastAsia="宋体" w:cs="Times New Roman"/>
                <w:color w:val="auto"/>
                <w:sz w:val="24"/>
                <w:szCs w:val="24"/>
                <w:highlight w:val="none"/>
                <w:lang w:eastAsia="zh-CN"/>
              </w:rPr>
              <w:t>t/a）。</w:t>
            </w:r>
            <w:r>
              <w:rPr>
                <w:rFonts w:hint="eastAsia" w:ascii="Times New Roman" w:hAnsi="Times New Roman" w:eastAsia="宋体" w:cs="Times New Roman"/>
                <w:sz w:val="24"/>
                <w:highlight w:val="none"/>
              </w:rPr>
              <w:t>员工生活污水经化粪池处理后定期清掏，不外排。</w:t>
            </w:r>
          </w:p>
          <w:p w14:paraId="14C690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②破碎及调浆用水 </w:t>
            </w:r>
          </w:p>
          <w:p w14:paraId="73A56F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根据企业提供资料可知，本项目破碎及搅拌调浆过程均需添加水，项目破碎1t干纸需要0.5m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水，1t干纸破碎后得到1.5t碎纸，搅拌调浆1t打碎后的碎纸需3m³水，则项目破碎+搅拌1t干纸需要用水量约5m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。项目将调配好的浆料吸入成型模具挤压定型产生的废水约占用水量的35%，则项目1t干纸废水产生量约1.75m³，项目干纸（纸箱边角料）使用量约</w:t>
            </w:r>
            <w:r>
              <w:rPr>
                <w:rFonts w:hint="eastAsia" w:ascii="Times New Roman" w:hAnsi="Times New Roman" w:eastAsia="宋体" w:cs="Times New Roman"/>
                <w:sz w:val="24"/>
                <w:szCs w:val="24"/>
                <w:lang w:val="en-US" w:eastAsia="zh-CN"/>
              </w:rPr>
              <w:t>8000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/a，用水量约</w:t>
            </w:r>
            <w:r>
              <w:rPr>
                <w:rFonts w:hint="eastAsia" w:ascii="Times New Roman" w:hAnsi="Times New Roman" w:eastAsia="宋体" w:cs="Times New Roman"/>
                <w:sz w:val="24"/>
                <w:szCs w:val="24"/>
                <w:lang w:val="en-US" w:eastAsia="zh-CN"/>
              </w:rPr>
              <w:t>133.3</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z w:val="24"/>
                <w:szCs w:val="24"/>
                <w:lang w:val="en-US" w:eastAsia="zh-CN"/>
              </w:rPr>
              <w:t>40000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/a），压制成型废水产生量约</w:t>
            </w:r>
            <w:r>
              <w:rPr>
                <w:rFonts w:hint="eastAsia" w:ascii="Times New Roman" w:hAnsi="Times New Roman" w:eastAsia="宋体" w:cs="Times New Roman"/>
                <w:sz w:val="24"/>
                <w:szCs w:val="24"/>
                <w:lang w:val="en-US" w:eastAsia="zh-CN"/>
              </w:rPr>
              <w:t>46.7</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z w:val="24"/>
                <w:szCs w:val="24"/>
                <w:lang w:val="en-US" w:eastAsia="zh-CN"/>
              </w:rPr>
              <w:t>14000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 由于项目产品对水质要求不高，这部分水全部回用于破碎及搅拌调浆用水，则需补充新鲜水</w:t>
            </w:r>
            <w:r>
              <w:rPr>
                <w:rFonts w:hint="eastAsia" w:ascii="Times New Roman" w:hAnsi="Times New Roman" w:eastAsia="宋体" w:cs="Times New Roman"/>
                <w:sz w:val="24"/>
                <w:szCs w:val="24"/>
                <w:lang w:val="en-US" w:eastAsia="zh-CN"/>
              </w:rPr>
              <w:t>86.6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z w:val="24"/>
                <w:szCs w:val="24"/>
                <w:lang w:val="en-US" w:eastAsia="zh-CN"/>
              </w:rPr>
              <w:t>25980</w:t>
            </w:r>
            <w:r>
              <w:rPr>
                <w:rFonts w:hint="default" w:ascii="Times New Roman" w:hAnsi="Times New Roman" w:eastAsia="宋体" w:cs="Times New Roman"/>
                <w:sz w:val="24"/>
                <w:szCs w:val="24"/>
              </w:rPr>
              <w:t xml:space="preserve">m³/a）。 </w:t>
            </w:r>
          </w:p>
          <w:p w14:paraId="3A2C5CEF">
            <w:pPr>
              <w:spacing w:line="360" w:lineRule="auto"/>
              <w:jc w:val="center"/>
            </w:pPr>
            <w:r>
              <w:object>
                <v:shape id="_x0000_i1025" o:spt="75" type="#_x0000_t75" style="height:183.8pt;width:395.1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14:paraId="0AD5830C">
            <w:pPr>
              <w:spacing w:line="360" w:lineRule="auto"/>
              <w:jc w:val="center"/>
              <w:rPr>
                <w:color w:val="auto"/>
                <w:sz w:val="24"/>
              </w:rPr>
            </w:pPr>
            <w:r>
              <w:rPr>
                <w:rFonts w:hint="eastAsia"/>
                <w:b/>
                <w:bCs/>
                <w:color w:val="auto"/>
                <w:sz w:val="24"/>
              </w:rPr>
              <w:t>图2-1  本项目总水平衡图（</w:t>
            </w:r>
            <w:r>
              <w:rPr>
                <w:rFonts w:hint="eastAsia"/>
                <w:b/>
                <w:bCs/>
                <w:color w:val="auto"/>
                <w:sz w:val="24"/>
                <w:lang w:val="en-US" w:eastAsia="zh-CN"/>
              </w:rPr>
              <w:t>m</w:t>
            </w:r>
            <w:r>
              <w:rPr>
                <w:rFonts w:hint="eastAsia"/>
                <w:b/>
                <w:bCs/>
                <w:color w:val="auto"/>
                <w:sz w:val="24"/>
                <w:vertAlign w:val="superscript"/>
                <w:lang w:val="en-US" w:eastAsia="zh-CN"/>
              </w:rPr>
              <w:t>3</w:t>
            </w:r>
            <w:r>
              <w:rPr>
                <w:rFonts w:hint="eastAsia"/>
                <w:b/>
                <w:bCs/>
                <w:color w:val="auto"/>
                <w:sz w:val="24"/>
              </w:rPr>
              <w:t>/</w:t>
            </w:r>
            <w:r>
              <w:rPr>
                <w:rFonts w:hint="eastAsia"/>
                <w:b/>
                <w:bCs/>
                <w:color w:val="auto"/>
                <w:sz w:val="24"/>
                <w:lang w:val="en-US" w:eastAsia="zh-CN"/>
              </w:rPr>
              <w:t>d</w:t>
            </w:r>
            <w:r>
              <w:rPr>
                <w:rFonts w:hint="eastAsia"/>
                <w:b/>
                <w:bCs/>
                <w:color w:val="auto"/>
                <w:sz w:val="24"/>
              </w:rPr>
              <w:t>）</w:t>
            </w:r>
          </w:p>
          <w:p w14:paraId="1646A857">
            <w:pPr>
              <w:spacing w:line="360" w:lineRule="auto"/>
              <w:ind w:firstLine="482" w:firstLineChars="200"/>
              <w:rPr>
                <w:b/>
                <w:bCs/>
                <w:color w:val="auto"/>
                <w:sz w:val="24"/>
              </w:rPr>
            </w:pPr>
            <w:r>
              <w:rPr>
                <w:rFonts w:hint="eastAsia"/>
                <w:b/>
                <w:bCs/>
                <w:color w:val="auto"/>
                <w:sz w:val="24"/>
              </w:rPr>
              <w:t>8</w:t>
            </w:r>
            <w:r>
              <w:rPr>
                <w:b/>
                <w:bCs/>
                <w:color w:val="auto"/>
                <w:sz w:val="24"/>
              </w:rPr>
              <w:t>、公用工程</w:t>
            </w:r>
          </w:p>
          <w:p w14:paraId="62BE7A4B">
            <w:pPr>
              <w:spacing w:line="360" w:lineRule="auto"/>
              <w:ind w:firstLine="480" w:firstLineChars="200"/>
              <w:rPr>
                <w:sz w:val="24"/>
                <w:highlight w:val="yellow"/>
              </w:rPr>
            </w:pPr>
            <w:r>
              <w:rPr>
                <w:sz w:val="24"/>
              </w:rPr>
              <w:t>给水：本项目供水由</w:t>
            </w:r>
            <w:r>
              <w:rPr>
                <w:rFonts w:hint="eastAsia"/>
                <w:sz w:val="24"/>
              </w:rPr>
              <w:t>区域自来水管网</w:t>
            </w:r>
            <w:r>
              <w:rPr>
                <w:rFonts w:hint="eastAsia"/>
                <w:sz w:val="24"/>
                <w:highlight w:val="none"/>
              </w:rPr>
              <w:t>提供</w:t>
            </w:r>
            <w:r>
              <w:rPr>
                <w:sz w:val="24"/>
                <w:highlight w:val="none"/>
              </w:rPr>
              <w:t>，年用水量为</w:t>
            </w:r>
            <w:r>
              <w:rPr>
                <w:rFonts w:hint="eastAsia"/>
                <w:sz w:val="24"/>
                <w:highlight w:val="none"/>
                <w:lang w:val="en-US" w:eastAsia="zh-CN"/>
              </w:rPr>
              <w:t>26730</w:t>
            </w:r>
            <w:r>
              <w:rPr>
                <w:rFonts w:hint="eastAsia"/>
                <w:sz w:val="24"/>
                <w:highlight w:val="none"/>
              </w:rPr>
              <w:t>t/a</w:t>
            </w:r>
            <w:r>
              <w:rPr>
                <w:sz w:val="24"/>
                <w:highlight w:val="none"/>
              </w:rPr>
              <w:t>。</w:t>
            </w:r>
          </w:p>
          <w:p w14:paraId="46A6E64F">
            <w:pPr>
              <w:spacing w:line="360" w:lineRule="auto"/>
              <w:ind w:firstLine="480" w:firstLineChars="200"/>
              <w:rPr>
                <w:rFonts w:ascii="宋体" w:hAnsi="宋体" w:cs="宋体"/>
                <w:sz w:val="24"/>
                <w:highlight w:val="none"/>
              </w:rPr>
            </w:pPr>
            <w:r>
              <w:rPr>
                <w:sz w:val="24"/>
                <w:highlight w:val="none"/>
              </w:rPr>
              <w:t>排水：</w:t>
            </w:r>
            <w:r>
              <w:rPr>
                <w:rFonts w:ascii="宋体" w:hAnsi="宋体" w:cs="宋体"/>
                <w:sz w:val="24"/>
                <w:highlight w:val="none"/>
              </w:rPr>
              <w:t>雨污分流</w:t>
            </w:r>
            <w:r>
              <w:rPr>
                <w:rFonts w:hint="eastAsia" w:ascii="宋体" w:hAnsi="宋体" w:cs="宋体"/>
                <w:sz w:val="24"/>
                <w:highlight w:val="none"/>
              </w:rPr>
              <w:t>，雨水经厂区雨水管道收集后排入附近沟渠</w:t>
            </w:r>
            <w:r>
              <w:rPr>
                <w:rFonts w:ascii="宋体" w:hAnsi="宋体" w:cs="宋体"/>
                <w:sz w:val="24"/>
                <w:highlight w:val="none"/>
              </w:rPr>
              <w:t>；</w:t>
            </w:r>
            <w:r>
              <w:rPr>
                <w:rFonts w:hint="eastAsia" w:ascii="宋体" w:hAnsi="宋体" w:cs="宋体"/>
                <w:sz w:val="24"/>
                <w:highlight w:val="none"/>
              </w:rPr>
              <w:t>项目</w:t>
            </w:r>
            <w:r>
              <w:rPr>
                <w:rFonts w:hint="eastAsia" w:ascii="宋体" w:hAnsi="宋体" w:cs="宋体"/>
                <w:sz w:val="24"/>
                <w:highlight w:val="none"/>
                <w:lang w:val="en-US" w:eastAsia="zh-CN"/>
              </w:rPr>
              <w:t>生产用水循环使用不外排</w:t>
            </w:r>
            <w:r>
              <w:rPr>
                <w:rFonts w:hint="eastAsia" w:ascii="宋体" w:hAnsi="宋体" w:cs="宋体"/>
                <w:sz w:val="24"/>
                <w:highlight w:val="none"/>
              </w:rPr>
              <w:t>；</w:t>
            </w:r>
            <w:r>
              <w:rPr>
                <w:rFonts w:ascii="宋体" w:hAnsi="宋体" w:cs="宋体"/>
                <w:sz w:val="24"/>
                <w:highlight w:val="none"/>
              </w:rPr>
              <w:t>生活</w:t>
            </w:r>
            <w:r>
              <w:rPr>
                <w:rFonts w:hint="eastAsia" w:ascii="宋体" w:hAnsi="宋体" w:cs="宋体"/>
                <w:sz w:val="24"/>
                <w:highlight w:val="none"/>
              </w:rPr>
              <w:t>污</w:t>
            </w:r>
            <w:r>
              <w:rPr>
                <w:rFonts w:ascii="宋体" w:hAnsi="宋体" w:cs="宋体"/>
                <w:sz w:val="24"/>
                <w:highlight w:val="none"/>
              </w:rPr>
              <w:t>水</w:t>
            </w:r>
            <w:r>
              <w:rPr>
                <w:rFonts w:hint="eastAsia" w:ascii="宋体" w:hAnsi="宋体" w:cs="宋体"/>
                <w:sz w:val="24"/>
                <w:highlight w:val="none"/>
              </w:rPr>
              <w:t>进入</w:t>
            </w:r>
            <w:r>
              <w:rPr>
                <w:rFonts w:ascii="宋体" w:hAnsi="宋体" w:cs="宋体"/>
                <w:sz w:val="24"/>
                <w:highlight w:val="none"/>
              </w:rPr>
              <w:t>化粪池处理后</w:t>
            </w:r>
            <w:r>
              <w:rPr>
                <w:rFonts w:hint="eastAsia" w:ascii="宋体" w:hAnsi="宋体" w:cs="宋体"/>
                <w:sz w:val="24"/>
                <w:highlight w:val="none"/>
              </w:rPr>
              <w:t>，</w:t>
            </w:r>
            <w:r>
              <w:rPr>
                <w:rFonts w:ascii="宋体" w:hAnsi="宋体" w:cs="宋体"/>
                <w:sz w:val="24"/>
                <w:highlight w:val="none"/>
              </w:rPr>
              <w:t>定期清掏</w:t>
            </w:r>
            <w:r>
              <w:rPr>
                <w:rFonts w:hint="eastAsia" w:ascii="宋体" w:hAnsi="宋体" w:cs="宋体"/>
                <w:sz w:val="24"/>
                <w:highlight w:val="none"/>
              </w:rPr>
              <w:t>，不外排。</w:t>
            </w:r>
          </w:p>
          <w:p w14:paraId="382BD155">
            <w:pPr>
              <w:spacing w:line="360" w:lineRule="auto"/>
              <w:ind w:firstLine="480" w:firstLineChars="200"/>
              <w:rPr>
                <w:sz w:val="24"/>
              </w:rPr>
            </w:pPr>
            <w:r>
              <w:rPr>
                <w:sz w:val="24"/>
              </w:rPr>
              <w:t>供电：项目用电由区域</w:t>
            </w:r>
            <w:r>
              <w:rPr>
                <w:rFonts w:hint="eastAsia"/>
                <w:sz w:val="24"/>
              </w:rPr>
              <w:t>供电系统提供</w:t>
            </w:r>
            <w:r>
              <w:rPr>
                <w:sz w:val="24"/>
              </w:rPr>
              <w:t>。</w:t>
            </w:r>
          </w:p>
          <w:p w14:paraId="015650A9">
            <w:pPr>
              <w:spacing w:line="360" w:lineRule="auto"/>
              <w:ind w:firstLine="480" w:firstLineChars="200"/>
              <w:rPr>
                <w:sz w:val="24"/>
              </w:rPr>
            </w:pPr>
            <w:r>
              <w:rPr>
                <w:sz w:val="24"/>
              </w:rPr>
              <w:t>消防：项目消防按《建筑设计防火规范》（GB50016-2014）有关规定实施。</w:t>
            </w:r>
            <w:r>
              <w:rPr>
                <w:rFonts w:hint="eastAsia"/>
                <w:sz w:val="24"/>
              </w:rPr>
              <w:t>室内配置干粉式灭火器，室外设置消火栓、消防水泵接合器，火灾时市政消防车从室外消火栓取水灭火。</w:t>
            </w:r>
          </w:p>
          <w:p w14:paraId="0529DDDC">
            <w:pPr>
              <w:spacing w:line="360" w:lineRule="auto"/>
              <w:ind w:firstLine="480" w:firstLineChars="200"/>
              <w:rPr>
                <w:sz w:val="24"/>
              </w:rPr>
            </w:pPr>
            <w:r>
              <w:rPr>
                <w:sz w:val="24"/>
              </w:rPr>
              <w:t>厂内运输：厂内运输主要为原料及成品从生产场所到堆存场所之间的运输，项目原料和产品主要采用</w:t>
            </w:r>
            <w:r>
              <w:rPr>
                <w:rFonts w:hint="eastAsia"/>
                <w:sz w:val="24"/>
              </w:rPr>
              <w:t>人力、叉车</w:t>
            </w:r>
            <w:r>
              <w:rPr>
                <w:sz w:val="24"/>
              </w:rPr>
              <w:t>进行运输。</w:t>
            </w:r>
          </w:p>
          <w:p w14:paraId="1E3C854E">
            <w:pPr>
              <w:spacing w:line="360" w:lineRule="auto"/>
              <w:ind w:firstLine="480" w:firstLineChars="200"/>
              <w:rPr>
                <w:sz w:val="24"/>
              </w:rPr>
            </w:pPr>
            <w:r>
              <w:rPr>
                <w:sz w:val="24"/>
              </w:rPr>
              <w:t>厂外运输</w:t>
            </w:r>
            <w:r>
              <w:rPr>
                <w:rFonts w:hint="eastAsia"/>
                <w:sz w:val="24"/>
              </w:rPr>
              <w:t>：</w:t>
            </w:r>
            <w:r>
              <w:rPr>
                <w:sz w:val="24"/>
              </w:rPr>
              <w:t>主要为原材料及成品的进出厂运输。生产中主要原辅料由供货单位送货上门，通过公路运输的方法解决。成品运出主要依托社会运输力量承担。</w:t>
            </w:r>
          </w:p>
          <w:p w14:paraId="4F1AD39D">
            <w:pPr>
              <w:spacing w:line="360" w:lineRule="auto"/>
              <w:ind w:firstLine="482" w:firstLineChars="200"/>
              <w:rPr>
                <w:rFonts w:ascii="宋体" w:hAnsi="宋体" w:cs="宋体"/>
                <w:color w:val="auto"/>
                <w:sz w:val="24"/>
              </w:rPr>
            </w:pPr>
            <w:r>
              <w:rPr>
                <w:rFonts w:hint="eastAsia"/>
                <w:b/>
                <w:bCs/>
                <w:color w:val="auto"/>
                <w:sz w:val="24"/>
              </w:rPr>
              <w:t>9、厂区平面布置</w:t>
            </w:r>
          </w:p>
          <w:p w14:paraId="10F968C2">
            <w:pPr>
              <w:spacing w:line="360" w:lineRule="auto"/>
              <w:ind w:firstLine="480" w:firstLineChars="200"/>
            </w:pPr>
            <w:r>
              <w:rPr>
                <w:rFonts w:hint="default" w:ascii="Times New Roman" w:hAnsi="Times New Roman" w:eastAsia="宋体" w:cs="Times New Roman"/>
                <w:color w:val="auto"/>
                <w:sz w:val="24"/>
                <w:highlight w:val="none"/>
              </w:rPr>
              <w:t>项目选址位于</w:t>
            </w:r>
            <w:r>
              <w:rPr>
                <w:rFonts w:hint="default" w:ascii="Times New Roman" w:hAnsi="Times New Roman" w:eastAsia="宋体" w:cs="Times New Roman"/>
                <w:color w:val="auto"/>
                <w:sz w:val="24"/>
                <w:highlight w:val="none"/>
                <w:lang w:eastAsia="zh-CN"/>
              </w:rPr>
              <w:t>安徽省宿州市埇桥区朱仙庄镇三塔路与幸福路向南20米</w:t>
            </w:r>
            <w:r>
              <w:rPr>
                <w:rFonts w:hint="default" w:ascii="Times New Roman" w:hAnsi="Times New Roman" w:eastAsia="宋体" w:cs="Times New Roman"/>
                <w:color w:val="auto"/>
                <w:sz w:val="24"/>
                <w:highlight w:val="none"/>
              </w:rPr>
              <w:t>，租用</w:t>
            </w:r>
            <w:r>
              <w:rPr>
                <w:rFonts w:hint="eastAsia"/>
                <w:sz w:val="24"/>
                <w:highlight w:val="none"/>
              </w:rPr>
              <w:t>租赁宿州市埇桥区工业发展投资有限公司</w:t>
            </w:r>
            <w:r>
              <w:rPr>
                <w:rFonts w:hint="eastAsia"/>
                <w:sz w:val="24"/>
                <w:highlight w:val="none"/>
                <w:lang w:val="en-US" w:eastAsia="zh-CN"/>
              </w:rPr>
              <w:t>11000m</w:t>
            </w:r>
            <w:r>
              <w:rPr>
                <w:rFonts w:hint="eastAsia"/>
                <w:sz w:val="24"/>
                <w:highlight w:val="none"/>
                <w:vertAlign w:val="superscript"/>
                <w:lang w:val="en-US" w:eastAsia="zh-CN"/>
              </w:rPr>
              <w:t>2</w:t>
            </w:r>
            <w:r>
              <w:rPr>
                <w:rFonts w:hint="eastAsia"/>
                <w:sz w:val="24"/>
                <w:highlight w:val="none"/>
                <w:lang w:val="en-US" w:eastAsia="zh-CN"/>
              </w:rPr>
              <w:t>厂房</w:t>
            </w:r>
            <w:r>
              <w:rPr>
                <w:rFonts w:hint="default" w:ascii="Times New Roman" w:hAnsi="Times New Roman" w:eastAsia="宋体" w:cs="Times New Roman"/>
                <w:color w:val="auto"/>
                <w:sz w:val="24"/>
                <w:highlight w:val="none"/>
              </w:rPr>
              <w:t>。本项目租赁厂房所在厂区主入口位于</w:t>
            </w:r>
            <w:r>
              <w:rPr>
                <w:rFonts w:hint="eastAsia" w:cs="Times New Roman"/>
                <w:color w:val="auto"/>
                <w:sz w:val="24"/>
                <w:highlight w:val="none"/>
                <w:lang w:val="en-US" w:eastAsia="zh-CN"/>
              </w:rPr>
              <w:t>南</w:t>
            </w:r>
            <w:r>
              <w:rPr>
                <w:rFonts w:hint="default" w:ascii="Times New Roman" w:hAnsi="Times New Roman" w:eastAsia="宋体" w:cs="Times New Roman"/>
                <w:color w:val="auto"/>
                <w:sz w:val="24"/>
                <w:highlight w:val="none"/>
              </w:rPr>
              <w:t>侧，厂区内共</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幢厂房、1幢综合楼，</w:t>
            </w:r>
            <w:r>
              <w:rPr>
                <w:rFonts w:hint="eastAsia" w:ascii="宋体" w:hAnsi="宋体" w:cs="宋体"/>
                <w:color w:val="auto"/>
                <w:sz w:val="24"/>
                <w:highlight w:val="none"/>
              </w:rPr>
              <w:t>本项目在</w:t>
            </w:r>
            <w:r>
              <w:rPr>
                <w:color w:val="auto"/>
                <w:sz w:val="24"/>
              </w:rPr>
              <w:t>1#</w:t>
            </w:r>
            <w:r>
              <w:rPr>
                <w:rFonts w:hint="eastAsia"/>
                <w:color w:val="auto"/>
                <w:sz w:val="24"/>
              </w:rPr>
              <w:t>厂房</w:t>
            </w:r>
            <w:r>
              <w:rPr>
                <w:rFonts w:hint="eastAsia"/>
                <w:color w:val="auto"/>
                <w:sz w:val="24"/>
                <w:lang w:val="en-US" w:eastAsia="zh-CN"/>
              </w:rPr>
              <w:t>1F东侧布设办公室，西侧放置整型、修边机。2-4F作为纸托产品仓库</w:t>
            </w:r>
            <w:r>
              <w:rPr>
                <w:rFonts w:hint="eastAsia"/>
                <w:color w:val="auto"/>
                <w:sz w:val="24"/>
              </w:rPr>
              <w:t>；</w:t>
            </w:r>
            <w:r>
              <w:rPr>
                <w:color w:val="auto"/>
                <w:sz w:val="24"/>
              </w:rPr>
              <w:t>1#</w:t>
            </w:r>
            <w:r>
              <w:rPr>
                <w:rFonts w:hint="eastAsia"/>
                <w:color w:val="auto"/>
                <w:sz w:val="24"/>
              </w:rPr>
              <w:t>厂房</w:t>
            </w:r>
            <w:r>
              <w:rPr>
                <w:rFonts w:hint="eastAsia"/>
                <w:color w:val="auto"/>
                <w:sz w:val="24"/>
                <w:highlight w:val="none"/>
              </w:rPr>
              <w:t>二层~四层作为备用；2</w:t>
            </w:r>
            <w:r>
              <w:rPr>
                <w:color w:val="auto"/>
                <w:sz w:val="24"/>
                <w:highlight w:val="none"/>
              </w:rPr>
              <w:t>#</w:t>
            </w:r>
            <w:r>
              <w:rPr>
                <w:rFonts w:hint="eastAsia"/>
                <w:color w:val="auto"/>
                <w:sz w:val="24"/>
                <w:highlight w:val="none"/>
              </w:rPr>
              <w:t>厂房</w:t>
            </w:r>
            <w:r>
              <w:rPr>
                <w:rFonts w:hint="eastAsia"/>
                <w:color w:val="auto"/>
                <w:sz w:val="24"/>
                <w:highlight w:val="none"/>
                <w:lang w:val="en-US" w:eastAsia="zh-CN"/>
              </w:rPr>
              <w:t>内布设成型机、湿法破碎机、真空泵、气泵等，紧挨2#厂房东南角布设废边角料、不合格品暂存场所</w:t>
            </w:r>
            <w:r>
              <w:rPr>
                <w:rFonts w:hint="default" w:ascii="Times New Roman" w:hAnsi="Times New Roman" w:eastAsia="宋体" w:cs="Times New Roman"/>
                <w:color w:val="auto"/>
                <w:sz w:val="24"/>
                <w:highlight w:val="none"/>
              </w:rPr>
              <w:t>。本项目总平面布置图详见附图</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w:t>
            </w:r>
          </w:p>
        </w:tc>
      </w:tr>
      <w:tr w14:paraId="44449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14:paraId="46B96AB5">
            <w:pPr>
              <w:pStyle w:val="20"/>
              <w:adjustRightInd w:val="0"/>
              <w:snapToGrid w:val="0"/>
              <w:spacing w:before="0" w:beforeAutospacing="0" w:after="0" w:afterAutospacing="0"/>
              <w:jc w:val="center"/>
              <w:rPr>
                <w:rFonts w:cs="宋体"/>
                <w:sz w:val="21"/>
                <w:szCs w:val="21"/>
              </w:rPr>
            </w:pPr>
            <w:r>
              <w:rPr>
                <w:rFonts w:hint="eastAsia" w:ascii="宋体" w:hAnsi="宋体" w:eastAsia="宋体" w:cs="宋体"/>
                <w:sz w:val="24"/>
                <w:szCs w:val="24"/>
              </w:rPr>
              <w:t>工艺流程和产排污环节</w:t>
            </w:r>
          </w:p>
        </w:tc>
        <w:tc>
          <w:tcPr>
            <w:tcW w:w="8161" w:type="dxa"/>
          </w:tcPr>
          <w:p w14:paraId="277A2DE7">
            <w:pPr>
              <w:adjustRightInd w:val="0"/>
              <w:snapToGrid w:val="0"/>
              <w:spacing w:line="360" w:lineRule="auto"/>
              <w:ind w:firstLine="480" w:firstLineChars="200"/>
              <w:rPr>
                <w:color w:val="auto"/>
                <w:sz w:val="24"/>
              </w:rPr>
            </w:pPr>
            <w:r>
              <w:rPr>
                <w:rFonts w:hint="eastAsia"/>
                <w:color w:val="auto"/>
                <w:sz w:val="24"/>
              </w:rPr>
              <w:t>本项目工艺流程及产污环节见下图所示。</w:t>
            </w:r>
          </w:p>
          <w:p w14:paraId="78C28A67">
            <w:pPr>
              <w:pStyle w:val="30"/>
              <w:jc w:val="center"/>
              <w:rPr>
                <w:color w:val="auto"/>
              </w:rPr>
            </w:pPr>
            <w:r>
              <w:object>
                <v:shape id="_x0000_i1026" o:spt="75" type="#_x0000_t75" style="height:449.35pt;width:258.7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14:paraId="547D8123">
            <w:pPr>
              <w:adjustRightInd w:val="0"/>
              <w:snapToGrid w:val="0"/>
              <w:spacing w:line="360" w:lineRule="auto"/>
              <w:jc w:val="center"/>
              <w:rPr>
                <w:color w:val="auto"/>
                <w:sz w:val="24"/>
              </w:rPr>
            </w:pPr>
            <w:r>
              <w:rPr>
                <w:rFonts w:hint="eastAsia"/>
                <w:b/>
                <w:bCs/>
                <w:color w:val="auto"/>
                <w:sz w:val="24"/>
              </w:rPr>
              <w:t>图2-</w:t>
            </w:r>
            <w:r>
              <w:rPr>
                <w:rFonts w:hint="eastAsia"/>
                <w:b/>
                <w:bCs/>
                <w:color w:val="auto"/>
                <w:sz w:val="24"/>
                <w:lang w:val="en-US" w:eastAsia="zh-CN"/>
              </w:rPr>
              <w:t>2</w:t>
            </w:r>
            <w:r>
              <w:rPr>
                <w:rFonts w:hint="eastAsia"/>
                <w:b/>
                <w:bCs/>
                <w:color w:val="auto"/>
                <w:sz w:val="24"/>
              </w:rPr>
              <w:t xml:space="preserve">  </w:t>
            </w:r>
            <w:r>
              <w:rPr>
                <w:rFonts w:hint="eastAsia"/>
                <w:b/>
                <w:bCs/>
                <w:color w:val="auto"/>
                <w:sz w:val="24"/>
                <w:lang w:val="en-US" w:eastAsia="zh-CN"/>
              </w:rPr>
              <w:t>生产</w:t>
            </w:r>
            <w:r>
              <w:rPr>
                <w:rFonts w:hint="eastAsia"/>
                <w:b/>
                <w:bCs/>
                <w:color w:val="auto"/>
                <w:sz w:val="24"/>
              </w:rPr>
              <w:t>工艺流程及产污环节简图</w:t>
            </w:r>
          </w:p>
          <w:p w14:paraId="481C0F88">
            <w:pPr>
              <w:pStyle w:val="3"/>
              <w:spacing w:before="0" w:after="0" w:line="360" w:lineRule="auto"/>
              <w:ind w:firstLine="482" w:firstLineChars="200"/>
              <w:rPr>
                <w:color w:val="auto"/>
                <w:sz w:val="24"/>
                <w:szCs w:val="24"/>
              </w:rPr>
            </w:pPr>
            <w:bookmarkStart w:id="1" w:name="OLE_LINK5"/>
            <w:r>
              <w:rPr>
                <w:rFonts w:hint="eastAsia"/>
                <w:color w:val="auto"/>
                <w:sz w:val="24"/>
                <w:szCs w:val="24"/>
                <w:lang w:val="en-US" w:eastAsia="zh-CN"/>
              </w:rPr>
              <w:t>纸托生产</w:t>
            </w:r>
            <w:r>
              <w:rPr>
                <w:rFonts w:hint="eastAsia"/>
                <w:color w:val="auto"/>
                <w:sz w:val="24"/>
                <w:szCs w:val="24"/>
              </w:rPr>
              <w:t>工艺流程及产污情况分析</w:t>
            </w:r>
            <w:r>
              <w:rPr>
                <w:color w:val="auto"/>
                <w:sz w:val="24"/>
                <w:szCs w:val="24"/>
              </w:rPr>
              <w:t>：</w:t>
            </w:r>
          </w:p>
          <w:bookmarkEnd w:id="1"/>
          <w:p w14:paraId="33E17F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破碎、搅拌：将废瓦楞纸</w:t>
            </w:r>
            <w:r>
              <w:rPr>
                <w:rFonts w:hint="eastAsia" w:ascii="Times New Roman" w:hAnsi="Times New Roman" w:eastAsia="宋体" w:cs="Times New Roman"/>
                <w:sz w:val="24"/>
                <w:szCs w:val="24"/>
                <w:lang w:eastAsia="zh-CN"/>
              </w:rPr>
              <w:t>、</w:t>
            </w:r>
            <w:r>
              <w:rPr>
                <w:rFonts w:hint="eastAsia" w:cs="Times New Roman"/>
                <w:sz w:val="24"/>
                <w:szCs w:val="24"/>
                <w:lang w:val="en-US" w:eastAsia="zh-CN"/>
              </w:rPr>
              <w:t>秸秆浆、水性胶</w:t>
            </w:r>
            <w:r>
              <w:rPr>
                <w:rFonts w:hint="default" w:ascii="Times New Roman" w:hAnsi="Times New Roman" w:eastAsia="宋体" w:cs="Times New Roman"/>
                <w:sz w:val="24"/>
                <w:szCs w:val="24"/>
              </w:rPr>
              <w:t>和水按照一定比例投入碎料机内，废瓦楞纸在水流的剪切力和摩擦力作用下被分解成湿纸料，湿纸料通过管道输送至浓料桶，然后和水按照一定比例通过管道输送至调料桶内进行调料，调料完成后再通过管道输送至供料桶待用。</w:t>
            </w:r>
            <w:r>
              <w:rPr>
                <w:rFonts w:hint="eastAsia" w:cs="Times New Roman"/>
                <w:sz w:val="24"/>
                <w:szCs w:val="24"/>
                <w:lang w:val="en-US" w:eastAsia="zh-CN"/>
              </w:rPr>
              <w:t>此工序产生少量臭气浓度G1。</w:t>
            </w:r>
          </w:p>
          <w:p w14:paraId="38DECA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水模成型：湿料在供料桶内通过管道输送至成型设备内，利用真空系统通过模具进行脱水成型为半成品，在压力作用下湿料中部分水被压滤后通过密闭管道输送回到回用水桶内，用于下批次原料碎料和调料，不外排。</w:t>
            </w:r>
            <w:r>
              <w:rPr>
                <w:rFonts w:hint="eastAsia" w:cs="Times New Roman"/>
                <w:sz w:val="24"/>
                <w:szCs w:val="24"/>
                <w:lang w:val="en-US" w:eastAsia="zh-CN"/>
              </w:rPr>
              <w:t>此工序产生少量臭气浓度G2。</w:t>
            </w:r>
            <w:r>
              <w:rPr>
                <w:rFonts w:hint="default" w:ascii="Times New Roman" w:hAnsi="Times New Roman" w:eastAsia="宋体" w:cs="Times New Roman"/>
                <w:sz w:val="24"/>
                <w:szCs w:val="24"/>
                <w:lang w:eastAsia="zh-CN"/>
              </w:rPr>
              <w:t xml:space="preserve"> </w:t>
            </w:r>
          </w:p>
          <w:p w14:paraId="1B2DE6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晾干：本项目正常情况下对水模成型后的半成品</w:t>
            </w:r>
            <w:r>
              <w:rPr>
                <w:rFonts w:hint="eastAsia" w:cs="Times New Roman"/>
                <w:sz w:val="24"/>
                <w:szCs w:val="24"/>
                <w:lang w:val="en-US" w:eastAsia="zh-CN"/>
              </w:rPr>
              <w:t>运至晾晒棚</w:t>
            </w:r>
            <w:r>
              <w:rPr>
                <w:rFonts w:hint="default" w:ascii="Times New Roman" w:hAnsi="Times New Roman" w:eastAsia="宋体" w:cs="Times New Roman"/>
                <w:sz w:val="24"/>
                <w:szCs w:val="24"/>
                <w:lang w:eastAsia="zh-CN"/>
              </w:rPr>
              <w:t>晾干定型。</w:t>
            </w:r>
            <w:r>
              <w:rPr>
                <w:rFonts w:hint="eastAsia" w:cs="Times New Roman"/>
                <w:sz w:val="24"/>
                <w:szCs w:val="24"/>
                <w:lang w:val="en-US" w:eastAsia="zh-CN"/>
              </w:rPr>
              <w:t>此工序产生少量臭气浓度G3。</w:t>
            </w:r>
          </w:p>
          <w:p w14:paraId="4492AC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 xml:space="preserve">热压：将干燥后的半成品通过模具再次进行热压成形状规则的产品，加热温度约200℃，采用电加热方式。 </w:t>
            </w:r>
          </w:p>
          <w:p w14:paraId="6ACCC5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 xml:space="preserve">检验：热压后的产品人工检验，不合格产品可作为原料直接回用于破碎、搅拌工序。 </w:t>
            </w:r>
          </w:p>
          <w:p w14:paraId="6188AD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6）</w:t>
            </w:r>
            <w:r>
              <w:rPr>
                <w:rFonts w:hint="eastAsia" w:cs="Times New Roman"/>
                <w:sz w:val="24"/>
                <w:szCs w:val="24"/>
                <w:lang w:val="en-US" w:eastAsia="zh-CN"/>
              </w:rPr>
              <w:t>喷码</w:t>
            </w:r>
            <w:r>
              <w:rPr>
                <w:rFonts w:hint="default" w:ascii="Times New Roman" w:hAnsi="Times New Roman" w:eastAsia="宋体" w:cs="Times New Roman"/>
                <w:sz w:val="24"/>
                <w:szCs w:val="24"/>
                <w:lang w:eastAsia="zh-CN"/>
              </w:rPr>
              <w:t>：</w:t>
            </w:r>
            <w:r>
              <w:rPr>
                <w:rFonts w:hint="eastAsia" w:cs="Times New Roman"/>
                <w:sz w:val="24"/>
                <w:szCs w:val="24"/>
                <w:lang w:val="en-US" w:eastAsia="zh-CN"/>
              </w:rPr>
              <w:t>对外购的包装箱采用水性油墨进行喷码</w:t>
            </w:r>
            <w:r>
              <w:rPr>
                <w:rFonts w:hint="default" w:ascii="Times New Roman" w:hAnsi="Times New Roman" w:eastAsia="宋体" w:cs="Times New Roman"/>
                <w:sz w:val="24"/>
                <w:szCs w:val="24"/>
                <w:lang w:eastAsia="zh-CN"/>
              </w:rPr>
              <w:t>。该</w:t>
            </w:r>
            <w:r>
              <w:rPr>
                <w:rFonts w:hint="eastAsia" w:cs="Times New Roman"/>
                <w:sz w:val="24"/>
                <w:szCs w:val="24"/>
                <w:lang w:val="en-US" w:eastAsia="zh-CN"/>
              </w:rPr>
              <w:t>工序会产生有机废气G4</w:t>
            </w:r>
            <w:r>
              <w:rPr>
                <w:rFonts w:hint="default" w:ascii="Times New Roman" w:hAnsi="Times New Roman" w:eastAsia="宋体" w:cs="Times New Roman"/>
                <w:sz w:val="24"/>
                <w:szCs w:val="24"/>
                <w:lang w:eastAsia="zh-CN"/>
              </w:rPr>
              <w:t xml:space="preserve">。 </w:t>
            </w:r>
          </w:p>
          <w:p w14:paraId="3D3275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eastAsia" w:cs="Times New Roman"/>
                <w:sz w:val="24"/>
                <w:szCs w:val="24"/>
                <w:lang w:val="en-US" w:eastAsia="zh-CN"/>
              </w:rPr>
              <w:t>7</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包装：检验合格的产品人工包装入库待售。</w:t>
            </w:r>
          </w:p>
          <w:p w14:paraId="2DE3A285">
            <w:pPr>
              <w:pStyle w:val="3"/>
              <w:spacing w:before="0" w:after="0" w:line="360" w:lineRule="auto"/>
              <w:ind w:firstLine="482" w:firstLineChars="200"/>
              <w:rPr>
                <w:kern w:val="0"/>
                <w:sz w:val="24"/>
                <w:szCs w:val="24"/>
              </w:rPr>
            </w:pPr>
            <w:r>
              <w:rPr>
                <w:kern w:val="0"/>
                <w:sz w:val="24"/>
                <w:szCs w:val="24"/>
              </w:rPr>
              <w:t>运期主要产污环节分析</w:t>
            </w:r>
          </w:p>
          <w:p w14:paraId="20F4487D">
            <w:pPr>
              <w:pStyle w:val="65"/>
              <w:spacing w:line="360" w:lineRule="auto"/>
              <w:rPr>
                <w:rFonts w:hint="eastAsia" w:eastAsia="宋体"/>
                <w:b/>
                <w:sz w:val="24"/>
                <w:lang w:eastAsia="zh-CN"/>
              </w:rPr>
            </w:pPr>
            <w:r>
              <w:rPr>
                <w:rFonts w:hint="eastAsia" w:ascii="宋体" w:hAnsi="宋体" w:eastAsia="宋体" w:cs="宋体"/>
              </w:rPr>
              <w:t>根据项目生产工艺流程，本项目的主要产污环节及污染物种类见下表</w:t>
            </w:r>
            <w:r>
              <w:rPr>
                <w:rFonts w:hint="eastAsia" w:ascii="宋体" w:hAnsi="宋体" w:eastAsia="宋体" w:cs="宋体"/>
                <w:lang w:eastAsia="zh-CN"/>
              </w:rPr>
              <w:t>。</w:t>
            </w:r>
          </w:p>
          <w:p w14:paraId="2B2412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val="en-US" w:eastAsia="zh-CN"/>
              </w:rPr>
              <w:t xml:space="preserve">表2.9  </w:t>
            </w:r>
            <w:r>
              <w:rPr>
                <w:rFonts w:hint="eastAsia" w:ascii="Times New Roman" w:hAnsi="Times New Roman" w:eastAsia="宋体" w:cs="Times New Roman"/>
                <w:b/>
                <w:bCs/>
                <w:sz w:val="24"/>
                <w:szCs w:val="24"/>
                <w:lang w:eastAsia="zh-CN"/>
              </w:rPr>
              <w:t>本项目</w:t>
            </w:r>
            <w:r>
              <w:rPr>
                <w:rFonts w:hint="default" w:ascii="Times New Roman" w:hAnsi="Times New Roman" w:eastAsia="宋体" w:cs="Times New Roman"/>
                <w:b/>
                <w:bCs/>
                <w:sz w:val="24"/>
                <w:szCs w:val="24"/>
                <w:lang w:eastAsia="zh-CN"/>
              </w:rPr>
              <w:t>营运期主要产污环节汇总表</w:t>
            </w:r>
          </w:p>
          <w:tbl>
            <w:tblPr>
              <w:tblStyle w:val="23"/>
              <w:tblW w:w="7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426"/>
              <w:gridCol w:w="426"/>
              <w:gridCol w:w="889"/>
              <w:gridCol w:w="1766"/>
              <w:gridCol w:w="1576"/>
              <w:gridCol w:w="2350"/>
            </w:tblGrid>
            <w:tr w14:paraId="62DC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61" w:type="dxa"/>
                  <w:vAlign w:val="center"/>
                </w:tcPr>
                <w:p w14:paraId="364880C0">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序号</w:t>
                  </w:r>
                </w:p>
              </w:tc>
              <w:tc>
                <w:tcPr>
                  <w:tcW w:w="852" w:type="dxa"/>
                  <w:gridSpan w:val="2"/>
                  <w:vAlign w:val="center"/>
                </w:tcPr>
                <w:p w14:paraId="3C3E9F6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889" w:type="dxa"/>
                  <w:vAlign w:val="center"/>
                </w:tcPr>
                <w:p w14:paraId="3338007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编号</w:t>
                  </w:r>
                </w:p>
              </w:tc>
              <w:tc>
                <w:tcPr>
                  <w:tcW w:w="1766" w:type="dxa"/>
                  <w:vAlign w:val="center"/>
                </w:tcPr>
                <w:p w14:paraId="71C4ADA6">
                  <w:pPr>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产污工序</w:t>
                  </w:r>
                </w:p>
              </w:tc>
              <w:tc>
                <w:tcPr>
                  <w:tcW w:w="1576" w:type="dxa"/>
                  <w:vAlign w:val="center"/>
                </w:tcPr>
                <w:p w14:paraId="3F00E94F">
                  <w:pPr>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lang w:val="en-US" w:eastAsia="zh-CN"/>
                    </w:rPr>
                    <w:t>主要</w:t>
                  </w:r>
                  <w:r>
                    <w:rPr>
                      <w:rFonts w:hint="default" w:ascii="Times New Roman" w:hAnsi="Times New Roman" w:eastAsia="宋体" w:cs="Times New Roman"/>
                      <w:sz w:val="21"/>
                      <w:szCs w:val="21"/>
                    </w:rPr>
                    <w:t>污染物</w:t>
                  </w:r>
                </w:p>
              </w:tc>
              <w:tc>
                <w:tcPr>
                  <w:tcW w:w="2350" w:type="dxa"/>
                  <w:vAlign w:val="center"/>
                </w:tcPr>
                <w:p w14:paraId="398BAD45">
                  <w:pPr>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sz w:val="21"/>
                      <w:szCs w:val="21"/>
                      <w:lang w:val="en-US" w:eastAsia="zh-CN"/>
                    </w:rPr>
                    <w:t>处理措施</w:t>
                  </w:r>
                </w:p>
              </w:tc>
            </w:tr>
            <w:tr w14:paraId="1799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restart"/>
                  <w:vAlign w:val="center"/>
                </w:tcPr>
                <w:p w14:paraId="4C8E7555">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w:t>
                  </w:r>
                </w:p>
              </w:tc>
              <w:tc>
                <w:tcPr>
                  <w:tcW w:w="852" w:type="dxa"/>
                  <w:gridSpan w:val="2"/>
                  <w:vMerge w:val="restart"/>
                  <w:vAlign w:val="center"/>
                </w:tcPr>
                <w:p w14:paraId="62E3DF9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889" w:type="dxa"/>
                  <w:vAlign w:val="center"/>
                </w:tcPr>
                <w:p w14:paraId="096D838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G1</w:t>
                  </w:r>
                </w:p>
              </w:tc>
              <w:tc>
                <w:tcPr>
                  <w:tcW w:w="1766" w:type="dxa"/>
                  <w:vAlign w:val="center"/>
                </w:tcPr>
                <w:p w14:paraId="21A06D5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破碎、搅拌</w:t>
                  </w:r>
                </w:p>
              </w:tc>
              <w:tc>
                <w:tcPr>
                  <w:tcW w:w="1576" w:type="dxa"/>
                  <w:vAlign w:val="center"/>
                </w:tcPr>
                <w:p w14:paraId="1A760882">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2350" w:type="dxa"/>
                  <w:vMerge w:val="restart"/>
                  <w:vAlign w:val="center"/>
                </w:tcPr>
                <w:p w14:paraId="22FCDD43">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在密闭场所生产，周边定期喷洒除臭剂，</w:t>
                  </w:r>
                  <w:r>
                    <w:rPr>
                      <w:rFonts w:hint="default" w:ascii="Times New Roman" w:hAnsi="Times New Roman" w:eastAsia="宋体" w:cs="Times New Roman"/>
                      <w:sz w:val="21"/>
                      <w:szCs w:val="21"/>
                      <w:lang w:val="en-US" w:eastAsia="zh-CN"/>
                    </w:rPr>
                    <w:t>无组织排放</w:t>
                  </w:r>
                </w:p>
              </w:tc>
            </w:tr>
            <w:tr w14:paraId="04D5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vAlign w:val="center"/>
                </w:tcPr>
                <w:p w14:paraId="706A5A8A">
                  <w:pPr>
                    <w:jc w:val="center"/>
                    <w:rPr>
                      <w:rFonts w:hint="default" w:ascii="Times New Roman" w:hAnsi="Times New Roman" w:eastAsia="宋体" w:cs="Times New Roman"/>
                      <w:bCs/>
                      <w:sz w:val="21"/>
                      <w:szCs w:val="21"/>
                    </w:rPr>
                  </w:pPr>
                </w:p>
              </w:tc>
              <w:tc>
                <w:tcPr>
                  <w:tcW w:w="852" w:type="dxa"/>
                  <w:gridSpan w:val="2"/>
                  <w:vMerge w:val="continue"/>
                  <w:vAlign w:val="center"/>
                </w:tcPr>
                <w:p w14:paraId="7A96FA3A">
                  <w:pPr>
                    <w:jc w:val="center"/>
                    <w:rPr>
                      <w:rFonts w:hint="default" w:ascii="Times New Roman" w:hAnsi="Times New Roman" w:eastAsia="宋体" w:cs="Times New Roman"/>
                      <w:sz w:val="21"/>
                      <w:szCs w:val="21"/>
                    </w:rPr>
                  </w:pPr>
                </w:p>
              </w:tc>
              <w:tc>
                <w:tcPr>
                  <w:tcW w:w="889" w:type="dxa"/>
                  <w:vAlign w:val="center"/>
                </w:tcPr>
                <w:p w14:paraId="3E4178B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w:t>
                  </w:r>
                  <w:r>
                    <w:rPr>
                      <w:rFonts w:hint="eastAsia" w:ascii="Times New Roman" w:hAnsi="Times New Roman" w:eastAsia="宋体" w:cs="Times New Roman"/>
                      <w:sz w:val="21"/>
                      <w:szCs w:val="21"/>
                      <w:lang w:val="en-US" w:eastAsia="zh-CN"/>
                    </w:rPr>
                    <w:t>2</w:t>
                  </w:r>
                </w:p>
              </w:tc>
              <w:tc>
                <w:tcPr>
                  <w:tcW w:w="1766" w:type="dxa"/>
                  <w:vAlign w:val="center"/>
                </w:tcPr>
                <w:p w14:paraId="5D219445">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水模成型</w:t>
                  </w:r>
                </w:p>
              </w:tc>
              <w:tc>
                <w:tcPr>
                  <w:tcW w:w="1576" w:type="dxa"/>
                  <w:vAlign w:val="center"/>
                </w:tcPr>
                <w:p w14:paraId="763A69D4">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2350" w:type="dxa"/>
                  <w:vMerge w:val="continue"/>
                  <w:vAlign w:val="center"/>
                </w:tcPr>
                <w:p w14:paraId="31BA0775">
                  <w:pPr>
                    <w:jc w:val="center"/>
                    <w:rPr>
                      <w:rFonts w:hint="eastAsia" w:ascii="Times New Roman" w:hAnsi="Times New Roman" w:eastAsia="宋体" w:cs="Times New Roman"/>
                      <w:sz w:val="21"/>
                      <w:szCs w:val="21"/>
                      <w:lang w:val="en-US" w:eastAsia="zh-CN"/>
                    </w:rPr>
                  </w:pPr>
                </w:p>
              </w:tc>
            </w:tr>
            <w:tr w14:paraId="2702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vAlign w:val="center"/>
                </w:tcPr>
                <w:p w14:paraId="5A2577D8">
                  <w:pPr>
                    <w:jc w:val="center"/>
                    <w:rPr>
                      <w:rFonts w:hint="default" w:ascii="Times New Roman" w:hAnsi="Times New Roman" w:eastAsia="宋体" w:cs="Times New Roman"/>
                      <w:bCs/>
                      <w:sz w:val="21"/>
                      <w:szCs w:val="21"/>
                    </w:rPr>
                  </w:pPr>
                </w:p>
              </w:tc>
              <w:tc>
                <w:tcPr>
                  <w:tcW w:w="852" w:type="dxa"/>
                  <w:gridSpan w:val="2"/>
                  <w:vMerge w:val="continue"/>
                  <w:vAlign w:val="center"/>
                </w:tcPr>
                <w:p w14:paraId="6094C62F">
                  <w:pPr>
                    <w:jc w:val="center"/>
                    <w:rPr>
                      <w:rFonts w:hint="default" w:ascii="Times New Roman" w:hAnsi="Times New Roman" w:eastAsia="宋体" w:cs="Times New Roman"/>
                      <w:sz w:val="21"/>
                      <w:szCs w:val="21"/>
                    </w:rPr>
                  </w:pPr>
                </w:p>
              </w:tc>
              <w:tc>
                <w:tcPr>
                  <w:tcW w:w="889" w:type="dxa"/>
                  <w:vAlign w:val="center"/>
                </w:tcPr>
                <w:p w14:paraId="4A11D41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w:t>
                  </w:r>
                  <w:r>
                    <w:rPr>
                      <w:rFonts w:hint="eastAsia" w:ascii="Times New Roman" w:hAnsi="Times New Roman" w:eastAsia="宋体" w:cs="Times New Roman"/>
                      <w:sz w:val="21"/>
                      <w:szCs w:val="21"/>
                      <w:lang w:val="en-US" w:eastAsia="zh-CN"/>
                    </w:rPr>
                    <w:t>3</w:t>
                  </w:r>
                </w:p>
              </w:tc>
              <w:tc>
                <w:tcPr>
                  <w:tcW w:w="1766" w:type="dxa"/>
                  <w:vAlign w:val="center"/>
                </w:tcPr>
                <w:p w14:paraId="2E790CB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晾干</w:t>
                  </w:r>
                </w:p>
              </w:tc>
              <w:tc>
                <w:tcPr>
                  <w:tcW w:w="1576" w:type="dxa"/>
                  <w:vAlign w:val="center"/>
                </w:tcPr>
                <w:p w14:paraId="00E322B7">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2350" w:type="dxa"/>
                  <w:vMerge w:val="continue"/>
                  <w:vAlign w:val="center"/>
                </w:tcPr>
                <w:p w14:paraId="0CDE0AB8">
                  <w:pPr>
                    <w:jc w:val="center"/>
                    <w:rPr>
                      <w:rFonts w:hint="eastAsia" w:ascii="Times New Roman" w:hAnsi="Times New Roman" w:eastAsia="宋体" w:cs="Times New Roman"/>
                      <w:sz w:val="21"/>
                      <w:szCs w:val="21"/>
                      <w:lang w:val="en-US" w:eastAsia="zh-CN"/>
                    </w:rPr>
                  </w:pPr>
                </w:p>
              </w:tc>
            </w:tr>
            <w:tr w14:paraId="7914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vAlign w:val="center"/>
                </w:tcPr>
                <w:p w14:paraId="6F954862">
                  <w:pPr>
                    <w:jc w:val="center"/>
                    <w:rPr>
                      <w:rFonts w:hint="default" w:ascii="Times New Roman" w:hAnsi="Times New Roman" w:eastAsia="宋体" w:cs="Times New Roman"/>
                      <w:bCs/>
                      <w:sz w:val="21"/>
                      <w:szCs w:val="21"/>
                    </w:rPr>
                  </w:pPr>
                </w:p>
              </w:tc>
              <w:tc>
                <w:tcPr>
                  <w:tcW w:w="852" w:type="dxa"/>
                  <w:gridSpan w:val="2"/>
                  <w:vMerge w:val="continue"/>
                  <w:vAlign w:val="center"/>
                </w:tcPr>
                <w:p w14:paraId="0982576D">
                  <w:pPr>
                    <w:jc w:val="center"/>
                    <w:rPr>
                      <w:rFonts w:hint="default" w:ascii="Times New Roman" w:hAnsi="Times New Roman" w:eastAsia="宋体" w:cs="Times New Roman"/>
                      <w:sz w:val="21"/>
                      <w:szCs w:val="21"/>
                    </w:rPr>
                  </w:pPr>
                </w:p>
              </w:tc>
              <w:tc>
                <w:tcPr>
                  <w:tcW w:w="889" w:type="dxa"/>
                  <w:vAlign w:val="center"/>
                </w:tcPr>
                <w:p w14:paraId="6FAA479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w:t>
                  </w:r>
                  <w:r>
                    <w:rPr>
                      <w:rFonts w:hint="eastAsia" w:ascii="Times New Roman" w:hAnsi="Times New Roman" w:eastAsia="宋体" w:cs="Times New Roman"/>
                      <w:sz w:val="21"/>
                      <w:szCs w:val="21"/>
                      <w:lang w:val="en-US" w:eastAsia="zh-CN"/>
                    </w:rPr>
                    <w:t>4</w:t>
                  </w:r>
                </w:p>
              </w:tc>
              <w:tc>
                <w:tcPr>
                  <w:tcW w:w="1766" w:type="dxa"/>
                  <w:vAlign w:val="center"/>
                </w:tcPr>
                <w:p w14:paraId="1BAC784F">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喷码</w:t>
                  </w:r>
                </w:p>
              </w:tc>
              <w:tc>
                <w:tcPr>
                  <w:tcW w:w="1576" w:type="dxa"/>
                  <w:vAlign w:val="center"/>
                </w:tcPr>
                <w:p w14:paraId="0B22912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2350" w:type="dxa"/>
                  <w:vAlign w:val="center"/>
                </w:tcPr>
                <w:p w14:paraId="57D2A6B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集气罩收集+二级活性炭吸附装置处理+15m高排气筒</w:t>
                  </w:r>
                  <w:r>
                    <w:rPr>
                      <w:rFonts w:hint="eastAsia" w:ascii="Times New Roman" w:hAnsi="Times New Roman" w:eastAsia="宋体" w:cs="Times New Roman"/>
                      <w:sz w:val="21"/>
                      <w:szCs w:val="21"/>
                      <w:lang w:val="en-US" w:eastAsia="zh-CN"/>
                    </w:rPr>
                    <w:t>（DA001）</w:t>
                  </w:r>
                </w:p>
              </w:tc>
            </w:tr>
            <w:tr w14:paraId="3C90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restart"/>
                  <w:vAlign w:val="center"/>
                </w:tcPr>
                <w:p w14:paraId="6455D2AD">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w:t>
                  </w:r>
                </w:p>
              </w:tc>
              <w:tc>
                <w:tcPr>
                  <w:tcW w:w="852" w:type="dxa"/>
                  <w:gridSpan w:val="2"/>
                  <w:vMerge w:val="restart"/>
                  <w:vAlign w:val="center"/>
                </w:tcPr>
                <w:p w14:paraId="45C4227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889" w:type="dxa"/>
                  <w:vAlign w:val="center"/>
                </w:tcPr>
                <w:p w14:paraId="0520C364">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W1</w:t>
                  </w:r>
                </w:p>
              </w:tc>
              <w:tc>
                <w:tcPr>
                  <w:tcW w:w="1766" w:type="dxa"/>
                  <w:vAlign w:val="center"/>
                </w:tcPr>
                <w:p w14:paraId="52C5C0A5">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员工生活</w:t>
                  </w:r>
                </w:p>
              </w:tc>
              <w:tc>
                <w:tcPr>
                  <w:tcW w:w="1576" w:type="dxa"/>
                  <w:vAlign w:val="center"/>
                </w:tcPr>
                <w:p w14:paraId="332FBAD0">
                  <w:pPr>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生活污水</w:t>
                  </w:r>
                </w:p>
              </w:tc>
              <w:tc>
                <w:tcPr>
                  <w:tcW w:w="2350" w:type="dxa"/>
                  <w:vAlign w:val="center"/>
                </w:tcPr>
                <w:p w14:paraId="3C7B3E0A">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化粪池处理，定期清掏不外排</w:t>
                  </w:r>
                </w:p>
              </w:tc>
            </w:tr>
            <w:tr w14:paraId="3687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vAlign w:val="center"/>
                </w:tcPr>
                <w:p w14:paraId="0A35C4AA">
                  <w:pPr>
                    <w:jc w:val="center"/>
                    <w:rPr>
                      <w:rFonts w:hint="default" w:ascii="Times New Roman" w:hAnsi="Times New Roman" w:eastAsia="宋体" w:cs="Times New Roman"/>
                      <w:bCs/>
                      <w:sz w:val="21"/>
                      <w:szCs w:val="21"/>
                    </w:rPr>
                  </w:pPr>
                </w:p>
              </w:tc>
              <w:tc>
                <w:tcPr>
                  <w:tcW w:w="852" w:type="dxa"/>
                  <w:gridSpan w:val="2"/>
                  <w:vMerge w:val="continue"/>
                  <w:vAlign w:val="center"/>
                </w:tcPr>
                <w:p w14:paraId="7E8CC4D1">
                  <w:pPr>
                    <w:jc w:val="center"/>
                    <w:rPr>
                      <w:rFonts w:hint="default" w:ascii="Times New Roman" w:hAnsi="Times New Roman" w:eastAsia="宋体" w:cs="Times New Roman"/>
                      <w:sz w:val="21"/>
                      <w:szCs w:val="21"/>
                      <w:highlight w:val="none"/>
                    </w:rPr>
                  </w:pPr>
                </w:p>
              </w:tc>
              <w:tc>
                <w:tcPr>
                  <w:tcW w:w="889" w:type="dxa"/>
                  <w:vAlign w:val="center"/>
                </w:tcPr>
                <w:p w14:paraId="5DF7F858">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W2</w:t>
                  </w:r>
                </w:p>
              </w:tc>
              <w:tc>
                <w:tcPr>
                  <w:tcW w:w="1766" w:type="dxa"/>
                  <w:vAlign w:val="center"/>
                </w:tcPr>
                <w:p w14:paraId="3EC57498">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成型机</w:t>
                  </w:r>
                </w:p>
              </w:tc>
              <w:tc>
                <w:tcPr>
                  <w:tcW w:w="1576" w:type="dxa"/>
                  <w:vAlign w:val="center"/>
                </w:tcPr>
                <w:p w14:paraId="79495786">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生产废水</w:t>
                  </w:r>
                </w:p>
              </w:tc>
              <w:tc>
                <w:tcPr>
                  <w:tcW w:w="2350" w:type="dxa"/>
                  <w:vAlign w:val="center"/>
                </w:tcPr>
                <w:p w14:paraId="028E5A3D">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循环使用，不外排</w:t>
                  </w:r>
                </w:p>
              </w:tc>
            </w:tr>
            <w:tr w14:paraId="3ADB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Align w:val="center"/>
                </w:tcPr>
                <w:p w14:paraId="464FF66E">
                  <w:pPr>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w:t>
                  </w:r>
                </w:p>
              </w:tc>
              <w:tc>
                <w:tcPr>
                  <w:tcW w:w="852" w:type="dxa"/>
                  <w:gridSpan w:val="2"/>
                  <w:vAlign w:val="center"/>
                </w:tcPr>
                <w:p w14:paraId="7883BBB1">
                  <w:pPr>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噪声</w:t>
                  </w:r>
                </w:p>
              </w:tc>
              <w:tc>
                <w:tcPr>
                  <w:tcW w:w="889" w:type="dxa"/>
                  <w:vAlign w:val="center"/>
                </w:tcPr>
                <w:p w14:paraId="4DC464E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p>
              </w:tc>
              <w:tc>
                <w:tcPr>
                  <w:tcW w:w="1766" w:type="dxa"/>
                  <w:vAlign w:val="center"/>
                </w:tcPr>
                <w:p w14:paraId="031207D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生产设备</w:t>
                  </w:r>
                </w:p>
              </w:tc>
              <w:tc>
                <w:tcPr>
                  <w:tcW w:w="1576" w:type="dxa"/>
                  <w:vAlign w:val="center"/>
                </w:tcPr>
                <w:p w14:paraId="5CE8AC1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运行噪声</w:t>
                  </w:r>
                </w:p>
              </w:tc>
              <w:tc>
                <w:tcPr>
                  <w:tcW w:w="2350" w:type="dxa"/>
                  <w:vAlign w:val="center"/>
                </w:tcPr>
                <w:p w14:paraId="7334C87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等效连续A声级Leq（A）</w:t>
                  </w:r>
                </w:p>
              </w:tc>
            </w:tr>
            <w:tr w14:paraId="7EB4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restart"/>
                  <w:vAlign w:val="center"/>
                </w:tcPr>
                <w:p w14:paraId="691AB72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426" w:type="dxa"/>
                  <w:vMerge w:val="restart"/>
                  <w:vAlign w:val="center"/>
                </w:tcPr>
                <w:p w14:paraId="24499C3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426" w:type="dxa"/>
                  <w:vMerge w:val="restart"/>
                  <w:vAlign w:val="center"/>
                </w:tcPr>
                <w:p w14:paraId="2998BEE1">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889" w:type="dxa"/>
                  <w:vAlign w:val="center"/>
                </w:tcPr>
                <w:p w14:paraId="4051BC1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w:t>
                  </w:r>
                  <w:r>
                    <w:rPr>
                      <w:rFonts w:hint="eastAsia" w:ascii="Times New Roman" w:hAnsi="Times New Roman" w:eastAsia="宋体" w:cs="Times New Roman"/>
                      <w:sz w:val="21"/>
                      <w:szCs w:val="21"/>
                      <w:lang w:val="en-US" w:eastAsia="zh-CN"/>
                    </w:rPr>
                    <w:t>7</w:t>
                  </w:r>
                </w:p>
              </w:tc>
              <w:tc>
                <w:tcPr>
                  <w:tcW w:w="1766" w:type="dxa"/>
                  <w:vAlign w:val="center"/>
                </w:tcPr>
                <w:p w14:paraId="623B4CA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员工生活</w:t>
                  </w:r>
                </w:p>
              </w:tc>
              <w:tc>
                <w:tcPr>
                  <w:tcW w:w="1576" w:type="dxa"/>
                  <w:vAlign w:val="center"/>
                </w:tcPr>
                <w:p w14:paraId="5B9A6D8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2350" w:type="dxa"/>
                  <w:vAlign w:val="center"/>
                </w:tcPr>
                <w:p w14:paraId="6724444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r>
            <w:tr w14:paraId="248F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vAlign w:val="center"/>
                </w:tcPr>
                <w:p w14:paraId="4EBED48B">
                  <w:pPr>
                    <w:jc w:val="center"/>
                    <w:rPr>
                      <w:rFonts w:hint="default" w:ascii="Times New Roman" w:hAnsi="Times New Roman" w:eastAsia="宋体" w:cs="Times New Roman"/>
                      <w:sz w:val="21"/>
                      <w:szCs w:val="21"/>
                    </w:rPr>
                  </w:pPr>
                </w:p>
              </w:tc>
              <w:tc>
                <w:tcPr>
                  <w:tcW w:w="426" w:type="dxa"/>
                  <w:vMerge w:val="continue"/>
                  <w:vAlign w:val="center"/>
                </w:tcPr>
                <w:p w14:paraId="1761ADFD">
                  <w:pPr>
                    <w:jc w:val="center"/>
                    <w:rPr>
                      <w:rFonts w:hint="default" w:ascii="Times New Roman" w:hAnsi="Times New Roman" w:eastAsia="宋体" w:cs="Times New Roman"/>
                      <w:sz w:val="21"/>
                      <w:szCs w:val="21"/>
                    </w:rPr>
                  </w:pPr>
                </w:p>
              </w:tc>
              <w:tc>
                <w:tcPr>
                  <w:tcW w:w="426" w:type="dxa"/>
                  <w:vMerge w:val="continue"/>
                  <w:vAlign w:val="center"/>
                </w:tcPr>
                <w:p w14:paraId="0F885536">
                  <w:pPr>
                    <w:jc w:val="center"/>
                    <w:rPr>
                      <w:rFonts w:hint="default" w:ascii="Times New Roman" w:hAnsi="Times New Roman" w:eastAsia="宋体" w:cs="Times New Roman"/>
                      <w:sz w:val="21"/>
                      <w:szCs w:val="21"/>
                    </w:rPr>
                  </w:pPr>
                </w:p>
              </w:tc>
              <w:tc>
                <w:tcPr>
                  <w:tcW w:w="889" w:type="dxa"/>
                  <w:vAlign w:val="center"/>
                </w:tcPr>
                <w:p w14:paraId="0ECBE0F1">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S2</w:t>
                  </w:r>
                </w:p>
              </w:tc>
              <w:tc>
                <w:tcPr>
                  <w:tcW w:w="1766" w:type="dxa"/>
                  <w:vAlign w:val="center"/>
                </w:tcPr>
                <w:p w14:paraId="1BEF968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生产过程</w:t>
                  </w:r>
                </w:p>
              </w:tc>
              <w:tc>
                <w:tcPr>
                  <w:tcW w:w="1576" w:type="dxa"/>
                  <w:vAlign w:val="center"/>
                </w:tcPr>
                <w:p w14:paraId="1050DCD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边角料、不合格产品</w:t>
                  </w:r>
                </w:p>
              </w:tc>
              <w:tc>
                <w:tcPr>
                  <w:tcW w:w="2350" w:type="dxa"/>
                  <w:vAlign w:val="center"/>
                </w:tcPr>
                <w:p w14:paraId="346021C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暂存</w:t>
                  </w:r>
                  <w:r>
                    <w:rPr>
                      <w:rFonts w:hint="eastAsia" w:ascii="Times New Roman" w:hAnsi="Times New Roman" w:eastAsia="宋体" w:cs="Times New Roman"/>
                      <w:sz w:val="21"/>
                      <w:szCs w:val="21"/>
                      <w:lang w:val="en-US" w:eastAsia="zh-CN"/>
                    </w:rPr>
                    <w:t>于</w:t>
                  </w:r>
                  <w:r>
                    <w:rPr>
                      <w:rFonts w:hint="default" w:ascii="Times New Roman" w:hAnsi="Times New Roman" w:eastAsia="宋体" w:cs="Times New Roman"/>
                      <w:sz w:val="21"/>
                      <w:szCs w:val="21"/>
                      <w:lang w:val="en-US" w:eastAsia="zh-CN"/>
                    </w:rPr>
                    <w:t>场所，回用于生产</w:t>
                  </w:r>
                </w:p>
              </w:tc>
            </w:tr>
            <w:tr w14:paraId="2C5E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vAlign w:val="center"/>
                </w:tcPr>
                <w:p w14:paraId="6C76BA79">
                  <w:pPr>
                    <w:jc w:val="center"/>
                    <w:rPr>
                      <w:rFonts w:hint="default" w:ascii="Times New Roman" w:hAnsi="Times New Roman" w:eastAsia="宋体" w:cs="Times New Roman"/>
                      <w:sz w:val="21"/>
                      <w:szCs w:val="21"/>
                    </w:rPr>
                  </w:pPr>
                </w:p>
              </w:tc>
              <w:tc>
                <w:tcPr>
                  <w:tcW w:w="426" w:type="dxa"/>
                  <w:vMerge w:val="continue"/>
                  <w:vAlign w:val="center"/>
                </w:tcPr>
                <w:p w14:paraId="40CBC50C">
                  <w:pPr>
                    <w:jc w:val="center"/>
                    <w:rPr>
                      <w:rFonts w:hint="default" w:ascii="Times New Roman" w:hAnsi="Times New Roman" w:eastAsia="宋体" w:cs="Times New Roman"/>
                      <w:sz w:val="21"/>
                      <w:szCs w:val="21"/>
                    </w:rPr>
                  </w:pPr>
                </w:p>
              </w:tc>
              <w:tc>
                <w:tcPr>
                  <w:tcW w:w="426" w:type="dxa"/>
                  <w:vMerge w:val="continue"/>
                  <w:vAlign w:val="center"/>
                </w:tcPr>
                <w:p w14:paraId="004CDCEB">
                  <w:pPr>
                    <w:jc w:val="center"/>
                    <w:rPr>
                      <w:rFonts w:hint="default" w:ascii="Times New Roman" w:hAnsi="Times New Roman" w:eastAsia="宋体" w:cs="Times New Roman"/>
                      <w:sz w:val="21"/>
                      <w:szCs w:val="21"/>
                    </w:rPr>
                  </w:pPr>
                </w:p>
              </w:tc>
              <w:tc>
                <w:tcPr>
                  <w:tcW w:w="889" w:type="dxa"/>
                  <w:vAlign w:val="center"/>
                </w:tcPr>
                <w:p w14:paraId="790A6767">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S3</w:t>
                  </w:r>
                </w:p>
              </w:tc>
              <w:tc>
                <w:tcPr>
                  <w:tcW w:w="1766" w:type="dxa"/>
                  <w:vAlign w:val="center"/>
                </w:tcPr>
                <w:p w14:paraId="32447EC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原料拆包、产品包装</w:t>
                  </w:r>
                </w:p>
              </w:tc>
              <w:tc>
                <w:tcPr>
                  <w:tcW w:w="1576" w:type="dxa"/>
                  <w:vAlign w:val="center"/>
                </w:tcPr>
                <w:p w14:paraId="14D41E6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废包装物</w:t>
                  </w:r>
                </w:p>
              </w:tc>
              <w:tc>
                <w:tcPr>
                  <w:tcW w:w="2350" w:type="dxa"/>
                  <w:vAlign w:val="center"/>
                </w:tcPr>
                <w:p w14:paraId="4C273F9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外售</w:t>
                  </w:r>
                  <w:r>
                    <w:rPr>
                      <w:rFonts w:hint="default" w:ascii="Times New Roman" w:hAnsi="Times New Roman" w:eastAsia="宋体" w:cs="Times New Roman"/>
                      <w:sz w:val="21"/>
                      <w:szCs w:val="21"/>
                      <w:highlight w:val="none"/>
                      <w:lang w:val="en-US" w:eastAsia="zh-CN"/>
                    </w:rPr>
                    <w:t>资源回收公司处置</w:t>
                  </w:r>
                </w:p>
              </w:tc>
            </w:tr>
            <w:tr w14:paraId="00CF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vAlign w:val="center"/>
                </w:tcPr>
                <w:p w14:paraId="57558312">
                  <w:pPr>
                    <w:jc w:val="center"/>
                    <w:rPr>
                      <w:rFonts w:hint="default" w:ascii="Times New Roman" w:hAnsi="Times New Roman" w:eastAsia="宋体" w:cs="Times New Roman"/>
                      <w:sz w:val="21"/>
                      <w:szCs w:val="21"/>
                    </w:rPr>
                  </w:pPr>
                </w:p>
              </w:tc>
              <w:tc>
                <w:tcPr>
                  <w:tcW w:w="426" w:type="dxa"/>
                  <w:vMerge w:val="continue"/>
                  <w:vAlign w:val="center"/>
                </w:tcPr>
                <w:p w14:paraId="45E502ED">
                  <w:pPr>
                    <w:jc w:val="center"/>
                    <w:rPr>
                      <w:rFonts w:hint="default" w:ascii="Times New Roman" w:hAnsi="Times New Roman" w:eastAsia="宋体" w:cs="Times New Roman"/>
                      <w:sz w:val="21"/>
                      <w:szCs w:val="21"/>
                    </w:rPr>
                  </w:pPr>
                </w:p>
              </w:tc>
              <w:tc>
                <w:tcPr>
                  <w:tcW w:w="426" w:type="dxa"/>
                  <w:vMerge w:val="restart"/>
                  <w:vAlign w:val="center"/>
                </w:tcPr>
                <w:p w14:paraId="0D8915C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危废</w:t>
                  </w:r>
                </w:p>
              </w:tc>
              <w:tc>
                <w:tcPr>
                  <w:tcW w:w="889" w:type="dxa"/>
                  <w:vAlign w:val="center"/>
                </w:tcPr>
                <w:p w14:paraId="781AF78B">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S4</w:t>
                  </w:r>
                </w:p>
              </w:tc>
              <w:tc>
                <w:tcPr>
                  <w:tcW w:w="1766" w:type="dxa"/>
                  <w:vMerge w:val="restart"/>
                  <w:vAlign w:val="center"/>
                </w:tcPr>
                <w:p w14:paraId="38F5D05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机械设备维修、维护等</w:t>
                  </w:r>
                </w:p>
              </w:tc>
              <w:tc>
                <w:tcPr>
                  <w:tcW w:w="1576" w:type="dxa"/>
                  <w:vAlign w:val="center"/>
                </w:tcPr>
                <w:p w14:paraId="7B56805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废润滑油</w:t>
                  </w:r>
                </w:p>
              </w:tc>
              <w:tc>
                <w:tcPr>
                  <w:tcW w:w="2350" w:type="dxa"/>
                  <w:vMerge w:val="restart"/>
                  <w:vAlign w:val="center"/>
                </w:tcPr>
                <w:p w14:paraId="20E920AA">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暂存在危废间，委托有资质单位处置</w:t>
                  </w:r>
                </w:p>
              </w:tc>
            </w:tr>
            <w:tr w14:paraId="5B39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61" w:type="dxa"/>
                  <w:vMerge w:val="continue"/>
                  <w:vAlign w:val="center"/>
                </w:tcPr>
                <w:p w14:paraId="0598AE2C">
                  <w:pPr>
                    <w:jc w:val="center"/>
                    <w:rPr>
                      <w:rFonts w:hint="default" w:ascii="Times New Roman" w:hAnsi="Times New Roman" w:eastAsia="宋体" w:cs="Times New Roman"/>
                      <w:sz w:val="21"/>
                      <w:szCs w:val="21"/>
                      <w:lang w:val="en-US" w:eastAsia="zh-CN"/>
                    </w:rPr>
                  </w:pPr>
                </w:p>
              </w:tc>
              <w:tc>
                <w:tcPr>
                  <w:tcW w:w="426" w:type="dxa"/>
                  <w:vMerge w:val="continue"/>
                  <w:vAlign w:val="center"/>
                </w:tcPr>
                <w:p w14:paraId="1D7E4BD8">
                  <w:pPr>
                    <w:jc w:val="center"/>
                    <w:rPr>
                      <w:rFonts w:hint="default" w:ascii="Times New Roman" w:hAnsi="Times New Roman" w:eastAsia="宋体" w:cs="Times New Roman"/>
                      <w:sz w:val="21"/>
                      <w:szCs w:val="21"/>
                      <w:lang w:val="en-US" w:eastAsia="zh-CN"/>
                    </w:rPr>
                  </w:pPr>
                </w:p>
              </w:tc>
              <w:tc>
                <w:tcPr>
                  <w:tcW w:w="426" w:type="dxa"/>
                  <w:vMerge w:val="continue"/>
                  <w:vAlign w:val="center"/>
                </w:tcPr>
                <w:p w14:paraId="50C66D5C">
                  <w:pPr>
                    <w:jc w:val="center"/>
                    <w:rPr>
                      <w:rFonts w:hint="default" w:ascii="Times New Roman" w:hAnsi="Times New Roman" w:eastAsia="宋体" w:cs="Times New Roman"/>
                      <w:sz w:val="21"/>
                      <w:szCs w:val="21"/>
                      <w:lang w:val="en-US" w:eastAsia="zh-CN"/>
                    </w:rPr>
                  </w:pPr>
                </w:p>
              </w:tc>
              <w:tc>
                <w:tcPr>
                  <w:tcW w:w="889" w:type="dxa"/>
                  <w:shd w:val="clear" w:color="auto" w:fill="auto"/>
                  <w:vAlign w:val="center"/>
                </w:tcPr>
                <w:p w14:paraId="2060EB6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S</w:t>
                  </w:r>
                  <w:r>
                    <w:rPr>
                      <w:rFonts w:hint="eastAsia" w:ascii="Times New Roman" w:hAnsi="Times New Roman" w:eastAsia="宋体" w:cs="Times New Roman"/>
                      <w:sz w:val="21"/>
                      <w:szCs w:val="21"/>
                      <w:lang w:val="en-US" w:eastAsia="zh-CN"/>
                    </w:rPr>
                    <w:t>5</w:t>
                  </w:r>
                </w:p>
              </w:tc>
              <w:tc>
                <w:tcPr>
                  <w:tcW w:w="1766" w:type="dxa"/>
                  <w:vMerge w:val="continue"/>
                  <w:vAlign w:val="center"/>
                </w:tcPr>
                <w:p w14:paraId="409EE39A">
                  <w:pPr>
                    <w:jc w:val="center"/>
                    <w:rPr>
                      <w:rFonts w:hint="default" w:ascii="Times New Roman" w:hAnsi="Times New Roman" w:eastAsia="宋体" w:cs="Times New Roman"/>
                      <w:sz w:val="21"/>
                      <w:szCs w:val="21"/>
                      <w:lang w:val="en-US" w:eastAsia="zh-CN"/>
                    </w:rPr>
                  </w:pPr>
                </w:p>
              </w:tc>
              <w:tc>
                <w:tcPr>
                  <w:tcW w:w="1576" w:type="dxa"/>
                  <w:vAlign w:val="center"/>
                </w:tcPr>
                <w:p w14:paraId="1D87473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废机油桶</w:t>
                  </w:r>
                </w:p>
              </w:tc>
              <w:tc>
                <w:tcPr>
                  <w:tcW w:w="2350" w:type="dxa"/>
                  <w:vMerge w:val="continue"/>
                  <w:vAlign w:val="center"/>
                </w:tcPr>
                <w:p w14:paraId="3F9F1AA7">
                  <w:pPr>
                    <w:jc w:val="center"/>
                    <w:rPr>
                      <w:rFonts w:hint="default" w:ascii="Times New Roman" w:hAnsi="Times New Roman" w:eastAsia="宋体" w:cs="Times New Roman"/>
                      <w:sz w:val="21"/>
                      <w:szCs w:val="21"/>
                      <w:lang w:val="en-US" w:eastAsia="zh-CN"/>
                    </w:rPr>
                  </w:pPr>
                </w:p>
              </w:tc>
            </w:tr>
            <w:tr w14:paraId="4647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vAlign w:val="center"/>
                </w:tcPr>
                <w:p w14:paraId="3E8B7AB3">
                  <w:pPr>
                    <w:jc w:val="center"/>
                    <w:rPr>
                      <w:rFonts w:hint="default" w:ascii="Times New Roman" w:hAnsi="Times New Roman" w:eastAsia="宋体" w:cs="Times New Roman"/>
                      <w:sz w:val="21"/>
                      <w:szCs w:val="21"/>
                    </w:rPr>
                  </w:pPr>
                </w:p>
              </w:tc>
              <w:tc>
                <w:tcPr>
                  <w:tcW w:w="426" w:type="dxa"/>
                  <w:vMerge w:val="continue"/>
                  <w:vAlign w:val="center"/>
                </w:tcPr>
                <w:p w14:paraId="20664E44">
                  <w:pPr>
                    <w:jc w:val="center"/>
                    <w:rPr>
                      <w:rFonts w:hint="default" w:ascii="Times New Roman" w:hAnsi="Times New Roman" w:eastAsia="宋体" w:cs="Times New Roman"/>
                      <w:sz w:val="21"/>
                      <w:szCs w:val="21"/>
                    </w:rPr>
                  </w:pPr>
                </w:p>
              </w:tc>
              <w:tc>
                <w:tcPr>
                  <w:tcW w:w="426" w:type="dxa"/>
                  <w:vMerge w:val="continue"/>
                  <w:vAlign w:val="center"/>
                </w:tcPr>
                <w:p w14:paraId="7228CF22">
                  <w:pPr>
                    <w:jc w:val="center"/>
                    <w:rPr>
                      <w:rFonts w:hint="default" w:ascii="Times New Roman" w:hAnsi="Times New Roman" w:eastAsia="宋体" w:cs="Times New Roman"/>
                      <w:sz w:val="21"/>
                      <w:szCs w:val="21"/>
                      <w:lang w:val="en-US" w:eastAsia="zh-CN"/>
                    </w:rPr>
                  </w:pPr>
                </w:p>
              </w:tc>
              <w:tc>
                <w:tcPr>
                  <w:tcW w:w="889" w:type="dxa"/>
                  <w:vAlign w:val="center"/>
                </w:tcPr>
                <w:p w14:paraId="6287BF4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w:t>
                  </w:r>
                  <w:r>
                    <w:rPr>
                      <w:rFonts w:hint="eastAsia" w:ascii="Times New Roman" w:hAnsi="Times New Roman" w:eastAsia="宋体" w:cs="Times New Roman"/>
                      <w:sz w:val="21"/>
                      <w:szCs w:val="21"/>
                      <w:lang w:val="en-US" w:eastAsia="zh-CN"/>
                    </w:rPr>
                    <w:t>1</w:t>
                  </w:r>
                </w:p>
              </w:tc>
              <w:tc>
                <w:tcPr>
                  <w:tcW w:w="1766" w:type="dxa"/>
                  <w:vAlign w:val="center"/>
                </w:tcPr>
                <w:p w14:paraId="3366F7A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水性胶拆包</w:t>
                  </w:r>
                  <w:r>
                    <w:rPr>
                      <w:rFonts w:hint="eastAsia" w:ascii="Times New Roman" w:hAnsi="Times New Roman" w:eastAsia="宋体" w:cs="Times New Roman"/>
                      <w:sz w:val="21"/>
                      <w:szCs w:val="21"/>
                      <w:lang w:val="en-US" w:eastAsia="zh-CN"/>
                    </w:rPr>
                    <w:t>、喷码</w:t>
                  </w:r>
                </w:p>
              </w:tc>
              <w:tc>
                <w:tcPr>
                  <w:tcW w:w="1576" w:type="dxa"/>
                  <w:vAlign w:val="center"/>
                </w:tcPr>
                <w:p w14:paraId="2947321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废包装桶</w:t>
                  </w:r>
                </w:p>
              </w:tc>
              <w:tc>
                <w:tcPr>
                  <w:tcW w:w="2350" w:type="dxa"/>
                  <w:vMerge w:val="continue"/>
                  <w:vAlign w:val="center"/>
                </w:tcPr>
                <w:p w14:paraId="4AB3C6DE">
                  <w:pPr>
                    <w:jc w:val="center"/>
                    <w:rPr>
                      <w:rFonts w:hint="default" w:ascii="Times New Roman" w:hAnsi="Times New Roman" w:eastAsia="宋体" w:cs="Times New Roman"/>
                      <w:sz w:val="21"/>
                      <w:szCs w:val="21"/>
                    </w:rPr>
                  </w:pPr>
                </w:p>
              </w:tc>
            </w:tr>
            <w:tr w14:paraId="7A40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vAlign w:val="center"/>
                </w:tcPr>
                <w:p w14:paraId="3D4DA268">
                  <w:pPr>
                    <w:jc w:val="center"/>
                    <w:rPr>
                      <w:rFonts w:hint="default" w:ascii="Times New Roman" w:hAnsi="Times New Roman" w:eastAsia="宋体" w:cs="Times New Roman"/>
                      <w:sz w:val="21"/>
                      <w:szCs w:val="21"/>
                    </w:rPr>
                  </w:pPr>
                </w:p>
              </w:tc>
              <w:tc>
                <w:tcPr>
                  <w:tcW w:w="426" w:type="dxa"/>
                  <w:vMerge w:val="continue"/>
                  <w:vAlign w:val="center"/>
                </w:tcPr>
                <w:p w14:paraId="46274A6C">
                  <w:pPr>
                    <w:jc w:val="center"/>
                    <w:rPr>
                      <w:rFonts w:hint="default" w:ascii="Times New Roman" w:hAnsi="Times New Roman" w:eastAsia="宋体" w:cs="Times New Roman"/>
                      <w:sz w:val="21"/>
                      <w:szCs w:val="21"/>
                    </w:rPr>
                  </w:pPr>
                </w:p>
              </w:tc>
              <w:tc>
                <w:tcPr>
                  <w:tcW w:w="426" w:type="dxa"/>
                  <w:vMerge w:val="continue"/>
                  <w:vAlign w:val="center"/>
                </w:tcPr>
                <w:p w14:paraId="32033281">
                  <w:pPr>
                    <w:jc w:val="center"/>
                    <w:rPr>
                      <w:rFonts w:hint="default" w:ascii="Times New Roman" w:hAnsi="Times New Roman" w:eastAsia="宋体" w:cs="Times New Roman"/>
                      <w:sz w:val="21"/>
                      <w:szCs w:val="21"/>
                    </w:rPr>
                  </w:pPr>
                </w:p>
              </w:tc>
              <w:tc>
                <w:tcPr>
                  <w:tcW w:w="889" w:type="dxa"/>
                  <w:vAlign w:val="center"/>
                </w:tcPr>
                <w:p w14:paraId="223963E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w:t>
                  </w:r>
                  <w:r>
                    <w:rPr>
                      <w:rFonts w:hint="eastAsia" w:ascii="Times New Roman" w:hAnsi="Times New Roman" w:eastAsia="宋体" w:cs="Times New Roman"/>
                      <w:sz w:val="21"/>
                      <w:szCs w:val="21"/>
                      <w:lang w:val="en-US" w:eastAsia="zh-CN"/>
                    </w:rPr>
                    <w:t>6</w:t>
                  </w:r>
                </w:p>
              </w:tc>
              <w:tc>
                <w:tcPr>
                  <w:tcW w:w="1766" w:type="dxa"/>
                  <w:vAlign w:val="center"/>
                </w:tcPr>
                <w:p w14:paraId="5B16B91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废气处理</w:t>
                  </w:r>
                </w:p>
              </w:tc>
              <w:tc>
                <w:tcPr>
                  <w:tcW w:w="1576" w:type="dxa"/>
                  <w:vAlign w:val="center"/>
                </w:tcPr>
                <w:p w14:paraId="3D1502F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2350" w:type="dxa"/>
                  <w:vMerge w:val="continue"/>
                  <w:vAlign w:val="center"/>
                </w:tcPr>
                <w:p w14:paraId="3732CD26">
                  <w:pPr>
                    <w:jc w:val="center"/>
                    <w:rPr>
                      <w:rFonts w:hint="default" w:ascii="Times New Roman" w:hAnsi="Times New Roman" w:eastAsia="宋体" w:cs="Times New Roman"/>
                      <w:sz w:val="21"/>
                      <w:szCs w:val="21"/>
                    </w:rPr>
                  </w:pPr>
                </w:p>
              </w:tc>
            </w:tr>
          </w:tbl>
          <w:p w14:paraId="47682C50">
            <w:pPr>
              <w:pStyle w:val="4"/>
              <w:ind w:left="0"/>
            </w:pPr>
          </w:p>
        </w:tc>
      </w:tr>
      <w:tr w14:paraId="7F96C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1" w:hRule="atLeast"/>
          <w:jc w:val="center"/>
        </w:trPr>
        <w:tc>
          <w:tcPr>
            <w:tcW w:w="823" w:type="dxa"/>
            <w:vAlign w:val="center"/>
          </w:tcPr>
          <w:p w14:paraId="16906056">
            <w:pPr>
              <w:pStyle w:val="20"/>
              <w:adjustRightInd w:val="0"/>
              <w:snapToGrid w:val="0"/>
              <w:spacing w:before="0" w:beforeAutospacing="0" w:after="0" w:afterAutospacing="0"/>
              <w:jc w:val="center"/>
              <w:rPr>
                <w:rFonts w:cs="宋体"/>
                <w:sz w:val="21"/>
                <w:szCs w:val="21"/>
              </w:rPr>
            </w:pPr>
            <w:r>
              <w:rPr>
                <w:rFonts w:hint="eastAsia" w:ascii="宋体" w:hAnsi="宋体" w:eastAsia="宋体" w:cs="宋体"/>
                <w:sz w:val="24"/>
                <w:szCs w:val="24"/>
              </w:rPr>
              <w:t>与项目有关的原有环境污染问题</w:t>
            </w:r>
          </w:p>
        </w:tc>
        <w:tc>
          <w:tcPr>
            <w:tcW w:w="8161" w:type="dxa"/>
          </w:tcPr>
          <w:p w14:paraId="791A182F">
            <w:pPr>
              <w:adjustRightInd w:val="0"/>
              <w:snapToGrid w:val="0"/>
              <w:spacing w:line="360" w:lineRule="auto"/>
              <w:ind w:firstLine="480" w:firstLineChars="200"/>
              <w:rPr>
                <w:rFonts w:hint="eastAsia"/>
                <w:color w:val="auto"/>
                <w:sz w:val="24"/>
                <w:highlight w:val="none"/>
                <w:lang w:val="en-US" w:eastAsia="zh-CN"/>
              </w:rPr>
            </w:pPr>
            <w:r>
              <w:rPr>
                <w:rFonts w:hint="eastAsia"/>
                <w:sz w:val="24"/>
                <w:highlight w:val="none"/>
              </w:rPr>
              <w:t>本项目拟租赁宿州市埇桥区工业发展投资有限公司的1#厂房（厂房总共四层）和2#厂房（厂房总共一层），</w:t>
            </w:r>
            <w:r>
              <w:rPr>
                <w:rFonts w:hint="eastAsia"/>
                <w:sz w:val="24"/>
                <w:highlight w:val="none"/>
                <w:lang w:val="en-US" w:eastAsia="zh-CN"/>
              </w:rPr>
              <w:t>目前2#厂房现有配备成型机、真空泵等，</w:t>
            </w:r>
            <w:r>
              <w:rPr>
                <w:rFonts w:hint="eastAsia"/>
                <w:sz w:val="24"/>
                <w:highlight w:val="none"/>
              </w:rPr>
              <w:t>1#厂房</w:t>
            </w:r>
            <w:r>
              <w:rPr>
                <w:rFonts w:hint="eastAsia"/>
                <w:sz w:val="24"/>
                <w:highlight w:val="none"/>
                <w:lang w:val="en-US" w:eastAsia="zh-CN"/>
              </w:rPr>
              <w:t>作为成品仓库、整型、修边机等</w:t>
            </w:r>
            <w:r>
              <w:rPr>
                <w:rFonts w:hint="eastAsia"/>
                <w:sz w:val="24"/>
                <w:highlight w:val="none"/>
              </w:rPr>
              <w:t>，</w:t>
            </w:r>
            <w:r>
              <w:rPr>
                <w:rFonts w:hint="eastAsia"/>
                <w:color w:val="auto"/>
                <w:sz w:val="24"/>
                <w:highlight w:val="none"/>
                <w:lang w:val="en-US" w:eastAsia="zh-CN"/>
              </w:rPr>
              <w:t>喷码设备、废气环保设施在此次技改项目中，未投产。</w:t>
            </w:r>
          </w:p>
          <w:p w14:paraId="00E9EDD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现场存在问题：①危废间标识标牌不完善；②台账记录不齐全。</w:t>
            </w:r>
          </w:p>
          <w:p w14:paraId="56A38E34">
            <w:pPr>
              <w:adjustRightInd w:val="0"/>
              <w:snapToGrid w:val="0"/>
              <w:spacing w:line="360" w:lineRule="auto"/>
              <w:ind w:firstLine="480" w:firstLineChars="200"/>
              <w:rPr>
                <w:sz w:val="24"/>
              </w:rPr>
            </w:pPr>
          </w:p>
          <w:p w14:paraId="3A42589F">
            <w:pPr>
              <w:adjustRightInd w:val="0"/>
              <w:snapToGrid w:val="0"/>
              <w:spacing w:line="360" w:lineRule="auto"/>
              <w:ind w:firstLine="480" w:firstLineChars="200"/>
              <w:rPr>
                <w:sz w:val="24"/>
              </w:rPr>
            </w:pPr>
          </w:p>
          <w:p w14:paraId="0F7662EB">
            <w:pPr>
              <w:adjustRightInd w:val="0"/>
              <w:snapToGrid w:val="0"/>
              <w:spacing w:line="360" w:lineRule="auto"/>
            </w:pPr>
          </w:p>
          <w:p w14:paraId="7EAEE11B">
            <w:pPr>
              <w:adjustRightInd w:val="0"/>
              <w:snapToGrid w:val="0"/>
              <w:spacing w:line="360" w:lineRule="auto"/>
            </w:pPr>
          </w:p>
          <w:p w14:paraId="210F8846">
            <w:pPr>
              <w:adjustRightInd w:val="0"/>
              <w:snapToGrid w:val="0"/>
              <w:spacing w:line="360" w:lineRule="auto"/>
            </w:pPr>
          </w:p>
          <w:p w14:paraId="1C8BD99F">
            <w:pPr>
              <w:adjustRightInd w:val="0"/>
              <w:snapToGrid w:val="0"/>
              <w:spacing w:line="360" w:lineRule="auto"/>
            </w:pPr>
          </w:p>
          <w:p w14:paraId="51368EE4">
            <w:pPr>
              <w:adjustRightInd w:val="0"/>
              <w:snapToGrid w:val="0"/>
              <w:spacing w:line="360" w:lineRule="auto"/>
            </w:pPr>
          </w:p>
          <w:p w14:paraId="06569387">
            <w:pPr>
              <w:adjustRightInd w:val="0"/>
              <w:snapToGrid w:val="0"/>
              <w:spacing w:line="360" w:lineRule="auto"/>
            </w:pPr>
          </w:p>
          <w:p w14:paraId="40AF4E34">
            <w:pPr>
              <w:adjustRightInd w:val="0"/>
              <w:snapToGrid w:val="0"/>
              <w:spacing w:line="360" w:lineRule="auto"/>
            </w:pPr>
          </w:p>
          <w:p w14:paraId="356B4621">
            <w:pPr>
              <w:adjustRightInd w:val="0"/>
              <w:snapToGrid w:val="0"/>
              <w:spacing w:line="360" w:lineRule="auto"/>
            </w:pPr>
          </w:p>
          <w:p w14:paraId="3A3264E8">
            <w:pPr>
              <w:adjustRightInd w:val="0"/>
              <w:snapToGrid w:val="0"/>
              <w:spacing w:line="360" w:lineRule="auto"/>
            </w:pPr>
          </w:p>
          <w:p w14:paraId="2A8AC5A2">
            <w:pPr>
              <w:adjustRightInd w:val="0"/>
              <w:snapToGrid w:val="0"/>
              <w:spacing w:line="360" w:lineRule="auto"/>
            </w:pPr>
          </w:p>
          <w:p w14:paraId="63F59D8C">
            <w:pPr>
              <w:adjustRightInd w:val="0"/>
              <w:snapToGrid w:val="0"/>
              <w:spacing w:line="360" w:lineRule="auto"/>
            </w:pPr>
          </w:p>
        </w:tc>
      </w:tr>
    </w:tbl>
    <w:p w14:paraId="09352F14">
      <w:pPr>
        <w:pStyle w:val="20"/>
        <w:jc w:val="both"/>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59301DA">
      <w:pPr>
        <w:pStyle w:val="20"/>
        <w:widowControl/>
        <w:kinsoku/>
        <w:autoSpaceDE w:val="0"/>
        <w:autoSpaceDN w:val="0"/>
        <w:adjustRightInd w:val="0"/>
        <w:snapToGrid w:val="0"/>
        <w:spacing w:before="0" w:beforeAutospacing="0" w:after="0" w:afterAutospacing="0" w:line="360" w:lineRule="auto"/>
        <w:jc w:val="center"/>
        <w:textAlignment w:val="baseline"/>
        <w:outlineLvl w:val="0"/>
        <w:rPr>
          <w:rFonts w:hint="eastAsia" w:ascii="宋体" w:hAnsi="宋体" w:eastAsia="宋体" w:cs="宋体"/>
          <w:b/>
          <w:bCs/>
          <w:snapToGrid w:val="0"/>
          <w:color w:val="000000"/>
          <w:kern w:val="0"/>
          <w:sz w:val="30"/>
          <w:szCs w:val="30"/>
          <w:lang w:eastAsia="en-US"/>
        </w:rPr>
      </w:pPr>
      <w:r>
        <w:rPr>
          <w:rFonts w:hint="eastAsia" w:ascii="宋体" w:hAnsi="宋体" w:eastAsia="宋体" w:cs="宋体"/>
          <w:b/>
          <w:bCs/>
          <w:snapToGrid w:val="0"/>
          <w:color w:val="000000"/>
          <w:kern w:val="0"/>
          <w:sz w:val="30"/>
          <w:szCs w:val="30"/>
          <w:lang w:eastAsia="en-US"/>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6"/>
        <w:gridCol w:w="8575"/>
      </w:tblGrid>
      <w:tr w14:paraId="0589D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86" w:type="dxa"/>
            <w:vAlign w:val="center"/>
          </w:tcPr>
          <w:p w14:paraId="2C1BB55B">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区域</w:t>
            </w:r>
          </w:p>
          <w:p w14:paraId="15104538">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环境</w:t>
            </w:r>
          </w:p>
          <w:p w14:paraId="03A7C94E">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质量</w:t>
            </w:r>
          </w:p>
          <w:p w14:paraId="4E68EE82">
            <w:pPr>
              <w:pStyle w:val="20"/>
              <w:adjustRightInd w:val="0"/>
              <w:snapToGrid w:val="0"/>
              <w:spacing w:before="0" w:beforeAutospacing="0" w:after="0" w:afterAutospacing="0"/>
              <w:jc w:val="center"/>
              <w:rPr>
                <w:rFonts w:ascii="宋体" w:hAnsi="宋体" w:cs="宋体"/>
                <w:kern w:val="0"/>
                <w:szCs w:val="21"/>
              </w:rPr>
            </w:pPr>
            <w:r>
              <w:rPr>
                <w:rFonts w:hint="eastAsia" w:ascii="宋体" w:hAnsi="宋体" w:eastAsia="宋体" w:cs="宋体"/>
                <w:sz w:val="24"/>
                <w:szCs w:val="24"/>
              </w:rPr>
              <w:t>现状</w:t>
            </w:r>
          </w:p>
        </w:tc>
        <w:tc>
          <w:tcPr>
            <w:tcW w:w="8575" w:type="dxa"/>
          </w:tcPr>
          <w:p w14:paraId="54442C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eastAsia"/>
                <w:b w:val="0"/>
                <w:bCs w:val="0"/>
                <w:color w:val="auto"/>
                <w:sz w:val="24"/>
                <w:lang w:eastAsia="zh-CN"/>
              </w:rPr>
              <w:t>（</w:t>
            </w:r>
            <w:r>
              <w:rPr>
                <w:rFonts w:hint="eastAsia"/>
                <w:b w:val="0"/>
                <w:bCs w:val="0"/>
                <w:color w:val="auto"/>
                <w:sz w:val="24"/>
                <w:lang w:val="en-US" w:eastAsia="zh-CN"/>
              </w:rPr>
              <w:t>1</w:t>
            </w:r>
            <w:r>
              <w:rPr>
                <w:rFonts w:hint="eastAsia"/>
                <w:b w:val="0"/>
                <w:bCs w:val="0"/>
                <w:color w:val="auto"/>
                <w:sz w:val="24"/>
                <w:lang w:eastAsia="zh-CN"/>
              </w:rPr>
              <w:t>）</w:t>
            </w:r>
            <w:r>
              <w:rPr>
                <w:rFonts w:hint="default" w:ascii="Times New Roman" w:hAnsi="Times New Roman" w:eastAsia="宋体" w:cs="Times New Roman"/>
                <w:color w:val="auto"/>
                <w:kern w:val="0"/>
                <w:sz w:val="24"/>
                <w:szCs w:val="24"/>
                <w:lang w:val="en-US" w:eastAsia="zh-CN"/>
              </w:rPr>
              <w:t xml:space="preserve">基本污染物环境质量现状评价 </w:t>
            </w:r>
          </w:p>
          <w:p w14:paraId="50C582BE">
            <w:pPr>
              <w:pStyle w:val="73"/>
              <w:keepNext w:val="0"/>
              <w:keepLines w:val="0"/>
              <w:pageBreakBefore w:val="0"/>
              <w:widowControl w:val="0"/>
              <w:kinsoku/>
              <w:wordWrap/>
              <w:overflowPunct/>
              <w:topLinePunct w:val="0"/>
              <w:autoSpaceDE/>
              <w:autoSpaceDN/>
              <w:bidi w:val="0"/>
              <w:adjustRightInd w:val="0"/>
              <w:snapToGrid w:val="0"/>
              <w:spacing w:beforeLines="0"/>
              <w:ind w:firstLine="480"/>
              <w:jc w:val="left"/>
              <w:textAlignment w:val="auto"/>
              <w:rPr>
                <w:rFonts w:ascii="Times New Roman" w:hAnsi="Times New Roman"/>
                <w:color w:val="auto"/>
                <w:sz w:val="24"/>
                <w:szCs w:val="32"/>
                <w:highlight w:val="none"/>
              </w:rPr>
            </w:pPr>
            <w:r>
              <w:rPr>
                <w:rFonts w:ascii="Times New Roman" w:hAnsi="Times New Roman"/>
                <w:color w:val="auto"/>
                <w:sz w:val="24"/>
                <w:szCs w:val="32"/>
                <w:highlight w:val="none"/>
              </w:rPr>
              <w:t>根据《环境影响评价技术导则</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大气环境》（HJ2.2-2018），项目所在区域达标情况判定优先采用国家或地方生态环境主管部门公开发布的环境质量公告或环境质量报告中的数据或结论。</w:t>
            </w:r>
          </w:p>
          <w:p w14:paraId="03D57E26">
            <w:pPr>
              <w:pStyle w:val="73"/>
              <w:keepNext w:val="0"/>
              <w:keepLines w:val="0"/>
              <w:pageBreakBefore w:val="0"/>
              <w:widowControl w:val="0"/>
              <w:kinsoku/>
              <w:wordWrap/>
              <w:overflowPunct/>
              <w:topLinePunct w:val="0"/>
              <w:autoSpaceDE/>
              <w:autoSpaceDN/>
              <w:bidi w:val="0"/>
              <w:adjustRightInd w:val="0"/>
              <w:snapToGrid w:val="0"/>
              <w:spacing w:beforeLines="0"/>
              <w:ind w:firstLine="480"/>
              <w:jc w:val="both"/>
              <w:textAlignment w:val="auto"/>
              <w:rPr>
                <w:rFonts w:ascii="Times New Roman" w:hAnsi="Times New Roman"/>
                <w:color w:val="auto"/>
                <w:sz w:val="24"/>
                <w:szCs w:val="32"/>
                <w:highlight w:val="none"/>
              </w:rPr>
            </w:pPr>
            <w:r>
              <w:rPr>
                <w:rFonts w:hint="eastAsia" w:ascii="Times New Roman" w:hAnsi="Times New Roman"/>
                <w:color w:val="auto"/>
                <w:sz w:val="24"/>
                <w:szCs w:val="32"/>
                <w:highlight w:val="none"/>
              </w:rPr>
              <w:t>本项目位于宿州市，本次评价选取202</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年作为评价基准年，根据国家“环境空气质量模型技术支持服务系统”中发布的202</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年环境空气质量数据，项目所在区域环境空气质量现状如下，宿州市2024年SO</w:t>
            </w:r>
            <w:r>
              <w:rPr>
                <w:rFonts w:hint="eastAsia" w:ascii="Times New Roman" w:hAnsi="Times New Roman"/>
                <w:color w:val="auto"/>
                <w:sz w:val="24"/>
                <w:szCs w:val="32"/>
                <w:highlight w:val="none"/>
                <w:vertAlign w:val="subscript"/>
              </w:rPr>
              <w:t>2</w:t>
            </w:r>
            <w:r>
              <w:rPr>
                <w:rFonts w:hint="eastAsia" w:ascii="Times New Roman" w:hAnsi="Times New Roman"/>
                <w:color w:val="auto"/>
                <w:sz w:val="24"/>
                <w:szCs w:val="32"/>
                <w:highlight w:val="none"/>
              </w:rPr>
              <w:t>、NO</w:t>
            </w:r>
            <w:r>
              <w:rPr>
                <w:rFonts w:hint="eastAsia" w:ascii="Times New Roman" w:hAnsi="Times New Roman"/>
                <w:color w:val="auto"/>
                <w:sz w:val="24"/>
                <w:szCs w:val="32"/>
                <w:highlight w:val="none"/>
                <w:vertAlign w:val="subscript"/>
              </w:rPr>
              <w:t>2</w:t>
            </w:r>
            <w:r>
              <w:rPr>
                <w:rFonts w:hint="eastAsia" w:ascii="Times New Roman" w:hAnsi="Times New Roman"/>
                <w:color w:val="auto"/>
                <w:sz w:val="24"/>
                <w:szCs w:val="32"/>
                <w:highlight w:val="none"/>
              </w:rPr>
              <w:t>、PM</w:t>
            </w:r>
            <w:r>
              <w:rPr>
                <w:rFonts w:hint="eastAsia" w:ascii="Times New Roman" w:hAnsi="Times New Roman"/>
                <w:color w:val="auto"/>
                <w:sz w:val="24"/>
                <w:szCs w:val="32"/>
                <w:highlight w:val="none"/>
                <w:vertAlign w:val="subscript"/>
              </w:rPr>
              <w:t>10</w:t>
            </w:r>
            <w:r>
              <w:rPr>
                <w:rFonts w:hint="eastAsia" w:ascii="Times New Roman" w:hAnsi="Times New Roman"/>
                <w:color w:val="auto"/>
                <w:sz w:val="24"/>
                <w:szCs w:val="32"/>
                <w:highlight w:val="none"/>
              </w:rPr>
              <w:t>、PM</w:t>
            </w:r>
            <w:r>
              <w:rPr>
                <w:rFonts w:hint="eastAsia" w:ascii="Times New Roman" w:hAnsi="Times New Roman"/>
                <w:color w:val="auto"/>
                <w:sz w:val="24"/>
                <w:szCs w:val="32"/>
                <w:highlight w:val="none"/>
                <w:vertAlign w:val="subscript"/>
              </w:rPr>
              <w:t>2.5</w:t>
            </w:r>
            <w:r>
              <w:rPr>
                <w:rFonts w:hint="eastAsia" w:ascii="Times New Roman" w:hAnsi="Times New Roman"/>
                <w:color w:val="auto"/>
                <w:sz w:val="24"/>
                <w:szCs w:val="32"/>
                <w:highlight w:val="none"/>
              </w:rPr>
              <w:t>年均浓度分别为6 ug/m</w:t>
            </w:r>
            <w:r>
              <w:rPr>
                <w:rFonts w:hint="eastAsia" w:ascii="Times New Roman" w:hAnsi="Times New Roman"/>
                <w:color w:val="auto"/>
                <w:sz w:val="24"/>
                <w:szCs w:val="32"/>
                <w:highlight w:val="none"/>
                <w:vertAlign w:val="superscript"/>
              </w:rPr>
              <w:t>3</w:t>
            </w:r>
            <w:r>
              <w:rPr>
                <w:rFonts w:hint="eastAsia" w:ascii="Times New Roman" w:hAnsi="Times New Roman"/>
                <w:color w:val="auto"/>
                <w:sz w:val="24"/>
                <w:szCs w:val="32"/>
                <w:highlight w:val="none"/>
              </w:rPr>
              <w:t>、18 ug/m</w:t>
            </w:r>
            <w:r>
              <w:rPr>
                <w:rFonts w:hint="eastAsia" w:ascii="Times New Roman" w:hAnsi="Times New Roman"/>
                <w:color w:val="auto"/>
                <w:sz w:val="24"/>
                <w:szCs w:val="32"/>
                <w:highlight w:val="none"/>
                <w:vertAlign w:val="superscript"/>
              </w:rPr>
              <w:t>3</w:t>
            </w:r>
            <w:r>
              <w:rPr>
                <w:rFonts w:hint="eastAsia" w:ascii="Times New Roman" w:hAnsi="Times New Roman"/>
                <w:color w:val="auto"/>
                <w:sz w:val="24"/>
                <w:szCs w:val="32"/>
                <w:highlight w:val="none"/>
              </w:rPr>
              <w:t>、71 ug/m</w:t>
            </w:r>
            <w:r>
              <w:rPr>
                <w:rFonts w:hint="eastAsia" w:ascii="Times New Roman" w:hAnsi="Times New Roman"/>
                <w:color w:val="auto"/>
                <w:sz w:val="24"/>
                <w:szCs w:val="32"/>
                <w:highlight w:val="none"/>
                <w:vertAlign w:val="superscript"/>
              </w:rPr>
              <w:t>3</w:t>
            </w:r>
            <w:r>
              <w:rPr>
                <w:rFonts w:hint="eastAsia" w:ascii="Times New Roman" w:hAnsi="Times New Roman"/>
                <w:color w:val="auto"/>
                <w:sz w:val="24"/>
                <w:szCs w:val="32"/>
                <w:highlight w:val="none"/>
              </w:rPr>
              <w:t>、43 ug/m</w:t>
            </w:r>
            <w:r>
              <w:rPr>
                <w:rFonts w:hint="eastAsia" w:ascii="Times New Roman" w:hAnsi="Times New Roman"/>
                <w:color w:val="auto"/>
                <w:sz w:val="24"/>
                <w:szCs w:val="32"/>
                <w:highlight w:val="none"/>
                <w:vertAlign w:val="superscript"/>
              </w:rPr>
              <w:t>3</w:t>
            </w:r>
            <w:r>
              <w:rPr>
                <w:rFonts w:hint="eastAsia" w:ascii="Times New Roman" w:hAnsi="Times New Roman"/>
                <w:color w:val="auto"/>
                <w:sz w:val="24"/>
                <w:szCs w:val="32"/>
                <w:highlight w:val="none"/>
              </w:rPr>
              <w:t>；CO 24小时平均第95百分位数为0.9mg/m</w:t>
            </w:r>
            <w:r>
              <w:rPr>
                <w:rFonts w:hint="eastAsia" w:ascii="Times New Roman" w:hAnsi="Times New Roman"/>
                <w:color w:val="auto"/>
                <w:sz w:val="24"/>
                <w:szCs w:val="32"/>
                <w:highlight w:val="none"/>
                <w:vertAlign w:val="superscript"/>
              </w:rPr>
              <w:t>3</w:t>
            </w:r>
            <w:r>
              <w:rPr>
                <w:rFonts w:hint="eastAsia" w:ascii="Times New Roman" w:hAnsi="Times New Roman"/>
                <w:color w:val="auto"/>
                <w:sz w:val="24"/>
                <w:szCs w:val="32"/>
                <w:highlight w:val="none"/>
              </w:rPr>
              <w:t>，O</w:t>
            </w:r>
            <w:r>
              <w:rPr>
                <w:rFonts w:hint="eastAsia" w:ascii="Times New Roman" w:hAnsi="Times New Roman"/>
                <w:color w:val="auto"/>
                <w:sz w:val="24"/>
                <w:szCs w:val="32"/>
                <w:highlight w:val="none"/>
                <w:vertAlign w:val="subscript"/>
              </w:rPr>
              <w:t>3</w:t>
            </w:r>
            <w:r>
              <w:rPr>
                <w:rFonts w:hint="eastAsia" w:ascii="Times New Roman" w:hAnsi="Times New Roman"/>
                <w:color w:val="auto"/>
                <w:sz w:val="24"/>
                <w:szCs w:val="32"/>
                <w:highlight w:val="none"/>
              </w:rPr>
              <w:t>日最大8小时平均第90百分位数为170 ug/m</w:t>
            </w:r>
            <w:r>
              <w:rPr>
                <w:rFonts w:hint="eastAsia" w:ascii="Times New Roman" w:hAnsi="Times New Roman"/>
                <w:color w:val="auto"/>
                <w:sz w:val="24"/>
                <w:szCs w:val="32"/>
                <w:highlight w:val="none"/>
                <w:vertAlign w:val="superscript"/>
              </w:rPr>
              <w:t>3</w:t>
            </w:r>
            <w:r>
              <w:rPr>
                <w:rFonts w:hint="eastAsia" w:ascii="Times New Roman" w:hAnsi="Times New Roman"/>
                <w:color w:val="auto"/>
                <w:sz w:val="24"/>
                <w:szCs w:val="32"/>
                <w:highlight w:val="none"/>
              </w:rPr>
              <w:t>；超过《环境空气质量标准》（GB3095-2012）中二级标准限值的污染物为PM</w:t>
            </w:r>
            <w:r>
              <w:rPr>
                <w:rFonts w:hint="eastAsia" w:ascii="Times New Roman" w:hAnsi="Times New Roman"/>
                <w:color w:val="auto"/>
                <w:sz w:val="24"/>
                <w:szCs w:val="32"/>
                <w:highlight w:val="none"/>
                <w:vertAlign w:val="subscript"/>
              </w:rPr>
              <w:t>10</w:t>
            </w:r>
            <w:r>
              <w:rPr>
                <w:rFonts w:hint="eastAsia" w:ascii="Times New Roman" w:hAnsi="Times New Roman"/>
                <w:color w:val="auto"/>
                <w:sz w:val="24"/>
                <w:szCs w:val="32"/>
                <w:highlight w:val="none"/>
              </w:rPr>
              <w:t>、O</w:t>
            </w:r>
            <w:r>
              <w:rPr>
                <w:rFonts w:hint="eastAsia" w:ascii="Times New Roman" w:hAnsi="Times New Roman"/>
                <w:color w:val="auto"/>
                <w:sz w:val="24"/>
                <w:szCs w:val="32"/>
                <w:highlight w:val="none"/>
                <w:vertAlign w:val="subscript"/>
              </w:rPr>
              <w:t>3</w:t>
            </w:r>
            <w:r>
              <w:rPr>
                <w:rFonts w:hint="eastAsia" w:ascii="Times New Roman" w:hAnsi="Times New Roman"/>
                <w:color w:val="auto"/>
                <w:sz w:val="24"/>
                <w:szCs w:val="32"/>
                <w:highlight w:val="none"/>
              </w:rPr>
              <w:t>、PM</w:t>
            </w:r>
            <w:r>
              <w:rPr>
                <w:rFonts w:hint="eastAsia" w:ascii="Times New Roman" w:hAnsi="Times New Roman"/>
                <w:color w:val="auto"/>
                <w:sz w:val="24"/>
                <w:szCs w:val="32"/>
                <w:highlight w:val="none"/>
                <w:vertAlign w:val="subscript"/>
              </w:rPr>
              <w:t>2.5</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宿州市202</w:t>
            </w: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年环境空气质量基础污染物监测浓度见下表：</w:t>
            </w:r>
          </w:p>
          <w:p w14:paraId="4FFEA375">
            <w:pPr>
              <w:numPr>
                <w:ilvl w:val="0"/>
                <w:numId w:val="0"/>
              </w:numPr>
              <w:ind w:leftChars="0"/>
              <w:jc w:val="center"/>
              <w:rPr>
                <w:b/>
                <w:color w:val="auto"/>
                <w:sz w:val="24"/>
                <w:szCs w:val="32"/>
                <w:highlight w:val="none"/>
              </w:rPr>
            </w:pPr>
            <w:r>
              <w:rPr>
                <w:rFonts w:hint="eastAsia"/>
                <w:b/>
                <w:color w:val="auto"/>
                <w:sz w:val="24"/>
                <w:szCs w:val="32"/>
                <w:highlight w:val="none"/>
                <w:lang w:eastAsia="zh-CN"/>
              </w:rPr>
              <w:t>表</w:t>
            </w:r>
            <w:r>
              <w:rPr>
                <w:rFonts w:hint="eastAsia"/>
                <w:b/>
                <w:color w:val="auto"/>
                <w:sz w:val="24"/>
                <w:szCs w:val="32"/>
                <w:highlight w:val="none"/>
                <w:lang w:val="en-US" w:eastAsia="zh-CN"/>
              </w:rPr>
              <w:t xml:space="preserve">3.1  </w:t>
            </w:r>
            <w:r>
              <w:rPr>
                <w:b/>
                <w:color w:val="auto"/>
                <w:sz w:val="24"/>
                <w:szCs w:val="32"/>
                <w:highlight w:val="none"/>
              </w:rPr>
              <w:t>区域空气质量现状评价表</w:t>
            </w:r>
          </w:p>
          <w:tbl>
            <w:tblPr>
              <w:tblStyle w:val="24"/>
              <w:tblW w:w="8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923"/>
              <w:gridCol w:w="1299"/>
              <w:gridCol w:w="1319"/>
              <w:gridCol w:w="1290"/>
              <w:gridCol w:w="1383"/>
            </w:tblGrid>
            <w:tr w14:paraId="1D8C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35792078">
                  <w:pPr>
                    <w:widowControl/>
                    <w:kinsoku/>
                    <w:topLinePunct/>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污染物</w:t>
                  </w:r>
                </w:p>
              </w:tc>
              <w:tc>
                <w:tcPr>
                  <w:tcW w:w="1923" w:type="dxa"/>
                  <w:vAlign w:val="center"/>
                </w:tcPr>
                <w:p w14:paraId="02DF5E95">
                  <w:pPr>
                    <w:widowControl/>
                    <w:kinsoku/>
                    <w:topLinePunct/>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评价标准</w:t>
                  </w:r>
                </w:p>
              </w:tc>
              <w:tc>
                <w:tcPr>
                  <w:tcW w:w="1299" w:type="dxa"/>
                  <w:vAlign w:val="center"/>
                </w:tcPr>
                <w:p w14:paraId="4E3C3C71">
                  <w:pPr>
                    <w:widowControl/>
                    <w:kinsoku/>
                    <w:topLinePunct/>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年均浓度（μg/m</w:t>
                  </w:r>
                  <w:r>
                    <w:rPr>
                      <w:rFonts w:ascii="Times New Roman" w:hAnsi="Times New Roman" w:eastAsia="宋体" w:cs="Times New Roman"/>
                      <w:b w:val="0"/>
                      <w:bCs w:val="0"/>
                      <w:color w:val="auto"/>
                      <w:vertAlign w:val="superscript"/>
                    </w:rPr>
                    <w:t>3</w:t>
                  </w:r>
                  <w:r>
                    <w:rPr>
                      <w:rFonts w:ascii="Times New Roman" w:hAnsi="Times New Roman" w:eastAsia="宋体" w:cs="Times New Roman"/>
                      <w:b w:val="0"/>
                      <w:bCs w:val="0"/>
                      <w:color w:val="auto"/>
                    </w:rPr>
                    <w:t>）</w:t>
                  </w:r>
                </w:p>
              </w:tc>
              <w:tc>
                <w:tcPr>
                  <w:tcW w:w="1319" w:type="dxa"/>
                  <w:vAlign w:val="center"/>
                </w:tcPr>
                <w:p w14:paraId="77E78B60">
                  <w:pPr>
                    <w:widowControl/>
                    <w:kinsoku/>
                    <w:topLinePunct/>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标准值（μg/m</w:t>
                  </w:r>
                  <w:r>
                    <w:rPr>
                      <w:rFonts w:ascii="Times New Roman" w:hAnsi="Times New Roman" w:eastAsia="宋体" w:cs="Times New Roman"/>
                      <w:b w:val="0"/>
                      <w:bCs w:val="0"/>
                      <w:color w:val="auto"/>
                      <w:vertAlign w:val="superscript"/>
                    </w:rPr>
                    <w:t>3</w:t>
                  </w:r>
                  <w:r>
                    <w:rPr>
                      <w:rFonts w:ascii="Times New Roman" w:hAnsi="Times New Roman" w:eastAsia="宋体" w:cs="Times New Roman"/>
                      <w:b w:val="0"/>
                      <w:bCs w:val="0"/>
                      <w:color w:val="auto"/>
                    </w:rPr>
                    <w:t>）</w:t>
                  </w:r>
                </w:p>
              </w:tc>
              <w:tc>
                <w:tcPr>
                  <w:tcW w:w="1290" w:type="dxa"/>
                  <w:vAlign w:val="center"/>
                </w:tcPr>
                <w:p w14:paraId="08DAC7EE">
                  <w:pPr>
                    <w:widowControl/>
                    <w:kinsoku/>
                    <w:topLinePunct/>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占标率</w:t>
                  </w:r>
                  <w:r>
                    <w:rPr>
                      <w:rFonts w:ascii="Times New Roman" w:hAnsi="Times New Roman" w:eastAsia="宋体" w:cs="Times New Roman"/>
                      <w:b w:val="0"/>
                      <w:bCs w:val="0"/>
                      <w:color w:val="auto"/>
                      <w:lang w:eastAsia="zh-CN"/>
                    </w:rPr>
                    <w:t>（</w:t>
                  </w:r>
                  <w:r>
                    <w:rPr>
                      <w:rFonts w:ascii="Times New Roman" w:hAnsi="Times New Roman" w:eastAsia="宋体" w:cs="Times New Roman"/>
                      <w:b w:val="0"/>
                      <w:bCs w:val="0"/>
                      <w:color w:val="auto"/>
                    </w:rPr>
                    <w:t>%</w:t>
                  </w:r>
                  <w:r>
                    <w:rPr>
                      <w:rFonts w:ascii="Times New Roman" w:hAnsi="Times New Roman" w:eastAsia="宋体" w:cs="Times New Roman"/>
                      <w:b w:val="0"/>
                      <w:bCs w:val="0"/>
                      <w:color w:val="auto"/>
                      <w:lang w:eastAsia="zh-CN"/>
                    </w:rPr>
                    <w:t>）</w:t>
                  </w:r>
                </w:p>
              </w:tc>
              <w:tc>
                <w:tcPr>
                  <w:tcW w:w="1383" w:type="dxa"/>
                  <w:vAlign w:val="center"/>
                </w:tcPr>
                <w:p w14:paraId="4C34B839">
                  <w:pPr>
                    <w:widowControl/>
                    <w:kinsoku/>
                    <w:topLinePunct/>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达标情况</w:t>
                  </w:r>
                </w:p>
              </w:tc>
            </w:tr>
            <w:tr w14:paraId="7F2A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2712C302">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PM</w:t>
                  </w:r>
                  <w:r>
                    <w:rPr>
                      <w:rFonts w:ascii="Times New Roman" w:hAnsi="Times New Roman" w:eastAsia="宋体" w:cs="Times New Roman"/>
                      <w:color w:val="auto"/>
                      <w:vertAlign w:val="subscript"/>
                    </w:rPr>
                    <w:t>10</w:t>
                  </w:r>
                </w:p>
              </w:tc>
              <w:tc>
                <w:tcPr>
                  <w:tcW w:w="1923" w:type="dxa"/>
                  <w:vAlign w:val="center"/>
                </w:tcPr>
                <w:p w14:paraId="15CFF1A8">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年平均浓度</w:t>
                  </w:r>
                </w:p>
              </w:tc>
              <w:tc>
                <w:tcPr>
                  <w:tcW w:w="1299" w:type="dxa"/>
                  <w:vAlign w:val="center"/>
                </w:tcPr>
                <w:p w14:paraId="657669E9">
                  <w:pPr>
                    <w:widowControl/>
                    <w:kinsoku/>
                    <w:topLinePunct/>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71</w:t>
                  </w:r>
                </w:p>
              </w:tc>
              <w:tc>
                <w:tcPr>
                  <w:tcW w:w="1319" w:type="dxa"/>
                  <w:vAlign w:val="center"/>
                </w:tcPr>
                <w:p w14:paraId="0AC9EC1C">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70</w:t>
                  </w:r>
                </w:p>
              </w:tc>
              <w:tc>
                <w:tcPr>
                  <w:tcW w:w="1290" w:type="dxa"/>
                  <w:vAlign w:val="center"/>
                </w:tcPr>
                <w:p w14:paraId="7F73A730">
                  <w:pPr>
                    <w:widowControl/>
                    <w:kinsoku/>
                    <w:topLinePunct/>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101.4</w:t>
                  </w:r>
                </w:p>
              </w:tc>
              <w:tc>
                <w:tcPr>
                  <w:tcW w:w="1383" w:type="dxa"/>
                  <w:vAlign w:val="center"/>
                </w:tcPr>
                <w:p w14:paraId="12E1E569">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不达标</w:t>
                  </w:r>
                </w:p>
              </w:tc>
            </w:tr>
            <w:tr w14:paraId="2486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219A42D9">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PM</w:t>
                  </w:r>
                  <w:r>
                    <w:rPr>
                      <w:rFonts w:ascii="Times New Roman" w:hAnsi="Times New Roman" w:eastAsia="宋体" w:cs="Times New Roman"/>
                      <w:color w:val="auto"/>
                      <w:vertAlign w:val="subscript"/>
                    </w:rPr>
                    <w:t>2.5</w:t>
                  </w:r>
                </w:p>
              </w:tc>
              <w:tc>
                <w:tcPr>
                  <w:tcW w:w="1923" w:type="dxa"/>
                  <w:vAlign w:val="center"/>
                </w:tcPr>
                <w:p w14:paraId="360352AD">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年平均浓度</w:t>
                  </w:r>
                </w:p>
              </w:tc>
              <w:tc>
                <w:tcPr>
                  <w:tcW w:w="1299" w:type="dxa"/>
                  <w:vAlign w:val="center"/>
                </w:tcPr>
                <w:p w14:paraId="38879A81">
                  <w:pPr>
                    <w:widowControl/>
                    <w:kinsoku/>
                    <w:topLinePunct/>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43</w:t>
                  </w:r>
                </w:p>
              </w:tc>
              <w:tc>
                <w:tcPr>
                  <w:tcW w:w="1319" w:type="dxa"/>
                  <w:vAlign w:val="center"/>
                </w:tcPr>
                <w:p w14:paraId="453F10AB">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35</w:t>
                  </w:r>
                </w:p>
              </w:tc>
              <w:tc>
                <w:tcPr>
                  <w:tcW w:w="1290" w:type="dxa"/>
                  <w:vAlign w:val="center"/>
                </w:tcPr>
                <w:p w14:paraId="1F6F46BE">
                  <w:pPr>
                    <w:widowControl/>
                    <w:kinsoku/>
                    <w:topLinePunct/>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122.9</w:t>
                  </w:r>
                </w:p>
              </w:tc>
              <w:tc>
                <w:tcPr>
                  <w:tcW w:w="1383" w:type="dxa"/>
                  <w:vAlign w:val="center"/>
                </w:tcPr>
                <w:p w14:paraId="0AF9999B">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不达标</w:t>
                  </w:r>
                </w:p>
              </w:tc>
            </w:tr>
            <w:tr w14:paraId="0189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551264AF">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SO</w:t>
                  </w:r>
                  <w:r>
                    <w:rPr>
                      <w:rFonts w:ascii="Times New Roman" w:hAnsi="Times New Roman" w:eastAsia="宋体" w:cs="Times New Roman"/>
                      <w:color w:val="auto"/>
                      <w:vertAlign w:val="subscript"/>
                    </w:rPr>
                    <w:t>2</w:t>
                  </w:r>
                </w:p>
              </w:tc>
              <w:tc>
                <w:tcPr>
                  <w:tcW w:w="1923" w:type="dxa"/>
                  <w:vAlign w:val="center"/>
                </w:tcPr>
                <w:p w14:paraId="3DAD7DAB">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年平均浓度</w:t>
                  </w:r>
                </w:p>
              </w:tc>
              <w:tc>
                <w:tcPr>
                  <w:tcW w:w="1299" w:type="dxa"/>
                  <w:vAlign w:val="center"/>
                </w:tcPr>
                <w:p w14:paraId="43BAD8C5">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6</w:t>
                  </w:r>
                </w:p>
              </w:tc>
              <w:tc>
                <w:tcPr>
                  <w:tcW w:w="1319" w:type="dxa"/>
                  <w:vAlign w:val="center"/>
                </w:tcPr>
                <w:p w14:paraId="721ADAA0">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60</w:t>
                  </w:r>
                </w:p>
              </w:tc>
              <w:tc>
                <w:tcPr>
                  <w:tcW w:w="1290" w:type="dxa"/>
                  <w:vAlign w:val="center"/>
                </w:tcPr>
                <w:p w14:paraId="0B421CE5">
                  <w:pPr>
                    <w:widowControl/>
                    <w:kinsoku/>
                    <w:topLinePunct/>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10.0</w:t>
                  </w:r>
                </w:p>
              </w:tc>
              <w:tc>
                <w:tcPr>
                  <w:tcW w:w="1383" w:type="dxa"/>
                  <w:vAlign w:val="center"/>
                </w:tcPr>
                <w:p w14:paraId="025B3EE8">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14:paraId="65C2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0133995E">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NO</w:t>
                  </w:r>
                  <w:r>
                    <w:rPr>
                      <w:rFonts w:ascii="Times New Roman" w:hAnsi="Times New Roman" w:eastAsia="宋体" w:cs="Times New Roman"/>
                      <w:color w:val="auto"/>
                      <w:vertAlign w:val="subscript"/>
                    </w:rPr>
                    <w:t>2</w:t>
                  </w:r>
                </w:p>
              </w:tc>
              <w:tc>
                <w:tcPr>
                  <w:tcW w:w="1923" w:type="dxa"/>
                  <w:vAlign w:val="center"/>
                </w:tcPr>
                <w:p w14:paraId="338F6477">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年平均浓度</w:t>
                  </w:r>
                </w:p>
              </w:tc>
              <w:tc>
                <w:tcPr>
                  <w:tcW w:w="1299" w:type="dxa"/>
                  <w:vAlign w:val="center"/>
                </w:tcPr>
                <w:p w14:paraId="1F0DEE39">
                  <w:pPr>
                    <w:widowControl/>
                    <w:kinsoku/>
                    <w:topLinePunct/>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18</w:t>
                  </w:r>
                </w:p>
              </w:tc>
              <w:tc>
                <w:tcPr>
                  <w:tcW w:w="1319" w:type="dxa"/>
                  <w:vAlign w:val="center"/>
                </w:tcPr>
                <w:p w14:paraId="7478C736">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40</w:t>
                  </w:r>
                </w:p>
              </w:tc>
              <w:tc>
                <w:tcPr>
                  <w:tcW w:w="1290" w:type="dxa"/>
                  <w:vAlign w:val="center"/>
                </w:tcPr>
                <w:p w14:paraId="587F5FE5">
                  <w:pPr>
                    <w:widowControl/>
                    <w:kinsoku/>
                    <w:topLinePunct/>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45.0</w:t>
                  </w:r>
                </w:p>
              </w:tc>
              <w:tc>
                <w:tcPr>
                  <w:tcW w:w="1383" w:type="dxa"/>
                  <w:vAlign w:val="center"/>
                </w:tcPr>
                <w:p w14:paraId="298EC902">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14:paraId="2F08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605401CB">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CO</w:t>
                  </w:r>
                </w:p>
              </w:tc>
              <w:tc>
                <w:tcPr>
                  <w:tcW w:w="1923" w:type="dxa"/>
                  <w:vAlign w:val="center"/>
                </w:tcPr>
                <w:p w14:paraId="11D5AAC1">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日平均第95百分位质量浓度</w:t>
                  </w:r>
                </w:p>
              </w:tc>
              <w:tc>
                <w:tcPr>
                  <w:tcW w:w="1299" w:type="dxa"/>
                  <w:vAlign w:val="center"/>
                </w:tcPr>
                <w:p w14:paraId="4D047811">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lang w:eastAsia="zh-CN"/>
                    </w:rPr>
                    <w:t>0.9</w:t>
                  </w:r>
                  <w:r>
                    <w:rPr>
                      <w:rFonts w:ascii="Times New Roman" w:hAnsi="Times New Roman" w:eastAsia="宋体" w:cs="Times New Roman"/>
                      <w:color w:val="auto"/>
                    </w:rPr>
                    <w:t>mg/m</w:t>
                  </w:r>
                  <w:r>
                    <w:rPr>
                      <w:rFonts w:ascii="Times New Roman" w:hAnsi="Times New Roman" w:eastAsia="宋体" w:cs="Times New Roman"/>
                      <w:color w:val="auto"/>
                      <w:vertAlign w:val="superscript"/>
                    </w:rPr>
                    <w:t>3</w:t>
                  </w:r>
                </w:p>
              </w:tc>
              <w:tc>
                <w:tcPr>
                  <w:tcW w:w="1319" w:type="dxa"/>
                  <w:vAlign w:val="center"/>
                </w:tcPr>
                <w:p w14:paraId="3F7F08BB">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4mg/m</w:t>
                  </w:r>
                  <w:r>
                    <w:rPr>
                      <w:rFonts w:ascii="Times New Roman" w:hAnsi="Times New Roman" w:eastAsia="宋体" w:cs="Times New Roman"/>
                      <w:color w:val="auto"/>
                      <w:vertAlign w:val="superscript"/>
                    </w:rPr>
                    <w:t>3</w:t>
                  </w:r>
                </w:p>
              </w:tc>
              <w:tc>
                <w:tcPr>
                  <w:tcW w:w="1290" w:type="dxa"/>
                  <w:vAlign w:val="center"/>
                </w:tcPr>
                <w:p w14:paraId="077EBEA3">
                  <w:pPr>
                    <w:widowControl/>
                    <w:kinsoku/>
                    <w:topLinePunct/>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22.5</w:t>
                  </w:r>
                </w:p>
              </w:tc>
              <w:tc>
                <w:tcPr>
                  <w:tcW w:w="1383" w:type="dxa"/>
                  <w:vAlign w:val="center"/>
                </w:tcPr>
                <w:p w14:paraId="24641862">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14:paraId="752C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658D99BA">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O</w:t>
                  </w:r>
                  <w:r>
                    <w:rPr>
                      <w:rFonts w:ascii="Times New Roman" w:hAnsi="Times New Roman" w:eastAsia="宋体" w:cs="Times New Roman"/>
                      <w:color w:val="auto"/>
                      <w:vertAlign w:val="subscript"/>
                    </w:rPr>
                    <w:t>3</w:t>
                  </w:r>
                </w:p>
              </w:tc>
              <w:tc>
                <w:tcPr>
                  <w:tcW w:w="1923" w:type="dxa"/>
                  <w:vAlign w:val="center"/>
                </w:tcPr>
                <w:p w14:paraId="044F6E55">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日最大8小时平均第90百分位质量浓度</w:t>
                  </w:r>
                </w:p>
              </w:tc>
              <w:tc>
                <w:tcPr>
                  <w:tcW w:w="1299" w:type="dxa"/>
                  <w:vAlign w:val="center"/>
                </w:tcPr>
                <w:p w14:paraId="76486CB8">
                  <w:pPr>
                    <w:widowControl/>
                    <w:kinsoku/>
                    <w:topLinePunct/>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170</w:t>
                  </w:r>
                </w:p>
              </w:tc>
              <w:tc>
                <w:tcPr>
                  <w:tcW w:w="1319" w:type="dxa"/>
                  <w:vAlign w:val="center"/>
                </w:tcPr>
                <w:p w14:paraId="537FD7BD">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160</w:t>
                  </w:r>
                </w:p>
              </w:tc>
              <w:tc>
                <w:tcPr>
                  <w:tcW w:w="1290" w:type="dxa"/>
                  <w:vAlign w:val="center"/>
                </w:tcPr>
                <w:p w14:paraId="6A84421A">
                  <w:pPr>
                    <w:widowControl/>
                    <w:kinsoku/>
                    <w:topLinePunct/>
                    <w:jc w:val="center"/>
                    <w:textAlignment w:val="center"/>
                    <w:rPr>
                      <w:rFonts w:ascii="Times New Roman" w:hAnsi="Times New Roman" w:eastAsia="宋体" w:cs="Times New Roman"/>
                      <w:color w:val="auto"/>
                    </w:rPr>
                  </w:pPr>
                  <w:r>
                    <w:rPr>
                      <w:rFonts w:ascii="Times New Roman" w:hAnsi="Times New Roman" w:eastAsia="宋体" w:cs="Times New Roman"/>
                      <w:color w:val="auto"/>
                      <w:lang w:eastAsia="zh-CN" w:bidi="ar"/>
                    </w:rPr>
                    <w:t>106.3</w:t>
                  </w:r>
                </w:p>
              </w:tc>
              <w:tc>
                <w:tcPr>
                  <w:tcW w:w="1383" w:type="dxa"/>
                  <w:vAlign w:val="center"/>
                </w:tcPr>
                <w:p w14:paraId="6EE8D47B">
                  <w:pPr>
                    <w:widowControl/>
                    <w:kinsoku/>
                    <w:topLinePunct/>
                    <w:jc w:val="center"/>
                    <w:rPr>
                      <w:rFonts w:ascii="Times New Roman" w:hAnsi="Times New Roman" w:eastAsia="宋体" w:cs="Times New Roman"/>
                      <w:color w:val="auto"/>
                    </w:rPr>
                  </w:pPr>
                  <w:r>
                    <w:rPr>
                      <w:rFonts w:ascii="Times New Roman" w:hAnsi="Times New Roman" w:eastAsia="宋体" w:cs="Times New Roman"/>
                      <w:color w:val="auto"/>
                    </w:rPr>
                    <w:t>不达标</w:t>
                  </w:r>
                </w:p>
              </w:tc>
            </w:tr>
          </w:tbl>
          <w:p w14:paraId="37DFFEC4">
            <w:pPr>
              <w:adjustRightInd w:val="0"/>
              <w:snapToGri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由上表可知，宿州市202</w:t>
            </w:r>
            <w:r>
              <w:rPr>
                <w:rFonts w:hint="eastAsia" w:ascii="Times New Roman" w:hAnsi="Times New Roman" w:eastAsia="宋体" w:cs="Times New Roman"/>
                <w:color w:val="auto"/>
                <w:kern w:val="0"/>
                <w:sz w:val="24"/>
                <w:lang w:val="en-US" w:eastAsia="zh-CN"/>
              </w:rPr>
              <w:t>4</w:t>
            </w:r>
            <w:r>
              <w:rPr>
                <w:rFonts w:hint="eastAsia" w:ascii="Times New Roman" w:hAnsi="Times New Roman" w:eastAsia="宋体" w:cs="Times New Roman"/>
                <w:color w:val="auto"/>
                <w:kern w:val="0"/>
                <w:sz w:val="24"/>
              </w:rPr>
              <w:t>年环境空气中SO</w:t>
            </w:r>
            <w:r>
              <w:rPr>
                <w:rFonts w:hint="eastAsia" w:ascii="Times New Roman" w:hAnsi="Times New Roman" w:eastAsia="宋体" w:cs="Times New Roman"/>
                <w:color w:val="auto"/>
                <w:kern w:val="0"/>
                <w:sz w:val="24"/>
                <w:vertAlign w:val="subscript"/>
              </w:rPr>
              <w:t>2</w:t>
            </w:r>
            <w:r>
              <w:rPr>
                <w:rFonts w:hint="eastAsia" w:ascii="Times New Roman" w:hAnsi="Times New Roman" w:eastAsia="宋体" w:cs="Times New Roman"/>
                <w:color w:val="auto"/>
                <w:kern w:val="0"/>
                <w:sz w:val="24"/>
              </w:rPr>
              <w:t>年均值、NO</w:t>
            </w:r>
            <w:r>
              <w:rPr>
                <w:rFonts w:hint="eastAsia" w:ascii="Times New Roman" w:hAnsi="Times New Roman" w:eastAsia="宋体" w:cs="Times New Roman"/>
                <w:color w:val="auto"/>
                <w:kern w:val="0"/>
                <w:sz w:val="24"/>
                <w:vertAlign w:val="subscript"/>
              </w:rPr>
              <w:t>2</w:t>
            </w:r>
            <w:r>
              <w:rPr>
                <w:rFonts w:hint="eastAsia" w:ascii="Times New Roman" w:hAnsi="Times New Roman" w:eastAsia="宋体" w:cs="Times New Roman"/>
                <w:color w:val="auto"/>
                <w:kern w:val="0"/>
                <w:sz w:val="24"/>
              </w:rPr>
              <w:t>年均值、CO 24小时平均第95百分位数</w:t>
            </w:r>
            <w:r>
              <w:rPr>
                <w:rFonts w:hint="eastAsia" w:ascii="Times New Roman" w:hAnsi="Times New Roman" w:eastAsia="宋体" w:cs="Times New Roman"/>
                <w:color w:val="auto"/>
                <w:kern w:val="0"/>
                <w:sz w:val="24"/>
                <w:lang w:val="en-US" w:eastAsia="zh-CN"/>
              </w:rPr>
              <w:t>、</w:t>
            </w:r>
            <w:r>
              <w:rPr>
                <w:rFonts w:hint="eastAsia" w:ascii="Times New Roman" w:hAnsi="Times New Roman" w:eastAsia="宋体" w:cs="Times New Roman"/>
                <w:color w:val="auto"/>
                <w:kern w:val="0"/>
                <w:sz w:val="24"/>
              </w:rPr>
              <w:t>均达到《环境空气质量标准》（GB3095-2012）中二级标准；PM</w:t>
            </w:r>
            <w:r>
              <w:rPr>
                <w:rFonts w:hint="eastAsia" w:ascii="Times New Roman" w:hAnsi="Times New Roman" w:eastAsia="宋体" w:cs="Times New Roman"/>
                <w:color w:val="auto"/>
                <w:kern w:val="0"/>
                <w:sz w:val="24"/>
                <w:vertAlign w:val="subscript"/>
              </w:rPr>
              <w:t>2.5</w:t>
            </w:r>
            <w:r>
              <w:rPr>
                <w:rFonts w:hint="eastAsia" w:ascii="Times New Roman" w:hAnsi="Times New Roman" w:eastAsia="宋体" w:cs="Times New Roman"/>
                <w:color w:val="auto"/>
                <w:kern w:val="0"/>
                <w:sz w:val="24"/>
                <w:lang w:eastAsia="zh-CN"/>
              </w:rPr>
              <w:t>平</w:t>
            </w:r>
            <w:r>
              <w:rPr>
                <w:rFonts w:hint="eastAsia" w:ascii="Times New Roman" w:hAnsi="Times New Roman" w:eastAsia="宋体" w:cs="Times New Roman"/>
                <w:color w:val="auto"/>
                <w:kern w:val="0"/>
                <w:sz w:val="24"/>
              </w:rPr>
              <w:t>均值、PM</w:t>
            </w:r>
            <w:r>
              <w:rPr>
                <w:rFonts w:hint="eastAsia" w:ascii="Times New Roman" w:hAnsi="Times New Roman" w:eastAsia="宋体" w:cs="Times New Roman"/>
                <w:color w:val="auto"/>
                <w:kern w:val="0"/>
                <w:sz w:val="24"/>
                <w:vertAlign w:val="subscript"/>
                <w:lang w:val="en-US" w:eastAsia="zh-CN"/>
              </w:rPr>
              <w:t>10</w:t>
            </w:r>
            <w:r>
              <w:rPr>
                <w:rFonts w:hint="eastAsia" w:ascii="Times New Roman" w:hAnsi="Times New Roman" w:eastAsia="宋体" w:cs="Times New Roman"/>
                <w:color w:val="auto"/>
                <w:kern w:val="0"/>
                <w:sz w:val="24"/>
                <w:lang w:eastAsia="zh-CN"/>
              </w:rPr>
              <w:t>平</w:t>
            </w:r>
            <w:r>
              <w:rPr>
                <w:rFonts w:hint="eastAsia" w:ascii="Times New Roman" w:hAnsi="Times New Roman" w:eastAsia="宋体" w:cs="Times New Roman"/>
                <w:color w:val="auto"/>
                <w:kern w:val="0"/>
                <w:sz w:val="24"/>
              </w:rPr>
              <w:t>均值</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O</w:t>
            </w:r>
            <w:r>
              <w:rPr>
                <w:rFonts w:hint="eastAsia" w:ascii="Times New Roman" w:hAnsi="Times New Roman" w:eastAsia="宋体" w:cs="Times New Roman"/>
                <w:color w:val="auto"/>
                <w:kern w:val="0"/>
                <w:sz w:val="24"/>
                <w:vertAlign w:val="subscript"/>
              </w:rPr>
              <w:t>3</w:t>
            </w:r>
            <w:r>
              <w:rPr>
                <w:rFonts w:hint="eastAsia" w:ascii="Times New Roman" w:hAnsi="Times New Roman" w:eastAsia="宋体" w:cs="Times New Roman"/>
                <w:color w:val="auto"/>
                <w:kern w:val="0"/>
                <w:sz w:val="24"/>
              </w:rPr>
              <w:t>日最大8小时平均第90百分位数</w:t>
            </w:r>
            <w:r>
              <w:rPr>
                <w:rFonts w:hint="eastAsia" w:ascii="Times New Roman" w:hAnsi="Times New Roman" w:eastAsia="宋体" w:cs="Times New Roman"/>
                <w:color w:val="auto"/>
                <w:kern w:val="0"/>
                <w:sz w:val="24"/>
                <w:lang w:eastAsia="zh-CN"/>
              </w:rPr>
              <w:t>值</w:t>
            </w:r>
            <w:r>
              <w:rPr>
                <w:rFonts w:hint="eastAsia" w:ascii="Times New Roman" w:hAnsi="Times New Roman" w:eastAsia="宋体" w:cs="Times New Roman"/>
                <w:color w:val="auto"/>
                <w:kern w:val="0"/>
                <w:sz w:val="24"/>
              </w:rPr>
              <w:t>超过《环境空气质量标准》（GB3095-2012）中二级标准，因此判定为不达标区。</w:t>
            </w:r>
          </w:p>
          <w:p w14:paraId="3B2E820E">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2</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特征污染物</w:t>
            </w:r>
          </w:p>
          <w:p w14:paraId="75C72900">
            <w:pPr>
              <w:kinsoku/>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auto"/>
                <w:kern w:val="0"/>
                <w:sz w:val="24"/>
                <w:lang w:val="en-US" w:eastAsia="zh-CN"/>
              </w:rPr>
              <w:t>本</w:t>
            </w:r>
            <w:r>
              <w:rPr>
                <w:rFonts w:hint="default" w:ascii="Times New Roman" w:hAnsi="Times New Roman" w:eastAsia="宋体" w:cs="Times New Roman"/>
                <w:color w:val="auto"/>
                <w:kern w:val="0"/>
                <w:sz w:val="24"/>
                <w:lang w:val="en-US" w:eastAsia="zh-CN"/>
              </w:rPr>
              <w:t>项目位于</w:t>
            </w:r>
            <w:r>
              <w:rPr>
                <w:rFonts w:hint="eastAsia" w:cs="Times New Roman"/>
                <w:color w:val="auto"/>
                <w:kern w:val="0"/>
                <w:sz w:val="24"/>
                <w:lang w:eastAsia="zh-CN"/>
              </w:rPr>
              <w:t>安徽省宿州市埇桥区朱仙庄镇三塔路与幸福路向南20米</w:t>
            </w:r>
            <w:r>
              <w:rPr>
                <w:rFonts w:hint="default" w:ascii="Times New Roman" w:hAnsi="Times New Roman" w:eastAsia="宋体" w:cs="Times New Roman"/>
                <w:color w:val="auto"/>
                <w:kern w:val="0"/>
                <w:sz w:val="24"/>
                <w:lang w:val="en-US" w:eastAsia="zh-CN"/>
              </w:rPr>
              <w:t>，</w:t>
            </w:r>
            <w:r>
              <w:rPr>
                <w:rFonts w:hint="eastAsia"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val="en-US" w:eastAsia="zh-CN"/>
              </w:rPr>
              <w:t>非甲烷总烃特征因子</w:t>
            </w:r>
            <w:r>
              <w:rPr>
                <w:rFonts w:hint="eastAsia" w:ascii="Times New Roman" w:hAnsi="Times New Roman" w:eastAsia="宋体" w:cs="Times New Roman"/>
                <w:color w:val="auto"/>
                <w:sz w:val="24"/>
                <w:szCs w:val="24"/>
                <w:lang w:eastAsia="zh-CN"/>
              </w:rPr>
              <w:t>委托安徽鑫程检测科技有限公司进行检测，</w:t>
            </w:r>
            <w:r>
              <w:rPr>
                <w:rFonts w:hint="eastAsia"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sz w:val="24"/>
                <w:szCs w:val="24"/>
                <w:lang w:val="en-US" w:eastAsia="zh-CN"/>
              </w:rPr>
              <w:t>距离G1大魏村监测点约1228m，监测时间为2025年8月17日~2025年8月19日</w:t>
            </w:r>
            <w:r>
              <w:rPr>
                <w:rFonts w:hint="eastAsia" w:ascii="Times New Roman" w:hAnsi="Times New Roman" w:eastAsia="宋体" w:cs="Times New Roman"/>
                <w:sz w:val="24"/>
                <w:szCs w:val="24"/>
                <w:lang w:eastAsia="zh-CN"/>
              </w:rPr>
              <w:t>（报告编号：</w:t>
            </w:r>
            <w:r>
              <w:rPr>
                <w:rFonts w:hint="eastAsia" w:ascii="Times New Roman" w:hAnsi="Times New Roman" w:eastAsia="宋体" w:cs="Times New Roman"/>
                <w:sz w:val="24"/>
                <w:szCs w:val="24"/>
                <w:lang w:val="en-US" w:eastAsia="zh-CN"/>
              </w:rPr>
              <w:t>2025080600801H-01</w:t>
            </w:r>
            <w:r>
              <w:rPr>
                <w:rFonts w:hint="eastAsia" w:ascii="Times New Roman" w:hAnsi="Times New Roman" w:eastAsia="宋体" w:cs="Times New Roman"/>
                <w:sz w:val="24"/>
                <w:szCs w:val="24"/>
                <w:lang w:eastAsia="zh-CN"/>
              </w:rPr>
              <w:t>）。</w:t>
            </w:r>
          </w:p>
          <w:p w14:paraId="6DAD1998">
            <w:pPr>
              <w:kinsoku/>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根据《建设项目环境影响报告表编制技术指南》（污染影响类）要求</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排放国家、地方环境空气质量标准中有标准限值要求的特征污染物时，引用建设项目周边5千米范围内近3年的现有监测数据</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本项目环境质量现状监测引用该项目现状监测数据是可行的。</w:t>
            </w:r>
          </w:p>
          <w:p w14:paraId="271E8D17">
            <w:pPr>
              <w:kinsoku/>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①监测点位</w:t>
            </w:r>
          </w:p>
          <w:p w14:paraId="52B7FD0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 xml:space="preserve">3.2  </w:t>
            </w:r>
            <w:r>
              <w:rPr>
                <w:rFonts w:ascii="Times New Roman" w:hAnsi="Times New Roman" w:eastAsia="宋体" w:cs="Times New Roman"/>
                <w:b/>
                <w:bCs/>
                <w:sz w:val="24"/>
                <w:szCs w:val="24"/>
                <w:lang w:eastAsia="zh-CN"/>
              </w:rPr>
              <w:t>监测点位分布</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3041"/>
              <w:gridCol w:w="2088"/>
              <w:gridCol w:w="2088"/>
            </w:tblGrid>
            <w:tr w14:paraId="5C79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9" w:type="dxa"/>
                  <w:vAlign w:val="center"/>
                </w:tcPr>
                <w:p w14:paraId="64011704">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rPr>
                  </w:pPr>
                  <w:r>
                    <w:rPr>
                      <w:rFonts w:ascii="Times New Roman" w:hAnsi="Times New Roman" w:eastAsia="宋体" w:cs="Times New Roman"/>
                    </w:rPr>
                    <w:t>序号</w:t>
                  </w:r>
                </w:p>
              </w:tc>
              <w:tc>
                <w:tcPr>
                  <w:tcW w:w="2899" w:type="dxa"/>
                  <w:vAlign w:val="center"/>
                </w:tcPr>
                <w:p w14:paraId="2C83B55F">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rPr>
                  </w:pPr>
                  <w:r>
                    <w:rPr>
                      <w:rFonts w:ascii="Times New Roman" w:hAnsi="Times New Roman" w:eastAsia="宋体" w:cs="Times New Roman"/>
                    </w:rPr>
                    <w:t>监测点位</w:t>
                  </w:r>
                </w:p>
              </w:tc>
              <w:tc>
                <w:tcPr>
                  <w:tcW w:w="1990" w:type="dxa"/>
                  <w:vAlign w:val="center"/>
                </w:tcPr>
                <w:p w14:paraId="5F891138">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rPr>
                  </w:pPr>
                  <w:r>
                    <w:rPr>
                      <w:rFonts w:ascii="Times New Roman" w:hAnsi="Times New Roman" w:eastAsia="宋体" w:cs="Times New Roman"/>
                    </w:rPr>
                    <w:t>方位</w:t>
                  </w:r>
                </w:p>
              </w:tc>
              <w:tc>
                <w:tcPr>
                  <w:tcW w:w="1990" w:type="dxa"/>
                  <w:vAlign w:val="center"/>
                </w:tcPr>
                <w:p w14:paraId="2910A27B">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rPr>
                  </w:pPr>
                  <w:r>
                    <w:rPr>
                      <w:rFonts w:ascii="Times New Roman" w:hAnsi="Times New Roman" w:eastAsia="宋体" w:cs="Times New Roman"/>
                    </w:rPr>
                    <w:t>距离</w:t>
                  </w:r>
                </w:p>
              </w:tc>
            </w:tr>
            <w:tr w14:paraId="1DFF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9" w:type="dxa"/>
                  <w:vAlign w:val="center"/>
                </w:tcPr>
                <w:p w14:paraId="62B70F16">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rPr>
                  </w:pPr>
                  <w:r>
                    <w:rPr>
                      <w:rFonts w:ascii="Times New Roman" w:hAnsi="Times New Roman" w:eastAsia="宋体" w:cs="Times New Roman"/>
                    </w:rPr>
                    <w:t>1</w:t>
                  </w:r>
                </w:p>
              </w:tc>
              <w:tc>
                <w:tcPr>
                  <w:tcW w:w="2899" w:type="dxa"/>
                  <w:vAlign w:val="center"/>
                </w:tcPr>
                <w:p w14:paraId="3B54D24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大魏村</w:t>
                  </w:r>
                  <w:r>
                    <w:rPr>
                      <w:rFonts w:ascii="Times New Roman" w:hAnsi="Times New Roman" w:eastAsia="宋体" w:cs="Times New Roman"/>
                    </w:rPr>
                    <w:t>G</w:t>
                  </w:r>
                  <w:r>
                    <w:rPr>
                      <w:rFonts w:hint="eastAsia" w:ascii="Times New Roman" w:hAnsi="Times New Roman" w:eastAsia="宋体" w:cs="Times New Roman"/>
                      <w:lang w:val="en-US" w:eastAsia="zh-CN"/>
                    </w:rPr>
                    <w:t>1</w:t>
                  </w:r>
                </w:p>
              </w:tc>
              <w:tc>
                <w:tcPr>
                  <w:tcW w:w="1990" w:type="dxa"/>
                  <w:vAlign w:val="center"/>
                </w:tcPr>
                <w:p w14:paraId="42FCB8F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西南</w:t>
                  </w:r>
                </w:p>
              </w:tc>
              <w:tc>
                <w:tcPr>
                  <w:tcW w:w="1990" w:type="dxa"/>
                  <w:vAlign w:val="center"/>
                </w:tcPr>
                <w:p w14:paraId="6814E4AA">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rPr>
                  </w:pPr>
                  <w:r>
                    <w:rPr>
                      <w:rFonts w:hint="eastAsia" w:ascii="Times New Roman" w:hAnsi="Times New Roman" w:eastAsia="宋体" w:cs="Times New Roman"/>
                      <w:lang w:val="en-US" w:eastAsia="zh-CN"/>
                    </w:rPr>
                    <w:t>1228</w:t>
                  </w:r>
                  <w:r>
                    <w:rPr>
                      <w:rFonts w:ascii="Times New Roman" w:hAnsi="Times New Roman" w:eastAsia="宋体" w:cs="Times New Roman"/>
                    </w:rPr>
                    <w:t>m</w:t>
                  </w:r>
                </w:p>
              </w:tc>
            </w:tr>
          </w:tbl>
          <w:p w14:paraId="32F9137B">
            <w:pPr>
              <w:keepNext w:val="0"/>
              <w:keepLines w:val="0"/>
              <w:pageBreakBefore w:val="0"/>
              <w:widowControl/>
              <w:kinsoku/>
              <w:wordWrap/>
              <w:overflowPunct/>
              <w:topLinePunct w:val="0"/>
              <w:autoSpaceDE w:val="0"/>
              <w:autoSpaceDN w:val="0"/>
              <w:bidi w:val="0"/>
              <w:adjustRightInd w:val="0"/>
              <w:snapToGrid w:val="0"/>
              <w:spacing w:line="360" w:lineRule="auto"/>
              <w:ind w:left="0" w:hanging="420" w:hangingChars="200"/>
              <w:jc w:val="center"/>
              <w:textAlignment w:val="baseline"/>
              <w:rPr>
                <w:rFonts w:ascii="Times New Roman" w:hAnsi="Times New Roman" w:eastAsia="宋体" w:cs="Times New Roman"/>
                <w:b/>
                <w:bCs/>
                <w:sz w:val="24"/>
                <w:highlight w:val="none"/>
                <w:lang w:eastAsia="zh-CN"/>
              </w:rPr>
            </w:pPr>
            <w:r>
              <w:drawing>
                <wp:inline distT="0" distB="0" distL="114300" distR="114300">
                  <wp:extent cx="4707890" cy="3424555"/>
                  <wp:effectExtent l="0" t="0" r="6985" b="44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4707890" cy="3424555"/>
                          </a:xfrm>
                          <a:prstGeom prst="rect">
                            <a:avLst/>
                          </a:prstGeom>
                          <a:noFill/>
                          <a:ln>
                            <a:noFill/>
                          </a:ln>
                        </pic:spPr>
                      </pic:pic>
                    </a:graphicData>
                  </a:graphic>
                </wp:inline>
              </w:drawing>
            </w:r>
          </w:p>
          <w:p w14:paraId="55FDB064">
            <w:pPr>
              <w:keepNext w:val="0"/>
              <w:keepLines w:val="0"/>
              <w:pageBreakBefore w:val="0"/>
              <w:widowControl/>
              <w:kinsoku/>
              <w:wordWrap/>
              <w:overflowPunct/>
              <w:topLinePunct w:val="0"/>
              <w:autoSpaceDE w:val="0"/>
              <w:autoSpaceDN w:val="0"/>
              <w:bidi w:val="0"/>
              <w:adjustRightInd w:val="0"/>
              <w:snapToGrid w:val="0"/>
              <w:spacing w:line="360" w:lineRule="auto"/>
              <w:ind w:left="0" w:hanging="482" w:hangingChars="200"/>
              <w:jc w:val="center"/>
              <w:textAlignment w:val="baseline"/>
              <w:rPr>
                <w:highlight w:val="none"/>
                <w:lang w:eastAsia="zh-CN"/>
              </w:rPr>
            </w:pPr>
            <w:r>
              <w:rPr>
                <w:rFonts w:ascii="Times New Roman" w:hAnsi="Times New Roman" w:eastAsia="宋体" w:cs="Times New Roman"/>
                <w:b/>
                <w:bCs/>
                <w:sz w:val="24"/>
                <w:highlight w:val="none"/>
                <w:lang w:eastAsia="zh-CN"/>
              </w:rPr>
              <w:t>图3</w:t>
            </w:r>
            <w:r>
              <w:rPr>
                <w:rFonts w:hint="eastAsia" w:ascii="Times New Roman" w:hAnsi="Times New Roman" w:eastAsia="宋体" w:cs="Times New Roman"/>
                <w:b/>
                <w:bCs/>
                <w:sz w:val="24"/>
                <w:highlight w:val="none"/>
                <w:lang w:val="en-US" w:eastAsia="zh-CN"/>
              </w:rPr>
              <w:t>.</w:t>
            </w:r>
            <w:r>
              <w:rPr>
                <w:rFonts w:ascii="Times New Roman" w:hAnsi="Times New Roman" w:eastAsia="宋体" w:cs="Times New Roman"/>
                <w:b/>
                <w:bCs/>
                <w:sz w:val="24"/>
                <w:highlight w:val="none"/>
                <w:lang w:eastAsia="zh-CN"/>
              </w:rPr>
              <w:t>1</w:t>
            </w:r>
            <w:r>
              <w:rPr>
                <w:rFonts w:hint="eastAsia" w:ascii="Times New Roman" w:hAnsi="Times New Roman" w:eastAsia="宋体" w:cs="Times New Roman"/>
                <w:b/>
                <w:bCs/>
                <w:sz w:val="24"/>
                <w:highlight w:val="none"/>
                <w:lang w:val="en-US" w:eastAsia="zh-CN"/>
              </w:rPr>
              <w:t xml:space="preserve">  </w:t>
            </w:r>
            <w:r>
              <w:rPr>
                <w:rFonts w:ascii="Times New Roman" w:hAnsi="Times New Roman" w:eastAsia="宋体" w:cs="Times New Roman"/>
                <w:b/>
                <w:bCs/>
                <w:sz w:val="24"/>
                <w:highlight w:val="none"/>
                <w:lang w:eastAsia="zh-CN"/>
              </w:rPr>
              <w:t>监测点位图</w:t>
            </w:r>
          </w:p>
          <w:p w14:paraId="2BEFB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 xml:space="preserve">3.3  </w:t>
            </w:r>
            <w:r>
              <w:rPr>
                <w:rFonts w:hint="default" w:ascii="Times New Roman" w:hAnsi="Times New Roman" w:eastAsia="宋体" w:cs="Times New Roman"/>
                <w:b/>
                <w:bCs/>
                <w:color w:val="000000"/>
                <w:sz w:val="24"/>
                <w:szCs w:val="24"/>
                <w:lang w:val="en-US" w:eastAsia="zh-CN"/>
              </w:rPr>
              <w:t>大气环境质量监测结果一览表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344"/>
              <w:gridCol w:w="1817"/>
              <w:gridCol w:w="1670"/>
              <w:gridCol w:w="1673"/>
            </w:tblGrid>
            <w:tr w14:paraId="5526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noWrap w:val="0"/>
                  <w:vAlign w:val="center"/>
                </w:tcPr>
                <w:p w14:paraId="6C2925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检测信息表</w:t>
                  </w:r>
                </w:p>
              </w:tc>
            </w:tr>
            <w:tr w14:paraId="64A3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5" w:type="pct"/>
                  <w:noWrap w:val="0"/>
                  <w:vAlign w:val="center"/>
                </w:tcPr>
                <w:p w14:paraId="01877B9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采样日期</w:t>
                  </w:r>
                </w:p>
              </w:tc>
              <w:tc>
                <w:tcPr>
                  <w:tcW w:w="1893" w:type="pct"/>
                  <w:gridSpan w:val="2"/>
                  <w:noWrap w:val="0"/>
                  <w:vAlign w:val="center"/>
                </w:tcPr>
                <w:p w14:paraId="41399A6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2025年8月17日~2025年8月19日</w:t>
                  </w:r>
                </w:p>
              </w:tc>
              <w:tc>
                <w:tcPr>
                  <w:tcW w:w="1000" w:type="pct"/>
                  <w:noWrap w:val="0"/>
                  <w:vAlign w:val="center"/>
                </w:tcPr>
                <w:p w14:paraId="3F8CFF9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eastAsia="zh-CN"/>
                    </w:rPr>
                    <w:t>分析</w:t>
                  </w:r>
                  <w:r>
                    <w:rPr>
                      <w:rFonts w:hint="default" w:ascii="Times New Roman" w:hAnsi="Times New Roman" w:eastAsia="宋体" w:cs="Times New Roman"/>
                      <w:b w:val="0"/>
                      <w:bCs w:val="0"/>
                      <w:color w:val="auto"/>
                      <w:sz w:val="21"/>
                      <w:szCs w:val="21"/>
                    </w:rPr>
                    <w:t>日期</w:t>
                  </w:r>
                </w:p>
              </w:tc>
              <w:tc>
                <w:tcPr>
                  <w:tcW w:w="1000" w:type="pct"/>
                  <w:noWrap w:val="0"/>
                  <w:vAlign w:val="center"/>
                </w:tcPr>
                <w:p w14:paraId="1B361AE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日始</w:t>
                  </w:r>
                </w:p>
              </w:tc>
            </w:tr>
            <w:tr w14:paraId="4F58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noWrap w:val="0"/>
                  <w:vAlign w:val="center"/>
                </w:tcPr>
                <w:p w14:paraId="3D65D6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大气监测气象参数</w:t>
                  </w:r>
                </w:p>
              </w:tc>
            </w:tr>
            <w:tr w14:paraId="2C05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5" w:type="pct"/>
                  <w:noWrap w:val="0"/>
                  <w:vAlign w:val="center"/>
                </w:tcPr>
                <w:p w14:paraId="4210A4F8">
                  <w:pPr>
                    <w:widowControl w:val="0"/>
                    <w:spacing w:line="240" w:lineRule="atLeast"/>
                    <w:jc w:val="center"/>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采样日期</w:t>
                  </w:r>
                </w:p>
              </w:tc>
              <w:tc>
                <w:tcPr>
                  <w:tcW w:w="805" w:type="pct"/>
                  <w:noWrap w:val="0"/>
                  <w:vAlign w:val="center"/>
                </w:tcPr>
                <w:p w14:paraId="4B58855C">
                  <w:pPr>
                    <w:widowControl w:val="0"/>
                    <w:spacing w:line="240" w:lineRule="atLeast"/>
                    <w:jc w:val="center"/>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color w:val="auto"/>
                      <w:sz w:val="21"/>
                      <w:szCs w:val="21"/>
                    </w:rPr>
                    <w:t>风速（m/s）</w:t>
                  </w:r>
                </w:p>
              </w:tc>
              <w:tc>
                <w:tcPr>
                  <w:tcW w:w="1088" w:type="pct"/>
                  <w:noWrap w:val="0"/>
                  <w:vAlign w:val="center"/>
                </w:tcPr>
                <w:p w14:paraId="5AA2FF7C">
                  <w:pPr>
                    <w:widowControl w:val="0"/>
                    <w:spacing w:line="240" w:lineRule="atLeast"/>
                    <w:jc w:val="center"/>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color w:val="auto"/>
                      <w:sz w:val="21"/>
                      <w:szCs w:val="21"/>
                    </w:rPr>
                    <w:t>风向</w:t>
                  </w:r>
                </w:p>
              </w:tc>
              <w:tc>
                <w:tcPr>
                  <w:tcW w:w="1000" w:type="pct"/>
                  <w:noWrap w:val="0"/>
                  <w:vAlign w:val="center"/>
                </w:tcPr>
                <w:p w14:paraId="6A57D268">
                  <w:pPr>
                    <w:widowControl w:val="0"/>
                    <w:spacing w:line="240" w:lineRule="atLeast"/>
                    <w:jc w:val="center"/>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color w:val="auto"/>
                      <w:sz w:val="21"/>
                      <w:szCs w:val="21"/>
                    </w:rPr>
                    <w:t>气温（℃）</w:t>
                  </w:r>
                </w:p>
              </w:tc>
              <w:tc>
                <w:tcPr>
                  <w:tcW w:w="1000" w:type="pct"/>
                  <w:noWrap w:val="0"/>
                  <w:vAlign w:val="center"/>
                </w:tcPr>
                <w:p w14:paraId="62826046">
                  <w:pPr>
                    <w:widowControl w:val="0"/>
                    <w:spacing w:line="240" w:lineRule="atLeast"/>
                    <w:jc w:val="center"/>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color w:val="auto"/>
                      <w:sz w:val="21"/>
                      <w:szCs w:val="21"/>
                      <w:lang w:eastAsia="zh-CN"/>
                    </w:rPr>
                    <w:t>气压（</w:t>
                  </w:r>
                  <w:r>
                    <w:rPr>
                      <w:rFonts w:hint="default" w:ascii="Times New Roman" w:hAnsi="Times New Roman" w:eastAsia="宋体" w:cs="Times New Roman"/>
                      <w:b w:val="0"/>
                      <w:bCs/>
                      <w:color w:val="auto"/>
                      <w:sz w:val="21"/>
                      <w:szCs w:val="21"/>
                      <w:lang w:val="en-US" w:eastAsia="zh-CN"/>
                    </w:rPr>
                    <w:t>Kpa</w:t>
                  </w:r>
                  <w:r>
                    <w:rPr>
                      <w:rFonts w:hint="default" w:ascii="Times New Roman" w:hAnsi="Times New Roman" w:eastAsia="宋体" w:cs="Times New Roman"/>
                      <w:b w:val="0"/>
                      <w:bCs/>
                      <w:color w:val="auto"/>
                      <w:sz w:val="21"/>
                      <w:szCs w:val="21"/>
                      <w:lang w:eastAsia="zh-CN"/>
                    </w:rPr>
                    <w:t>）</w:t>
                  </w:r>
                </w:p>
              </w:tc>
            </w:tr>
            <w:tr w14:paraId="0BFB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9" w:type="dxa"/>
                  <w:noWrap w:val="0"/>
                  <w:vAlign w:val="center"/>
                </w:tcPr>
                <w:p w14:paraId="6902D52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2025.8.17</w:t>
                  </w:r>
                </w:p>
              </w:tc>
              <w:tc>
                <w:tcPr>
                  <w:tcW w:w="805" w:type="pct"/>
                  <w:noWrap w:val="0"/>
                  <w:vAlign w:val="center"/>
                </w:tcPr>
                <w:p w14:paraId="790CD2A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.1-2.3</w:t>
                  </w:r>
                </w:p>
              </w:tc>
              <w:tc>
                <w:tcPr>
                  <w:tcW w:w="1088" w:type="pct"/>
                  <w:noWrap w:val="0"/>
                  <w:vAlign w:val="center"/>
                </w:tcPr>
                <w:p w14:paraId="2C825DD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东南</w:t>
                  </w:r>
                </w:p>
              </w:tc>
              <w:tc>
                <w:tcPr>
                  <w:tcW w:w="1000" w:type="pct"/>
                  <w:noWrap w:val="0"/>
                  <w:vAlign w:val="center"/>
                </w:tcPr>
                <w:p w14:paraId="2F8D00A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35</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36</w:t>
                  </w:r>
                </w:p>
              </w:tc>
              <w:tc>
                <w:tcPr>
                  <w:tcW w:w="1000" w:type="pct"/>
                  <w:noWrap w:val="0"/>
                  <w:vAlign w:val="center"/>
                </w:tcPr>
                <w:p w14:paraId="54D354C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10</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21</w:t>
                  </w:r>
                  <w:r>
                    <w:rPr>
                      <w:rFonts w:hint="default" w:ascii="Times New Roman" w:hAnsi="Times New Roman" w:eastAsia="宋体" w:cs="Times New Roman"/>
                      <w:b w:val="0"/>
                      <w:bCs w:val="0"/>
                      <w:color w:val="auto"/>
                      <w:sz w:val="21"/>
                      <w:szCs w:val="21"/>
                      <w:lang w:val="en-US" w:eastAsia="zh-CN"/>
                    </w:rPr>
                    <w:t>-10</w:t>
                  </w:r>
                  <w:r>
                    <w:rPr>
                      <w:rFonts w:hint="eastAsia" w:ascii="Times New Roman" w:hAnsi="Times New Roman" w:eastAsia="宋体" w:cs="Times New Roman"/>
                      <w:b w:val="0"/>
                      <w:bCs w:val="0"/>
                      <w:color w:val="auto"/>
                      <w:sz w:val="21"/>
                      <w:szCs w:val="21"/>
                      <w:lang w:val="en-US" w:eastAsia="zh-CN"/>
                    </w:rPr>
                    <w:t>0.41</w:t>
                  </w:r>
                </w:p>
              </w:tc>
            </w:tr>
            <w:tr w14:paraId="2F73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9" w:type="dxa"/>
                  <w:noWrap w:val="0"/>
                  <w:vAlign w:val="center"/>
                </w:tcPr>
                <w:p w14:paraId="499912A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2025.8.18</w:t>
                  </w:r>
                </w:p>
              </w:tc>
              <w:tc>
                <w:tcPr>
                  <w:tcW w:w="805" w:type="pct"/>
                  <w:noWrap w:val="0"/>
                  <w:vAlign w:val="center"/>
                </w:tcPr>
                <w:p w14:paraId="2A5087F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1.7-2.1</w:t>
                  </w:r>
                </w:p>
              </w:tc>
              <w:tc>
                <w:tcPr>
                  <w:tcW w:w="1088" w:type="pct"/>
                  <w:noWrap w:val="0"/>
                  <w:vAlign w:val="center"/>
                </w:tcPr>
                <w:p w14:paraId="3AED8D4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东南</w:t>
                  </w:r>
                </w:p>
              </w:tc>
              <w:tc>
                <w:tcPr>
                  <w:tcW w:w="1000" w:type="pct"/>
                  <w:noWrap w:val="0"/>
                  <w:vAlign w:val="center"/>
                </w:tcPr>
                <w:p w14:paraId="6653DAC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34</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36</w:t>
                  </w:r>
                </w:p>
              </w:tc>
              <w:tc>
                <w:tcPr>
                  <w:tcW w:w="1000" w:type="pct"/>
                  <w:noWrap w:val="0"/>
                  <w:vAlign w:val="center"/>
                </w:tcPr>
                <w:p w14:paraId="426CA7D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10</w:t>
                  </w:r>
                  <w:r>
                    <w:rPr>
                      <w:rFonts w:hint="eastAsia" w:ascii="Times New Roman" w:hAnsi="Times New Roman" w:eastAsia="宋体" w:cs="Times New Roman"/>
                      <w:b w:val="0"/>
                      <w:bCs w:val="0"/>
                      <w:color w:val="auto"/>
                      <w:sz w:val="21"/>
                      <w:szCs w:val="21"/>
                      <w:lang w:val="en-US" w:eastAsia="zh-CN"/>
                    </w:rPr>
                    <w:t>0.17</w:t>
                  </w:r>
                  <w:r>
                    <w:rPr>
                      <w:rFonts w:hint="default" w:ascii="Times New Roman" w:hAnsi="Times New Roman" w:eastAsia="宋体" w:cs="Times New Roman"/>
                      <w:b w:val="0"/>
                      <w:bCs w:val="0"/>
                      <w:color w:val="auto"/>
                      <w:sz w:val="21"/>
                      <w:szCs w:val="21"/>
                      <w:lang w:val="en-US" w:eastAsia="zh-CN"/>
                    </w:rPr>
                    <w:t>-10</w:t>
                  </w:r>
                  <w:r>
                    <w:rPr>
                      <w:rFonts w:hint="eastAsia" w:ascii="Times New Roman" w:hAnsi="Times New Roman" w:eastAsia="宋体" w:cs="Times New Roman"/>
                      <w:b w:val="0"/>
                      <w:bCs w:val="0"/>
                      <w:color w:val="auto"/>
                      <w:sz w:val="21"/>
                      <w:szCs w:val="21"/>
                      <w:lang w:val="en-US" w:eastAsia="zh-CN"/>
                    </w:rPr>
                    <w:t>0.41</w:t>
                  </w:r>
                </w:p>
              </w:tc>
            </w:tr>
            <w:tr w14:paraId="58B2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9" w:type="dxa"/>
                  <w:noWrap w:val="0"/>
                  <w:vAlign w:val="center"/>
                </w:tcPr>
                <w:p w14:paraId="2139AEE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2025.8.19</w:t>
                  </w:r>
                </w:p>
              </w:tc>
              <w:tc>
                <w:tcPr>
                  <w:tcW w:w="805" w:type="pct"/>
                  <w:noWrap w:val="0"/>
                  <w:vAlign w:val="center"/>
                </w:tcPr>
                <w:p w14:paraId="67EEF23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2.1-2.3</w:t>
                  </w:r>
                </w:p>
              </w:tc>
              <w:tc>
                <w:tcPr>
                  <w:tcW w:w="1088" w:type="pct"/>
                  <w:noWrap w:val="0"/>
                  <w:vAlign w:val="center"/>
                </w:tcPr>
                <w:p w14:paraId="1345120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东南</w:t>
                  </w:r>
                </w:p>
              </w:tc>
              <w:tc>
                <w:tcPr>
                  <w:tcW w:w="1000" w:type="pct"/>
                  <w:noWrap w:val="0"/>
                  <w:vAlign w:val="center"/>
                </w:tcPr>
                <w:p w14:paraId="19B09FD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35</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36</w:t>
                  </w:r>
                </w:p>
              </w:tc>
              <w:tc>
                <w:tcPr>
                  <w:tcW w:w="1000" w:type="pct"/>
                  <w:noWrap w:val="0"/>
                  <w:vAlign w:val="center"/>
                </w:tcPr>
                <w:p w14:paraId="779B0B1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10</w:t>
                  </w:r>
                  <w:r>
                    <w:rPr>
                      <w:rFonts w:hint="eastAsia" w:ascii="Times New Roman" w:hAnsi="Times New Roman" w:eastAsia="宋体" w:cs="Times New Roman"/>
                      <w:b w:val="0"/>
                      <w:bCs w:val="0"/>
                      <w:color w:val="auto"/>
                      <w:sz w:val="21"/>
                      <w:szCs w:val="21"/>
                      <w:lang w:val="en-US" w:eastAsia="zh-CN"/>
                    </w:rPr>
                    <w:t>0.49</w:t>
                  </w:r>
                  <w:r>
                    <w:rPr>
                      <w:rFonts w:hint="default" w:ascii="Times New Roman" w:hAnsi="Times New Roman" w:eastAsia="宋体" w:cs="Times New Roman"/>
                      <w:b w:val="0"/>
                      <w:bCs w:val="0"/>
                      <w:color w:val="auto"/>
                      <w:sz w:val="21"/>
                      <w:szCs w:val="21"/>
                      <w:lang w:val="en-US" w:eastAsia="zh-CN"/>
                    </w:rPr>
                    <w:t>-10</w:t>
                  </w:r>
                  <w:r>
                    <w:rPr>
                      <w:rFonts w:hint="eastAsia" w:ascii="Times New Roman" w:hAnsi="Times New Roman" w:eastAsia="宋体" w:cs="Times New Roman"/>
                      <w:b w:val="0"/>
                      <w:bCs w:val="0"/>
                      <w:color w:val="auto"/>
                      <w:sz w:val="21"/>
                      <w:szCs w:val="21"/>
                      <w:lang w:val="en-US" w:eastAsia="zh-CN"/>
                    </w:rPr>
                    <w:t>0.65</w:t>
                  </w:r>
                </w:p>
              </w:tc>
            </w:tr>
            <w:tr w14:paraId="7F01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noWrap w:val="0"/>
                  <w:vAlign w:val="center"/>
                </w:tcPr>
                <w:p w14:paraId="3ED258C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非甲烷总烃测点位置及结果（mg/m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default" w:ascii="Times New Roman" w:hAnsi="Times New Roman" w:eastAsia="宋体" w:cs="Times New Roman"/>
                      <w:b w:val="0"/>
                      <w:bCs w:val="0"/>
                      <w:color w:val="auto"/>
                      <w:kern w:val="0"/>
                      <w:sz w:val="21"/>
                      <w:szCs w:val="21"/>
                      <w:lang w:val="en-US" w:eastAsia="zh-CN" w:bidi="ar-SA"/>
                    </w:rPr>
                    <w:t>）</w:t>
                  </w:r>
                </w:p>
              </w:tc>
            </w:tr>
            <w:tr w14:paraId="437E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noWrap w:val="0"/>
                  <w:vAlign w:val="center"/>
                </w:tcPr>
                <w:p w14:paraId="608358C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采样日期</w:t>
                  </w:r>
                </w:p>
              </w:tc>
              <w:tc>
                <w:tcPr>
                  <w:tcW w:w="3089" w:type="pct"/>
                  <w:gridSpan w:val="3"/>
                  <w:noWrap w:val="0"/>
                  <w:vAlign w:val="center"/>
                </w:tcPr>
                <w:p w14:paraId="3863BE9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G1大魏村</w:t>
                  </w:r>
                </w:p>
              </w:tc>
            </w:tr>
            <w:tr w14:paraId="08AD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restart"/>
                  <w:noWrap w:val="0"/>
                  <w:vAlign w:val="center"/>
                </w:tcPr>
                <w:p w14:paraId="0F7B89C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2025.8.17</w:t>
                  </w:r>
                </w:p>
              </w:tc>
              <w:tc>
                <w:tcPr>
                  <w:tcW w:w="3089" w:type="pct"/>
                  <w:gridSpan w:val="3"/>
                  <w:noWrap w:val="0"/>
                  <w:vAlign w:val="center"/>
                </w:tcPr>
                <w:p w14:paraId="35F684F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1.13</w:t>
                  </w:r>
                </w:p>
              </w:tc>
            </w:tr>
            <w:tr w14:paraId="55A2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continue"/>
                  <w:noWrap w:val="0"/>
                  <w:vAlign w:val="center"/>
                </w:tcPr>
                <w:p w14:paraId="2D9BB92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089" w:type="pct"/>
                  <w:gridSpan w:val="3"/>
                  <w:noWrap w:val="0"/>
                  <w:vAlign w:val="center"/>
                </w:tcPr>
                <w:p w14:paraId="3140C08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0.95</w:t>
                  </w:r>
                </w:p>
              </w:tc>
            </w:tr>
            <w:tr w14:paraId="3026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continue"/>
                  <w:noWrap w:val="0"/>
                  <w:vAlign w:val="center"/>
                </w:tcPr>
                <w:p w14:paraId="261D5D3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089" w:type="pct"/>
                  <w:gridSpan w:val="3"/>
                  <w:noWrap w:val="0"/>
                  <w:vAlign w:val="center"/>
                </w:tcPr>
                <w:p w14:paraId="1C1F982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0.93</w:t>
                  </w:r>
                </w:p>
              </w:tc>
            </w:tr>
            <w:tr w14:paraId="0991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continue"/>
                  <w:noWrap w:val="0"/>
                  <w:vAlign w:val="center"/>
                </w:tcPr>
                <w:p w14:paraId="19A5780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089" w:type="pct"/>
                  <w:gridSpan w:val="3"/>
                  <w:noWrap w:val="0"/>
                  <w:vAlign w:val="center"/>
                </w:tcPr>
                <w:p w14:paraId="451EB83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0.95</w:t>
                  </w:r>
                </w:p>
              </w:tc>
            </w:tr>
            <w:tr w14:paraId="26B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10" w:type="pct"/>
                  <w:gridSpan w:val="2"/>
                  <w:vMerge w:val="restart"/>
                  <w:noWrap w:val="0"/>
                  <w:vAlign w:val="center"/>
                </w:tcPr>
                <w:p w14:paraId="1F2CA93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2025.8.18</w:t>
                  </w:r>
                </w:p>
              </w:tc>
              <w:tc>
                <w:tcPr>
                  <w:tcW w:w="3089" w:type="pct"/>
                  <w:gridSpan w:val="3"/>
                  <w:noWrap w:val="0"/>
                  <w:vAlign w:val="center"/>
                </w:tcPr>
                <w:p w14:paraId="2783C10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0.40</w:t>
                  </w:r>
                </w:p>
              </w:tc>
            </w:tr>
            <w:tr w14:paraId="1F3A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continue"/>
                  <w:noWrap w:val="0"/>
                  <w:vAlign w:val="center"/>
                </w:tcPr>
                <w:p w14:paraId="344A330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089" w:type="pct"/>
                  <w:gridSpan w:val="3"/>
                  <w:noWrap w:val="0"/>
                  <w:vAlign w:val="center"/>
                </w:tcPr>
                <w:p w14:paraId="1904989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0.49</w:t>
                  </w:r>
                </w:p>
              </w:tc>
            </w:tr>
            <w:tr w14:paraId="2466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continue"/>
                  <w:noWrap w:val="0"/>
                  <w:vAlign w:val="center"/>
                </w:tcPr>
                <w:p w14:paraId="225DCC1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089" w:type="pct"/>
                  <w:gridSpan w:val="3"/>
                  <w:noWrap w:val="0"/>
                  <w:vAlign w:val="center"/>
                </w:tcPr>
                <w:p w14:paraId="508C6B1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0.48</w:t>
                  </w:r>
                </w:p>
              </w:tc>
            </w:tr>
            <w:tr w14:paraId="36E4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continue"/>
                  <w:noWrap w:val="0"/>
                  <w:vAlign w:val="center"/>
                </w:tcPr>
                <w:p w14:paraId="375E5C3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089" w:type="pct"/>
                  <w:gridSpan w:val="3"/>
                  <w:noWrap w:val="0"/>
                  <w:vAlign w:val="center"/>
                </w:tcPr>
                <w:p w14:paraId="56188D9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0.50</w:t>
                  </w:r>
                </w:p>
              </w:tc>
            </w:tr>
            <w:tr w14:paraId="790B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restart"/>
                  <w:noWrap w:val="0"/>
                  <w:vAlign w:val="center"/>
                </w:tcPr>
                <w:p w14:paraId="184081A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2025.8.19</w:t>
                  </w:r>
                </w:p>
              </w:tc>
              <w:tc>
                <w:tcPr>
                  <w:tcW w:w="3089" w:type="pct"/>
                  <w:gridSpan w:val="3"/>
                  <w:noWrap w:val="0"/>
                  <w:vAlign w:val="center"/>
                </w:tcPr>
                <w:p w14:paraId="76D45D7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0.89</w:t>
                  </w:r>
                </w:p>
              </w:tc>
            </w:tr>
            <w:tr w14:paraId="001F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continue"/>
                  <w:noWrap w:val="0"/>
                  <w:vAlign w:val="center"/>
                </w:tcPr>
                <w:p w14:paraId="160728F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089" w:type="pct"/>
                  <w:gridSpan w:val="3"/>
                  <w:noWrap w:val="0"/>
                  <w:vAlign w:val="center"/>
                </w:tcPr>
                <w:p w14:paraId="46060DA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0.96</w:t>
                  </w:r>
                </w:p>
              </w:tc>
            </w:tr>
            <w:tr w14:paraId="7BE2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continue"/>
                  <w:noWrap w:val="0"/>
                  <w:vAlign w:val="center"/>
                </w:tcPr>
                <w:p w14:paraId="6BC8E93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089" w:type="pct"/>
                  <w:gridSpan w:val="3"/>
                  <w:noWrap w:val="0"/>
                  <w:vAlign w:val="center"/>
                </w:tcPr>
                <w:p w14:paraId="5B63813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0.87</w:t>
                  </w:r>
                </w:p>
              </w:tc>
            </w:tr>
            <w:tr w14:paraId="1E14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0" w:type="pct"/>
                  <w:gridSpan w:val="2"/>
                  <w:vMerge w:val="continue"/>
                  <w:noWrap w:val="0"/>
                  <w:vAlign w:val="center"/>
                </w:tcPr>
                <w:p w14:paraId="4C28EEF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089" w:type="pct"/>
                  <w:gridSpan w:val="3"/>
                  <w:noWrap w:val="0"/>
                  <w:vAlign w:val="center"/>
                </w:tcPr>
                <w:p w14:paraId="775306C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0.86</w:t>
                  </w:r>
                </w:p>
              </w:tc>
            </w:tr>
          </w:tbl>
          <w:p w14:paraId="0C56B8D1">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根据监测结果，</w:t>
            </w: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eastAsia="zh-CN"/>
              </w:rPr>
              <w:t>非甲烷总烃满足《大气污染物综合排放标准详解》的数值规定（一次值：2.0mg/m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6418181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2、地表水环境</w:t>
            </w:r>
          </w:p>
          <w:p w14:paraId="72ABC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color w:val="auto"/>
                <w:sz w:val="24"/>
                <w:szCs w:val="24"/>
                <w:highlight w:val="none"/>
                <w:lang w:bidi="zh-CN"/>
              </w:rPr>
              <w:t>根据《建设项目环境影响报告表编制技术指南（污染影响类）（试行）》，地表水环境引用与建设项目距离近的有效数据，包括近3年的规划环境影响评价的监测数据，所在流域控制单元内国家、地方控制断面监测数据，生态环境主管部门发布的水环境质量数据或地表水达标情况的结论。</w:t>
            </w:r>
          </w:p>
          <w:p w14:paraId="5CFDC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bidi="zh-CN"/>
              </w:rPr>
            </w:pPr>
            <w:r>
              <w:rPr>
                <w:rFonts w:hint="default" w:ascii="Times New Roman" w:hAnsi="Times New Roman" w:eastAsia="宋体" w:cs="Times New Roman"/>
                <w:color w:val="auto"/>
                <w:sz w:val="24"/>
                <w:szCs w:val="24"/>
                <w:highlight w:val="none"/>
                <w:lang w:bidi="zh-CN"/>
              </w:rPr>
              <w:t>根据宿州市生态环境局发布的</w:t>
            </w:r>
            <w:r>
              <w:rPr>
                <w:rFonts w:hint="default" w:ascii="Times New Roman" w:hAnsi="Times New Roman" w:eastAsia="宋体" w:cs="Times New Roman"/>
                <w:color w:val="auto"/>
                <w:sz w:val="24"/>
                <w:szCs w:val="24"/>
                <w:highlight w:val="none"/>
                <w:lang w:eastAsia="zh-CN" w:bidi="zh-CN"/>
              </w:rPr>
              <w:t>2024年，宿州市水环境质量稳中向好、稳中趋优。全市13个地表水国家考核断面中10个水质达到Ⅲ类，水质优良比例为76.9%，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w:t>
            </w:r>
            <w:r>
              <w:rPr>
                <w:rFonts w:hint="eastAsia" w:ascii="Times New Roman" w:hAnsi="Times New Roman" w:eastAsia="宋体" w:cs="Times New Roman"/>
                <w:color w:val="auto"/>
                <w:sz w:val="24"/>
                <w:szCs w:val="24"/>
                <w:highlight w:val="none"/>
                <w:lang w:eastAsia="zh-CN" w:bidi="zh-CN"/>
              </w:rPr>
              <w:t>。</w:t>
            </w:r>
          </w:p>
          <w:p w14:paraId="3E6D698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kern w:val="0"/>
                <w:sz w:val="24"/>
                <w:szCs w:val="24"/>
                <w:highlight w:val="none"/>
              </w:rPr>
            </w:pPr>
            <w:r>
              <w:rPr>
                <w:rFonts w:hint="eastAsia"/>
                <w:b/>
                <w:bCs/>
                <w:color w:val="auto"/>
                <w:kern w:val="0"/>
                <w:sz w:val="24"/>
                <w:szCs w:val="24"/>
                <w:highlight w:val="none"/>
              </w:rPr>
              <w:t>3、声环境</w:t>
            </w:r>
          </w:p>
          <w:p w14:paraId="2742D774">
            <w:pPr>
              <w:pStyle w:val="55"/>
              <w:spacing w:line="360" w:lineRule="auto"/>
              <w:ind w:firstLine="480"/>
              <w:rPr>
                <w:sz w:val="24"/>
                <w:highlight w:val="none"/>
              </w:rPr>
            </w:pPr>
            <w:r>
              <w:rPr>
                <w:rFonts w:hint="eastAsia" w:cs="宋体"/>
                <w:sz w:val="24"/>
                <w:highlight w:val="none"/>
              </w:rPr>
              <w:t>安徽云泽环保材料有限公司委托</w:t>
            </w:r>
            <w:r>
              <w:rPr>
                <w:rFonts w:hint="eastAsia" w:ascii="Times New Roman" w:hAnsi="Times New Roman" w:eastAsia="宋体" w:cs="Times New Roman"/>
                <w:color w:val="auto"/>
                <w:sz w:val="24"/>
                <w:szCs w:val="24"/>
                <w:highlight w:val="none"/>
                <w:lang w:eastAsia="zh-CN"/>
              </w:rPr>
              <w:t>安徽鑫程检测科技有限公司</w:t>
            </w:r>
            <w:r>
              <w:rPr>
                <w:rFonts w:hint="eastAsia" w:cs="宋体"/>
                <w:sz w:val="24"/>
                <w:highlight w:val="none"/>
              </w:rPr>
              <w:t>于</w:t>
            </w:r>
            <w:r>
              <w:rPr>
                <w:sz w:val="24"/>
                <w:highlight w:val="none"/>
              </w:rPr>
              <w:t>2</w:t>
            </w:r>
            <w:r>
              <w:rPr>
                <w:rFonts w:hint="eastAsia"/>
                <w:sz w:val="24"/>
                <w:highlight w:val="none"/>
              </w:rPr>
              <w:t>02</w:t>
            </w:r>
            <w:r>
              <w:rPr>
                <w:rFonts w:hint="eastAsia"/>
                <w:sz w:val="24"/>
                <w:highlight w:val="none"/>
                <w:lang w:val="en-US" w:eastAsia="zh-CN"/>
              </w:rPr>
              <w:t>5</w:t>
            </w:r>
            <w:r>
              <w:rPr>
                <w:rFonts w:hint="eastAsia" w:cs="宋体"/>
                <w:sz w:val="24"/>
                <w:highlight w:val="none"/>
              </w:rPr>
              <w:t>年</w:t>
            </w:r>
            <w:r>
              <w:rPr>
                <w:rFonts w:hint="eastAsia" w:cs="宋体"/>
                <w:sz w:val="24"/>
                <w:highlight w:val="none"/>
                <w:lang w:val="en-US" w:eastAsia="zh-CN"/>
              </w:rPr>
              <w:t>8</w:t>
            </w:r>
            <w:r>
              <w:rPr>
                <w:rFonts w:hint="eastAsia" w:cs="宋体"/>
                <w:sz w:val="24"/>
                <w:highlight w:val="none"/>
              </w:rPr>
              <w:t>月1</w:t>
            </w:r>
            <w:r>
              <w:rPr>
                <w:rFonts w:hint="eastAsia" w:cs="宋体"/>
                <w:sz w:val="24"/>
                <w:highlight w:val="none"/>
                <w:lang w:val="en-US" w:eastAsia="zh-CN"/>
              </w:rPr>
              <w:t>7</w:t>
            </w:r>
            <w:r>
              <w:rPr>
                <w:rFonts w:hint="eastAsia" w:cs="宋体"/>
                <w:sz w:val="24"/>
                <w:highlight w:val="none"/>
              </w:rPr>
              <w:t>日进行声环境质量现状监测（见附件）。</w:t>
            </w:r>
          </w:p>
          <w:p w14:paraId="5FF94636">
            <w:pPr>
              <w:pStyle w:val="55"/>
              <w:spacing w:line="360" w:lineRule="auto"/>
              <w:ind w:firstLine="480"/>
              <w:rPr>
                <w:sz w:val="24"/>
                <w:highlight w:val="none"/>
              </w:rPr>
            </w:pPr>
            <w:r>
              <w:rPr>
                <w:rFonts w:hint="eastAsia" w:cs="宋体"/>
                <w:sz w:val="24"/>
                <w:highlight w:val="none"/>
              </w:rPr>
              <w:t>监测项目：等效</w:t>
            </w:r>
            <w:r>
              <w:rPr>
                <w:sz w:val="24"/>
                <w:highlight w:val="none"/>
              </w:rPr>
              <w:t>A</w:t>
            </w:r>
            <w:r>
              <w:rPr>
                <w:rFonts w:hint="eastAsia" w:cs="宋体"/>
                <w:sz w:val="24"/>
                <w:highlight w:val="none"/>
              </w:rPr>
              <w:t>声级。</w:t>
            </w:r>
          </w:p>
          <w:p w14:paraId="6EB5AAFD">
            <w:pPr>
              <w:pStyle w:val="55"/>
              <w:spacing w:line="360" w:lineRule="auto"/>
              <w:ind w:firstLine="480"/>
              <w:rPr>
                <w:sz w:val="24"/>
                <w:highlight w:val="none"/>
              </w:rPr>
            </w:pPr>
            <w:r>
              <w:rPr>
                <w:rFonts w:hint="eastAsia" w:cs="宋体"/>
                <w:sz w:val="24"/>
                <w:highlight w:val="none"/>
              </w:rPr>
              <w:t>监测方法：《声环境质量标准》（</w:t>
            </w:r>
            <w:r>
              <w:rPr>
                <w:sz w:val="24"/>
                <w:highlight w:val="none"/>
              </w:rPr>
              <w:t>GB3096-2008</w:t>
            </w:r>
            <w:r>
              <w:rPr>
                <w:rFonts w:hint="eastAsia" w:cs="宋体"/>
                <w:sz w:val="24"/>
                <w:highlight w:val="none"/>
              </w:rPr>
              <w:t>）。</w:t>
            </w:r>
          </w:p>
          <w:p w14:paraId="00940B3F">
            <w:pPr>
              <w:pStyle w:val="55"/>
              <w:spacing w:line="360" w:lineRule="auto"/>
              <w:ind w:firstLine="480"/>
              <w:rPr>
                <w:sz w:val="24"/>
                <w:highlight w:val="none"/>
              </w:rPr>
            </w:pPr>
            <w:r>
              <w:rPr>
                <w:rFonts w:hint="eastAsia" w:cs="宋体"/>
                <w:sz w:val="24"/>
                <w:highlight w:val="none"/>
              </w:rPr>
              <w:t>监测点布设：在敏感点处共布设</w:t>
            </w:r>
            <w:r>
              <w:rPr>
                <w:rFonts w:hint="eastAsia"/>
                <w:sz w:val="24"/>
                <w:highlight w:val="none"/>
                <w:lang w:val="en-US" w:eastAsia="zh-CN"/>
              </w:rPr>
              <w:t>2</w:t>
            </w:r>
            <w:r>
              <w:rPr>
                <w:rFonts w:hint="eastAsia" w:cs="宋体"/>
                <w:sz w:val="24"/>
                <w:highlight w:val="none"/>
              </w:rPr>
              <w:t>个监测点。</w:t>
            </w:r>
          </w:p>
          <w:p w14:paraId="6B4C9567">
            <w:pPr>
              <w:widowControl/>
              <w:jc w:val="center"/>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rPr>
              <w:t>表</w:t>
            </w:r>
            <w:r>
              <w:rPr>
                <w:rFonts w:hint="eastAsia" w:ascii="Times New Roman" w:hAnsi="Times New Roman" w:eastAsia="宋体" w:cs="Times New Roman"/>
                <w:b/>
                <w:color w:val="auto"/>
                <w:sz w:val="24"/>
                <w:highlight w:val="none"/>
                <w:lang w:val="en-US" w:eastAsia="zh-CN"/>
              </w:rPr>
              <w:t>3.4</w:t>
            </w:r>
            <w:r>
              <w:rPr>
                <w:rFonts w:hint="eastAsia" w:ascii="Times New Roman" w:hAnsi="Times New Roman" w:eastAsia="宋体" w:cs="Times New Roman"/>
                <w:b/>
                <w:color w:val="auto"/>
                <w:sz w:val="24"/>
                <w:highlight w:val="none"/>
              </w:rPr>
              <w:t xml:space="preserve"> 声环境质量现状监测布点一览表</w:t>
            </w:r>
          </w:p>
          <w:tbl>
            <w:tblPr>
              <w:tblStyle w:val="23"/>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800"/>
              <w:gridCol w:w="1799"/>
              <w:gridCol w:w="3013"/>
            </w:tblGrid>
            <w:tr w14:paraId="624E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76" w:type="pct"/>
                  <w:tcBorders>
                    <w:top w:val="single" w:color="auto" w:sz="4" w:space="0"/>
                    <w:left w:val="single" w:color="auto" w:sz="4" w:space="0"/>
                    <w:bottom w:val="single" w:color="auto" w:sz="4" w:space="0"/>
                    <w:right w:val="single" w:color="auto" w:sz="4" w:space="0"/>
                  </w:tcBorders>
                  <w:vAlign w:val="center"/>
                </w:tcPr>
                <w:p w14:paraId="5F055C93">
                  <w:pPr>
                    <w:adjustRightInd w:val="0"/>
                    <w:jc w:val="center"/>
                    <w:rPr>
                      <w:highlight w:val="none"/>
                    </w:rPr>
                  </w:pPr>
                  <w:r>
                    <w:rPr>
                      <w:rFonts w:hint="eastAsia" w:cs="宋体"/>
                      <w:highlight w:val="none"/>
                    </w:rPr>
                    <w:t>点位编号</w:t>
                  </w:r>
                </w:p>
              </w:tc>
              <w:tc>
                <w:tcPr>
                  <w:tcW w:w="1122" w:type="pct"/>
                  <w:tcBorders>
                    <w:top w:val="single" w:color="auto" w:sz="4" w:space="0"/>
                    <w:left w:val="single" w:color="auto" w:sz="4" w:space="0"/>
                    <w:bottom w:val="single" w:color="auto" w:sz="4" w:space="0"/>
                    <w:right w:val="single" w:color="auto" w:sz="4" w:space="0"/>
                  </w:tcBorders>
                  <w:vAlign w:val="center"/>
                </w:tcPr>
                <w:p w14:paraId="374CB47A">
                  <w:pPr>
                    <w:adjustRightInd w:val="0"/>
                    <w:jc w:val="center"/>
                    <w:rPr>
                      <w:highlight w:val="none"/>
                    </w:rPr>
                  </w:pPr>
                  <w:r>
                    <w:rPr>
                      <w:rFonts w:hint="eastAsia" w:cs="宋体"/>
                      <w:highlight w:val="none"/>
                    </w:rPr>
                    <w:t>监测点位</w:t>
                  </w:r>
                </w:p>
              </w:tc>
              <w:tc>
                <w:tcPr>
                  <w:tcW w:w="1121" w:type="pct"/>
                  <w:tcBorders>
                    <w:top w:val="single" w:color="auto" w:sz="4" w:space="0"/>
                    <w:left w:val="single" w:color="auto" w:sz="4" w:space="0"/>
                    <w:bottom w:val="single" w:color="auto" w:sz="4" w:space="0"/>
                    <w:right w:val="single" w:color="auto" w:sz="4" w:space="0"/>
                  </w:tcBorders>
                  <w:vAlign w:val="center"/>
                </w:tcPr>
                <w:p w14:paraId="62B52710">
                  <w:pPr>
                    <w:adjustRightInd w:val="0"/>
                    <w:jc w:val="center"/>
                    <w:rPr>
                      <w:highlight w:val="none"/>
                    </w:rPr>
                  </w:pPr>
                  <w:r>
                    <w:rPr>
                      <w:rFonts w:hint="eastAsia" w:cs="宋体"/>
                      <w:highlight w:val="none"/>
                    </w:rPr>
                    <w:t>噪声类型</w:t>
                  </w:r>
                </w:p>
              </w:tc>
              <w:tc>
                <w:tcPr>
                  <w:tcW w:w="1878" w:type="pct"/>
                  <w:tcBorders>
                    <w:top w:val="single" w:color="auto" w:sz="4" w:space="0"/>
                    <w:left w:val="single" w:color="auto" w:sz="4" w:space="0"/>
                    <w:bottom w:val="single" w:color="auto" w:sz="4" w:space="0"/>
                    <w:right w:val="single" w:color="auto" w:sz="4" w:space="0"/>
                  </w:tcBorders>
                  <w:vAlign w:val="center"/>
                </w:tcPr>
                <w:p w14:paraId="6E47E545">
                  <w:pPr>
                    <w:adjustRightInd w:val="0"/>
                    <w:jc w:val="center"/>
                    <w:rPr>
                      <w:highlight w:val="none"/>
                    </w:rPr>
                  </w:pPr>
                  <w:r>
                    <w:rPr>
                      <w:rFonts w:hint="eastAsia" w:cs="宋体"/>
                      <w:highlight w:val="none"/>
                    </w:rPr>
                    <w:t>项目位置</w:t>
                  </w:r>
                </w:p>
              </w:tc>
            </w:tr>
            <w:tr w14:paraId="1088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76" w:type="pct"/>
                  <w:tcBorders>
                    <w:top w:val="single" w:color="auto" w:sz="4" w:space="0"/>
                    <w:left w:val="single" w:color="auto" w:sz="4" w:space="0"/>
                    <w:bottom w:val="single" w:color="auto" w:sz="4" w:space="0"/>
                    <w:right w:val="single" w:color="auto" w:sz="4" w:space="0"/>
                  </w:tcBorders>
                  <w:vAlign w:val="center"/>
                </w:tcPr>
                <w:p w14:paraId="4F3B0E0F">
                  <w:pPr>
                    <w:adjustRightInd w:val="0"/>
                    <w:jc w:val="center"/>
                    <w:rPr>
                      <w:highlight w:val="none"/>
                    </w:rPr>
                  </w:pPr>
                  <w:r>
                    <w:rPr>
                      <w:highlight w:val="none"/>
                    </w:rPr>
                    <w:t>N1</w:t>
                  </w:r>
                </w:p>
              </w:tc>
              <w:tc>
                <w:tcPr>
                  <w:tcW w:w="1122" w:type="pct"/>
                  <w:tcBorders>
                    <w:top w:val="single" w:color="auto" w:sz="4" w:space="0"/>
                    <w:left w:val="single" w:color="auto" w:sz="4" w:space="0"/>
                    <w:bottom w:val="single" w:color="auto" w:sz="4" w:space="0"/>
                    <w:right w:val="single" w:color="auto" w:sz="4" w:space="0"/>
                  </w:tcBorders>
                  <w:vAlign w:val="center"/>
                </w:tcPr>
                <w:p w14:paraId="1CBD0D4E">
                  <w:pPr>
                    <w:adjustRightInd w:val="0"/>
                    <w:jc w:val="center"/>
                    <w:rPr>
                      <w:rFonts w:hint="default" w:eastAsia="宋体"/>
                      <w:highlight w:val="none"/>
                      <w:lang w:val="en-US" w:eastAsia="zh-CN"/>
                    </w:rPr>
                  </w:pPr>
                  <w:r>
                    <w:rPr>
                      <w:rFonts w:hint="eastAsia" w:cs="宋体"/>
                      <w:highlight w:val="none"/>
                      <w:lang w:val="en-US" w:eastAsia="zh-CN"/>
                    </w:rPr>
                    <w:t>高家</w:t>
                  </w:r>
                </w:p>
              </w:tc>
              <w:tc>
                <w:tcPr>
                  <w:tcW w:w="1121" w:type="pct"/>
                  <w:vMerge w:val="restart"/>
                  <w:tcBorders>
                    <w:top w:val="single" w:color="auto" w:sz="4" w:space="0"/>
                    <w:left w:val="single" w:color="auto" w:sz="4" w:space="0"/>
                    <w:right w:val="single" w:color="auto" w:sz="4" w:space="0"/>
                  </w:tcBorders>
                  <w:vAlign w:val="center"/>
                </w:tcPr>
                <w:p w14:paraId="0810EB3A">
                  <w:pPr>
                    <w:adjustRightInd w:val="0"/>
                    <w:jc w:val="center"/>
                    <w:rPr>
                      <w:highlight w:val="none"/>
                    </w:rPr>
                  </w:pPr>
                  <w:r>
                    <w:rPr>
                      <w:rFonts w:hint="eastAsia" w:cs="宋体"/>
                      <w:highlight w:val="none"/>
                    </w:rPr>
                    <w:t>厂区噪声</w:t>
                  </w:r>
                </w:p>
              </w:tc>
              <w:tc>
                <w:tcPr>
                  <w:tcW w:w="1878" w:type="pct"/>
                  <w:vMerge w:val="restart"/>
                  <w:tcBorders>
                    <w:top w:val="single" w:color="auto" w:sz="4" w:space="0"/>
                    <w:left w:val="single" w:color="auto" w:sz="4" w:space="0"/>
                    <w:right w:val="single" w:color="auto" w:sz="4" w:space="0"/>
                  </w:tcBorders>
                  <w:vAlign w:val="center"/>
                </w:tcPr>
                <w:p w14:paraId="0A449498">
                  <w:pPr>
                    <w:outlineLvl w:val="0"/>
                    <w:rPr>
                      <w:highlight w:val="none"/>
                    </w:rPr>
                  </w:pPr>
                  <w:r>
                    <w:rPr>
                      <w:rFonts w:hint="eastAsia"/>
                      <w:highlight w:val="none"/>
                    </w:rPr>
                    <w:t>宿州市埇桥区朱仙庄镇三铺村三塔路与幸福路交口南20米</w:t>
                  </w:r>
                </w:p>
              </w:tc>
            </w:tr>
            <w:tr w14:paraId="491C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76" w:type="pct"/>
                  <w:tcBorders>
                    <w:top w:val="single" w:color="auto" w:sz="4" w:space="0"/>
                    <w:left w:val="single" w:color="auto" w:sz="4" w:space="0"/>
                    <w:bottom w:val="single" w:color="auto" w:sz="4" w:space="0"/>
                    <w:right w:val="single" w:color="auto" w:sz="4" w:space="0"/>
                  </w:tcBorders>
                  <w:vAlign w:val="center"/>
                </w:tcPr>
                <w:p w14:paraId="438B9EC6">
                  <w:pPr>
                    <w:adjustRightInd w:val="0"/>
                    <w:jc w:val="center"/>
                    <w:rPr>
                      <w:highlight w:val="none"/>
                    </w:rPr>
                  </w:pPr>
                  <w:r>
                    <w:rPr>
                      <w:highlight w:val="none"/>
                    </w:rPr>
                    <w:t>N2</w:t>
                  </w:r>
                </w:p>
              </w:tc>
              <w:tc>
                <w:tcPr>
                  <w:tcW w:w="1122" w:type="pct"/>
                  <w:tcBorders>
                    <w:top w:val="single" w:color="auto" w:sz="4" w:space="0"/>
                    <w:left w:val="single" w:color="auto" w:sz="4" w:space="0"/>
                    <w:bottom w:val="single" w:color="auto" w:sz="4" w:space="0"/>
                    <w:right w:val="single" w:color="auto" w:sz="4" w:space="0"/>
                  </w:tcBorders>
                  <w:vAlign w:val="center"/>
                </w:tcPr>
                <w:p w14:paraId="191F30E3">
                  <w:pPr>
                    <w:adjustRightInd w:val="0"/>
                    <w:jc w:val="center"/>
                    <w:rPr>
                      <w:rFonts w:hint="default" w:eastAsia="宋体"/>
                      <w:highlight w:val="none"/>
                      <w:lang w:val="en-US" w:eastAsia="zh-CN"/>
                    </w:rPr>
                  </w:pPr>
                  <w:r>
                    <w:rPr>
                      <w:rFonts w:hint="eastAsia" w:cs="宋体"/>
                      <w:highlight w:val="none"/>
                      <w:lang w:val="en-US" w:eastAsia="zh-CN"/>
                    </w:rPr>
                    <w:t>三铺村四组</w:t>
                  </w:r>
                </w:p>
              </w:tc>
              <w:tc>
                <w:tcPr>
                  <w:tcW w:w="1121" w:type="pct"/>
                  <w:vMerge w:val="continue"/>
                  <w:tcBorders>
                    <w:left w:val="single" w:color="auto" w:sz="4" w:space="0"/>
                    <w:right w:val="single" w:color="auto" w:sz="4" w:space="0"/>
                  </w:tcBorders>
                  <w:vAlign w:val="center"/>
                </w:tcPr>
                <w:p w14:paraId="39E693EB">
                  <w:pPr>
                    <w:adjustRightInd w:val="0"/>
                    <w:spacing w:line="276" w:lineRule="auto"/>
                    <w:jc w:val="center"/>
                    <w:rPr>
                      <w:highlight w:val="none"/>
                    </w:rPr>
                  </w:pPr>
                </w:p>
              </w:tc>
              <w:tc>
                <w:tcPr>
                  <w:tcW w:w="1878" w:type="pct"/>
                  <w:vMerge w:val="continue"/>
                  <w:tcBorders>
                    <w:left w:val="single" w:color="auto" w:sz="4" w:space="0"/>
                    <w:right w:val="single" w:color="auto" w:sz="4" w:space="0"/>
                  </w:tcBorders>
                  <w:vAlign w:val="center"/>
                </w:tcPr>
                <w:p w14:paraId="475A7FC8">
                  <w:pPr>
                    <w:adjustRightInd w:val="0"/>
                    <w:spacing w:line="276" w:lineRule="auto"/>
                    <w:jc w:val="center"/>
                    <w:rPr>
                      <w:highlight w:val="none"/>
                    </w:rPr>
                  </w:pPr>
                </w:p>
              </w:tc>
            </w:tr>
          </w:tbl>
          <w:p w14:paraId="030E7C2D">
            <w:pPr>
              <w:pStyle w:val="55"/>
              <w:spacing w:line="360" w:lineRule="auto"/>
              <w:ind w:firstLine="480"/>
              <w:rPr>
                <w:sz w:val="24"/>
                <w:highlight w:val="none"/>
              </w:rPr>
            </w:pPr>
            <w:r>
              <w:rPr>
                <w:rFonts w:hint="eastAsia" w:cs="宋体"/>
                <w:sz w:val="24"/>
                <w:highlight w:val="none"/>
              </w:rPr>
              <w:t>项目所在区域执行《声环境质量标准》（</w:t>
            </w:r>
            <w:r>
              <w:rPr>
                <w:sz w:val="24"/>
                <w:highlight w:val="none"/>
              </w:rPr>
              <w:t>GB3096-2008</w:t>
            </w:r>
            <w:r>
              <w:rPr>
                <w:rFonts w:hint="eastAsia" w:cs="宋体"/>
                <w:sz w:val="24"/>
                <w:highlight w:val="none"/>
              </w:rPr>
              <w:t>）中</w:t>
            </w:r>
            <w:r>
              <w:rPr>
                <w:rFonts w:hint="eastAsia"/>
                <w:sz w:val="24"/>
                <w:highlight w:val="none"/>
              </w:rPr>
              <w:t>2</w:t>
            </w:r>
            <w:r>
              <w:rPr>
                <w:rFonts w:hint="eastAsia" w:cs="宋体"/>
                <w:sz w:val="24"/>
                <w:highlight w:val="none"/>
              </w:rPr>
              <w:t>类标准限值要求。</w:t>
            </w:r>
          </w:p>
          <w:p w14:paraId="7C9AF3F5">
            <w:pPr>
              <w:pStyle w:val="55"/>
              <w:spacing w:line="360" w:lineRule="auto"/>
              <w:ind w:firstLine="480"/>
              <w:rPr>
                <w:b/>
                <w:bCs/>
                <w:sz w:val="24"/>
                <w:highlight w:val="none"/>
              </w:rPr>
            </w:pPr>
            <w:r>
              <w:rPr>
                <w:rFonts w:hint="eastAsia" w:cs="宋体"/>
                <w:sz w:val="24"/>
                <w:highlight w:val="none"/>
              </w:rPr>
              <w:t>声环境质量现状监测结果见表</w:t>
            </w:r>
            <w:r>
              <w:rPr>
                <w:sz w:val="24"/>
                <w:highlight w:val="none"/>
              </w:rPr>
              <w:t>3</w:t>
            </w:r>
            <w:r>
              <w:rPr>
                <w:rFonts w:hint="eastAsia"/>
                <w:sz w:val="24"/>
                <w:highlight w:val="none"/>
                <w:lang w:val="en-US" w:eastAsia="zh-CN"/>
              </w:rPr>
              <w:t>.5</w:t>
            </w:r>
            <w:r>
              <w:rPr>
                <w:rFonts w:hint="eastAsia" w:cs="宋体"/>
                <w:sz w:val="24"/>
                <w:highlight w:val="none"/>
              </w:rPr>
              <w:t>。</w:t>
            </w:r>
          </w:p>
          <w:p w14:paraId="5F24E78C">
            <w:pPr>
              <w:widowControl/>
              <w:jc w:val="center"/>
              <w:rPr>
                <w:rFonts w:ascii="Times New Roman" w:hAnsi="Times New Roman" w:eastAsia="宋体" w:cs="Times New Roman"/>
                <w:b/>
                <w:color w:val="auto"/>
                <w:sz w:val="24"/>
              </w:rPr>
            </w:pPr>
            <w:r>
              <w:rPr>
                <w:rFonts w:hint="eastAsia" w:ascii="Times New Roman" w:hAnsi="Times New Roman" w:eastAsia="宋体" w:cs="Times New Roman"/>
                <w:b/>
                <w:color w:val="auto"/>
                <w:sz w:val="24"/>
              </w:rPr>
              <w:t>表</w:t>
            </w:r>
            <w:r>
              <w:rPr>
                <w:rFonts w:ascii="Times New Roman" w:hAnsi="Times New Roman" w:eastAsia="宋体" w:cs="Times New Roman"/>
                <w:b/>
                <w:color w:val="auto"/>
                <w:sz w:val="24"/>
              </w:rPr>
              <w:t>3</w:t>
            </w:r>
            <w:r>
              <w:rPr>
                <w:rFonts w:hint="eastAsia" w:ascii="Times New Roman" w:hAnsi="Times New Roman" w:eastAsia="宋体" w:cs="Times New Roman"/>
                <w:b/>
                <w:color w:val="auto"/>
                <w:sz w:val="24"/>
                <w:lang w:val="en-US" w:eastAsia="zh-CN"/>
              </w:rPr>
              <w:t>.5</w:t>
            </w:r>
            <w:r>
              <w:rPr>
                <w:rFonts w:hint="eastAsia" w:ascii="Times New Roman" w:hAnsi="Times New Roman" w:eastAsia="宋体" w:cs="Times New Roman"/>
                <w:b/>
                <w:color w:val="auto"/>
                <w:sz w:val="24"/>
              </w:rPr>
              <w:t xml:space="preserve">  声环境质量监测及评价结果</w:t>
            </w:r>
          </w:p>
          <w:tbl>
            <w:tblPr>
              <w:tblStyle w:val="23"/>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420"/>
              <w:gridCol w:w="1173"/>
              <w:gridCol w:w="1094"/>
              <w:gridCol w:w="1161"/>
              <w:gridCol w:w="1134"/>
              <w:gridCol w:w="1212"/>
              <w:gridCol w:w="1157"/>
            </w:tblGrid>
            <w:tr w14:paraId="7A6466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50" w:type="pct"/>
                  <w:vMerge w:val="restart"/>
                  <w:tcBorders>
                    <w:top w:val="single" w:color="auto" w:sz="2" w:space="0"/>
                    <w:left w:val="single" w:color="auto" w:sz="2" w:space="0"/>
                    <w:bottom w:val="single" w:color="auto" w:sz="2" w:space="0"/>
                    <w:right w:val="single" w:color="auto" w:sz="2" w:space="0"/>
                  </w:tcBorders>
                  <w:vAlign w:val="center"/>
                </w:tcPr>
                <w:p w14:paraId="2ADACA9D">
                  <w:pPr>
                    <w:adjustRightInd w:val="0"/>
                    <w:jc w:val="center"/>
                    <w:rPr>
                      <w:highlight w:val="none"/>
                    </w:rPr>
                  </w:pPr>
                  <w:r>
                    <w:rPr>
                      <w:rFonts w:hint="eastAsia" w:cs="宋体"/>
                      <w:highlight w:val="none"/>
                    </w:rPr>
                    <w:t>监测点位</w:t>
                  </w:r>
                </w:p>
              </w:tc>
              <w:tc>
                <w:tcPr>
                  <w:tcW w:w="1357" w:type="pct"/>
                  <w:gridSpan w:val="2"/>
                  <w:tcBorders>
                    <w:top w:val="single" w:color="auto" w:sz="2" w:space="0"/>
                    <w:left w:val="single" w:color="auto" w:sz="2" w:space="0"/>
                    <w:bottom w:val="single" w:color="auto" w:sz="2" w:space="0"/>
                    <w:right w:val="single" w:color="auto" w:sz="2" w:space="0"/>
                  </w:tcBorders>
                  <w:vAlign w:val="center"/>
                </w:tcPr>
                <w:p w14:paraId="74411929">
                  <w:pPr>
                    <w:adjustRightInd w:val="0"/>
                    <w:jc w:val="center"/>
                    <w:rPr>
                      <w:rFonts w:hint="eastAsia" w:eastAsia="宋体"/>
                      <w:highlight w:val="none"/>
                      <w:lang w:val="en-US" w:eastAsia="zh-CN"/>
                    </w:rPr>
                  </w:pPr>
                  <w:r>
                    <w:rPr>
                      <w:highlight w:val="none"/>
                    </w:rPr>
                    <w:t>202</w:t>
                  </w:r>
                  <w:r>
                    <w:rPr>
                      <w:rFonts w:hint="eastAsia"/>
                      <w:highlight w:val="none"/>
                      <w:lang w:val="en-US" w:eastAsia="zh-CN"/>
                    </w:rPr>
                    <w:t>5</w:t>
                  </w:r>
                  <w:r>
                    <w:rPr>
                      <w:highlight w:val="none"/>
                    </w:rPr>
                    <w:t>.</w:t>
                  </w:r>
                  <w:r>
                    <w:rPr>
                      <w:rFonts w:hint="eastAsia"/>
                      <w:highlight w:val="none"/>
                      <w:lang w:val="en-US" w:eastAsia="zh-CN"/>
                    </w:rPr>
                    <w:t>8</w:t>
                  </w:r>
                  <w:r>
                    <w:rPr>
                      <w:highlight w:val="none"/>
                    </w:rPr>
                    <w:t>.1</w:t>
                  </w:r>
                  <w:r>
                    <w:rPr>
                      <w:rFonts w:hint="eastAsia"/>
                      <w:highlight w:val="none"/>
                      <w:lang w:val="en-US" w:eastAsia="zh-CN"/>
                    </w:rPr>
                    <w:t>7</w:t>
                  </w:r>
                </w:p>
              </w:tc>
              <w:tc>
                <w:tcPr>
                  <w:tcW w:w="1374" w:type="pct"/>
                  <w:gridSpan w:val="2"/>
                  <w:tcBorders>
                    <w:top w:val="single" w:color="auto" w:sz="2" w:space="0"/>
                    <w:left w:val="single" w:color="auto" w:sz="2" w:space="0"/>
                    <w:bottom w:val="single" w:color="auto" w:sz="2" w:space="0"/>
                    <w:right w:val="single" w:color="auto" w:sz="2" w:space="0"/>
                  </w:tcBorders>
                  <w:vAlign w:val="center"/>
                </w:tcPr>
                <w:p w14:paraId="5658E781">
                  <w:pPr>
                    <w:adjustRightInd w:val="0"/>
                    <w:jc w:val="center"/>
                    <w:rPr>
                      <w:highlight w:val="none"/>
                    </w:rPr>
                  </w:pPr>
                  <w:r>
                    <w:rPr>
                      <w:rFonts w:hint="eastAsia" w:cs="宋体"/>
                      <w:highlight w:val="none"/>
                    </w:rPr>
                    <w:t>评价标准</w:t>
                  </w:r>
                </w:p>
              </w:tc>
              <w:tc>
                <w:tcPr>
                  <w:tcW w:w="1417" w:type="pct"/>
                  <w:gridSpan w:val="2"/>
                  <w:tcBorders>
                    <w:top w:val="single" w:color="auto" w:sz="2" w:space="0"/>
                    <w:left w:val="single" w:color="auto" w:sz="2" w:space="0"/>
                    <w:bottom w:val="single" w:color="auto" w:sz="2" w:space="0"/>
                    <w:right w:val="single" w:color="auto" w:sz="2" w:space="0"/>
                  </w:tcBorders>
                  <w:vAlign w:val="center"/>
                </w:tcPr>
                <w:p w14:paraId="4E955C23">
                  <w:pPr>
                    <w:adjustRightInd w:val="0"/>
                    <w:jc w:val="center"/>
                    <w:rPr>
                      <w:highlight w:val="none"/>
                    </w:rPr>
                  </w:pPr>
                  <w:r>
                    <w:rPr>
                      <w:rFonts w:hint="eastAsia" w:cs="宋体"/>
                      <w:highlight w:val="none"/>
                    </w:rPr>
                    <w:t>评价结果</w:t>
                  </w:r>
                </w:p>
              </w:tc>
            </w:tr>
            <w:tr w14:paraId="65E4ED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10" w:hRule="atLeast"/>
                <w:jc w:val="center"/>
              </w:trPr>
              <w:tc>
                <w:tcPr>
                  <w:tcW w:w="850" w:type="pct"/>
                  <w:vMerge w:val="continue"/>
                  <w:tcBorders>
                    <w:top w:val="single" w:color="auto" w:sz="2" w:space="0"/>
                    <w:left w:val="single" w:color="auto" w:sz="2" w:space="0"/>
                    <w:bottom w:val="single" w:color="auto" w:sz="2" w:space="0"/>
                    <w:right w:val="single" w:color="auto" w:sz="2" w:space="0"/>
                  </w:tcBorders>
                  <w:vAlign w:val="center"/>
                </w:tcPr>
                <w:p w14:paraId="5B2583DF">
                  <w:pPr>
                    <w:adjustRightInd w:val="0"/>
                    <w:jc w:val="center"/>
                    <w:rPr>
                      <w:highlight w:val="none"/>
                    </w:rPr>
                  </w:pPr>
                </w:p>
              </w:tc>
              <w:tc>
                <w:tcPr>
                  <w:tcW w:w="1357" w:type="pct"/>
                  <w:gridSpan w:val="2"/>
                  <w:tcBorders>
                    <w:top w:val="single" w:color="auto" w:sz="2" w:space="0"/>
                    <w:left w:val="single" w:color="auto" w:sz="2" w:space="0"/>
                    <w:bottom w:val="single" w:color="auto" w:sz="2" w:space="0"/>
                    <w:right w:val="single" w:color="auto" w:sz="2" w:space="0"/>
                  </w:tcBorders>
                  <w:vAlign w:val="center"/>
                </w:tcPr>
                <w:p w14:paraId="421F36FF">
                  <w:pPr>
                    <w:adjustRightInd w:val="0"/>
                    <w:jc w:val="center"/>
                    <w:rPr>
                      <w:highlight w:val="none"/>
                    </w:rPr>
                  </w:pPr>
                  <w:r>
                    <w:rPr>
                      <w:rFonts w:hint="eastAsia" w:cs="宋体"/>
                      <w:highlight w:val="none"/>
                    </w:rPr>
                    <w:t>（单位：</w:t>
                  </w:r>
                  <w:r>
                    <w:rPr>
                      <w:highlight w:val="none"/>
                    </w:rPr>
                    <w:t>dB(A)</w:t>
                  </w:r>
                  <w:r>
                    <w:rPr>
                      <w:rFonts w:hint="eastAsia" w:cs="宋体"/>
                      <w:highlight w:val="none"/>
                    </w:rPr>
                    <w:t>）</w:t>
                  </w:r>
                </w:p>
              </w:tc>
              <w:tc>
                <w:tcPr>
                  <w:tcW w:w="1374" w:type="pct"/>
                  <w:gridSpan w:val="2"/>
                  <w:tcBorders>
                    <w:top w:val="single" w:color="auto" w:sz="2" w:space="0"/>
                    <w:left w:val="single" w:color="auto" w:sz="2" w:space="0"/>
                    <w:bottom w:val="single" w:color="auto" w:sz="2" w:space="0"/>
                    <w:right w:val="single" w:color="auto" w:sz="2" w:space="0"/>
                  </w:tcBorders>
                  <w:vAlign w:val="center"/>
                </w:tcPr>
                <w:p w14:paraId="470F82F1">
                  <w:pPr>
                    <w:adjustRightInd w:val="0"/>
                    <w:jc w:val="center"/>
                    <w:rPr>
                      <w:highlight w:val="none"/>
                    </w:rPr>
                  </w:pPr>
                  <w:r>
                    <w:rPr>
                      <w:rFonts w:hint="eastAsia" w:cs="宋体"/>
                      <w:highlight w:val="none"/>
                    </w:rPr>
                    <w:t>（单位：</w:t>
                  </w:r>
                  <w:r>
                    <w:rPr>
                      <w:highlight w:val="none"/>
                    </w:rPr>
                    <w:t>dB(A)</w:t>
                  </w:r>
                  <w:r>
                    <w:rPr>
                      <w:rFonts w:hint="eastAsia" w:cs="宋体"/>
                      <w:highlight w:val="none"/>
                    </w:rPr>
                    <w:t>）</w:t>
                  </w:r>
                </w:p>
              </w:tc>
              <w:tc>
                <w:tcPr>
                  <w:tcW w:w="1417" w:type="pct"/>
                  <w:gridSpan w:val="2"/>
                  <w:tcBorders>
                    <w:top w:val="single" w:color="auto" w:sz="2" w:space="0"/>
                    <w:left w:val="single" w:color="auto" w:sz="2" w:space="0"/>
                    <w:bottom w:val="single" w:color="auto" w:sz="2" w:space="0"/>
                    <w:right w:val="single" w:color="auto" w:sz="2" w:space="0"/>
                  </w:tcBorders>
                  <w:vAlign w:val="center"/>
                </w:tcPr>
                <w:p w14:paraId="23F85B3E">
                  <w:pPr>
                    <w:adjustRightInd w:val="0"/>
                    <w:jc w:val="center"/>
                    <w:rPr>
                      <w:highlight w:val="none"/>
                    </w:rPr>
                  </w:pPr>
                  <w:r>
                    <w:rPr>
                      <w:rFonts w:hint="eastAsia" w:cs="宋体"/>
                      <w:highlight w:val="none"/>
                    </w:rPr>
                    <w:t>（单位：</w:t>
                  </w:r>
                  <w:r>
                    <w:rPr>
                      <w:highlight w:val="none"/>
                    </w:rPr>
                    <w:t>dB(A)</w:t>
                  </w:r>
                  <w:r>
                    <w:rPr>
                      <w:rFonts w:hint="eastAsia" w:cs="宋体"/>
                      <w:highlight w:val="none"/>
                    </w:rPr>
                    <w:t>）</w:t>
                  </w:r>
                </w:p>
              </w:tc>
            </w:tr>
            <w:tr w14:paraId="032620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10" w:hRule="atLeast"/>
                <w:jc w:val="center"/>
              </w:trPr>
              <w:tc>
                <w:tcPr>
                  <w:tcW w:w="850" w:type="pct"/>
                  <w:vMerge w:val="continue"/>
                  <w:tcBorders>
                    <w:top w:val="single" w:color="auto" w:sz="2" w:space="0"/>
                    <w:left w:val="single" w:color="auto" w:sz="2" w:space="0"/>
                    <w:bottom w:val="single" w:color="auto" w:sz="2" w:space="0"/>
                    <w:right w:val="single" w:color="auto" w:sz="2" w:space="0"/>
                  </w:tcBorders>
                  <w:vAlign w:val="center"/>
                </w:tcPr>
                <w:p w14:paraId="4B11FF57">
                  <w:pPr>
                    <w:adjustRightInd w:val="0"/>
                    <w:jc w:val="center"/>
                    <w:rPr>
                      <w:highlight w:val="none"/>
                    </w:rPr>
                  </w:pPr>
                </w:p>
              </w:tc>
              <w:tc>
                <w:tcPr>
                  <w:tcW w:w="702" w:type="pct"/>
                  <w:tcBorders>
                    <w:top w:val="single" w:color="auto" w:sz="2" w:space="0"/>
                    <w:left w:val="single" w:color="auto" w:sz="2" w:space="0"/>
                    <w:bottom w:val="single" w:color="auto" w:sz="2" w:space="0"/>
                    <w:right w:val="single" w:color="auto" w:sz="2" w:space="0"/>
                  </w:tcBorders>
                  <w:vAlign w:val="center"/>
                </w:tcPr>
                <w:p w14:paraId="1E2576D7">
                  <w:pPr>
                    <w:adjustRightInd w:val="0"/>
                    <w:jc w:val="center"/>
                    <w:rPr>
                      <w:highlight w:val="none"/>
                    </w:rPr>
                  </w:pPr>
                  <w:r>
                    <w:rPr>
                      <w:rFonts w:hint="eastAsia" w:cs="宋体"/>
                      <w:highlight w:val="none"/>
                    </w:rPr>
                    <w:t>昼间</w:t>
                  </w:r>
                </w:p>
              </w:tc>
              <w:tc>
                <w:tcPr>
                  <w:tcW w:w="654" w:type="pct"/>
                  <w:tcBorders>
                    <w:top w:val="single" w:color="auto" w:sz="2" w:space="0"/>
                    <w:left w:val="single" w:color="auto" w:sz="2" w:space="0"/>
                    <w:bottom w:val="single" w:color="auto" w:sz="2" w:space="0"/>
                    <w:right w:val="single" w:color="auto" w:sz="2" w:space="0"/>
                  </w:tcBorders>
                  <w:vAlign w:val="center"/>
                </w:tcPr>
                <w:p w14:paraId="16EC6D0D">
                  <w:pPr>
                    <w:adjustRightInd w:val="0"/>
                    <w:jc w:val="center"/>
                    <w:rPr>
                      <w:highlight w:val="none"/>
                    </w:rPr>
                  </w:pPr>
                  <w:r>
                    <w:rPr>
                      <w:rFonts w:hint="eastAsia" w:cs="宋体"/>
                      <w:highlight w:val="none"/>
                    </w:rPr>
                    <w:t>夜间</w:t>
                  </w:r>
                </w:p>
              </w:tc>
              <w:tc>
                <w:tcPr>
                  <w:tcW w:w="695" w:type="pct"/>
                  <w:tcBorders>
                    <w:top w:val="single" w:color="auto" w:sz="2" w:space="0"/>
                    <w:left w:val="single" w:color="auto" w:sz="2" w:space="0"/>
                    <w:bottom w:val="single" w:color="auto" w:sz="2" w:space="0"/>
                    <w:right w:val="single" w:color="auto" w:sz="2" w:space="0"/>
                  </w:tcBorders>
                  <w:vAlign w:val="center"/>
                </w:tcPr>
                <w:p w14:paraId="151802FC">
                  <w:pPr>
                    <w:adjustRightInd w:val="0"/>
                    <w:jc w:val="center"/>
                    <w:rPr>
                      <w:highlight w:val="none"/>
                    </w:rPr>
                  </w:pPr>
                  <w:r>
                    <w:rPr>
                      <w:rFonts w:hint="eastAsia" w:cs="宋体"/>
                      <w:highlight w:val="none"/>
                    </w:rPr>
                    <w:t>昼间</w:t>
                  </w:r>
                </w:p>
              </w:tc>
              <w:tc>
                <w:tcPr>
                  <w:tcW w:w="679" w:type="pct"/>
                  <w:tcBorders>
                    <w:top w:val="single" w:color="auto" w:sz="2" w:space="0"/>
                    <w:left w:val="single" w:color="auto" w:sz="2" w:space="0"/>
                    <w:bottom w:val="single" w:color="auto" w:sz="2" w:space="0"/>
                    <w:right w:val="single" w:color="auto" w:sz="2" w:space="0"/>
                  </w:tcBorders>
                  <w:vAlign w:val="center"/>
                </w:tcPr>
                <w:p w14:paraId="63BF8544">
                  <w:pPr>
                    <w:adjustRightInd w:val="0"/>
                    <w:jc w:val="center"/>
                    <w:rPr>
                      <w:highlight w:val="none"/>
                    </w:rPr>
                  </w:pPr>
                  <w:r>
                    <w:rPr>
                      <w:rFonts w:hint="eastAsia" w:cs="宋体"/>
                      <w:highlight w:val="none"/>
                    </w:rPr>
                    <w:t>夜间</w:t>
                  </w:r>
                </w:p>
              </w:tc>
              <w:tc>
                <w:tcPr>
                  <w:tcW w:w="725" w:type="pct"/>
                  <w:tcBorders>
                    <w:top w:val="single" w:color="auto" w:sz="2" w:space="0"/>
                    <w:left w:val="single" w:color="auto" w:sz="2" w:space="0"/>
                    <w:bottom w:val="single" w:color="auto" w:sz="2" w:space="0"/>
                    <w:right w:val="single" w:color="auto" w:sz="2" w:space="0"/>
                  </w:tcBorders>
                  <w:vAlign w:val="center"/>
                </w:tcPr>
                <w:p w14:paraId="1E0E2F88">
                  <w:pPr>
                    <w:adjustRightInd w:val="0"/>
                    <w:jc w:val="center"/>
                    <w:rPr>
                      <w:highlight w:val="none"/>
                    </w:rPr>
                  </w:pPr>
                  <w:r>
                    <w:rPr>
                      <w:rFonts w:hint="eastAsia" w:cs="宋体"/>
                      <w:highlight w:val="none"/>
                    </w:rPr>
                    <w:t>昼间</w:t>
                  </w:r>
                </w:p>
              </w:tc>
              <w:tc>
                <w:tcPr>
                  <w:tcW w:w="692" w:type="pct"/>
                  <w:tcBorders>
                    <w:top w:val="single" w:color="auto" w:sz="2" w:space="0"/>
                    <w:left w:val="single" w:color="auto" w:sz="2" w:space="0"/>
                    <w:bottom w:val="single" w:color="auto" w:sz="2" w:space="0"/>
                    <w:right w:val="single" w:color="auto" w:sz="2" w:space="0"/>
                  </w:tcBorders>
                  <w:vAlign w:val="center"/>
                </w:tcPr>
                <w:p w14:paraId="634B6F75">
                  <w:pPr>
                    <w:adjustRightInd w:val="0"/>
                    <w:jc w:val="center"/>
                    <w:rPr>
                      <w:highlight w:val="none"/>
                    </w:rPr>
                  </w:pPr>
                  <w:r>
                    <w:rPr>
                      <w:rFonts w:hint="eastAsia" w:cs="宋体"/>
                      <w:highlight w:val="none"/>
                    </w:rPr>
                    <w:t>夜间</w:t>
                  </w:r>
                </w:p>
              </w:tc>
            </w:tr>
            <w:tr w14:paraId="6AE265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850" w:type="pct"/>
                  <w:tcBorders>
                    <w:top w:val="single" w:color="auto" w:sz="2" w:space="0"/>
                    <w:left w:val="single" w:color="auto" w:sz="2" w:space="0"/>
                    <w:bottom w:val="single" w:color="auto" w:sz="2" w:space="0"/>
                    <w:right w:val="single" w:color="auto" w:sz="2" w:space="0"/>
                  </w:tcBorders>
                  <w:vAlign w:val="center"/>
                </w:tcPr>
                <w:p w14:paraId="61F84DE6">
                  <w:pPr>
                    <w:jc w:val="center"/>
                    <w:rPr>
                      <w:highlight w:val="none"/>
                    </w:rPr>
                  </w:pPr>
                  <w:r>
                    <w:rPr>
                      <w:highlight w:val="none"/>
                    </w:rPr>
                    <w:t>N1</w:t>
                  </w:r>
                </w:p>
              </w:tc>
              <w:tc>
                <w:tcPr>
                  <w:tcW w:w="702" w:type="pct"/>
                  <w:tcBorders>
                    <w:top w:val="single" w:color="auto" w:sz="2" w:space="0"/>
                    <w:left w:val="single" w:color="auto" w:sz="2" w:space="0"/>
                    <w:bottom w:val="single" w:color="auto" w:sz="2" w:space="0"/>
                    <w:right w:val="single" w:color="auto" w:sz="2" w:space="0"/>
                  </w:tcBorders>
                  <w:vAlign w:val="center"/>
                </w:tcPr>
                <w:p w14:paraId="48E8A60A">
                  <w:pPr>
                    <w:pStyle w:val="56"/>
                    <w:rPr>
                      <w:rFonts w:hint="default" w:eastAsia="宋体"/>
                      <w:highlight w:val="none"/>
                      <w:lang w:val="en-US" w:eastAsia="zh-CN"/>
                    </w:rPr>
                  </w:pPr>
                  <w:r>
                    <w:rPr>
                      <w:rFonts w:hint="eastAsia"/>
                      <w:highlight w:val="none"/>
                      <w:lang w:val="en-US" w:eastAsia="zh-CN"/>
                    </w:rPr>
                    <w:t>55.2</w:t>
                  </w:r>
                </w:p>
              </w:tc>
              <w:tc>
                <w:tcPr>
                  <w:tcW w:w="654" w:type="pct"/>
                  <w:tcBorders>
                    <w:top w:val="single" w:color="auto" w:sz="2" w:space="0"/>
                    <w:left w:val="single" w:color="auto" w:sz="2" w:space="0"/>
                    <w:bottom w:val="single" w:color="auto" w:sz="2" w:space="0"/>
                    <w:right w:val="single" w:color="auto" w:sz="2" w:space="0"/>
                  </w:tcBorders>
                  <w:vAlign w:val="center"/>
                </w:tcPr>
                <w:p w14:paraId="7353B098">
                  <w:pPr>
                    <w:pStyle w:val="56"/>
                    <w:rPr>
                      <w:rFonts w:hint="default" w:eastAsia="宋体"/>
                      <w:highlight w:val="none"/>
                      <w:lang w:val="en-US" w:eastAsia="zh-CN"/>
                    </w:rPr>
                  </w:pPr>
                  <w:r>
                    <w:rPr>
                      <w:rFonts w:hint="eastAsia"/>
                      <w:highlight w:val="none"/>
                      <w:lang w:val="en-US" w:eastAsia="zh-CN"/>
                    </w:rPr>
                    <w:t>47.6</w:t>
                  </w:r>
                </w:p>
              </w:tc>
              <w:tc>
                <w:tcPr>
                  <w:tcW w:w="695" w:type="pct"/>
                  <w:tcBorders>
                    <w:top w:val="single" w:color="auto" w:sz="2" w:space="0"/>
                    <w:left w:val="single" w:color="auto" w:sz="2" w:space="0"/>
                    <w:bottom w:val="single" w:color="auto" w:sz="2" w:space="0"/>
                    <w:right w:val="single" w:color="auto" w:sz="2" w:space="0"/>
                  </w:tcBorders>
                  <w:vAlign w:val="center"/>
                </w:tcPr>
                <w:p w14:paraId="58D7C52E">
                  <w:pPr>
                    <w:adjustRightInd w:val="0"/>
                    <w:jc w:val="center"/>
                    <w:rPr>
                      <w:highlight w:val="none"/>
                    </w:rPr>
                  </w:pPr>
                  <w:r>
                    <w:rPr>
                      <w:rFonts w:hint="eastAsia"/>
                      <w:highlight w:val="none"/>
                    </w:rPr>
                    <w:t>60</w:t>
                  </w:r>
                </w:p>
              </w:tc>
              <w:tc>
                <w:tcPr>
                  <w:tcW w:w="679" w:type="pct"/>
                  <w:tcBorders>
                    <w:top w:val="single" w:color="auto" w:sz="2" w:space="0"/>
                    <w:left w:val="single" w:color="auto" w:sz="2" w:space="0"/>
                    <w:bottom w:val="single" w:color="auto" w:sz="2" w:space="0"/>
                    <w:right w:val="single" w:color="auto" w:sz="2" w:space="0"/>
                  </w:tcBorders>
                  <w:vAlign w:val="center"/>
                </w:tcPr>
                <w:p w14:paraId="5EA546D5">
                  <w:pPr>
                    <w:adjustRightInd w:val="0"/>
                    <w:jc w:val="center"/>
                    <w:rPr>
                      <w:highlight w:val="none"/>
                    </w:rPr>
                  </w:pPr>
                  <w:r>
                    <w:rPr>
                      <w:rFonts w:hint="eastAsia"/>
                      <w:highlight w:val="none"/>
                    </w:rPr>
                    <w:t>50</w:t>
                  </w:r>
                </w:p>
              </w:tc>
              <w:tc>
                <w:tcPr>
                  <w:tcW w:w="725" w:type="pct"/>
                  <w:tcBorders>
                    <w:top w:val="single" w:color="auto" w:sz="2" w:space="0"/>
                    <w:left w:val="single" w:color="auto" w:sz="2" w:space="0"/>
                    <w:bottom w:val="single" w:color="auto" w:sz="2" w:space="0"/>
                    <w:right w:val="single" w:color="auto" w:sz="2" w:space="0"/>
                  </w:tcBorders>
                  <w:vAlign w:val="center"/>
                </w:tcPr>
                <w:p w14:paraId="585FF04D">
                  <w:pPr>
                    <w:adjustRightInd w:val="0"/>
                    <w:jc w:val="center"/>
                    <w:rPr>
                      <w:highlight w:val="none"/>
                    </w:rPr>
                  </w:pPr>
                  <w:r>
                    <w:rPr>
                      <w:rFonts w:hint="eastAsia"/>
                      <w:highlight w:val="none"/>
                    </w:rPr>
                    <w:t>达标</w:t>
                  </w:r>
                </w:p>
              </w:tc>
              <w:tc>
                <w:tcPr>
                  <w:tcW w:w="692" w:type="pct"/>
                  <w:tcBorders>
                    <w:top w:val="single" w:color="auto" w:sz="2" w:space="0"/>
                    <w:left w:val="single" w:color="auto" w:sz="2" w:space="0"/>
                    <w:bottom w:val="single" w:color="auto" w:sz="2" w:space="0"/>
                    <w:right w:val="single" w:color="auto" w:sz="2" w:space="0"/>
                  </w:tcBorders>
                  <w:vAlign w:val="center"/>
                </w:tcPr>
                <w:p w14:paraId="2B3C4C1F">
                  <w:pPr>
                    <w:adjustRightInd w:val="0"/>
                    <w:jc w:val="center"/>
                    <w:rPr>
                      <w:highlight w:val="none"/>
                    </w:rPr>
                  </w:pPr>
                  <w:r>
                    <w:rPr>
                      <w:rFonts w:hint="eastAsia"/>
                      <w:highlight w:val="none"/>
                    </w:rPr>
                    <w:t>达标</w:t>
                  </w:r>
                </w:p>
              </w:tc>
            </w:tr>
            <w:tr w14:paraId="48EE40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50" w:type="pct"/>
                  <w:tcBorders>
                    <w:top w:val="single" w:color="auto" w:sz="2" w:space="0"/>
                    <w:left w:val="single" w:color="auto" w:sz="2" w:space="0"/>
                    <w:bottom w:val="single" w:color="auto" w:sz="2" w:space="0"/>
                    <w:right w:val="single" w:color="auto" w:sz="2" w:space="0"/>
                  </w:tcBorders>
                  <w:vAlign w:val="center"/>
                </w:tcPr>
                <w:p w14:paraId="64C5DCE0">
                  <w:pPr>
                    <w:jc w:val="center"/>
                    <w:rPr>
                      <w:highlight w:val="none"/>
                    </w:rPr>
                  </w:pPr>
                  <w:r>
                    <w:rPr>
                      <w:highlight w:val="none"/>
                    </w:rPr>
                    <w:t>N2</w:t>
                  </w:r>
                </w:p>
              </w:tc>
              <w:tc>
                <w:tcPr>
                  <w:tcW w:w="702" w:type="pct"/>
                  <w:tcBorders>
                    <w:top w:val="single" w:color="auto" w:sz="2" w:space="0"/>
                    <w:left w:val="single" w:color="auto" w:sz="2" w:space="0"/>
                    <w:bottom w:val="single" w:color="auto" w:sz="2" w:space="0"/>
                    <w:right w:val="single" w:color="auto" w:sz="2" w:space="0"/>
                  </w:tcBorders>
                  <w:vAlign w:val="center"/>
                </w:tcPr>
                <w:p w14:paraId="643622A2">
                  <w:pPr>
                    <w:pStyle w:val="56"/>
                    <w:rPr>
                      <w:rFonts w:hint="default" w:eastAsia="宋体"/>
                      <w:highlight w:val="none"/>
                      <w:lang w:val="en-US" w:eastAsia="zh-CN"/>
                    </w:rPr>
                  </w:pPr>
                  <w:r>
                    <w:rPr>
                      <w:rFonts w:hint="eastAsia"/>
                      <w:highlight w:val="none"/>
                      <w:lang w:val="en-US" w:eastAsia="zh-CN"/>
                    </w:rPr>
                    <w:t>42.9</w:t>
                  </w:r>
                </w:p>
              </w:tc>
              <w:tc>
                <w:tcPr>
                  <w:tcW w:w="654" w:type="pct"/>
                  <w:tcBorders>
                    <w:top w:val="single" w:color="auto" w:sz="2" w:space="0"/>
                    <w:left w:val="single" w:color="auto" w:sz="2" w:space="0"/>
                    <w:bottom w:val="single" w:color="auto" w:sz="2" w:space="0"/>
                    <w:right w:val="single" w:color="auto" w:sz="2" w:space="0"/>
                  </w:tcBorders>
                  <w:vAlign w:val="center"/>
                </w:tcPr>
                <w:p w14:paraId="455E95BF">
                  <w:pPr>
                    <w:pStyle w:val="56"/>
                    <w:rPr>
                      <w:rFonts w:hint="default" w:eastAsia="宋体"/>
                      <w:highlight w:val="none"/>
                      <w:lang w:val="en-US" w:eastAsia="zh-CN"/>
                    </w:rPr>
                  </w:pPr>
                  <w:r>
                    <w:rPr>
                      <w:rFonts w:hint="eastAsia"/>
                      <w:highlight w:val="none"/>
                      <w:lang w:val="en-US" w:eastAsia="zh-CN"/>
                    </w:rPr>
                    <w:t>46.0</w:t>
                  </w:r>
                </w:p>
              </w:tc>
              <w:tc>
                <w:tcPr>
                  <w:tcW w:w="695" w:type="pct"/>
                  <w:tcBorders>
                    <w:top w:val="single" w:color="auto" w:sz="2" w:space="0"/>
                    <w:left w:val="single" w:color="auto" w:sz="2" w:space="0"/>
                    <w:bottom w:val="single" w:color="auto" w:sz="2" w:space="0"/>
                    <w:right w:val="single" w:color="auto" w:sz="2" w:space="0"/>
                  </w:tcBorders>
                  <w:vAlign w:val="center"/>
                </w:tcPr>
                <w:p w14:paraId="31A158E7">
                  <w:pPr>
                    <w:adjustRightInd w:val="0"/>
                    <w:jc w:val="center"/>
                    <w:rPr>
                      <w:highlight w:val="none"/>
                    </w:rPr>
                  </w:pPr>
                  <w:r>
                    <w:rPr>
                      <w:rFonts w:hint="eastAsia"/>
                      <w:highlight w:val="none"/>
                    </w:rPr>
                    <w:t>60</w:t>
                  </w:r>
                </w:p>
              </w:tc>
              <w:tc>
                <w:tcPr>
                  <w:tcW w:w="679" w:type="pct"/>
                  <w:tcBorders>
                    <w:top w:val="single" w:color="auto" w:sz="2" w:space="0"/>
                    <w:left w:val="single" w:color="auto" w:sz="2" w:space="0"/>
                    <w:bottom w:val="single" w:color="auto" w:sz="2" w:space="0"/>
                    <w:right w:val="single" w:color="auto" w:sz="2" w:space="0"/>
                  </w:tcBorders>
                  <w:vAlign w:val="center"/>
                </w:tcPr>
                <w:p w14:paraId="60EB02F2">
                  <w:pPr>
                    <w:adjustRightInd w:val="0"/>
                    <w:jc w:val="center"/>
                    <w:rPr>
                      <w:highlight w:val="none"/>
                    </w:rPr>
                  </w:pPr>
                  <w:r>
                    <w:rPr>
                      <w:rFonts w:hint="eastAsia"/>
                      <w:highlight w:val="none"/>
                    </w:rPr>
                    <w:t>50</w:t>
                  </w:r>
                </w:p>
              </w:tc>
              <w:tc>
                <w:tcPr>
                  <w:tcW w:w="725" w:type="pct"/>
                  <w:tcBorders>
                    <w:top w:val="single" w:color="auto" w:sz="2" w:space="0"/>
                    <w:left w:val="single" w:color="auto" w:sz="2" w:space="0"/>
                    <w:bottom w:val="single" w:color="auto" w:sz="2" w:space="0"/>
                    <w:right w:val="single" w:color="auto" w:sz="2" w:space="0"/>
                  </w:tcBorders>
                  <w:vAlign w:val="center"/>
                </w:tcPr>
                <w:p w14:paraId="6E48A07F">
                  <w:pPr>
                    <w:adjustRightInd w:val="0"/>
                    <w:jc w:val="center"/>
                    <w:rPr>
                      <w:highlight w:val="none"/>
                    </w:rPr>
                  </w:pPr>
                  <w:r>
                    <w:rPr>
                      <w:rFonts w:hint="eastAsia"/>
                      <w:highlight w:val="none"/>
                    </w:rPr>
                    <w:t>达标</w:t>
                  </w:r>
                </w:p>
              </w:tc>
              <w:tc>
                <w:tcPr>
                  <w:tcW w:w="692" w:type="pct"/>
                  <w:tcBorders>
                    <w:top w:val="single" w:color="auto" w:sz="2" w:space="0"/>
                    <w:left w:val="single" w:color="auto" w:sz="2" w:space="0"/>
                    <w:bottom w:val="single" w:color="auto" w:sz="2" w:space="0"/>
                    <w:right w:val="single" w:color="auto" w:sz="2" w:space="0"/>
                  </w:tcBorders>
                  <w:vAlign w:val="center"/>
                </w:tcPr>
                <w:p w14:paraId="34B65DAB">
                  <w:pPr>
                    <w:adjustRightInd w:val="0"/>
                    <w:jc w:val="center"/>
                    <w:rPr>
                      <w:highlight w:val="none"/>
                    </w:rPr>
                  </w:pPr>
                  <w:r>
                    <w:rPr>
                      <w:rFonts w:hint="eastAsia"/>
                      <w:highlight w:val="none"/>
                    </w:rPr>
                    <w:t>达标</w:t>
                  </w:r>
                </w:p>
              </w:tc>
            </w:tr>
          </w:tbl>
          <w:p w14:paraId="67B0B6FC">
            <w:pPr>
              <w:widowControl/>
              <w:spacing w:line="360" w:lineRule="auto"/>
              <w:ind w:firstLine="480" w:firstLineChars="200"/>
              <w:rPr>
                <w:rFonts w:cs="宋体"/>
                <w:color w:val="4F81BD" w:themeColor="accent1"/>
                <w:sz w:val="24"/>
                <w:highlight w:val="none"/>
                <w14:textFill>
                  <w14:solidFill>
                    <w14:schemeClr w14:val="accent1"/>
                  </w14:solidFill>
                </w14:textFill>
              </w:rPr>
            </w:pPr>
            <w:r>
              <w:rPr>
                <w:rFonts w:hint="eastAsia" w:cs="宋体"/>
                <w:sz w:val="24"/>
                <w:highlight w:val="none"/>
              </w:rPr>
              <w:t>由表</w:t>
            </w:r>
            <w:r>
              <w:rPr>
                <w:rFonts w:hint="eastAsia"/>
                <w:sz w:val="24"/>
                <w:highlight w:val="none"/>
                <w:lang w:val="en-US" w:eastAsia="zh-CN"/>
              </w:rPr>
              <w:t>3.5</w:t>
            </w:r>
            <w:r>
              <w:rPr>
                <w:rFonts w:hint="eastAsia" w:cs="宋体"/>
                <w:sz w:val="24"/>
                <w:highlight w:val="none"/>
              </w:rPr>
              <w:t>可知，通过与评价标准比较，表明</w:t>
            </w:r>
            <w:r>
              <w:rPr>
                <w:rFonts w:hint="eastAsia" w:cs="宋体"/>
                <w:sz w:val="24"/>
                <w:highlight w:val="none"/>
                <w:lang w:val="en-US" w:eastAsia="zh-CN"/>
              </w:rPr>
              <w:t>高家</w:t>
            </w:r>
            <w:r>
              <w:rPr>
                <w:rFonts w:hint="eastAsia" w:cs="宋体"/>
                <w:sz w:val="24"/>
                <w:highlight w:val="none"/>
              </w:rPr>
              <w:t>和三铺村</w:t>
            </w:r>
            <w:r>
              <w:rPr>
                <w:rFonts w:hint="eastAsia" w:cs="宋体"/>
                <w:sz w:val="24"/>
                <w:highlight w:val="none"/>
                <w:lang w:val="en-US" w:eastAsia="zh-CN"/>
              </w:rPr>
              <w:t>四组</w:t>
            </w:r>
            <w:r>
              <w:rPr>
                <w:rFonts w:hint="eastAsia" w:cs="宋体"/>
                <w:sz w:val="24"/>
                <w:highlight w:val="none"/>
              </w:rPr>
              <w:t>均能够满足《声环境质量标准》（</w:t>
            </w:r>
            <w:r>
              <w:rPr>
                <w:sz w:val="24"/>
                <w:highlight w:val="none"/>
              </w:rPr>
              <w:t>GB3096-2008</w:t>
            </w:r>
            <w:r>
              <w:rPr>
                <w:rFonts w:hint="eastAsia" w:cs="宋体"/>
                <w:sz w:val="24"/>
                <w:highlight w:val="none"/>
              </w:rPr>
              <w:t>）中</w:t>
            </w:r>
            <w:r>
              <w:rPr>
                <w:rFonts w:hint="eastAsia"/>
                <w:sz w:val="24"/>
                <w:highlight w:val="none"/>
              </w:rPr>
              <w:t>2</w:t>
            </w:r>
            <w:r>
              <w:rPr>
                <w:rFonts w:hint="eastAsia" w:cs="宋体"/>
                <w:sz w:val="24"/>
                <w:highlight w:val="none"/>
              </w:rPr>
              <w:t>类标准限值要求。</w:t>
            </w:r>
          </w:p>
          <w:p w14:paraId="7A7E266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kern w:val="0"/>
                <w:sz w:val="24"/>
                <w:szCs w:val="24"/>
              </w:rPr>
            </w:pPr>
            <w:r>
              <w:rPr>
                <w:rFonts w:hint="eastAsia"/>
                <w:b/>
                <w:bCs/>
                <w:color w:val="auto"/>
                <w:kern w:val="0"/>
                <w:sz w:val="24"/>
                <w:szCs w:val="24"/>
              </w:rPr>
              <w:t>4、生态环境</w:t>
            </w:r>
          </w:p>
          <w:p w14:paraId="71C8FB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kern w:val="0"/>
                <w:sz w:val="24"/>
                <w:szCs w:val="24"/>
              </w:rPr>
            </w:pPr>
            <w:r>
              <w:rPr>
                <w:rFonts w:hint="eastAsia"/>
                <w:color w:val="auto"/>
                <w:kern w:val="0"/>
                <w:sz w:val="24"/>
                <w:szCs w:val="24"/>
              </w:rPr>
              <w:t>项目</w:t>
            </w:r>
            <w:r>
              <w:rPr>
                <w:rFonts w:hint="eastAsia"/>
                <w:color w:val="auto"/>
                <w:kern w:val="0"/>
                <w:sz w:val="24"/>
                <w:szCs w:val="24"/>
                <w:lang w:val="en-US" w:eastAsia="zh-CN"/>
              </w:rPr>
              <w:t>属于独立选址项目，根据三区三线套合图可知，项目属于工业用地，项目是改建项目，且未新增用地，</w:t>
            </w:r>
            <w:r>
              <w:rPr>
                <w:rFonts w:hint="eastAsia"/>
                <w:color w:val="auto"/>
                <w:kern w:val="0"/>
                <w:sz w:val="24"/>
                <w:szCs w:val="24"/>
              </w:rPr>
              <w:t>无需</w:t>
            </w:r>
            <w:r>
              <w:rPr>
                <w:rFonts w:hint="eastAsia"/>
                <w:color w:val="auto"/>
                <w:kern w:val="0"/>
                <w:sz w:val="24"/>
                <w:szCs w:val="24"/>
                <w:lang w:val="en-US" w:eastAsia="zh-CN"/>
              </w:rPr>
              <w:t>开展</w:t>
            </w:r>
            <w:r>
              <w:rPr>
                <w:rFonts w:hint="eastAsia"/>
                <w:color w:val="auto"/>
                <w:kern w:val="0"/>
                <w:sz w:val="24"/>
                <w:szCs w:val="24"/>
              </w:rPr>
              <w:t>生态</w:t>
            </w:r>
            <w:r>
              <w:rPr>
                <w:rFonts w:hint="eastAsia"/>
                <w:color w:val="auto"/>
                <w:kern w:val="0"/>
                <w:sz w:val="24"/>
                <w:szCs w:val="24"/>
                <w:lang w:val="en-US" w:eastAsia="zh-CN"/>
              </w:rPr>
              <w:t>环境</w:t>
            </w:r>
            <w:r>
              <w:rPr>
                <w:rFonts w:hint="eastAsia"/>
                <w:color w:val="auto"/>
                <w:kern w:val="0"/>
                <w:sz w:val="24"/>
                <w:szCs w:val="24"/>
              </w:rPr>
              <w:t>现状调查。</w:t>
            </w:r>
          </w:p>
          <w:p w14:paraId="68DF426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kern w:val="0"/>
                <w:sz w:val="24"/>
                <w:szCs w:val="24"/>
              </w:rPr>
            </w:pPr>
            <w:r>
              <w:rPr>
                <w:rFonts w:hint="eastAsia"/>
                <w:b/>
                <w:bCs/>
                <w:color w:val="auto"/>
                <w:kern w:val="0"/>
                <w:sz w:val="24"/>
                <w:szCs w:val="24"/>
              </w:rPr>
              <w:t>5、电磁辐射</w:t>
            </w:r>
          </w:p>
          <w:p w14:paraId="751EDE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kern w:val="0"/>
                <w:sz w:val="24"/>
                <w:szCs w:val="24"/>
              </w:rPr>
            </w:pPr>
            <w:r>
              <w:rPr>
                <w:rFonts w:hint="eastAsia"/>
                <w:color w:val="auto"/>
                <w:kern w:val="0"/>
                <w:sz w:val="24"/>
                <w:szCs w:val="24"/>
              </w:rPr>
              <w:t>项目不涉及电磁辐射。</w:t>
            </w:r>
          </w:p>
          <w:p w14:paraId="23B23A4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宋体"/>
                <w:b/>
                <w:bCs/>
                <w:color w:val="auto"/>
                <w:kern w:val="0"/>
                <w:sz w:val="24"/>
                <w:szCs w:val="24"/>
                <w:lang w:val="en-US" w:eastAsia="zh-CN"/>
              </w:rPr>
            </w:pPr>
            <w:r>
              <w:rPr>
                <w:rFonts w:hint="eastAsia"/>
                <w:b/>
                <w:bCs/>
                <w:color w:val="auto"/>
                <w:kern w:val="0"/>
                <w:sz w:val="24"/>
                <w:szCs w:val="24"/>
                <w:lang w:val="en-US" w:eastAsia="zh-CN"/>
              </w:rPr>
              <w:t>6、地下水、土壤环境</w:t>
            </w:r>
          </w:p>
          <w:p w14:paraId="7AC9A93E">
            <w:pPr>
              <w:spacing w:line="360" w:lineRule="auto"/>
              <w:ind w:firstLine="480" w:firstLineChars="200"/>
              <w:rPr>
                <w:rFonts w:ascii="宋体" w:hAnsi="宋体" w:cs="宋体"/>
                <w:kern w:val="0"/>
                <w:szCs w:val="21"/>
              </w:rPr>
            </w:pPr>
            <w:r>
              <w:rPr>
                <w:rFonts w:hint="eastAsia"/>
                <w:color w:val="auto"/>
                <w:kern w:val="0"/>
                <w:sz w:val="24"/>
                <w:szCs w:val="24"/>
                <w:highlight w:val="none"/>
                <w:lang w:val="en-US" w:eastAsia="zh-CN"/>
              </w:rPr>
              <w:t>项目租赁宿州市埇桥区工业发展投资有限公司闲置厂房，不存在土壤、地下水环境污染途径，无需开展地下水、土壤环境</w:t>
            </w:r>
            <w:r>
              <w:rPr>
                <w:rFonts w:hint="eastAsia"/>
                <w:color w:val="auto"/>
                <w:kern w:val="0"/>
                <w:sz w:val="24"/>
                <w:szCs w:val="24"/>
                <w:highlight w:val="none"/>
              </w:rPr>
              <w:t>现状调查。</w:t>
            </w:r>
          </w:p>
        </w:tc>
      </w:tr>
      <w:tr w14:paraId="4F3E2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2" w:hRule="atLeast"/>
          <w:jc w:val="center"/>
        </w:trPr>
        <w:tc>
          <w:tcPr>
            <w:tcW w:w="486" w:type="dxa"/>
            <w:vAlign w:val="center"/>
          </w:tcPr>
          <w:p w14:paraId="75117D74">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环境</w:t>
            </w:r>
          </w:p>
          <w:p w14:paraId="6635A228">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保护</w:t>
            </w:r>
          </w:p>
          <w:p w14:paraId="0306ACAC">
            <w:pPr>
              <w:pStyle w:val="20"/>
              <w:adjustRightInd w:val="0"/>
              <w:snapToGrid w:val="0"/>
              <w:spacing w:before="0" w:beforeAutospacing="0" w:after="0" w:afterAutospacing="0"/>
              <w:jc w:val="center"/>
              <w:rPr>
                <w:rFonts w:ascii="宋体" w:hAnsi="宋体" w:cs="宋体"/>
                <w:kern w:val="0"/>
                <w:szCs w:val="21"/>
              </w:rPr>
            </w:pPr>
            <w:r>
              <w:rPr>
                <w:rFonts w:hint="eastAsia" w:ascii="宋体" w:hAnsi="宋体" w:eastAsia="宋体" w:cs="宋体"/>
                <w:sz w:val="24"/>
                <w:szCs w:val="24"/>
              </w:rPr>
              <w:t>目标</w:t>
            </w:r>
          </w:p>
        </w:tc>
        <w:tc>
          <w:tcPr>
            <w:tcW w:w="8575" w:type="dxa"/>
          </w:tcPr>
          <w:p w14:paraId="75FA991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0"/>
                <w:sz w:val="24"/>
                <w:szCs w:val="24"/>
                <w:lang w:val="zh-CN" w:eastAsia="zh-CN"/>
              </w:rPr>
            </w:pPr>
            <w:r>
              <w:rPr>
                <w:rFonts w:hint="eastAsia" w:ascii="Times New Roman" w:hAnsi="Times New Roman" w:eastAsia="宋体" w:cs="Times New Roman"/>
                <w:b/>
                <w:bCs/>
                <w:color w:val="auto"/>
                <w:kern w:val="0"/>
                <w:sz w:val="24"/>
                <w:szCs w:val="24"/>
                <w:lang w:val="zh-CN" w:eastAsia="zh-CN"/>
              </w:rPr>
              <w:t>1、大气环境</w:t>
            </w:r>
          </w:p>
          <w:p w14:paraId="3FD722F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 xml:space="preserve">3.6  </w:t>
            </w:r>
            <w:r>
              <w:rPr>
                <w:rFonts w:ascii="Times New Roman" w:hAnsi="Times New Roman" w:eastAsia="宋体" w:cs="Times New Roman"/>
                <w:b/>
                <w:bCs/>
                <w:sz w:val="24"/>
                <w:szCs w:val="24"/>
                <w:lang w:eastAsia="zh-CN"/>
              </w:rPr>
              <w:t>大气环境保护目标一览表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623"/>
              <w:gridCol w:w="687"/>
              <w:gridCol w:w="830"/>
              <w:gridCol w:w="1296"/>
              <w:gridCol w:w="2150"/>
              <w:gridCol w:w="862"/>
              <w:gridCol w:w="1021"/>
            </w:tblGrid>
            <w:tr w14:paraId="12EF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dxa"/>
                  <w:vMerge w:val="restart"/>
                  <w:vAlign w:val="center"/>
                </w:tcPr>
                <w:p w14:paraId="520A9274">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r>
                    <w:rPr>
                      <w:rFonts w:ascii="Times New Roman" w:hAnsi="Times New Roman" w:cs="Times New Roman"/>
                      <w:b w:val="0"/>
                      <w:bCs/>
                    </w:rPr>
                    <w:t>名称</w:t>
                  </w:r>
                </w:p>
              </w:tc>
              <w:tc>
                <w:tcPr>
                  <w:tcW w:w="1301" w:type="dxa"/>
                  <w:gridSpan w:val="2"/>
                  <w:vAlign w:val="center"/>
                </w:tcPr>
                <w:p w14:paraId="611605E0">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r>
                    <w:rPr>
                      <w:rFonts w:ascii="Times New Roman" w:hAnsi="Times New Roman" w:cs="Times New Roman"/>
                      <w:b w:val="0"/>
                      <w:bCs/>
                    </w:rPr>
                    <w:t>坐标/m</w:t>
                  </w:r>
                </w:p>
              </w:tc>
              <w:tc>
                <w:tcPr>
                  <w:tcW w:w="824" w:type="dxa"/>
                  <w:vMerge w:val="restart"/>
                  <w:vAlign w:val="center"/>
                </w:tcPr>
                <w:p w14:paraId="00ED2A54">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r>
                    <w:rPr>
                      <w:rFonts w:ascii="Times New Roman" w:hAnsi="Times New Roman" w:cs="Times New Roman"/>
                      <w:b w:val="0"/>
                      <w:bCs/>
                    </w:rPr>
                    <w:t>保护对象</w:t>
                  </w:r>
                </w:p>
              </w:tc>
              <w:tc>
                <w:tcPr>
                  <w:tcW w:w="1287" w:type="dxa"/>
                  <w:vMerge w:val="restart"/>
                  <w:vAlign w:val="center"/>
                </w:tcPr>
                <w:p w14:paraId="78A2EBAA">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r>
                    <w:rPr>
                      <w:rFonts w:ascii="Times New Roman" w:hAnsi="Times New Roman" w:cs="Times New Roman"/>
                      <w:b w:val="0"/>
                      <w:bCs/>
                    </w:rPr>
                    <w:t>保护内容</w:t>
                  </w:r>
                </w:p>
              </w:tc>
              <w:tc>
                <w:tcPr>
                  <w:tcW w:w="2136" w:type="dxa"/>
                  <w:vMerge w:val="restart"/>
                  <w:vAlign w:val="center"/>
                </w:tcPr>
                <w:p w14:paraId="1327FF42">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r>
                    <w:rPr>
                      <w:rFonts w:ascii="Times New Roman" w:hAnsi="Times New Roman" w:cs="Times New Roman"/>
                      <w:b w:val="0"/>
                      <w:bCs/>
                    </w:rPr>
                    <w:t>环境要求及保护级别</w:t>
                  </w:r>
                </w:p>
              </w:tc>
              <w:tc>
                <w:tcPr>
                  <w:tcW w:w="856" w:type="dxa"/>
                  <w:vMerge w:val="restart"/>
                  <w:vAlign w:val="center"/>
                </w:tcPr>
                <w:p w14:paraId="6E058295">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r>
                    <w:rPr>
                      <w:rFonts w:ascii="Times New Roman" w:hAnsi="Times New Roman" w:cs="Times New Roman"/>
                      <w:b w:val="0"/>
                      <w:bCs/>
                    </w:rPr>
                    <w:t>相对厂址方位</w:t>
                  </w:r>
                </w:p>
              </w:tc>
              <w:tc>
                <w:tcPr>
                  <w:tcW w:w="1014" w:type="dxa"/>
                  <w:vMerge w:val="restart"/>
                  <w:vAlign w:val="center"/>
                </w:tcPr>
                <w:p w14:paraId="3C85411E">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r>
                    <w:rPr>
                      <w:rFonts w:ascii="Times New Roman" w:hAnsi="Times New Roman" w:cs="Times New Roman"/>
                      <w:b w:val="0"/>
                      <w:bCs/>
                    </w:rPr>
                    <w:t>相对场界距离/m</w:t>
                  </w:r>
                </w:p>
              </w:tc>
            </w:tr>
            <w:tr w14:paraId="245E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dxa"/>
                  <w:vMerge w:val="continue"/>
                  <w:vAlign w:val="center"/>
                </w:tcPr>
                <w:p w14:paraId="5F50E52C">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p>
              </w:tc>
              <w:tc>
                <w:tcPr>
                  <w:tcW w:w="619" w:type="dxa"/>
                  <w:vAlign w:val="center"/>
                </w:tcPr>
                <w:p w14:paraId="5CDBB6EE">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r>
                    <w:rPr>
                      <w:rFonts w:ascii="Times New Roman" w:hAnsi="Times New Roman" w:cs="Times New Roman"/>
                      <w:b w:val="0"/>
                      <w:bCs/>
                    </w:rPr>
                    <w:t>x</w:t>
                  </w:r>
                </w:p>
              </w:tc>
              <w:tc>
                <w:tcPr>
                  <w:tcW w:w="682" w:type="dxa"/>
                  <w:vAlign w:val="center"/>
                </w:tcPr>
                <w:p w14:paraId="686ED042">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r>
                    <w:rPr>
                      <w:rFonts w:ascii="Times New Roman" w:hAnsi="Times New Roman" w:cs="Times New Roman"/>
                      <w:b w:val="0"/>
                      <w:bCs/>
                    </w:rPr>
                    <w:t>y</w:t>
                  </w:r>
                </w:p>
              </w:tc>
              <w:tc>
                <w:tcPr>
                  <w:tcW w:w="824" w:type="dxa"/>
                  <w:vMerge w:val="continue"/>
                  <w:vAlign w:val="center"/>
                </w:tcPr>
                <w:p w14:paraId="692F2FAE">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p>
              </w:tc>
              <w:tc>
                <w:tcPr>
                  <w:tcW w:w="1287" w:type="dxa"/>
                  <w:vMerge w:val="continue"/>
                  <w:vAlign w:val="center"/>
                </w:tcPr>
                <w:p w14:paraId="7F38AC12">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p>
              </w:tc>
              <w:tc>
                <w:tcPr>
                  <w:tcW w:w="2136" w:type="dxa"/>
                  <w:vMerge w:val="continue"/>
                  <w:vAlign w:val="center"/>
                </w:tcPr>
                <w:p w14:paraId="3E717FB3">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p>
              </w:tc>
              <w:tc>
                <w:tcPr>
                  <w:tcW w:w="856" w:type="dxa"/>
                  <w:vMerge w:val="continue"/>
                  <w:vAlign w:val="center"/>
                </w:tcPr>
                <w:p w14:paraId="3098A1B7">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p>
              </w:tc>
              <w:tc>
                <w:tcPr>
                  <w:tcW w:w="1014" w:type="dxa"/>
                  <w:vMerge w:val="continue"/>
                  <w:vAlign w:val="center"/>
                </w:tcPr>
                <w:p w14:paraId="697A2E31">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rPr>
                  </w:pPr>
                </w:p>
              </w:tc>
            </w:tr>
            <w:tr w14:paraId="780D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dxa"/>
                  <w:vAlign w:val="center"/>
                </w:tcPr>
                <w:p w14:paraId="3F56448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Times New Roman" w:hAnsi="Times New Roman" w:eastAsia="宋体" w:cs="Times New Roman"/>
                      <w:lang w:val="en-US" w:eastAsia="zh-CN"/>
                    </w:rPr>
                  </w:pPr>
                  <w:r>
                    <w:rPr>
                      <w:rFonts w:hint="eastAsia" w:cs="Times New Roman"/>
                      <w:lang w:val="en-US" w:eastAsia="zh-CN"/>
                    </w:rPr>
                    <w:t>高家</w:t>
                  </w:r>
                </w:p>
              </w:tc>
              <w:tc>
                <w:tcPr>
                  <w:tcW w:w="619" w:type="dxa"/>
                  <w:vAlign w:val="center"/>
                </w:tcPr>
                <w:p w14:paraId="5F129051">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szCs w:val="21"/>
                    </w:rPr>
                    <w:t>83</w:t>
                  </w:r>
                </w:p>
              </w:tc>
              <w:tc>
                <w:tcPr>
                  <w:tcW w:w="682" w:type="dxa"/>
                  <w:vAlign w:val="center"/>
                </w:tcPr>
                <w:p w14:paraId="544377F1">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szCs w:val="21"/>
                    </w:rPr>
                    <w:t>109</w:t>
                  </w:r>
                </w:p>
              </w:tc>
              <w:tc>
                <w:tcPr>
                  <w:tcW w:w="824" w:type="dxa"/>
                  <w:vAlign w:val="center"/>
                </w:tcPr>
                <w:p w14:paraId="42551971">
                  <w:pPr>
                    <w:jc w:val="center"/>
                    <w:rPr>
                      <w:rFonts w:ascii="Times New Roman" w:hAnsi="Times New Roman" w:eastAsia="宋体" w:cs="Times New Roman"/>
                      <w:color w:val="000000" w:themeColor="text1"/>
                      <w14:textFill>
                        <w14:solidFill>
                          <w14:schemeClr w14:val="tx1"/>
                        </w14:solidFill>
                      </w14:textFill>
                    </w:rPr>
                  </w:pPr>
                  <w:r>
                    <w:rPr>
                      <w:rFonts w:hint="eastAsia"/>
                      <w:szCs w:val="21"/>
                    </w:rPr>
                    <w:t>居民</w:t>
                  </w:r>
                </w:p>
              </w:tc>
              <w:tc>
                <w:tcPr>
                  <w:tcW w:w="1287" w:type="dxa"/>
                  <w:vAlign w:val="center"/>
                </w:tcPr>
                <w:p w14:paraId="7C4BF1F8">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80</w:t>
                  </w:r>
                  <w:r>
                    <w:rPr>
                      <w:rFonts w:ascii="Times New Roman" w:hAnsi="Times New Roman" w:eastAsia="宋体" w:cs="Times New Roman"/>
                      <w:color w:val="000000" w:themeColor="text1"/>
                      <w14:textFill>
                        <w14:solidFill>
                          <w14:schemeClr w14:val="tx1"/>
                        </w14:solidFill>
                      </w14:textFill>
                    </w:rPr>
                    <w:t>户/</w:t>
                  </w:r>
                  <w:r>
                    <w:rPr>
                      <w:rFonts w:hint="eastAsia" w:cs="Times New Roman"/>
                      <w:color w:val="000000" w:themeColor="text1"/>
                      <w:lang w:val="en-US" w:eastAsia="zh-CN"/>
                      <w14:textFill>
                        <w14:solidFill>
                          <w14:schemeClr w14:val="tx1"/>
                        </w14:solidFill>
                      </w14:textFill>
                    </w:rPr>
                    <w:t>240</w:t>
                  </w:r>
                  <w:r>
                    <w:rPr>
                      <w:rFonts w:ascii="Times New Roman" w:hAnsi="Times New Roman" w:eastAsia="宋体" w:cs="Times New Roman"/>
                      <w:color w:val="000000" w:themeColor="text1"/>
                      <w14:textFill>
                        <w14:solidFill>
                          <w14:schemeClr w14:val="tx1"/>
                        </w14:solidFill>
                      </w14:textFill>
                    </w:rPr>
                    <w:t>人</w:t>
                  </w:r>
                </w:p>
              </w:tc>
              <w:tc>
                <w:tcPr>
                  <w:tcW w:w="2136" w:type="dxa"/>
                  <w:vMerge w:val="restart"/>
                  <w:vAlign w:val="center"/>
                </w:tcPr>
                <w:p w14:paraId="355A8B4C">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color w:val="000000" w:themeColor="text1"/>
                      <w:lang w:eastAsia="zh-CN"/>
                      <w14:textFill>
                        <w14:solidFill>
                          <w14:schemeClr w14:val="tx1"/>
                        </w14:solidFill>
                      </w14:textFill>
                    </w:rPr>
                  </w:pPr>
                  <w:r>
                    <w:rPr>
                      <w:rFonts w:ascii="Times New Roman" w:hAnsi="Times New Roman" w:cs="Times New Roman"/>
                      <w:b w:val="0"/>
                      <w:bCs/>
                      <w:color w:val="000000" w:themeColor="text1"/>
                      <w:lang w:eastAsia="zh-CN"/>
                      <w14:textFill>
                        <w14:solidFill>
                          <w14:schemeClr w14:val="tx1"/>
                        </w14:solidFill>
                      </w14:textFill>
                    </w:rPr>
                    <w:t>《环境空气质量标准》（GB3095-2012）及其修改单中的二级标准</w:t>
                  </w:r>
                </w:p>
              </w:tc>
              <w:tc>
                <w:tcPr>
                  <w:tcW w:w="856" w:type="dxa"/>
                  <w:vAlign w:val="center"/>
                </w:tcPr>
                <w:p w14:paraId="0515FEFC">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N</w:t>
                  </w:r>
                </w:p>
              </w:tc>
              <w:tc>
                <w:tcPr>
                  <w:tcW w:w="1014" w:type="dxa"/>
                  <w:vAlign w:val="center"/>
                </w:tcPr>
                <w:p w14:paraId="28F41A2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14</w:t>
                  </w:r>
                </w:p>
              </w:tc>
            </w:tr>
            <w:tr w14:paraId="29FB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dxa"/>
                  <w:vAlign w:val="center"/>
                </w:tcPr>
                <w:p w14:paraId="7A9B0E1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lang w:val="en-US" w:eastAsia="zh-CN"/>
                    </w:rPr>
                  </w:pPr>
                  <w:r>
                    <w:rPr>
                      <w:rFonts w:hint="eastAsia" w:cs="Times New Roman"/>
                      <w:lang w:val="en-US" w:eastAsia="zh-CN"/>
                    </w:rPr>
                    <w:t>三铺村四组</w:t>
                  </w:r>
                </w:p>
              </w:tc>
              <w:tc>
                <w:tcPr>
                  <w:tcW w:w="619" w:type="dxa"/>
                  <w:vAlign w:val="center"/>
                </w:tcPr>
                <w:p w14:paraId="358A23E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auto"/>
                      <w:szCs w:val="21"/>
                      <w:lang w:val="en-US" w:eastAsia="zh-CN"/>
                    </w:rPr>
                    <w:t>12</w:t>
                  </w:r>
                  <w:r>
                    <w:rPr>
                      <w:rFonts w:hint="eastAsia"/>
                      <w:color w:val="auto"/>
                      <w:szCs w:val="21"/>
                    </w:rPr>
                    <w:t>0</w:t>
                  </w:r>
                </w:p>
              </w:tc>
              <w:tc>
                <w:tcPr>
                  <w:tcW w:w="682" w:type="dxa"/>
                  <w:vAlign w:val="center"/>
                </w:tcPr>
                <w:p w14:paraId="15A01EB9">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auto"/>
                      <w:szCs w:val="21"/>
                    </w:rPr>
                    <w:t>0</w:t>
                  </w:r>
                </w:p>
              </w:tc>
              <w:tc>
                <w:tcPr>
                  <w:tcW w:w="824" w:type="dxa"/>
                  <w:vAlign w:val="center"/>
                </w:tcPr>
                <w:p w14:paraId="4D76D180">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居民点</w:t>
                  </w:r>
                </w:p>
              </w:tc>
              <w:tc>
                <w:tcPr>
                  <w:tcW w:w="1287" w:type="dxa"/>
                  <w:vAlign w:val="center"/>
                </w:tcPr>
                <w:p w14:paraId="1CBE50B3">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150</w:t>
                  </w:r>
                  <w:r>
                    <w:rPr>
                      <w:rFonts w:hint="eastAsia" w:ascii="Times New Roman" w:hAnsi="Times New Roman" w:eastAsia="宋体" w:cs="Times New Roman"/>
                      <w:color w:val="000000" w:themeColor="text1"/>
                      <w:lang w:eastAsia="zh-CN"/>
                      <w14:textFill>
                        <w14:solidFill>
                          <w14:schemeClr w14:val="tx1"/>
                        </w14:solidFill>
                      </w14:textFill>
                    </w:rPr>
                    <w:t>户/</w:t>
                  </w:r>
                  <w:r>
                    <w:rPr>
                      <w:rFonts w:hint="eastAsia" w:cs="Times New Roman"/>
                      <w:color w:val="000000" w:themeColor="text1"/>
                      <w:lang w:val="en-US" w:eastAsia="zh-CN"/>
                      <w14:textFill>
                        <w14:solidFill>
                          <w14:schemeClr w14:val="tx1"/>
                        </w14:solidFill>
                      </w14:textFill>
                    </w:rPr>
                    <w:t>450</w:t>
                  </w:r>
                  <w:r>
                    <w:rPr>
                      <w:rFonts w:hint="eastAsia" w:ascii="Times New Roman" w:hAnsi="Times New Roman" w:eastAsia="宋体" w:cs="Times New Roman"/>
                      <w:color w:val="000000" w:themeColor="text1"/>
                      <w:lang w:eastAsia="zh-CN"/>
                      <w14:textFill>
                        <w14:solidFill>
                          <w14:schemeClr w14:val="tx1"/>
                        </w14:solidFill>
                      </w14:textFill>
                    </w:rPr>
                    <w:t>人</w:t>
                  </w:r>
                </w:p>
              </w:tc>
              <w:tc>
                <w:tcPr>
                  <w:tcW w:w="2136" w:type="dxa"/>
                  <w:vMerge w:val="continue"/>
                  <w:vAlign w:val="center"/>
                </w:tcPr>
                <w:p w14:paraId="57F4C78A">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color w:val="000000" w:themeColor="text1"/>
                      <w:lang w:eastAsia="zh-CN"/>
                      <w14:textFill>
                        <w14:solidFill>
                          <w14:schemeClr w14:val="tx1"/>
                        </w14:solidFill>
                      </w14:textFill>
                    </w:rPr>
                  </w:pPr>
                </w:p>
              </w:tc>
              <w:tc>
                <w:tcPr>
                  <w:tcW w:w="856" w:type="dxa"/>
                  <w:vAlign w:val="center"/>
                </w:tcPr>
                <w:p w14:paraId="1CB7A53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E</w:t>
                  </w:r>
                </w:p>
              </w:tc>
              <w:tc>
                <w:tcPr>
                  <w:tcW w:w="1014" w:type="dxa"/>
                  <w:vAlign w:val="center"/>
                </w:tcPr>
                <w:p w14:paraId="68DEC19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p>
              </w:tc>
            </w:tr>
            <w:tr w14:paraId="269E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dxa"/>
                  <w:vAlign w:val="center"/>
                </w:tcPr>
                <w:p w14:paraId="09BFC90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cs="Times New Roman"/>
                      <w:lang w:val="en-US" w:eastAsia="zh-CN"/>
                    </w:rPr>
                  </w:pPr>
                  <w:r>
                    <w:rPr>
                      <w:rFonts w:hint="eastAsia"/>
                      <w:szCs w:val="21"/>
                    </w:rPr>
                    <w:t>集西村</w:t>
                  </w:r>
                </w:p>
              </w:tc>
              <w:tc>
                <w:tcPr>
                  <w:tcW w:w="619" w:type="dxa"/>
                  <w:vAlign w:val="center"/>
                </w:tcPr>
                <w:p w14:paraId="0C0FBBA9">
                  <w:pPr>
                    <w:jc w:val="center"/>
                    <w:rPr>
                      <w:rFonts w:hint="eastAsia"/>
                      <w:color w:val="auto"/>
                      <w:szCs w:val="21"/>
                      <w:lang w:val="en-US" w:eastAsia="zh-CN"/>
                    </w:rPr>
                  </w:pPr>
                  <w:r>
                    <w:rPr>
                      <w:rFonts w:hint="eastAsia"/>
                      <w:szCs w:val="21"/>
                    </w:rPr>
                    <w:t>412</w:t>
                  </w:r>
                </w:p>
              </w:tc>
              <w:tc>
                <w:tcPr>
                  <w:tcW w:w="682" w:type="dxa"/>
                  <w:vAlign w:val="center"/>
                </w:tcPr>
                <w:p w14:paraId="75752C09">
                  <w:pPr>
                    <w:jc w:val="center"/>
                    <w:rPr>
                      <w:rFonts w:hint="eastAsia"/>
                      <w:color w:val="auto"/>
                      <w:szCs w:val="21"/>
                    </w:rPr>
                  </w:pPr>
                  <w:r>
                    <w:rPr>
                      <w:rFonts w:hint="eastAsia"/>
                      <w:szCs w:val="21"/>
                    </w:rPr>
                    <w:t>216</w:t>
                  </w:r>
                </w:p>
              </w:tc>
              <w:tc>
                <w:tcPr>
                  <w:tcW w:w="824" w:type="dxa"/>
                  <w:vAlign w:val="center"/>
                </w:tcPr>
                <w:p w14:paraId="624C9F54">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居民点</w:t>
                  </w:r>
                </w:p>
              </w:tc>
              <w:tc>
                <w:tcPr>
                  <w:tcW w:w="1287" w:type="dxa"/>
                  <w:vAlign w:val="center"/>
                </w:tcPr>
                <w:p w14:paraId="07D29EF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30户/90人</w:t>
                  </w:r>
                </w:p>
              </w:tc>
              <w:tc>
                <w:tcPr>
                  <w:tcW w:w="2136" w:type="dxa"/>
                  <w:vMerge w:val="continue"/>
                  <w:vAlign w:val="center"/>
                </w:tcPr>
                <w:p w14:paraId="0E73407D">
                  <w:pPr>
                    <w:pStyle w:val="79"/>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baseline"/>
                    <w:rPr>
                      <w:rFonts w:ascii="Times New Roman" w:hAnsi="Times New Roman" w:cs="Times New Roman"/>
                      <w:b w:val="0"/>
                      <w:bCs/>
                      <w:color w:val="000000" w:themeColor="text1"/>
                      <w:lang w:eastAsia="zh-CN"/>
                      <w14:textFill>
                        <w14:solidFill>
                          <w14:schemeClr w14:val="tx1"/>
                        </w14:solidFill>
                      </w14:textFill>
                    </w:rPr>
                  </w:pPr>
                </w:p>
              </w:tc>
              <w:tc>
                <w:tcPr>
                  <w:tcW w:w="856" w:type="dxa"/>
                  <w:vAlign w:val="center"/>
                </w:tcPr>
                <w:p w14:paraId="7E3DF7CE">
                  <w:pPr>
                    <w:jc w:val="center"/>
                    <w:rPr>
                      <w:rFonts w:hint="eastAsia" w:cs="Times New Roman"/>
                      <w:color w:val="000000" w:themeColor="text1"/>
                      <w:highlight w:val="none"/>
                      <w:lang w:val="en-US" w:eastAsia="zh-CN"/>
                      <w14:textFill>
                        <w14:solidFill>
                          <w14:schemeClr w14:val="tx1"/>
                        </w14:solidFill>
                      </w14:textFill>
                    </w:rPr>
                  </w:pPr>
                  <w:r>
                    <w:rPr>
                      <w:rFonts w:hint="eastAsia"/>
                      <w:szCs w:val="21"/>
                    </w:rPr>
                    <w:t>NE</w:t>
                  </w:r>
                </w:p>
              </w:tc>
              <w:tc>
                <w:tcPr>
                  <w:tcW w:w="1014" w:type="dxa"/>
                  <w:vAlign w:val="center"/>
                </w:tcPr>
                <w:p w14:paraId="06054007">
                  <w:pPr>
                    <w:jc w:val="center"/>
                    <w:rPr>
                      <w:rFonts w:hint="eastAsia" w:cs="Times New Roman"/>
                      <w:color w:val="000000" w:themeColor="text1"/>
                      <w:highlight w:val="none"/>
                      <w:lang w:val="en-US" w:eastAsia="zh-CN"/>
                      <w14:textFill>
                        <w14:solidFill>
                          <w14:schemeClr w14:val="tx1"/>
                        </w14:solidFill>
                      </w14:textFill>
                    </w:rPr>
                  </w:pPr>
                  <w:r>
                    <w:rPr>
                      <w:rFonts w:hint="eastAsia"/>
                      <w:color w:val="auto"/>
                      <w:szCs w:val="21"/>
                    </w:rPr>
                    <w:t>442</w:t>
                  </w:r>
                </w:p>
              </w:tc>
            </w:tr>
            <w:tr w14:paraId="634B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3" w:type="dxa"/>
                  <w:gridSpan w:val="8"/>
                  <w:vAlign w:val="center"/>
                </w:tcPr>
                <w:p w14:paraId="4CF66B0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bCs/>
                      <w:snapToGrid w:val="0"/>
                      <w:color w:val="000000"/>
                      <w:spacing w:val="0"/>
                      <w:sz w:val="18"/>
                      <w:szCs w:val="18"/>
                      <w:lang w:val="en-US" w:eastAsia="zh-CN" w:bidi="ar-SA"/>
                    </w:rPr>
                    <w:t>注：以企业所在区域对角线交点为坐标原点，以东西方向为X坐标轴（东方向为正方向），以南北方向为Y坐标轴（北方向为正方向）。</w:t>
                  </w:r>
                </w:p>
              </w:tc>
            </w:tr>
          </w:tbl>
          <w:p w14:paraId="712D1D7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0"/>
                <w:sz w:val="24"/>
                <w:szCs w:val="24"/>
                <w:lang w:val="zh-CN" w:eastAsia="zh-CN"/>
              </w:rPr>
            </w:pPr>
            <w:r>
              <w:rPr>
                <w:rFonts w:hint="eastAsia" w:ascii="Times New Roman" w:hAnsi="Times New Roman" w:eastAsia="宋体" w:cs="Times New Roman"/>
                <w:b/>
                <w:bCs/>
                <w:color w:val="auto"/>
                <w:kern w:val="0"/>
                <w:sz w:val="24"/>
                <w:szCs w:val="24"/>
                <w:lang w:val="zh-CN" w:eastAsia="zh-CN"/>
              </w:rPr>
              <w:t>2、地表水环境</w:t>
            </w:r>
          </w:p>
          <w:p w14:paraId="238E966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 xml:space="preserve">3.7  </w:t>
            </w:r>
            <w:r>
              <w:rPr>
                <w:rFonts w:ascii="Times New Roman" w:hAnsi="Times New Roman" w:eastAsia="宋体" w:cs="Times New Roman"/>
                <w:b/>
                <w:bCs/>
                <w:sz w:val="24"/>
                <w:szCs w:val="24"/>
                <w:lang w:eastAsia="zh-CN"/>
              </w:rPr>
              <w:t>水环境保护目标一览表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4"/>
              <w:gridCol w:w="1700"/>
              <w:gridCol w:w="1658"/>
              <w:gridCol w:w="1095"/>
              <w:gridCol w:w="2722"/>
            </w:tblGrid>
            <w:tr w14:paraId="558D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6" w:type="dxa"/>
                  <w:vAlign w:val="center"/>
                </w:tcPr>
                <w:p w14:paraId="60993AB4">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环境要素</w:t>
                  </w:r>
                </w:p>
              </w:tc>
              <w:tc>
                <w:tcPr>
                  <w:tcW w:w="1689" w:type="dxa"/>
                  <w:vAlign w:val="center"/>
                </w:tcPr>
                <w:p w14:paraId="41F5513C">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环境保护对象</w:t>
                  </w:r>
                </w:p>
                <w:p w14:paraId="78E70D5A">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名称</w:t>
                  </w:r>
                </w:p>
              </w:tc>
              <w:tc>
                <w:tcPr>
                  <w:tcW w:w="1647" w:type="dxa"/>
                  <w:vAlign w:val="center"/>
                </w:tcPr>
                <w:p w14:paraId="6137D36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Times New Roman" w:hAnsi="Times New Roman" w:eastAsia="宋体" w:cs="Times New Roman"/>
                      <w:color w:val="auto"/>
                      <w:lang w:eastAsia="zh-CN"/>
                    </w:rPr>
                  </w:pPr>
                  <w:r>
                    <w:rPr>
                      <w:rFonts w:ascii="Times New Roman" w:hAnsi="Times New Roman" w:eastAsia="宋体" w:cs="Times New Roman"/>
                      <w:color w:val="auto"/>
                    </w:rPr>
                    <w:t>方位/距离</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m</w:t>
                  </w:r>
                  <w:r>
                    <w:rPr>
                      <w:rFonts w:hint="eastAsia" w:ascii="Times New Roman" w:hAnsi="Times New Roman" w:eastAsia="宋体" w:cs="Times New Roman"/>
                      <w:color w:val="auto"/>
                      <w:lang w:eastAsia="zh-CN"/>
                    </w:rPr>
                    <w:t>）</w:t>
                  </w:r>
                </w:p>
              </w:tc>
              <w:tc>
                <w:tcPr>
                  <w:tcW w:w="1088" w:type="dxa"/>
                  <w:vAlign w:val="center"/>
                </w:tcPr>
                <w:p w14:paraId="6B4049EB">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规模</w:t>
                  </w:r>
                </w:p>
              </w:tc>
              <w:tc>
                <w:tcPr>
                  <w:tcW w:w="2703" w:type="dxa"/>
                  <w:vAlign w:val="center"/>
                </w:tcPr>
                <w:p w14:paraId="5C468827">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保护目标</w:t>
                  </w:r>
                </w:p>
              </w:tc>
            </w:tr>
            <w:tr w14:paraId="6B21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6" w:type="dxa"/>
                  <w:vAlign w:val="center"/>
                </w:tcPr>
                <w:p w14:paraId="4A23B8A6">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地表水</w:t>
                  </w:r>
                </w:p>
              </w:tc>
              <w:tc>
                <w:tcPr>
                  <w:tcW w:w="1689" w:type="dxa"/>
                  <w:vAlign w:val="center"/>
                </w:tcPr>
                <w:p w14:paraId="40C6054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北沱河</w:t>
                  </w:r>
                </w:p>
              </w:tc>
              <w:tc>
                <w:tcPr>
                  <w:tcW w:w="1647" w:type="dxa"/>
                  <w:vAlign w:val="center"/>
                </w:tcPr>
                <w:p w14:paraId="0074248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N</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071</w:t>
                  </w:r>
                </w:p>
              </w:tc>
              <w:tc>
                <w:tcPr>
                  <w:tcW w:w="1088" w:type="dxa"/>
                  <w:vAlign w:val="center"/>
                </w:tcPr>
                <w:p w14:paraId="3D6BD228">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小河</w:t>
                  </w:r>
                </w:p>
              </w:tc>
              <w:tc>
                <w:tcPr>
                  <w:tcW w:w="2703" w:type="dxa"/>
                  <w:vAlign w:val="center"/>
                </w:tcPr>
                <w:p w14:paraId="64CC40D5">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auto"/>
                      <w:lang w:eastAsia="zh-CN"/>
                    </w:rPr>
                  </w:pPr>
                  <w:r>
                    <w:rPr>
                      <w:rFonts w:ascii="Times New Roman" w:hAnsi="Times New Roman" w:eastAsia="宋体" w:cs="Times New Roman"/>
                      <w:color w:val="auto"/>
                      <w:lang w:eastAsia="zh-CN"/>
                    </w:rPr>
                    <w:t>《地表水环境质量标准》（GB3838-2002）Ⅳ类</w:t>
                  </w:r>
                </w:p>
              </w:tc>
            </w:tr>
          </w:tbl>
          <w:p w14:paraId="1FA43BE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lang w:val="zh-CN" w:eastAsia="zh-CN"/>
              </w:rPr>
            </w:pPr>
            <w:r>
              <w:rPr>
                <w:rFonts w:hint="eastAsia"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lang w:val="zh-CN" w:eastAsia="zh-CN"/>
              </w:rPr>
              <w:t>、声环境</w:t>
            </w:r>
          </w:p>
          <w:p w14:paraId="0A98225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表3.</w:t>
            </w:r>
            <w:r>
              <w:rPr>
                <w:rFonts w:hint="eastAsia" w:ascii="Times New Roman" w:hAnsi="Times New Roman" w:eastAsia="宋体" w:cs="Times New Roman"/>
                <w:b/>
                <w:bCs/>
                <w:color w:val="auto"/>
                <w:sz w:val="24"/>
                <w:szCs w:val="24"/>
                <w:lang w:val="en-US" w:eastAsia="zh-CN"/>
              </w:rPr>
              <w:t>8</w:t>
            </w:r>
            <w:r>
              <w:rPr>
                <w:rFonts w:hint="eastAsia" w:ascii="Times New Roman" w:hAnsi="Times New Roman" w:eastAsia="宋体" w:cs="Times New Roman"/>
                <w:b/>
                <w:bCs/>
                <w:color w:val="auto"/>
                <w:sz w:val="24"/>
                <w:szCs w:val="24"/>
              </w:rPr>
              <w:t xml:space="preserve">  </w:t>
            </w:r>
            <w:r>
              <w:rPr>
                <w:rFonts w:ascii="Times New Roman" w:hAnsi="Times New Roman" w:eastAsia="宋体" w:cs="Times New Roman"/>
                <w:b/>
                <w:bCs/>
                <w:color w:val="auto"/>
                <w:sz w:val="24"/>
                <w:szCs w:val="24"/>
              </w:rPr>
              <w:t>项目</w:t>
            </w:r>
            <w:r>
              <w:rPr>
                <w:rFonts w:hint="eastAsia" w:ascii="Times New Roman" w:hAnsi="Times New Roman" w:eastAsia="宋体" w:cs="Times New Roman"/>
                <w:b/>
                <w:bCs/>
                <w:color w:val="auto"/>
                <w:sz w:val="24"/>
                <w:szCs w:val="24"/>
                <w:lang w:val="en-US" w:eastAsia="zh-CN"/>
              </w:rPr>
              <w:t>声环境</w:t>
            </w:r>
            <w:r>
              <w:rPr>
                <w:rFonts w:ascii="Times New Roman" w:hAnsi="Times New Roman" w:eastAsia="宋体" w:cs="Times New Roman"/>
                <w:b/>
                <w:bCs/>
                <w:color w:val="auto"/>
                <w:sz w:val="24"/>
                <w:szCs w:val="24"/>
              </w:rPr>
              <w:t>保护目标</w:t>
            </w:r>
            <w:r>
              <w:rPr>
                <w:rFonts w:hint="eastAsia" w:ascii="Times New Roman" w:hAnsi="Times New Roman" w:eastAsia="宋体" w:cs="Times New Roman"/>
                <w:b/>
                <w:bCs/>
                <w:color w:val="auto"/>
                <w:sz w:val="24"/>
                <w:szCs w:val="24"/>
              </w:rPr>
              <w:t>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734"/>
              <w:gridCol w:w="531"/>
              <w:gridCol w:w="531"/>
              <w:gridCol w:w="657"/>
              <w:gridCol w:w="859"/>
              <w:gridCol w:w="2915"/>
              <w:gridCol w:w="811"/>
              <w:gridCol w:w="900"/>
            </w:tblGrid>
            <w:tr w14:paraId="6EE7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dxa"/>
                  <w:vMerge w:val="restart"/>
                  <w:noWrap w:val="0"/>
                  <w:vAlign w:val="center"/>
                </w:tcPr>
                <w:p w14:paraId="422D0004">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34" w:type="dxa"/>
                  <w:vMerge w:val="restart"/>
                  <w:noWrap w:val="0"/>
                  <w:vAlign w:val="center"/>
                </w:tcPr>
                <w:p w14:paraId="691C0664">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062" w:type="dxa"/>
                  <w:gridSpan w:val="2"/>
                  <w:noWrap w:val="0"/>
                  <w:vAlign w:val="center"/>
                </w:tcPr>
                <w:p w14:paraId="73913DBC">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坐标/m</w:t>
                  </w:r>
                </w:p>
              </w:tc>
              <w:tc>
                <w:tcPr>
                  <w:tcW w:w="657" w:type="dxa"/>
                  <w:vMerge w:val="restart"/>
                  <w:noWrap w:val="0"/>
                  <w:vAlign w:val="center"/>
                </w:tcPr>
                <w:p w14:paraId="17642D7E">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保护对象</w:t>
                  </w:r>
                </w:p>
              </w:tc>
              <w:tc>
                <w:tcPr>
                  <w:tcW w:w="859" w:type="dxa"/>
                  <w:vMerge w:val="restart"/>
                  <w:noWrap w:val="0"/>
                  <w:vAlign w:val="center"/>
                </w:tcPr>
                <w:p w14:paraId="53185A7C">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2915" w:type="dxa"/>
                  <w:vMerge w:val="restart"/>
                  <w:noWrap w:val="0"/>
                  <w:vAlign w:val="center"/>
                </w:tcPr>
                <w:p w14:paraId="2D170B73">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811" w:type="dxa"/>
                  <w:vMerge w:val="restart"/>
                  <w:noWrap w:val="0"/>
                  <w:vAlign w:val="center"/>
                </w:tcPr>
                <w:p w14:paraId="69539154">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相对厂址方位</w:t>
                  </w:r>
                </w:p>
              </w:tc>
              <w:tc>
                <w:tcPr>
                  <w:tcW w:w="900" w:type="dxa"/>
                  <w:vMerge w:val="restart"/>
                  <w:noWrap w:val="0"/>
                  <w:vAlign w:val="center"/>
                </w:tcPr>
                <w:p w14:paraId="0AFD4F7C">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相对厂界距离/m</w:t>
                  </w:r>
                </w:p>
              </w:tc>
            </w:tr>
            <w:tr w14:paraId="6650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dxa"/>
                  <w:vMerge w:val="continue"/>
                  <w:noWrap w:val="0"/>
                  <w:vAlign w:val="center"/>
                </w:tcPr>
                <w:p w14:paraId="3BF67442">
                  <w:pPr>
                    <w:pStyle w:val="30"/>
                    <w:spacing w:line="240" w:lineRule="auto"/>
                    <w:ind w:firstLine="0" w:firstLineChars="0"/>
                    <w:jc w:val="center"/>
                    <w:rPr>
                      <w:rFonts w:hint="default" w:ascii="Times New Roman" w:hAnsi="Times New Roman" w:eastAsia="宋体" w:cs="Times New Roman"/>
                      <w:color w:val="auto"/>
                      <w:sz w:val="21"/>
                      <w:szCs w:val="21"/>
                    </w:rPr>
                  </w:pPr>
                </w:p>
              </w:tc>
              <w:tc>
                <w:tcPr>
                  <w:tcW w:w="734" w:type="dxa"/>
                  <w:vMerge w:val="continue"/>
                  <w:noWrap w:val="0"/>
                  <w:vAlign w:val="center"/>
                </w:tcPr>
                <w:p w14:paraId="7CDF1C08">
                  <w:pPr>
                    <w:pStyle w:val="30"/>
                    <w:spacing w:line="240" w:lineRule="auto"/>
                    <w:ind w:firstLine="0" w:firstLineChars="0"/>
                    <w:jc w:val="center"/>
                    <w:rPr>
                      <w:rFonts w:hint="default" w:ascii="Times New Roman" w:hAnsi="Times New Roman" w:eastAsia="宋体" w:cs="Times New Roman"/>
                      <w:color w:val="auto"/>
                      <w:sz w:val="21"/>
                      <w:szCs w:val="21"/>
                    </w:rPr>
                  </w:pPr>
                </w:p>
              </w:tc>
              <w:tc>
                <w:tcPr>
                  <w:tcW w:w="531" w:type="dxa"/>
                  <w:noWrap w:val="0"/>
                  <w:vAlign w:val="center"/>
                </w:tcPr>
                <w:p w14:paraId="1B5EED11">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531" w:type="dxa"/>
                  <w:noWrap w:val="0"/>
                  <w:vAlign w:val="center"/>
                </w:tcPr>
                <w:p w14:paraId="4FB909E0">
                  <w:pPr>
                    <w:pStyle w:val="3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657" w:type="dxa"/>
                  <w:vMerge w:val="continue"/>
                  <w:noWrap w:val="0"/>
                  <w:vAlign w:val="center"/>
                </w:tcPr>
                <w:p w14:paraId="1775620C">
                  <w:pPr>
                    <w:pStyle w:val="30"/>
                    <w:spacing w:line="240" w:lineRule="auto"/>
                    <w:ind w:firstLine="0" w:firstLineChars="0"/>
                    <w:jc w:val="center"/>
                    <w:rPr>
                      <w:rFonts w:hint="default" w:ascii="Times New Roman" w:hAnsi="Times New Roman" w:eastAsia="宋体" w:cs="Times New Roman"/>
                      <w:color w:val="auto"/>
                      <w:sz w:val="21"/>
                      <w:szCs w:val="21"/>
                    </w:rPr>
                  </w:pPr>
                </w:p>
              </w:tc>
              <w:tc>
                <w:tcPr>
                  <w:tcW w:w="859" w:type="dxa"/>
                  <w:vMerge w:val="continue"/>
                  <w:noWrap w:val="0"/>
                  <w:vAlign w:val="center"/>
                </w:tcPr>
                <w:p w14:paraId="6FB57B47">
                  <w:pPr>
                    <w:pStyle w:val="30"/>
                    <w:spacing w:line="240" w:lineRule="auto"/>
                    <w:ind w:firstLine="0" w:firstLineChars="0"/>
                    <w:jc w:val="center"/>
                    <w:rPr>
                      <w:rFonts w:hint="default" w:ascii="Times New Roman" w:hAnsi="Times New Roman" w:eastAsia="宋体" w:cs="Times New Roman"/>
                      <w:color w:val="auto"/>
                      <w:sz w:val="21"/>
                      <w:szCs w:val="21"/>
                    </w:rPr>
                  </w:pPr>
                </w:p>
              </w:tc>
              <w:tc>
                <w:tcPr>
                  <w:tcW w:w="2915" w:type="dxa"/>
                  <w:vMerge w:val="continue"/>
                  <w:noWrap w:val="0"/>
                  <w:vAlign w:val="center"/>
                </w:tcPr>
                <w:p w14:paraId="41796E61">
                  <w:pPr>
                    <w:pStyle w:val="30"/>
                    <w:spacing w:line="240" w:lineRule="auto"/>
                    <w:ind w:firstLine="0" w:firstLineChars="0"/>
                    <w:jc w:val="center"/>
                    <w:rPr>
                      <w:rFonts w:hint="default" w:ascii="Times New Roman" w:hAnsi="Times New Roman" w:eastAsia="宋体" w:cs="Times New Roman"/>
                      <w:color w:val="auto"/>
                      <w:sz w:val="21"/>
                      <w:szCs w:val="21"/>
                    </w:rPr>
                  </w:pPr>
                </w:p>
              </w:tc>
              <w:tc>
                <w:tcPr>
                  <w:tcW w:w="811" w:type="dxa"/>
                  <w:vMerge w:val="continue"/>
                  <w:noWrap w:val="0"/>
                  <w:vAlign w:val="center"/>
                </w:tcPr>
                <w:p w14:paraId="3FD03681">
                  <w:pPr>
                    <w:pStyle w:val="30"/>
                    <w:spacing w:line="240" w:lineRule="auto"/>
                    <w:ind w:firstLine="0" w:firstLineChars="0"/>
                    <w:jc w:val="center"/>
                    <w:rPr>
                      <w:rFonts w:hint="default" w:ascii="Times New Roman" w:hAnsi="Times New Roman" w:eastAsia="宋体" w:cs="Times New Roman"/>
                      <w:color w:val="auto"/>
                      <w:sz w:val="21"/>
                      <w:szCs w:val="21"/>
                    </w:rPr>
                  </w:pPr>
                </w:p>
              </w:tc>
              <w:tc>
                <w:tcPr>
                  <w:tcW w:w="900" w:type="dxa"/>
                  <w:vMerge w:val="continue"/>
                  <w:noWrap w:val="0"/>
                  <w:vAlign w:val="center"/>
                </w:tcPr>
                <w:p w14:paraId="6C41BA05">
                  <w:pPr>
                    <w:pStyle w:val="30"/>
                    <w:spacing w:line="240" w:lineRule="auto"/>
                    <w:ind w:firstLine="0" w:firstLineChars="0"/>
                    <w:jc w:val="center"/>
                    <w:rPr>
                      <w:rFonts w:hint="default" w:ascii="Times New Roman" w:hAnsi="Times New Roman" w:eastAsia="宋体" w:cs="Times New Roman"/>
                      <w:color w:val="auto"/>
                      <w:sz w:val="21"/>
                      <w:szCs w:val="21"/>
                    </w:rPr>
                  </w:pPr>
                </w:p>
              </w:tc>
            </w:tr>
            <w:tr w14:paraId="5DB7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dxa"/>
                  <w:noWrap w:val="0"/>
                  <w:vAlign w:val="center"/>
                </w:tcPr>
                <w:p w14:paraId="30F60A7B">
                  <w:pPr>
                    <w:pStyle w:val="3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4" w:type="dxa"/>
                  <w:noWrap w:val="0"/>
                  <w:vAlign w:val="center"/>
                </w:tcPr>
                <w:p w14:paraId="1E4C725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高家</w:t>
                  </w:r>
                </w:p>
              </w:tc>
              <w:tc>
                <w:tcPr>
                  <w:tcW w:w="531" w:type="dxa"/>
                  <w:noWrap w:val="0"/>
                  <w:vAlign w:val="center"/>
                </w:tcPr>
                <w:p w14:paraId="2F3B356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83</w:t>
                  </w:r>
                </w:p>
              </w:tc>
              <w:tc>
                <w:tcPr>
                  <w:tcW w:w="531" w:type="dxa"/>
                  <w:noWrap w:val="0"/>
                  <w:vAlign w:val="center"/>
                </w:tcPr>
                <w:p w14:paraId="231921AD">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109</w:t>
                  </w:r>
                </w:p>
              </w:tc>
              <w:tc>
                <w:tcPr>
                  <w:tcW w:w="657" w:type="dxa"/>
                  <w:noWrap w:val="0"/>
                  <w:vAlign w:val="center"/>
                </w:tcPr>
                <w:p w14:paraId="2F11AD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居民</w:t>
                  </w:r>
                </w:p>
              </w:tc>
              <w:tc>
                <w:tcPr>
                  <w:tcW w:w="859" w:type="dxa"/>
                  <w:noWrap w:val="0"/>
                  <w:vAlign w:val="center"/>
                </w:tcPr>
                <w:p w14:paraId="63EA0F0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14:textFill>
                        <w14:solidFill>
                          <w14:schemeClr w14:val="tx1"/>
                        </w14:solidFill>
                      </w14:textFill>
                    </w:rPr>
                    <w:t>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240</w:t>
                  </w:r>
                  <w:r>
                    <w:rPr>
                      <w:rFonts w:hint="default" w:ascii="Times New Roman" w:hAnsi="Times New Roman" w:eastAsia="宋体" w:cs="Times New Roman"/>
                      <w:color w:val="000000" w:themeColor="text1"/>
                      <w:sz w:val="21"/>
                      <w:szCs w:val="21"/>
                      <w14:textFill>
                        <w14:solidFill>
                          <w14:schemeClr w14:val="tx1"/>
                        </w14:solidFill>
                      </w14:textFill>
                    </w:rPr>
                    <w:t>人</w:t>
                  </w:r>
                </w:p>
              </w:tc>
              <w:tc>
                <w:tcPr>
                  <w:tcW w:w="2915" w:type="dxa"/>
                  <w:vMerge w:val="restart"/>
                  <w:noWrap w:val="0"/>
                  <w:vAlign w:val="center"/>
                </w:tcPr>
                <w:p w14:paraId="178988F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声环境质量标准</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GB3096-2008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中2类标准</w:t>
                  </w:r>
                </w:p>
              </w:tc>
              <w:tc>
                <w:tcPr>
                  <w:tcW w:w="811" w:type="dxa"/>
                  <w:noWrap w:val="0"/>
                  <w:vAlign w:val="center"/>
                </w:tcPr>
                <w:p w14:paraId="3E47937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900" w:type="dxa"/>
                  <w:noWrap w:val="0"/>
                  <w:vAlign w:val="center"/>
                </w:tcPr>
                <w:p w14:paraId="5800A74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r>
            <w:tr w14:paraId="492E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dxa"/>
                  <w:noWrap w:val="0"/>
                  <w:vAlign w:val="center"/>
                </w:tcPr>
                <w:p w14:paraId="1FCD62E5">
                  <w:pPr>
                    <w:pStyle w:val="3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4" w:type="dxa"/>
                  <w:noWrap w:val="0"/>
                  <w:vAlign w:val="center"/>
                </w:tcPr>
                <w:p w14:paraId="62CB695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三铺村四组</w:t>
                  </w:r>
                </w:p>
              </w:tc>
              <w:tc>
                <w:tcPr>
                  <w:tcW w:w="531" w:type="dxa"/>
                  <w:noWrap w:val="0"/>
                  <w:vAlign w:val="center"/>
                </w:tcPr>
                <w:p w14:paraId="5C2E80C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0</w:t>
                  </w:r>
                </w:p>
              </w:tc>
              <w:tc>
                <w:tcPr>
                  <w:tcW w:w="531" w:type="dxa"/>
                  <w:noWrap w:val="0"/>
                  <w:vAlign w:val="center"/>
                </w:tcPr>
                <w:p w14:paraId="00F31A7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p>
              </w:tc>
              <w:tc>
                <w:tcPr>
                  <w:tcW w:w="657" w:type="dxa"/>
                  <w:noWrap w:val="0"/>
                  <w:vAlign w:val="center"/>
                </w:tcPr>
                <w:p w14:paraId="7DAC029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居民点</w:t>
                  </w:r>
                </w:p>
              </w:tc>
              <w:tc>
                <w:tcPr>
                  <w:tcW w:w="859" w:type="dxa"/>
                  <w:noWrap w:val="0"/>
                  <w:vAlign w:val="center"/>
                </w:tcPr>
                <w:p w14:paraId="72C994D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w:t>
                  </w:r>
                  <w:r>
                    <w:rPr>
                      <w:rFonts w:hint="default" w:ascii="Times New Roman" w:hAnsi="Times New Roman" w:eastAsia="宋体" w:cs="Times New Roman"/>
                      <w:color w:val="000000" w:themeColor="text1"/>
                      <w:sz w:val="21"/>
                      <w:szCs w:val="21"/>
                      <w:lang w:eastAsia="zh-CN"/>
                      <w14:textFill>
                        <w14:solidFill>
                          <w14:schemeClr w14:val="tx1"/>
                        </w14:solidFill>
                      </w14:textFill>
                    </w:rPr>
                    <w:t>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450</w:t>
                  </w:r>
                  <w:r>
                    <w:rPr>
                      <w:rFonts w:hint="default" w:ascii="Times New Roman" w:hAnsi="Times New Roman" w:eastAsia="宋体" w:cs="Times New Roman"/>
                      <w:color w:val="000000" w:themeColor="text1"/>
                      <w:sz w:val="21"/>
                      <w:szCs w:val="21"/>
                      <w:lang w:eastAsia="zh-CN"/>
                      <w14:textFill>
                        <w14:solidFill>
                          <w14:schemeClr w14:val="tx1"/>
                        </w14:solidFill>
                      </w14:textFill>
                    </w:rPr>
                    <w:t>人</w:t>
                  </w:r>
                </w:p>
              </w:tc>
              <w:tc>
                <w:tcPr>
                  <w:tcW w:w="2915" w:type="dxa"/>
                  <w:vMerge w:val="continue"/>
                  <w:noWrap w:val="0"/>
                  <w:vAlign w:val="center"/>
                </w:tcPr>
                <w:p w14:paraId="25EF3793">
                  <w:pPr>
                    <w:adjustRightInd w:val="0"/>
                    <w:snapToGrid w:val="0"/>
                    <w:jc w:val="center"/>
                    <w:rPr>
                      <w:rFonts w:hint="default" w:ascii="Times New Roman" w:hAnsi="Times New Roman" w:eastAsia="宋体" w:cs="Times New Roman"/>
                      <w:color w:val="auto"/>
                      <w:sz w:val="21"/>
                      <w:szCs w:val="21"/>
                    </w:rPr>
                  </w:pPr>
                </w:p>
              </w:tc>
              <w:tc>
                <w:tcPr>
                  <w:tcW w:w="811" w:type="dxa"/>
                  <w:noWrap w:val="0"/>
                  <w:vAlign w:val="center"/>
                </w:tcPr>
                <w:p w14:paraId="2949C94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900" w:type="dxa"/>
                  <w:noWrap w:val="0"/>
                  <w:vAlign w:val="center"/>
                </w:tcPr>
                <w:p w14:paraId="0A1D212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r>
            <w:tr w14:paraId="5850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41" w:type="dxa"/>
                  <w:gridSpan w:val="9"/>
                  <w:noWrap w:val="0"/>
                  <w:vAlign w:val="center"/>
                </w:tcPr>
                <w:p w14:paraId="53D9C31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bCs/>
                      <w:snapToGrid w:val="0"/>
                      <w:color w:val="000000"/>
                      <w:spacing w:val="0"/>
                      <w:sz w:val="18"/>
                      <w:szCs w:val="18"/>
                      <w:lang w:val="en-US" w:eastAsia="zh-CN" w:bidi="ar-SA"/>
                    </w:rPr>
                    <w:t>注：以企业所在区域对角线交点为坐标原点，以东西方向为X坐标轴（东方向为正方向），以南北方向为Y坐标轴（北方向为正方向）。</w:t>
                  </w:r>
                </w:p>
              </w:tc>
            </w:tr>
          </w:tbl>
          <w:p w14:paraId="11ED870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lang w:val="zh-CN" w:eastAsia="zh-CN"/>
              </w:rPr>
            </w:pPr>
            <w:r>
              <w:rPr>
                <w:rFonts w:hint="eastAsia" w:ascii="Times New Roman" w:hAnsi="Times New Roman" w:eastAsia="宋体"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lang w:val="zh-CN" w:eastAsia="zh-CN"/>
              </w:rPr>
              <w:t>、地下水环境</w:t>
            </w:r>
          </w:p>
          <w:p w14:paraId="05B9FE1D">
            <w:pPr>
              <w:kinsoku/>
              <w:adjustRightInd/>
              <w:snapToGrid/>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厂界外500m范围内无地下水集中式引用水水源和热水、矿泉水、温泉等特殊地下水资源。</w:t>
            </w:r>
          </w:p>
          <w:p w14:paraId="4E8711F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lang w:val="zh-CN"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zh-CN" w:eastAsia="zh-CN"/>
              </w:rPr>
              <w:t>、生态环境</w:t>
            </w:r>
          </w:p>
          <w:p w14:paraId="4303EA57">
            <w:pPr>
              <w:spacing w:line="360" w:lineRule="auto"/>
              <w:ind w:firstLine="480" w:firstLineChars="20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本项目位于</w:t>
            </w:r>
            <w:r>
              <w:rPr>
                <w:rFonts w:hint="eastAsia" w:cs="Times New Roman"/>
                <w:color w:val="auto"/>
                <w:kern w:val="0"/>
                <w:sz w:val="24"/>
                <w:lang w:eastAsia="zh-CN"/>
              </w:rPr>
              <w:t>安徽省宿州市埇桥区朱仙庄镇三塔路与幸福路向南20米</w:t>
            </w:r>
            <w:r>
              <w:rPr>
                <w:rFonts w:hint="default" w:ascii="Times New Roman" w:hAnsi="Times New Roman" w:eastAsia="宋体" w:cs="Times New Roman"/>
                <w:sz w:val="24"/>
                <w:szCs w:val="24"/>
                <w:lang w:eastAsia="zh-CN"/>
              </w:rPr>
              <w:t>，属于工业用地，无生态环境保护目标。</w:t>
            </w:r>
          </w:p>
          <w:p w14:paraId="0F069921">
            <w:pPr>
              <w:adjustRightInd w:val="0"/>
              <w:snapToGrid w:val="0"/>
              <w:ind w:firstLine="480" w:firstLineChars="200"/>
              <w:rPr>
                <w:rFonts w:ascii="宋体" w:hAnsi="宋体" w:cs="宋体"/>
                <w:sz w:val="24"/>
              </w:rPr>
            </w:pPr>
          </w:p>
          <w:p w14:paraId="48E626ED">
            <w:pPr>
              <w:adjustRightInd w:val="0"/>
              <w:snapToGrid w:val="0"/>
              <w:ind w:firstLine="480" w:firstLineChars="200"/>
              <w:rPr>
                <w:rFonts w:ascii="宋体" w:hAnsi="宋体" w:cs="宋体"/>
                <w:sz w:val="24"/>
              </w:rPr>
            </w:pPr>
          </w:p>
          <w:p w14:paraId="3FCBFA64">
            <w:pPr>
              <w:adjustRightInd w:val="0"/>
              <w:snapToGrid w:val="0"/>
              <w:rPr>
                <w:rFonts w:ascii="宋体" w:hAnsi="宋体" w:cs="宋体"/>
                <w:kern w:val="0"/>
                <w:szCs w:val="21"/>
              </w:rPr>
            </w:pPr>
          </w:p>
        </w:tc>
      </w:tr>
      <w:tr w14:paraId="77149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3" w:hRule="atLeast"/>
          <w:jc w:val="center"/>
        </w:trPr>
        <w:tc>
          <w:tcPr>
            <w:tcW w:w="486" w:type="dxa"/>
            <w:tcMar>
              <w:left w:w="28" w:type="dxa"/>
              <w:right w:w="28" w:type="dxa"/>
            </w:tcMar>
            <w:vAlign w:val="center"/>
          </w:tcPr>
          <w:p w14:paraId="438E25EF">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污染</w:t>
            </w:r>
          </w:p>
          <w:p w14:paraId="7C6A4B3E">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物排</w:t>
            </w:r>
          </w:p>
          <w:p w14:paraId="70E7FF86">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放控</w:t>
            </w:r>
          </w:p>
          <w:p w14:paraId="59E095B1">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制标</w:t>
            </w:r>
          </w:p>
          <w:p w14:paraId="264E12BC">
            <w:pPr>
              <w:pStyle w:val="20"/>
              <w:adjustRightInd w:val="0"/>
              <w:snapToGrid w:val="0"/>
              <w:spacing w:before="0" w:beforeAutospacing="0" w:after="0" w:afterAutospacing="0"/>
              <w:jc w:val="center"/>
              <w:rPr>
                <w:rFonts w:ascii="宋体" w:hAnsi="宋体" w:cs="宋体"/>
                <w:kern w:val="0"/>
                <w:szCs w:val="21"/>
              </w:rPr>
            </w:pPr>
            <w:r>
              <w:rPr>
                <w:rFonts w:hint="eastAsia" w:ascii="宋体" w:hAnsi="宋体" w:eastAsia="宋体" w:cs="宋体"/>
                <w:sz w:val="24"/>
                <w:szCs w:val="24"/>
              </w:rPr>
              <w:t>准</w:t>
            </w:r>
          </w:p>
        </w:tc>
        <w:tc>
          <w:tcPr>
            <w:tcW w:w="8575" w:type="dxa"/>
          </w:tcPr>
          <w:p w14:paraId="05F7AF2A">
            <w:pPr>
              <w:adjustRightInd w:val="0"/>
              <w:snapToGrid w:val="0"/>
              <w:spacing w:line="360" w:lineRule="auto"/>
              <w:ind w:firstLine="482" w:firstLineChars="200"/>
              <w:jc w:val="left"/>
              <w:rPr>
                <w:color w:val="auto"/>
                <w:sz w:val="24"/>
              </w:rPr>
            </w:pPr>
            <w:r>
              <w:rPr>
                <w:b/>
                <w:bCs/>
                <w:color w:val="auto"/>
                <w:sz w:val="24"/>
              </w:rPr>
              <w:t>1、</w:t>
            </w:r>
            <w:r>
              <w:rPr>
                <w:rFonts w:hint="eastAsia"/>
                <w:b/>
                <w:bCs/>
                <w:color w:val="auto"/>
                <w:sz w:val="24"/>
              </w:rPr>
              <w:t>大气污染物排放标准</w:t>
            </w:r>
          </w:p>
          <w:p w14:paraId="6219A8B9">
            <w:pPr>
              <w:wordWrap w:val="0"/>
              <w:spacing w:line="360" w:lineRule="auto"/>
              <w:ind w:firstLine="480" w:firstLineChars="200"/>
              <w:rPr>
                <w:rFonts w:hint="eastAsia" w:eastAsia="宋体"/>
                <w:color w:val="auto"/>
                <w:sz w:val="24"/>
                <w:lang w:val="en-US" w:eastAsia="zh-CN"/>
              </w:rPr>
            </w:pPr>
            <w:r>
              <w:rPr>
                <w:rFonts w:hint="eastAsia" w:ascii="Times New Roman" w:hAnsi="Times New Roman" w:eastAsia="宋体" w:cs="Times New Roman"/>
                <w:color w:val="auto"/>
                <w:sz w:val="24"/>
              </w:rPr>
              <w:t>本项目废气主要为破碎、搅拌、成型、晾干过程产生的臭气浓度</w:t>
            </w:r>
            <w:r>
              <w:rPr>
                <w:rFonts w:hint="eastAsia" w:ascii="Times New Roman" w:hAnsi="Times New Roman" w:eastAsia="宋体" w:cs="Times New Roman"/>
                <w:color w:val="auto"/>
                <w:sz w:val="24"/>
                <w:lang w:val="en-US" w:eastAsia="zh-CN"/>
              </w:rPr>
              <w:t>执行《恶臭污染物排放标准》（GB14554-93）中表1恶臭污染物厂界排放标准值；喷码产生的有机废气参照执行</w:t>
            </w:r>
            <w:r>
              <w:rPr>
                <w:rFonts w:hint="default" w:ascii="Times New Roman" w:hAnsi="Times New Roman" w:eastAsia="宋体" w:cs="Times New Roman"/>
                <w:color w:val="auto"/>
                <w:sz w:val="24"/>
                <w:highlight w:val="none"/>
                <w:lang w:val="en-US" w:eastAsia="zh-CN"/>
              </w:rPr>
              <w:t>《固定源挥发性有机物综合排放标准第 4部分：印刷工业》</w:t>
            </w:r>
            <w:r>
              <w:rPr>
                <w:rFonts w:hint="eastAsia"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lang w:val="en-US" w:eastAsia="zh-CN"/>
              </w:rPr>
              <w:t>表1挥发性有机物排放限值</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厂区内非甲烷总烃无组织排放执行《固定源挥发</w:t>
            </w:r>
            <w:r>
              <w:rPr>
                <w:rFonts w:hint="default" w:ascii="Times New Roman" w:hAnsi="Times New Roman" w:eastAsia="宋体" w:cs="Times New Roman"/>
                <w:b w:val="0"/>
                <w:bCs w:val="0"/>
                <w:color w:val="auto"/>
                <w:sz w:val="24"/>
                <w:highlight w:val="none"/>
                <w:lang w:val="en-US" w:eastAsia="zh-CN"/>
              </w:rPr>
              <w:t>性有机物综合排放标准第4部分：印刷工业》中的表3挥发性有机物排放限值</w:t>
            </w:r>
            <w:r>
              <w:rPr>
                <w:rFonts w:hint="eastAsia" w:cs="Times New Roman"/>
                <w:b w:val="0"/>
                <w:bCs w:val="0"/>
                <w:color w:val="auto"/>
                <w:sz w:val="24"/>
                <w:highlight w:val="none"/>
                <w:lang w:val="en-US" w:eastAsia="zh-CN"/>
              </w:rPr>
              <w:t>；厂界非甲烷总烃执行</w:t>
            </w:r>
            <w:r>
              <w:rPr>
                <w:b w:val="0"/>
                <w:bCs w:val="0"/>
                <w:color w:val="auto"/>
                <w:sz w:val="24"/>
              </w:rPr>
              <w:t>《</w:t>
            </w:r>
            <w:r>
              <w:rPr>
                <w:rFonts w:hint="eastAsia"/>
                <w:b w:val="0"/>
                <w:bCs w:val="0"/>
                <w:color w:val="auto"/>
                <w:sz w:val="24"/>
                <w:lang w:val="en-US" w:eastAsia="zh-CN"/>
              </w:rPr>
              <w:t>大气污染物综合排放标准</w:t>
            </w:r>
            <w:r>
              <w:rPr>
                <w:b w:val="0"/>
                <w:bCs w:val="0"/>
                <w:color w:val="auto"/>
                <w:sz w:val="24"/>
              </w:rPr>
              <w:t>》（GB</w:t>
            </w:r>
            <w:r>
              <w:rPr>
                <w:rFonts w:hint="eastAsia"/>
                <w:b w:val="0"/>
                <w:bCs w:val="0"/>
                <w:color w:val="auto"/>
                <w:sz w:val="24"/>
                <w:lang w:val="en-US" w:eastAsia="zh-CN"/>
              </w:rPr>
              <w:t>16297</w:t>
            </w:r>
            <w:r>
              <w:rPr>
                <w:b w:val="0"/>
                <w:bCs w:val="0"/>
                <w:color w:val="auto"/>
                <w:sz w:val="24"/>
              </w:rPr>
              <w:t>-</w:t>
            </w:r>
            <w:r>
              <w:rPr>
                <w:rFonts w:hint="eastAsia"/>
                <w:b w:val="0"/>
                <w:bCs w:val="0"/>
                <w:color w:val="auto"/>
                <w:sz w:val="24"/>
                <w:lang w:val="en-US" w:eastAsia="zh-CN"/>
              </w:rPr>
              <w:t>1996</w:t>
            </w:r>
            <w:r>
              <w:rPr>
                <w:b w:val="0"/>
                <w:bCs w:val="0"/>
                <w:color w:val="auto"/>
                <w:sz w:val="24"/>
              </w:rPr>
              <w:t>）</w:t>
            </w:r>
            <w:r>
              <w:rPr>
                <w:rFonts w:hint="eastAsia"/>
                <w:b w:val="0"/>
                <w:bCs w:val="0"/>
                <w:color w:val="auto"/>
                <w:sz w:val="24"/>
              </w:rPr>
              <w:t>表2新污染源大气污染物排放限值</w:t>
            </w:r>
            <w:r>
              <w:rPr>
                <w:rFonts w:hint="eastAsia"/>
                <w:b w:val="0"/>
                <w:bCs w:val="0"/>
                <w:color w:val="auto"/>
                <w:sz w:val="24"/>
                <w:lang w:eastAsia="zh-CN"/>
              </w:rPr>
              <w:t>。</w:t>
            </w:r>
          </w:p>
          <w:p w14:paraId="6ACC53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0"/>
                <w:sz w:val="24"/>
              </w:rPr>
            </w:pPr>
            <w:r>
              <w:rPr>
                <w:b/>
                <w:color w:val="auto"/>
                <w:kern w:val="0"/>
                <w:sz w:val="24"/>
              </w:rPr>
              <w:t>表</w:t>
            </w:r>
            <w:r>
              <w:rPr>
                <w:rFonts w:hint="eastAsia"/>
                <w:b/>
                <w:color w:val="auto"/>
                <w:kern w:val="0"/>
                <w:sz w:val="24"/>
                <w:lang w:val="en-US" w:eastAsia="zh-CN"/>
              </w:rPr>
              <w:t>3.9  废气有组织排放限值</w:t>
            </w:r>
            <w:r>
              <w:rPr>
                <w:b/>
                <w:color w:val="auto"/>
                <w:kern w:val="0"/>
                <w:sz w:val="24"/>
              </w:rPr>
              <w:t xml:space="preserve">  单位：mg/m</w:t>
            </w:r>
            <w:r>
              <w:rPr>
                <w:b/>
                <w:color w:val="auto"/>
                <w:kern w:val="0"/>
                <w:sz w:val="24"/>
                <w:vertAlign w:val="superscript"/>
              </w:rPr>
              <w:t>3</w:t>
            </w:r>
          </w:p>
          <w:tbl>
            <w:tblPr>
              <w:tblStyle w:val="2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765"/>
              <w:gridCol w:w="852"/>
              <w:gridCol w:w="926"/>
              <w:gridCol w:w="903"/>
              <w:gridCol w:w="671"/>
              <w:gridCol w:w="791"/>
              <w:gridCol w:w="895"/>
              <w:gridCol w:w="1977"/>
            </w:tblGrid>
            <w:tr w14:paraId="1414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restart"/>
                  <w:tcBorders>
                    <w:top w:val="single" w:color="auto" w:sz="4" w:space="0"/>
                    <w:left w:val="single" w:color="auto" w:sz="4" w:space="0"/>
                    <w:bottom w:val="single" w:color="auto" w:sz="4" w:space="0"/>
                    <w:right w:val="single" w:color="auto" w:sz="4" w:space="0"/>
                  </w:tcBorders>
                  <w:noWrap w:val="0"/>
                  <w:vAlign w:val="center"/>
                </w:tcPr>
                <w:p w14:paraId="53A62031">
                  <w:pPr>
                    <w:widowControl/>
                    <w:adjustRightInd w:val="0"/>
                    <w:snapToGrid w:val="0"/>
                    <w:jc w:val="center"/>
                    <w:rPr>
                      <w:color w:val="auto"/>
                      <w:szCs w:val="21"/>
                    </w:rPr>
                  </w:pPr>
                  <w:r>
                    <w:rPr>
                      <w:color w:val="auto"/>
                      <w:szCs w:val="21"/>
                    </w:rPr>
                    <w:t>序号</w:t>
                  </w:r>
                </w:p>
              </w:tc>
              <w:tc>
                <w:tcPr>
                  <w:tcW w:w="765" w:type="dxa"/>
                  <w:vMerge w:val="restart"/>
                  <w:tcBorders>
                    <w:top w:val="single" w:color="auto" w:sz="4" w:space="0"/>
                    <w:left w:val="nil"/>
                    <w:right w:val="single" w:color="auto" w:sz="4" w:space="0"/>
                  </w:tcBorders>
                  <w:noWrap w:val="0"/>
                  <w:vAlign w:val="center"/>
                </w:tcPr>
                <w:p w14:paraId="10F173D5">
                  <w:pPr>
                    <w:widowControl/>
                    <w:adjustRightInd w:val="0"/>
                    <w:snapToGrid w:val="0"/>
                    <w:jc w:val="center"/>
                    <w:rPr>
                      <w:rFonts w:hint="eastAsia" w:eastAsia="宋体"/>
                      <w:color w:val="auto"/>
                      <w:szCs w:val="21"/>
                      <w:lang w:val="en-US" w:eastAsia="zh-CN"/>
                    </w:rPr>
                  </w:pPr>
                  <w:r>
                    <w:rPr>
                      <w:rFonts w:hint="eastAsia"/>
                      <w:color w:val="auto"/>
                      <w:szCs w:val="21"/>
                      <w:lang w:val="en-US" w:eastAsia="zh-CN"/>
                    </w:rPr>
                    <w:t>工序</w:t>
                  </w:r>
                </w:p>
              </w:tc>
              <w:tc>
                <w:tcPr>
                  <w:tcW w:w="852" w:type="dxa"/>
                  <w:vMerge w:val="restart"/>
                  <w:tcBorders>
                    <w:top w:val="single" w:color="auto" w:sz="4" w:space="0"/>
                    <w:left w:val="nil"/>
                    <w:bottom w:val="single" w:color="auto" w:sz="4" w:space="0"/>
                    <w:right w:val="single" w:color="auto" w:sz="4" w:space="0"/>
                  </w:tcBorders>
                  <w:noWrap w:val="0"/>
                  <w:vAlign w:val="center"/>
                </w:tcPr>
                <w:p w14:paraId="01708108">
                  <w:pPr>
                    <w:widowControl/>
                    <w:adjustRightInd w:val="0"/>
                    <w:snapToGrid w:val="0"/>
                    <w:jc w:val="center"/>
                    <w:rPr>
                      <w:color w:val="auto"/>
                      <w:szCs w:val="21"/>
                    </w:rPr>
                  </w:pPr>
                  <w:r>
                    <w:rPr>
                      <w:color w:val="auto"/>
                      <w:szCs w:val="21"/>
                    </w:rPr>
                    <w:t>污染物</w:t>
                  </w:r>
                </w:p>
              </w:tc>
              <w:tc>
                <w:tcPr>
                  <w:tcW w:w="926" w:type="dxa"/>
                  <w:vMerge w:val="restart"/>
                  <w:tcBorders>
                    <w:top w:val="single" w:color="auto" w:sz="4" w:space="0"/>
                    <w:left w:val="nil"/>
                    <w:bottom w:val="single" w:color="auto" w:sz="4" w:space="0"/>
                    <w:right w:val="single" w:color="auto" w:sz="4" w:space="0"/>
                  </w:tcBorders>
                  <w:noWrap w:val="0"/>
                  <w:vAlign w:val="center"/>
                </w:tcPr>
                <w:p w14:paraId="618FF1A8">
                  <w:pPr>
                    <w:widowControl/>
                    <w:adjustRightInd w:val="0"/>
                    <w:snapToGrid w:val="0"/>
                    <w:jc w:val="center"/>
                    <w:rPr>
                      <w:color w:val="auto"/>
                      <w:szCs w:val="21"/>
                    </w:rPr>
                  </w:pPr>
                  <w:r>
                    <w:rPr>
                      <w:color w:val="auto"/>
                      <w:szCs w:val="21"/>
                    </w:rPr>
                    <w:t>最高允许排放浓度mg/m</w:t>
                  </w:r>
                  <w:r>
                    <w:rPr>
                      <w:color w:val="auto"/>
                      <w:szCs w:val="21"/>
                      <w:vertAlign w:val="superscript"/>
                    </w:rPr>
                    <w:t>3</w:t>
                  </w:r>
                </w:p>
              </w:tc>
              <w:tc>
                <w:tcPr>
                  <w:tcW w:w="903" w:type="dxa"/>
                  <w:vMerge w:val="restart"/>
                  <w:tcBorders>
                    <w:top w:val="single" w:color="auto" w:sz="4" w:space="0"/>
                    <w:left w:val="nil"/>
                    <w:right w:val="single" w:color="auto" w:sz="4" w:space="0"/>
                  </w:tcBorders>
                  <w:noWrap w:val="0"/>
                  <w:vAlign w:val="center"/>
                </w:tcPr>
                <w:p w14:paraId="68487B28">
                  <w:pPr>
                    <w:widowControl/>
                    <w:adjustRightInd w:val="0"/>
                    <w:snapToGrid w:val="0"/>
                    <w:jc w:val="center"/>
                    <w:rPr>
                      <w:color w:val="auto"/>
                      <w:szCs w:val="21"/>
                    </w:rPr>
                  </w:pPr>
                  <w:r>
                    <w:rPr>
                      <w:color w:val="auto"/>
                      <w:szCs w:val="21"/>
                    </w:rPr>
                    <w:t>最高允许排放速率kg/h</w:t>
                  </w:r>
                </w:p>
              </w:tc>
              <w:tc>
                <w:tcPr>
                  <w:tcW w:w="671" w:type="dxa"/>
                  <w:vMerge w:val="restart"/>
                  <w:tcBorders>
                    <w:top w:val="single" w:color="auto" w:sz="4" w:space="0"/>
                    <w:left w:val="nil"/>
                    <w:right w:val="single" w:color="auto" w:sz="4" w:space="0"/>
                  </w:tcBorders>
                  <w:noWrap w:val="0"/>
                  <w:vAlign w:val="center"/>
                </w:tcPr>
                <w:p w14:paraId="167E2A8C">
                  <w:pPr>
                    <w:widowControl/>
                    <w:adjustRightInd w:val="0"/>
                    <w:snapToGrid w:val="0"/>
                    <w:jc w:val="center"/>
                    <w:rPr>
                      <w:color w:val="auto"/>
                      <w:szCs w:val="21"/>
                    </w:rPr>
                  </w:pPr>
                  <w:r>
                    <w:rPr>
                      <w:color w:val="auto"/>
                      <w:szCs w:val="21"/>
                    </w:rPr>
                    <w:t>排气筒高度m</w:t>
                  </w:r>
                </w:p>
              </w:tc>
              <w:tc>
                <w:tcPr>
                  <w:tcW w:w="1686" w:type="dxa"/>
                  <w:gridSpan w:val="2"/>
                  <w:tcBorders>
                    <w:top w:val="single" w:color="auto" w:sz="4" w:space="0"/>
                    <w:left w:val="nil"/>
                    <w:bottom w:val="single" w:color="auto" w:sz="4" w:space="0"/>
                    <w:right w:val="single" w:color="auto" w:sz="4" w:space="0"/>
                  </w:tcBorders>
                  <w:noWrap w:val="0"/>
                  <w:vAlign w:val="center"/>
                </w:tcPr>
                <w:p w14:paraId="487FD713">
                  <w:pPr>
                    <w:widowControl/>
                    <w:adjustRightInd w:val="0"/>
                    <w:snapToGrid w:val="0"/>
                    <w:jc w:val="center"/>
                    <w:rPr>
                      <w:color w:val="auto"/>
                      <w:szCs w:val="21"/>
                    </w:rPr>
                  </w:pPr>
                  <w:r>
                    <w:rPr>
                      <w:color w:val="auto"/>
                      <w:szCs w:val="21"/>
                    </w:rPr>
                    <w:t>无组织排放监控浓度限值</w:t>
                  </w:r>
                </w:p>
              </w:tc>
              <w:tc>
                <w:tcPr>
                  <w:tcW w:w="1977" w:type="dxa"/>
                  <w:vMerge w:val="restart"/>
                  <w:tcBorders>
                    <w:top w:val="single" w:color="auto" w:sz="4" w:space="0"/>
                    <w:left w:val="nil"/>
                    <w:right w:val="single" w:color="auto" w:sz="4" w:space="0"/>
                  </w:tcBorders>
                  <w:noWrap w:val="0"/>
                  <w:vAlign w:val="center"/>
                </w:tcPr>
                <w:p w14:paraId="28487417">
                  <w:pPr>
                    <w:widowControl/>
                    <w:adjustRightInd w:val="0"/>
                    <w:snapToGrid w:val="0"/>
                    <w:jc w:val="center"/>
                    <w:rPr>
                      <w:rFonts w:hint="default" w:eastAsia="宋体"/>
                      <w:color w:val="auto"/>
                      <w:szCs w:val="21"/>
                      <w:lang w:val="en-US" w:eastAsia="zh-CN"/>
                    </w:rPr>
                  </w:pPr>
                  <w:r>
                    <w:rPr>
                      <w:rFonts w:hint="eastAsia"/>
                      <w:color w:val="auto"/>
                      <w:szCs w:val="21"/>
                      <w:lang w:val="en-US" w:eastAsia="zh-CN"/>
                    </w:rPr>
                    <w:t>排放标准</w:t>
                  </w:r>
                </w:p>
              </w:tc>
            </w:tr>
            <w:tr w14:paraId="0A42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vMerge w:val="continue"/>
                  <w:tcBorders>
                    <w:top w:val="single" w:color="auto" w:sz="4" w:space="0"/>
                    <w:left w:val="single" w:color="auto" w:sz="4" w:space="0"/>
                    <w:bottom w:val="single" w:color="auto" w:sz="4" w:space="0"/>
                    <w:right w:val="single" w:color="auto" w:sz="4" w:space="0"/>
                  </w:tcBorders>
                  <w:noWrap w:val="0"/>
                  <w:vAlign w:val="center"/>
                </w:tcPr>
                <w:p w14:paraId="59FCD3E0">
                  <w:pPr>
                    <w:widowControl/>
                    <w:adjustRightInd w:val="0"/>
                    <w:snapToGrid w:val="0"/>
                    <w:jc w:val="center"/>
                    <w:rPr>
                      <w:color w:val="auto"/>
                      <w:szCs w:val="21"/>
                    </w:rPr>
                  </w:pPr>
                </w:p>
              </w:tc>
              <w:tc>
                <w:tcPr>
                  <w:tcW w:w="765" w:type="dxa"/>
                  <w:vMerge w:val="continue"/>
                  <w:tcBorders>
                    <w:left w:val="nil"/>
                    <w:bottom w:val="single" w:color="auto" w:sz="4" w:space="0"/>
                    <w:right w:val="single" w:color="auto" w:sz="4" w:space="0"/>
                  </w:tcBorders>
                  <w:noWrap w:val="0"/>
                  <w:vAlign w:val="center"/>
                </w:tcPr>
                <w:p w14:paraId="64CC1A58">
                  <w:pPr>
                    <w:widowControl/>
                    <w:adjustRightInd w:val="0"/>
                    <w:snapToGrid w:val="0"/>
                    <w:jc w:val="center"/>
                    <w:rPr>
                      <w:color w:val="auto"/>
                      <w:szCs w:val="21"/>
                    </w:rPr>
                  </w:pPr>
                </w:p>
              </w:tc>
              <w:tc>
                <w:tcPr>
                  <w:tcW w:w="852" w:type="dxa"/>
                  <w:vMerge w:val="continue"/>
                  <w:tcBorders>
                    <w:top w:val="single" w:color="auto" w:sz="4" w:space="0"/>
                    <w:left w:val="nil"/>
                    <w:bottom w:val="single" w:color="auto" w:sz="4" w:space="0"/>
                    <w:right w:val="single" w:color="auto" w:sz="4" w:space="0"/>
                  </w:tcBorders>
                  <w:noWrap w:val="0"/>
                  <w:vAlign w:val="center"/>
                </w:tcPr>
                <w:p w14:paraId="15220DE5">
                  <w:pPr>
                    <w:widowControl/>
                    <w:adjustRightInd w:val="0"/>
                    <w:snapToGrid w:val="0"/>
                    <w:jc w:val="center"/>
                    <w:rPr>
                      <w:color w:val="auto"/>
                      <w:szCs w:val="21"/>
                    </w:rPr>
                  </w:pPr>
                </w:p>
              </w:tc>
              <w:tc>
                <w:tcPr>
                  <w:tcW w:w="926" w:type="dxa"/>
                  <w:vMerge w:val="continue"/>
                  <w:tcBorders>
                    <w:top w:val="single" w:color="auto" w:sz="4" w:space="0"/>
                    <w:left w:val="nil"/>
                    <w:bottom w:val="single" w:color="auto" w:sz="4" w:space="0"/>
                    <w:right w:val="single" w:color="auto" w:sz="4" w:space="0"/>
                  </w:tcBorders>
                  <w:noWrap w:val="0"/>
                  <w:vAlign w:val="center"/>
                </w:tcPr>
                <w:p w14:paraId="2B25CF47">
                  <w:pPr>
                    <w:widowControl/>
                    <w:adjustRightInd w:val="0"/>
                    <w:snapToGrid w:val="0"/>
                    <w:jc w:val="center"/>
                    <w:rPr>
                      <w:color w:val="auto"/>
                      <w:szCs w:val="21"/>
                    </w:rPr>
                  </w:pPr>
                </w:p>
              </w:tc>
              <w:tc>
                <w:tcPr>
                  <w:tcW w:w="903" w:type="dxa"/>
                  <w:vMerge w:val="continue"/>
                  <w:tcBorders>
                    <w:left w:val="nil"/>
                    <w:bottom w:val="single" w:color="auto" w:sz="4" w:space="0"/>
                    <w:right w:val="single" w:color="auto" w:sz="4" w:space="0"/>
                  </w:tcBorders>
                  <w:noWrap w:val="0"/>
                  <w:vAlign w:val="center"/>
                </w:tcPr>
                <w:p w14:paraId="545024A6">
                  <w:pPr>
                    <w:widowControl/>
                    <w:adjustRightInd w:val="0"/>
                    <w:snapToGrid w:val="0"/>
                    <w:jc w:val="center"/>
                    <w:rPr>
                      <w:color w:val="auto"/>
                      <w:szCs w:val="21"/>
                    </w:rPr>
                  </w:pPr>
                </w:p>
              </w:tc>
              <w:tc>
                <w:tcPr>
                  <w:tcW w:w="671" w:type="dxa"/>
                  <w:vMerge w:val="continue"/>
                  <w:tcBorders>
                    <w:left w:val="nil"/>
                    <w:bottom w:val="single" w:color="auto" w:sz="4" w:space="0"/>
                    <w:right w:val="single" w:color="auto" w:sz="4" w:space="0"/>
                  </w:tcBorders>
                  <w:noWrap w:val="0"/>
                  <w:vAlign w:val="center"/>
                </w:tcPr>
                <w:p w14:paraId="66941111">
                  <w:pPr>
                    <w:widowControl/>
                    <w:adjustRightInd w:val="0"/>
                    <w:snapToGrid w:val="0"/>
                    <w:jc w:val="center"/>
                    <w:rPr>
                      <w:color w:val="auto"/>
                      <w:szCs w:val="21"/>
                    </w:rPr>
                  </w:pPr>
                </w:p>
              </w:tc>
              <w:tc>
                <w:tcPr>
                  <w:tcW w:w="791" w:type="dxa"/>
                  <w:tcBorders>
                    <w:top w:val="single" w:color="auto" w:sz="4" w:space="0"/>
                    <w:left w:val="nil"/>
                    <w:bottom w:val="single" w:color="auto" w:sz="4" w:space="0"/>
                    <w:right w:val="single" w:color="auto" w:sz="4" w:space="0"/>
                  </w:tcBorders>
                  <w:noWrap w:val="0"/>
                  <w:vAlign w:val="center"/>
                </w:tcPr>
                <w:p w14:paraId="45BCF591">
                  <w:pPr>
                    <w:widowControl/>
                    <w:adjustRightInd w:val="0"/>
                    <w:snapToGrid w:val="0"/>
                    <w:jc w:val="center"/>
                    <w:rPr>
                      <w:color w:val="auto"/>
                      <w:szCs w:val="21"/>
                    </w:rPr>
                  </w:pPr>
                  <w:r>
                    <w:rPr>
                      <w:color w:val="auto"/>
                      <w:szCs w:val="21"/>
                    </w:rPr>
                    <w:t>监控点</w:t>
                  </w:r>
                </w:p>
              </w:tc>
              <w:tc>
                <w:tcPr>
                  <w:tcW w:w="895" w:type="dxa"/>
                  <w:tcBorders>
                    <w:top w:val="single" w:color="auto" w:sz="4" w:space="0"/>
                    <w:left w:val="nil"/>
                    <w:bottom w:val="single" w:color="auto" w:sz="4" w:space="0"/>
                    <w:right w:val="single" w:color="auto" w:sz="4" w:space="0"/>
                  </w:tcBorders>
                  <w:noWrap w:val="0"/>
                  <w:vAlign w:val="center"/>
                </w:tcPr>
                <w:p w14:paraId="690B0D72">
                  <w:pPr>
                    <w:widowControl/>
                    <w:adjustRightInd w:val="0"/>
                    <w:snapToGrid w:val="0"/>
                    <w:jc w:val="center"/>
                    <w:rPr>
                      <w:color w:val="auto"/>
                      <w:szCs w:val="21"/>
                    </w:rPr>
                  </w:pPr>
                  <w:r>
                    <w:rPr>
                      <w:color w:val="auto"/>
                      <w:szCs w:val="21"/>
                    </w:rPr>
                    <w:t>浓度mg/m</w:t>
                  </w:r>
                  <w:r>
                    <w:rPr>
                      <w:color w:val="auto"/>
                      <w:szCs w:val="21"/>
                      <w:vertAlign w:val="superscript"/>
                    </w:rPr>
                    <w:t>3</w:t>
                  </w:r>
                </w:p>
              </w:tc>
              <w:tc>
                <w:tcPr>
                  <w:tcW w:w="1977" w:type="dxa"/>
                  <w:vMerge w:val="continue"/>
                  <w:tcBorders>
                    <w:left w:val="nil"/>
                    <w:bottom w:val="single" w:color="auto" w:sz="4" w:space="0"/>
                    <w:right w:val="single" w:color="auto" w:sz="4" w:space="0"/>
                  </w:tcBorders>
                  <w:noWrap w:val="0"/>
                  <w:vAlign w:val="center"/>
                </w:tcPr>
                <w:p w14:paraId="6D56983C">
                  <w:pPr>
                    <w:widowControl/>
                    <w:adjustRightInd w:val="0"/>
                    <w:snapToGrid w:val="0"/>
                    <w:jc w:val="center"/>
                    <w:rPr>
                      <w:color w:val="auto"/>
                      <w:szCs w:val="21"/>
                    </w:rPr>
                  </w:pPr>
                </w:p>
              </w:tc>
            </w:tr>
            <w:tr w14:paraId="52C3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dxa"/>
                  <w:tcBorders>
                    <w:top w:val="single" w:color="auto" w:sz="4" w:space="0"/>
                    <w:left w:val="single" w:color="auto" w:sz="4" w:space="0"/>
                    <w:bottom w:val="single" w:color="auto" w:sz="4" w:space="0"/>
                    <w:right w:val="single" w:color="auto" w:sz="4" w:space="0"/>
                  </w:tcBorders>
                  <w:noWrap w:val="0"/>
                  <w:vAlign w:val="center"/>
                </w:tcPr>
                <w:p w14:paraId="530D461B">
                  <w:pPr>
                    <w:widowControl/>
                    <w:adjustRightInd w:val="0"/>
                    <w:snapToGrid w:val="0"/>
                    <w:jc w:val="center"/>
                    <w:rPr>
                      <w:rFonts w:hint="default"/>
                      <w:color w:val="auto"/>
                      <w:szCs w:val="21"/>
                      <w:lang w:val="en-US" w:eastAsia="zh-CN"/>
                    </w:rPr>
                  </w:pPr>
                  <w:r>
                    <w:rPr>
                      <w:rFonts w:hint="eastAsia"/>
                      <w:color w:val="auto"/>
                      <w:szCs w:val="21"/>
                      <w:lang w:val="en-US" w:eastAsia="zh-CN"/>
                    </w:rPr>
                    <w:t>1</w:t>
                  </w:r>
                </w:p>
              </w:tc>
              <w:tc>
                <w:tcPr>
                  <w:tcW w:w="765" w:type="dxa"/>
                  <w:tcBorders>
                    <w:top w:val="single" w:color="auto" w:sz="4" w:space="0"/>
                    <w:left w:val="nil"/>
                    <w:bottom w:val="single" w:color="auto" w:sz="4" w:space="0"/>
                    <w:right w:val="single" w:color="auto" w:sz="4" w:space="0"/>
                  </w:tcBorders>
                  <w:noWrap w:val="0"/>
                  <w:vAlign w:val="center"/>
                </w:tcPr>
                <w:p w14:paraId="2B64F131">
                  <w:pPr>
                    <w:widowControl/>
                    <w:adjustRightInd w:val="0"/>
                    <w:snapToGrid w:val="0"/>
                    <w:jc w:val="center"/>
                    <w:rPr>
                      <w:rFonts w:hint="default" w:eastAsia="宋体"/>
                      <w:color w:val="auto"/>
                      <w:szCs w:val="21"/>
                      <w:lang w:val="en-US" w:eastAsia="zh-CN"/>
                    </w:rPr>
                  </w:pPr>
                  <w:r>
                    <w:rPr>
                      <w:rFonts w:hint="eastAsia"/>
                      <w:color w:val="auto"/>
                      <w:szCs w:val="21"/>
                      <w:lang w:val="en-US" w:eastAsia="zh-CN"/>
                    </w:rPr>
                    <w:t>喷码</w:t>
                  </w:r>
                </w:p>
              </w:tc>
              <w:tc>
                <w:tcPr>
                  <w:tcW w:w="852" w:type="dxa"/>
                  <w:tcBorders>
                    <w:top w:val="single" w:color="auto" w:sz="4" w:space="0"/>
                    <w:left w:val="nil"/>
                    <w:bottom w:val="single" w:color="auto" w:sz="4" w:space="0"/>
                    <w:right w:val="single" w:color="auto" w:sz="4" w:space="0"/>
                  </w:tcBorders>
                  <w:noWrap w:val="0"/>
                  <w:vAlign w:val="center"/>
                </w:tcPr>
                <w:p w14:paraId="68FFD391">
                  <w:pPr>
                    <w:widowControl/>
                    <w:adjustRightInd w:val="0"/>
                    <w:snapToGrid w:val="0"/>
                    <w:jc w:val="center"/>
                    <w:rPr>
                      <w:rFonts w:hint="default" w:eastAsia="宋体"/>
                      <w:color w:val="auto"/>
                      <w:szCs w:val="21"/>
                      <w:lang w:val="en-US" w:eastAsia="zh-CN"/>
                    </w:rPr>
                  </w:pPr>
                  <w:r>
                    <w:rPr>
                      <w:rFonts w:hint="eastAsia"/>
                      <w:color w:val="auto"/>
                      <w:szCs w:val="21"/>
                      <w:lang w:val="en-US" w:eastAsia="zh-CN"/>
                    </w:rPr>
                    <w:t>NMHC</w:t>
                  </w:r>
                </w:p>
              </w:tc>
              <w:tc>
                <w:tcPr>
                  <w:tcW w:w="926" w:type="dxa"/>
                  <w:tcBorders>
                    <w:top w:val="single" w:color="auto" w:sz="4" w:space="0"/>
                    <w:left w:val="nil"/>
                    <w:bottom w:val="single" w:color="auto" w:sz="4" w:space="0"/>
                    <w:right w:val="single" w:color="auto" w:sz="4" w:space="0"/>
                  </w:tcBorders>
                  <w:noWrap w:val="0"/>
                  <w:vAlign w:val="center"/>
                </w:tcPr>
                <w:p w14:paraId="6E30701F">
                  <w:pPr>
                    <w:widowControl/>
                    <w:adjustRightInd w:val="0"/>
                    <w:snapToGrid w:val="0"/>
                    <w:jc w:val="center"/>
                    <w:rPr>
                      <w:rFonts w:hint="default"/>
                      <w:color w:val="auto"/>
                      <w:szCs w:val="21"/>
                      <w:lang w:val="en-US" w:eastAsia="zh-CN"/>
                    </w:rPr>
                  </w:pPr>
                  <w:r>
                    <w:rPr>
                      <w:rFonts w:hint="eastAsia"/>
                      <w:color w:val="auto"/>
                      <w:szCs w:val="21"/>
                      <w:lang w:val="en-US" w:eastAsia="zh-CN"/>
                    </w:rPr>
                    <w:t>50</w:t>
                  </w:r>
                </w:p>
              </w:tc>
              <w:tc>
                <w:tcPr>
                  <w:tcW w:w="903" w:type="dxa"/>
                  <w:tcBorders>
                    <w:top w:val="single" w:color="auto" w:sz="4" w:space="0"/>
                    <w:left w:val="nil"/>
                    <w:bottom w:val="single" w:color="auto" w:sz="4" w:space="0"/>
                    <w:right w:val="single" w:color="auto" w:sz="4" w:space="0"/>
                  </w:tcBorders>
                  <w:noWrap w:val="0"/>
                  <w:vAlign w:val="center"/>
                </w:tcPr>
                <w:p w14:paraId="652CE1DA">
                  <w:pPr>
                    <w:widowControl/>
                    <w:adjustRightInd w:val="0"/>
                    <w:snapToGrid w:val="0"/>
                    <w:jc w:val="center"/>
                    <w:rPr>
                      <w:rFonts w:hint="default"/>
                      <w:color w:val="auto"/>
                      <w:szCs w:val="21"/>
                      <w:lang w:val="en-US" w:eastAsia="zh-CN"/>
                    </w:rPr>
                  </w:pPr>
                  <w:r>
                    <w:rPr>
                      <w:rFonts w:hint="eastAsia"/>
                      <w:color w:val="auto"/>
                      <w:szCs w:val="21"/>
                      <w:lang w:val="en-US" w:eastAsia="zh-CN"/>
                    </w:rPr>
                    <w:t>1.5</w:t>
                  </w:r>
                </w:p>
              </w:tc>
              <w:tc>
                <w:tcPr>
                  <w:tcW w:w="671" w:type="dxa"/>
                  <w:tcBorders>
                    <w:top w:val="single" w:color="auto" w:sz="4" w:space="0"/>
                    <w:left w:val="nil"/>
                    <w:bottom w:val="single" w:color="auto" w:sz="4" w:space="0"/>
                    <w:right w:val="single" w:color="auto" w:sz="4" w:space="0"/>
                  </w:tcBorders>
                  <w:noWrap w:val="0"/>
                  <w:vAlign w:val="center"/>
                </w:tcPr>
                <w:p w14:paraId="456B5CDC">
                  <w:pPr>
                    <w:widowControl/>
                    <w:adjustRightInd w:val="0"/>
                    <w:snapToGrid w:val="0"/>
                    <w:jc w:val="center"/>
                    <w:rPr>
                      <w:rFonts w:hint="default"/>
                      <w:color w:val="auto"/>
                      <w:szCs w:val="21"/>
                      <w:lang w:val="en-US" w:eastAsia="zh-CN"/>
                    </w:rPr>
                  </w:pPr>
                  <w:r>
                    <w:rPr>
                      <w:rFonts w:hint="eastAsia"/>
                      <w:color w:val="auto"/>
                      <w:szCs w:val="21"/>
                      <w:lang w:val="en-US" w:eastAsia="zh-CN"/>
                    </w:rPr>
                    <w:t>18</w:t>
                  </w:r>
                </w:p>
              </w:tc>
              <w:tc>
                <w:tcPr>
                  <w:tcW w:w="791" w:type="dxa"/>
                  <w:tcBorders>
                    <w:left w:val="nil"/>
                    <w:right w:val="single" w:color="auto" w:sz="4" w:space="0"/>
                  </w:tcBorders>
                  <w:noWrap w:val="0"/>
                  <w:vAlign w:val="center"/>
                </w:tcPr>
                <w:p w14:paraId="3F09CD2A">
                  <w:pPr>
                    <w:widowControl/>
                    <w:adjustRightInd w:val="0"/>
                    <w:snapToGrid w:val="0"/>
                    <w:jc w:val="center"/>
                    <w:rPr>
                      <w:rFonts w:hint="eastAsia"/>
                      <w:color w:val="auto"/>
                      <w:szCs w:val="21"/>
                      <w:lang w:val="en-US" w:eastAsia="zh-CN"/>
                    </w:rPr>
                  </w:pPr>
                  <w:r>
                    <w:rPr>
                      <w:rFonts w:hint="eastAsia"/>
                      <w:color w:val="auto"/>
                      <w:szCs w:val="21"/>
                      <w:lang w:val="en-US" w:eastAsia="zh-CN"/>
                    </w:rPr>
                    <w:t>周界外浓度最高点</w:t>
                  </w:r>
                </w:p>
              </w:tc>
              <w:tc>
                <w:tcPr>
                  <w:tcW w:w="895" w:type="dxa"/>
                  <w:tcBorders>
                    <w:top w:val="single" w:color="auto" w:sz="4" w:space="0"/>
                    <w:left w:val="nil"/>
                    <w:bottom w:val="single" w:color="auto" w:sz="4" w:space="0"/>
                    <w:right w:val="single" w:color="auto" w:sz="4" w:space="0"/>
                  </w:tcBorders>
                  <w:noWrap w:val="0"/>
                  <w:vAlign w:val="center"/>
                </w:tcPr>
                <w:p w14:paraId="30916959">
                  <w:pPr>
                    <w:widowControl/>
                    <w:adjustRightInd w:val="0"/>
                    <w:snapToGrid w:val="0"/>
                    <w:jc w:val="center"/>
                    <w:rPr>
                      <w:rFonts w:hint="eastAsia"/>
                      <w:color w:val="auto"/>
                      <w:szCs w:val="21"/>
                      <w:lang w:val="en-US" w:eastAsia="zh-CN"/>
                    </w:rPr>
                  </w:pPr>
                  <w:r>
                    <w:rPr>
                      <w:rFonts w:hint="eastAsia"/>
                      <w:color w:val="auto"/>
                      <w:szCs w:val="21"/>
                      <w:lang w:val="en-US" w:eastAsia="zh-CN"/>
                    </w:rPr>
                    <w:t>4.0</w:t>
                  </w:r>
                </w:p>
              </w:tc>
              <w:tc>
                <w:tcPr>
                  <w:tcW w:w="1977" w:type="dxa"/>
                  <w:tcBorders>
                    <w:top w:val="single" w:color="auto" w:sz="4" w:space="0"/>
                    <w:left w:val="nil"/>
                    <w:bottom w:val="single" w:color="auto" w:sz="4" w:space="0"/>
                    <w:right w:val="single" w:color="auto" w:sz="4" w:space="0"/>
                  </w:tcBorders>
                  <w:noWrap w:val="0"/>
                  <w:vAlign w:val="center"/>
                </w:tcPr>
                <w:p w14:paraId="31FC3245">
                  <w:pPr>
                    <w:widowControl/>
                    <w:adjustRightInd w:val="0"/>
                    <w:snapToGrid w:val="0"/>
                    <w:jc w:val="center"/>
                    <w:rPr>
                      <w:rFonts w:hint="default"/>
                      <w:color w:val="auto"/>
                      <w:szCs w:val="21"/>
                      <w:lang w:val="en-US" w:eastAsia="zh-CN"/>
                    </w:rPr>
                  </w:pPr>
                  <w:r>
                    <w:rPr>
                      <w:rFonts w:hint="eastAsia"/>
                      <w:color w:val="auto"/>
                      <w:szCs w:val="21"/>
                      <w:lang w:val="en-US" w:eastAsia="zh-CN"/>
                    </w:rPr>
                    <w:t>《固定源挥发性有机物综合排放标准第 4部分：印刷工业》及《大气污染物综合排放标准》（GB16297-1996）</w:t>
                  </w:r>
                </w:p>
              </w:tc>
            </w:tr>
          </w:tbl>
          <w:p w14:paraId="343820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0"/>
                <w:sz w:val="24"/>
                <w:lang w:eastAsia="zh-CN"/>
              </w:rPr>
            </w:pPr>
            <w:r>
              <w:rPr>
                <w:b/>
                <w:color w:val="auto"/>
                <w:kern w:val="0"/>
                <w:sz w:val="24"/>
              </w:rPr>
              <w:t>表</w:t>
            </w:r>
            <w:r>
              <w:rPr>
                <w:rFonts w:hint="eastAsia"/>
                <w:b/>
                <w:color w:val="auto"/>
                <w:kern w:val="0"/>
                <w:sz w:val="24"/>
                <w:lang w:val="en-US" w:eastAsia="zh-CN"/>
              </w:rPr>
              <w:t>3.10  恶臭无组织排放限值（</w:t>
            </w:r>
            <w:r>
              <w:rPr>
                <w:rFonts w:hint="eastAsia" w:ascii="Times New Roman" w:hAnsi="Times New Roman" w:eastAsia="宋体" w:cs="Times New Roman"/>
                <w:b/>
                <w:color w:val="auto"/>
                <w:kern w:val="0"/>
                <w:sz w:val="24"/>
              </w:rPr>
              <w:t>GB 14554-93</w:t>
            </w:r>
            <w:r>
              <w:rPr>
                <w:rFonts w:hint="eastAsia" w:ascii="Times New Roman" w:hAnsi="Times New Roman" w:eastAsia="宋体" w:cs="Times New Roman"/>
                <w:b/>
                <w:color w:val="auto"/>
                <w:kern w:val="0"/>
                <w:sz w:val="24"/>
                <w:lang w:eastAsia="zh-CN"/>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517"/>
              <w:gridCol w:w="1751"/>
              <w:gridCol w:w="1809"/>
              <w:gridCol w:w="2654"/>
            </w:tblGrid>
            <w:tr w14:paraId="2C7A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0" w:type="pct"/>
                  <w:noWrap/>
                  <w:vAlign w:val="center"/>
                </w:tcPr>
                <w:p w14:paraId="1CD28C3C">
                  <w:pPr>
                    <w:adjustRightInd w:val="0"/>
                    <w:snapToGrid w:val="0"/>
                    <w:jc w:val="center"/>
                    <w:rPr>
                      <w:color w:val="auto"/>
                      <w:kern w:val="0"/>
                    </w:rPr>
                  </w:pPr>
                  <w:r>
                    <w:rPr>
                      <w:color w:val="auto"/>
                      <w:kern w:val="0"/>
                    </w:rPr>
                    <w:t>序号</w:t>
                  </w:r>
                </w:p>
              </w:tc>
              <w:tc>
                <w:tcPr>
                  <w:tcW w:w="908" w:type="pct"/>
                  <w:noWrap/>
                  <w:vAlign w:val="center"/>
                </w:tcPr>
                <w:p w14:paraId="13BD5C9B">
                  <w:pPr>
                    <w:adjustRightInd w:val="0"/>
                    <w:snapToGrid w:val="0"/>
                    <w:jc w:val="center"/>
                    <w:rPr>
                      <w:rFonts w:hint="eastAsia" w:eastAsia="宋体"/>
                      <w:color w:val="auto"/>
                      <w:kern w:val="0"/>
                      <w:lang w:val="en-US" w:eastAsia="zh-CN"/>
                    </w:rPr>
                  </w:pPr>
                  <w:r>
                    <w:rPr>
                      <w:rFonts w:hint="eastAsia"/>
                      <w:color w:val="auto"/>
                      <w:kern w:val="0"/>
                      <w:lang w:val="en-US" w:eastAsia="zh-CN"/>
                    </w:rPr>
                    <w:t>工序</w:t>
                  </w:r>
                </w:p>
              </w:tc>
              <w:tc>
                <w:tcPr>
                  <w:tcW w:w="1048" w:type="pct"/>
                  <w:noWrap/>
                  <w:vAlign w:val="center"/>
                </w:tcPr>
                <w:p w14:paraId="5E5649A4">
                  <w:pPr>
                    <w:adjustRightInd w:val="0"/>
                    <w:snapToGrid w:val="0"/>
                    <w:jc w:val="center"/>
                    <w:rPr>
                      <w:color w:val="auto"/>
                      <w:kern w:val="0"/>
                    </w:rPr>
                  </w:pPr>
                  <w:r>
                    <w:rPr>
                      <w:color w:val="auto"/>
                      <w:kern w:val="0"/>
                    </w:rPr>
                    <w:t>污染物项目</w:t>
                  </w:r>
                </w:p>
              </w:tc>
              <w:tc>
                <w:tcPr>
                  <w:tcW w:w="1083" w:type="pct"/>
                  <w:noWrap/>
                  <w:vAlign w:val="center"/>
                </w:tcPr>
                <w:p w14:paraId="63707347">
                  <w:pPr>
                    <w:adjustRightInd w:val="0"/>
                    <w:snapToGrid w:val="0"/>
                    <w:jc w:val="center"/>
                    <w:rPr>
                      <w:color w:val="auto"/>
                      <w:kern w:val="0"/>
                    </w:rPr>
                  </w:pPr>
                  <w:r>
                    <w:rPr>
                      <w:color w:val="auto"/>
                      <w:kern w:val="0"/>
                    </w:rPr>
                    <w:t>企业边界大气污染物浓度限值</w:t>
                  </w:r>
                </w:p>
              </w:tc>
              <w:tc>
                <w:tcPr>
                  <w:tcW w:w="1589" w:type="pct"/>
                  <w:noWrap/>
                  <w:vAlign w:val="center"/>
                </w:tcPr>
                <w:p w14:paraId="1646BF26">
                  <w:pPr>
                    <w:adjustRightInd w:val="0"/>
                    <w:snapToGrid w:val="0"/>
                    <w:jc w:val="center"/>
                    <w:rPr>
                      <w:rFonts w:hint="default" w:eastAsia="宋体"/>
                      <w:color w:val="auto"/>
                      <w:kern w:val="0"/>
                      <w:lang w:val="en-US" w:eastAsia="zh-CN"/>
                    </w:rPr>
                  </w:pPr>
                  <w:r>
                    <w:rPr>
                      <w:rFonts w:hint="eastAsia"/>
                      <w:color w:val="auto"/>
                      <w:kern w:val="0"/>
                      <w:lang w:val="en-US" w:eastAsia="zh-CN"/>
                    </w:rPr>
                    <w:t>排放标准</w:t>
                  </w:r>
                </w:p>
              </w:tc>
            </w:tr>
            <w:tr w14:paraId="3582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0" w:type="pct"/>
                  <w:noWrap/>
                  <w:vAlign w:val="center"/>
                </w:tcPr>
                <w:p w14:paraId="194C4169">
                  <w:pPr>
                    <w:adjustRightInd w:val="0"/>
                    <w:snapToGrid w:val="0"/>
                    <w:jc w:val="center"/>
                    <w:rPr>
                      <w:color w:val="auto"/>
                      <w:kern w:val="0"/>
                    </w:rPr>
                  </w:pPr>
                  <w:r>
                    <w:rPr>
                      <w:color w:val="auto"/>
                      <w:kern w:val="0"/>
                    </w:rPr>
                    <w:t>1</w:t>
                  </w:r>
                </w:p>
              </w:tc>
              <w:tc>
                <w:tcPr>
                  <w:tcW w:w="908" w:type="pct"/>
                  <w:noWrap/>
                  <w:vAlign w:val="center"/>
                </w:tcPr>
                <w:p w14:paraId="5828553E">
                  <w:pPr>
                    <w:adjustRightInd w:val="0"/>
                    <w:snapToGrid w:val="0"/>
                    <w:jc w:val="center"/>
                    <w:rPr>
                      <w:rFonts w:hint="default"/>
                      <w:color w:val="auto"/>
                      <w:kern w:val="0"/>
                      <w:lang w:val="en-US" w:eastAsia="zh-CN"/>
                    </w:rPr>
                  </w:pPr>
                  <w:r>
                    <w:rPr>
                      <w:rFonts w:hint="eastAsia"/>
                      <w:color w:val="auto"/>
                      <w:kern w:val="0"/>
                      <w:lang w:val="en-US" w:eastAsia="zh-CN"/>
                    </w:rPr>
                    <w:t>破碎、成型、晾晒</w:t>
                  </w:r>
                </w:p>
              </w:tc>
              <w:tc>
                <w:tcPr>
                  <w:tcW w:w="1048" w:type="pct"/>
                  <w:noWrap/>
                  <w:vAlign w:val="center"/>
                </w:tcPr>
                <w:p w14:paraId="409C76B2">
                  <w:pPr>
                    <w:adjustRightInd w:val="0"/>
                    <w:snapToGrid w:val="0"/>
                    <w:jc w:val="center"/>
                    <w:rPr>
                      <w:rFonts w:hint="default" w:eastAsia="宋体"/>
                      <w:color w:val="auto"/>
                      <w:kern w:val="0"/>
                      <w:lang w:val="en-US" w:eastAsia="zh-CN"/>
                    </w:rPr>
                  </w:pPr>
                  <w:r>
                    <w:rPr>
                      <w:rFonts w:hint="eastAsia"/>
                      <w:color w:val="auto"/>
                      <w:kern w:val="0"/>
                      <w:lang w:val="en-US" w:eastAsia="zh-CN"/>
                    </w:rPr>
                    <w:t>臭气浓度（无量纲）</w:t>
                  </w:r>
                </w:p>
              </w:tc>
              <w:tc>
                <w:tcPr>
                  <w:tcW w:w="1083" w:type="pct"/>
                  <w:noWrap/>
                  <w:vAlign w:val="center"/>
                </w:tcPr>
                <w:p w14:paraId="4E7F5AE4">
                  <w:pPr>
                    <w:adjustRightInd w:val="0"/>
                    <w:snapToGrid w:val="0"/>
                    <w:jc w:val="center"/>
                    <w:rPr>
                      <w:rFonts w:hint="default" w:eastAsia="宋体"/>
                      <w:color w:val="auto"/>
                      <w:kern w:val="0"/>
                      <w:lang w:val="en-US" w:eastAsia="zh-CN"/>
                    </w:rPr>
                  </w:pPr>
                  <w:r>
                    <w:rPr>
                      <w:rFonts w:hint="eastAsia"/>
                      <w:color w:val="auto"/>
                      <w:kern w:val="0"/>
                      <w:lang w:val="en-US" w:eastAsia="zh-CN"/>
                    </w:rPr>
                    <w:t>20</w:t>
                  </w:r>
                </w:p>
              </w:tc>
              <w:tc>
                <w:tcPr>
                  <w:tcW w:w="1589" w:type="pct"/>
                  <w:noWrap/>
                  <w:vAlign w:val="center"/>
                </w:tcPr>
                <w:p w14:paraId="7F053586">
                  <w:pPr>
                    <w:adjustRightInd w:val="0"/>
                    <w:snapToGrid w:val="0"/>
                    <w:jc w:val="center"/>
                    <w:rPr>
                      <w:color w:val="auto"/>
                      <w:kern w:val="0"/>
                    </w:rPr>
                  </w:pPr>
                  <w:r>
                    <w:rPr>
                      <w:rFonts w:hint="eastAsia"/>
                      <w:color w:val="auto"/>
                      <w:kern w:val="0"/>
                      <w:lang w:val="en-US" w:eastAsia="zh-CN"/>
                    </w:rPr>
                    <w:t>恶臭污染物排放标准》（GB14554-93）</w:t>
                  </w:r>
                </w:p>
              </w:tc>
            </w:tr>
          </w:tbl>
          <w:p w14:paraId="5065BD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kern w:val="0"/>
                <w:sz w:val="24"/>
              </w:rPr>
            </w:pPr>
            <w:r>
              <w:rPr>
                <w:rFonts w:hint="eastAsia" w:ascii="Times New Roman" w:hAnsi="Times New Roman" w:eastAsia="宋体" w:cs="Times New Roman"/>
                <w:b/>
                <w:color w:val="auto"/>
                <w:kern w:val="0"/>
                <w:sz w:val="24"/>
              </w:rPr>
              <w:t>表</w:t>
            </w:r>
            <w:r>
              <w:rPr>
                <w:rFonts w:hint="eastAsia" w:ascii="Times New Roman" w:hAnsi="Times New Roman" w:eastAsia="宋体" w:cs="Times New Roman"/>
                <w:b/>
                <w:color w:val="auto"/>
                <w:kern w:val="0"/>
                <w:sz w:val="24"/>
                <w:lang w:val="en-US" w:eastAsia="zh-CN"/>
              </w:rPr>
              <w:t>3.11</w:t>
            </w:r>
            <w:r>
              <w:rPr>
                <w:rFonts w:hint="eastAsia" w:ascii="Times New Roman" w:hAnsi="Times New Roman" w:eastAsia="宋体" w:cs="Times New Roman"/>
                <w:b/>
                <w:color w:val="auto"/>
                <w:kern w:val="0"/>
                <w:sz w:val="24"/>
              </w:rPr>
              <w:t xml:space="preserve">  </w:t>
            </w:r>
            <w:r>
              <w:rPr>
                <w:rFonts w:ascii="Times New Roman" w:hAnsi="Times New Roman" w:eastAsia="宋体" w:cs="Times New Roman"/>
                <w:b/>
                <w:color w:val="auto"/>
                <w:kern w:val="0"/>
                <w:sz w:val="24"/>
              </w:rPr>
              <w:t>厂区内有机废气无组织排放限值   单位：mg/m</w:t>
            </w:r>
            <w:r>
              <w:rPr>
                <w:rFonts w:ascii="Times New Roman" w:hAnsi="Times New Roman" w:eastAsia="宋体" w:cs="Times New Roman"/>
                <w:b/>
                <w:color w:val="auto"/>
                <w:kern w:val="0"/>
                <w:sz w:val="24"/>
                <w:vertAlign w:val="superscript"/>
              </w:rPr>
              <w:t>3</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134"/>
              <w:gridCol w:w="2788"/>
              <w:gridCol w:w="1410"/>
              <w:gridCol w:w="2115"/>
            </w:tblGrid>
            <w:tr w14:paraId="3D6A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noWrap/>
                  <w:vAlign w:val="center"/>
                </w:tcPr>
                <w:p w14:paraId="24F58203">
                  <w:pPr>
                    <w:pStyle w:val="72"/>
                    <w:spacing w:line="240" w:lineRule="auto"/>
                    <w:rPr>
                      <w:rFonts w:ascii="Times New Roman" w:hAnsi="Times New Roman" w:cs="Times New Roman"/>
                      <w:bCs/>
                      <w:color w:val="auto"/>
                      <w:sz w:val="21"/>
                    </w:rPr>
                  </w:pPr>
                  <w:r>
                    <w:rPr>
                      <w:rFonts w:ascii="Times New Roman" w:hAnsi="Times New Roman" w:cs="Times New Roman"/>
                      <w:bCs/>
                      <w:color w:val="auto"/>
                      <w:sz w:val="21"/>
                    </w:rPr>
                    <w:t>污染物项目</w:t>
                  </w:r>
                </w:p>
              </w:tc>
              <w:tc>
                <w:tcPr>
                  <w:tcW w:w="679" w:type="pct"/>
                  <w:noWrap/>
                  <w:vAlign w:val="center"/>
                </w:tcPr>
                <w:p w14:paraId="4CC5C579">
                  <w:pPr>
                    <w:pStyle w:val="72"/>
                    <w:spacing w:line="240" w:lineRule="auto"/>
                    <w:rPr>
                      <w:rFonts w:ascii="Times New Roman" w:hAnsi="Times New Roman" w:cs="Times New Roman"/>
                      <w:bCs/>
                      <w:color w:val="auto"/>
                      <w:sz w:val="21"/>
                    </w:rPr>
                  </w:pPr>
                  <w:r>
                    <w:rPr>
                      <w:rFonts w:ascii="Times New Roman" w:hAnsi="Times New Roman" w:cs="Times New Roman"/>
                      <w:bCs/>
                      <w:color w:val="auto"/>
                      <w:sz w:val="21"/>
                    </w:rPr>
                    <w:t>特别排放限值</w:t>
                  </w:r>
                </w:p>
              </w:tc>
              <w:tc>
                <w:tcPr>
                  <w:tcW w:w="1670" w:type="pct"/>
                  <w:noWrap/>
                  <w:vAlign w:val="center"/>
                </w:tcPr>
                <w:p w14:paraId="0E37DB4B">
                  <w:pPr>
                    <w:pStyle w:val="72"/>
                    <w:spacing w:line="240" w:lineRule="auto"/>
                    <w:rPr>
                      <w:rFonts w:ascii="Times New Roman" w:hAnsi="Times New Roman" w:cs="Times New Roman"/>
                      <w:bCs/>
                      <w:color w:val="auto"/>
                      <w:sz w:val="21"/>
                    </w:rPr>
                  </w:pPr>
                  <w:r>
                    <w:rPr>
                      <w:rFonts w:ascii="Times New Roman" w:hAnsi="Times New Roman" w:cs="Times New Roman"/>
                      <w:bCs/>
                      <w:color w:val="auto"/>
                      <w:sz w:val="21"/>
                    </w:rPr>
                    <w:t>限值含义</w:t>
                  </w:r>
                </w:p>
              </w:tc>
              <w:tc>
                <w:tcPr>
                  <w:tcW w:w="844" w:type="pct"/>
                  <w:noWrap/>
                  <w:vAlign w:val="center"/>
                </w:tcPr>
                <w:p w14:paraId="73000A33">
                  <w:pPr>
                    <w:pStyle w:val="72"/>
                    <w:spacing w:line="240" w:lineRule="auto"/>
                    <w:rPr>
                      <w:rFonts w:ascii="Times New Roman" w:hAnsi="Times New Roman" w:cs="Times New Roman"/>
                      <w:bCs/>
                      <w:color w:val="auto"/>
                      <w:sz w:val="21"/>
                    </w:rPr>
                  </w:pPr>
                  <w:r>
                    <w:rPr>
                      <w:rFonts w:ascii="Times New Roman" w:hAnsi="Times New Roman" w:cs="Times New Roman"/>
                      <w:bCs/>
                      <w:color w:val="auto"/>
                      <w:sz w:val="21"/>
                    </w:rPr>
                    <w:t>无组织排放监控位置</w:t>
                  </w:r>
                </w:p>
              </w:tc>
              <w:tc>
                <w:tcPr>
                  <w:tcW w:w="1267" w:type="pct"/>
                  <w:noWrap/>
                  <w:vAlign w:val="center"/>
                </w:tcPr>
                <w:p w14:paraId="0E3BAFB9">
                  <w:pPr>
                    <w:pStyle w:val="72"/>
                    <w:spacing w:line="240" w:lineRule="auto"/>
                    <w:rPr>
                      <w:rFonts w:ascii="Times New Roman" w:hAnsi="Times New Roman" w:cs="Times New Roman"/>
                      <w:bCs/>
                      <w:color w:val="auto"/>
                      <w:sz w:val="21"/>
                    </w:rPr>
                  </w:pPr>
                  <w:r>
                    <w:rPr>
                      <w:rFonts w:ascii="Times New Roman" w:hAnsi="Times New Roman" w:cs="Times New Roman"/>
                      <w:bCs/>
                      <w:color w:val="auto"/>
                      <w:sz w:val="21"/>
                    </w:rPr>
                    <w:t>标准来源</w:t>
                  </w:r>
                </w:p>
              </w:tc>
            </w:tr>
            <w:tr w14:paraId="430E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restart"/>
                  <w:noWrap/>
                  <w:vAlign w:val="center"/>
                </w:tcPr>
                <w:p w14:paraId="098D77D3">
                  <w:pPr>
                    <w:pStyle w:val="72"/>
                    <w:spacing w:line="240" w:lineRule="auto"/>
                    <w:rPr>
                      <w:rFonts w:ascii="Times New Roman" w:hAnsi="Times New Roman" w:cs="Times New Roman"/>
                      <w:color w:val="auto"/>
                      <w:sz w:val="21"/>
                    </w:rPr>
                  </w:pPr>
                  <w:r>
                    <w:rPr>
                      <w:rFonts w:ascii="Times New Roman" w:hAnsi="Times New Roman" w:cs="Times New Roman"/>
                      <w:color w:val="auto"/>
                      <w:sz w:val="21"/>
                    </w:rPr>
                    <w:t>NMHC</w:t>
                  </w:r>
                </w:p>
              </w:tc>
              <w:tc>
                <w:tcPr>
                  <w:tcW w:w="679" w:type="pct"/>
                  <w:noWrap/>
                  <w:vAlign w:val="center"/>
                </w:tcPr>
                <w:p w14:paraId="687ED552">
                  <w:pPr>
                    <w:pStyle w:val="72"/>
                    <w:spacing w:line="240" w:lineRule="auto"/>
                    <w:rPr>
                      <w:rFonts w:ascii="Times New Roman" w:hAnsi="Times New Roman" w:cs="Times New Roman"/>
                      <w:color w:val="auto"/>
                      <w:sz w:val="21"/>
                    </w:rPr>
                  </w:pPr>
                  <w:r>
                    <w:rPr>
                      <w:rFonts w:ascii="Times New Roman" w:hAnsi="Times New Roman" w:cs="Times New Roman"/>
                      <w:color w:val="auto"/>
                      <w:sz w:val="21"/>
                    </w:rPr>
                    <w:t>6</w:t>
                  </w:r>
                </w:p>
              </w:tc>
              <w:tc>
                <w:tcPr>
                  <w:tcW w:w="1670" w:type="pct"/>
                  <w:noWrap/>
                  <w:vAlign w:val="center"/>
                </w:tcPr>
                <w:p w14:paraId="581965D3">
                  <w:pPr>
                    <w:pStyle w:val="72"/>
                    <w:spacing w:line="240" w:lineRule="auto"/>
                    <w:rPr>
                      <w:rFonts w:ascii="Times New Roman" w:hAnsi="Times New Roman" w:cs="Times New Roman"/>
                      <w:color w:val="auto"/>
                      <w:sz w:val="21"/>
                    </w:rPr>
                  </w:pPr>
                  <w:r>
                    <w:rPr>
                      <w:rFonts w:ascii="Times New Roman" w:hAnsi="Times New Roman" w:cs="Times New Roman"/>
                      <w:color w:val="auto"/>
                      <w:sz w:val="21"/>
                    </w:rPr>
                    <w:t>监控点处1h平均浓度值</w:t>
                  </w:r>
                </w:p>
              </w:tc>
              <w:tc>
                <w:tcPr>
                  <w:tcW w:w="844" w:type="pct"/>
                  <w:vMerge w:val="restart"/>
                  <w:noWrap/>
                  <w:vAlign w:val="center"/>
                </w:tcPr>
                <w:p w14:paraId="615ADDEB">
                  <w:pPr>
                    <w:pStyle w:val="72"/>
                    <w:spacing w:line="240" w:lineRule="auto"/>
                    <w:rPr>
                      <w:rFonts w:ascii="Times New Roman" w:hAnsi="Times New Roman" w:cs="Times New Roman"/>
                      <w:color w:val="auto"/>
                      <w:sz w:val="21"/>
                    </w:rPr>
                  </w:pPr>
                  <w:r>
                    <w:rPr>
                      <w:rFonts w:ascii="Times New Roman" w:hAnsi="Times New Roman" w:cs="Times New Roman"/>
                      <w:color w:val="auto"/>
                      <w:sz w:val="21"/>
                    </w:rPr>
                    <w:t>在厂房外设置监控点</w:t>
                  </w:r>
                </w:p>
              </w:tc>
              <w:tc>
                <w:tcPr>
                  <w:tcW w:w="1267" w:type="pct"/>
                  <w:vMerge w:val="restart"/>
                  <w:noWrap/>
                  <w:vAlign w:val="center"/>
                </w:tcPr>
                <w:p w14:paraId="3F045BEE">
                  <w:pPr>
                    <w:pStyle w:val="72"/>
                    <w:spacing w:line="240" w:lineRule="auto"/>
                    <w:rPr>
                      <w:rFonts w:ascii="Times New Roman" w:hAnsi="Times New Roman" w:cs="Times New Roman"/>
                      <w:color w:val="auto"/>
                      <w:sz w:val="21"/>
                    </w:rPr>
                  </w:pPr>
                  <w:r>
                    <w:rPr>
                      <w:rFonts w:hint="default" w:ascii="Times New Roman" w:hAnsi="Times New Roman" w:cs="Times New Roman"/>
                      <w:color w:val="auto"/>
                      <w:sz w:val="21"/>
                      <w:lang w:val="en-US" w:eastAsia="zh-CN"/>
                    </w:rPr>
                    <w:t>《固定源挥发性有机物综合排放标准第4部分：印刷工业》</w:t>
                  </w:r>
                </w:p>
              </w:tc>
            </w:tr>
            <w:tr w14:paraId="505B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noWrap/>
                  <w:vAlign w:val="center"/>
                </w:tcPr>
                <w:p w14:paraId="0E6921C6">
                  <w:pPr>
                    <w:pStyle w:val="72"/>
                    <w:spacing w:line="240" w:lineRule="auto"/>
                    <w:rPr>
                      <w:rFonts w:ascii="Times New Roman" w:hAnsi="Times New Roman" w:cs="Times New Roman"/>
                      <w:color w:val="auto"/>
                      <w:sz w:val="21"/>
                    </w:rPr>
                  </w:pPr>
                </w:p>
              </w:tc>
              <w:tc>
                <w:tcPr>
                  <w:tcW w:w="679" w:type="pct"/>
                  <w:noWrap/>
                  <w:vAlign w:val="center"/>
                </w:tcPr>
                <w:p w14:paraId="5E355BF8">
                  <w:pPr>
                    <w:pStyle w:val="72"/>
                    <w:spacing w:line="240" w:lineRule="auto"/>
                    <w:rPr>
                      <w:rFonts w:ascii="Times New Roman" w:hAnsi="Times New Roman" w:cs="Times New Roman"/>
                      <w:color w:val="auto"/>
                      <w:sz w:val="21"/>
                    </w:rPr>
                  </w:pPr>
                  <w:r>
                    <w:rPr>
                      <w:rFonts w:ascii="Times New Roman" w:hAnsi="Times New Roman" w:cs="Times New Roman"/>
                      <w:color w:val="auto"/>
                      <w:sz w:val="21"/>
                    </w:rPr>
                    <w:t>20</w:t>
                  </w:r>
                </w:p>
              </w:tc>
              <w:tc>
                <w:tcPr>
                  <w:tcW w:w="1670" w:type="pct"/>
                  <w:noWrap/>
                  <w:vAlign w:val="center"/>
                </w:tcPr>
                <w:p w14:paraId="2B696110">
                  <w:pPr>
                    <w:pStyle w:val="72"/>
                    <w:spacing w:line="240" w:lineRule="auto"/>
                    <w:rPr>
                      <w:rFonts w:ascii="Times New Roman" w:hAnsi="Times New Roman" w:cs="Times New Roman"/>
                      <w:color w:val="auto"/>
                      <w:sz w:val="21"/>
                    </w:rPr>
                  </w:pPr>
                  <w:r>
                    <w:rPr>
                      <w:rFonts w:ascii="Times New Roman" w:hAnsi="Times New Roman" w:cs="Times New Roman"/>
                      <w:color w:val="auto"/>
                      <w:sz w:val="21"/>
                    </w:rPr>
                    <w:t>监控点处任意一次浓度值</w:t>
                  </w:r>
                </w:p>
              </w:tc>
              <w:tc>
                <w:tcPr>
                  <w:tcW w:w="844" w:type="pct"/>
                  <w:vMerge w:val="continue"/>
                  <w:noWrap/>
                  <w:vAlign w:val="center"/>
                </w:tcPr>
                <w:p w14:paraId="65AB295A">
                  <w:pPr>
                    <w:pStyle w:val="72"/>
                    <w:spacing w:line="240" w:lineRule="auto"/>
                    <w:rPr>
                      <w:rFonts w:ascii="Times New Roman" w:hAnsi="Times New Roman" w:cs="Times New Roman"/>
                      <w:color w:val="auto"/>
                      <w:sz w:val="21"/>
                    </w:rPr>
                  </w:pPr>
                </w:p>
              </w:tc>
              <w:tc>
                <w:tcPr>
                  <w:tcW w:w="1267" w:type="pct"/>
                  <w:vMerge w:val="continue"/>
                  <w:noWrap/>
                  <w:vAlign w:val="center"/>
                </w:tcPr>
                <w:p w14:paraId="3EF2BDE5">
                  <w:pPr>
                    <w:pStyle w:val="72"/>
                    <w:spacing w:line="240" w:lineRule="auto"/>
                    <w:rPr>
                      <w:rFonts w:ascii="Times New Roman" w:hAnsi="Times New Roman" w:cs="Times New Roman"/>
                      <w:color w:val="auto"/>
                      <w:sz w:val="21"/>
                    </w:rPr>
                  </w:pPr>
                </w:p>
              </w:tc>
            </w:tr>
          </w:tbl>
          <w:p w14:paraId="76A00C20">
            <w:pPr>
              <w:adjustRightInd w:val="0"/>
              <w:snapToGrid w:val="0"/>
              <w:spacing w:line="360" w:lineRule="auto"/>
              <w:ind w:firstLine="482" w:firstLineChars="200"/>
              <w:rPr>
                <w:b/>
                <w:bCs/>
                <w:color w:val="auto"/>
                <w:sz w:val="24"/>
              </w:rPr>
            </w:pPr>
            <w:r>
              <w:rPr>
                <w:rFonts w:hint="eastAsia"/>
                <w:b/>
                <w:bCs/>
                <w:color w:val="auto"/>
                <w:sz w:val="24"/>
              </w:rPr>
              <w:t>2、废水排放标准</w:t>
            </w:r>
          </w:p>
          <w:p w14:paraId="084269DA">
            <w:pPr>
              <w:spacing w:line="360" w:lineRule="auto"/>
              <w:ind w:firstLine="480" w:firstLineChars="200"/>
              <w:rPr>
                <w:rFonts w:ascii="宋体" w:hAnsi="宋体" w:cs="宋体"/>
                <w:color w:val="auto"/>
                <w:sz w:val="24"/>
              </w:rPr>
            </w:pPr>
            <w:r>
              <w:rPr>
                <w:rFonts w:hint="eastAsia" w:ascii="宋体" w:hAnsi="宋体" w:cs="宋体"/>
                <w:color w:val="auto"/>
                <w:sz w:val="24"/>
              </w:rPr>
              <w:t>本项目所在厂区实行雨污分流制</w:t>
            </w:r>
            <w:r>
              <w:rPr>
                <w:rFonts w:hint="eastAsia" w:ascii="宋体" w:hAnsi="宋体" w:cs="宋体"/>
                <w:color w:val="auto"/>
                <w:sz w:val="24"/>
                <w:lang w:eastAsia="zh-CN"/>
              </w:rPr>
              <w:t>，</w:t>
            </w:r>
            <w:r>
              <w:rPr>
                <w:rFonts w:hint="eastAsia" w:ascii="宋体" w:hAnsi="宋体" w:cs="宋体"/>
                <w:color w:val="auto"/>
                <w:sz w:val="24"/>
              </w:rPr>
              <w:t>无外排废水。项目</w:t>
            </w:r>
            <w:r>
              <w:rPr>
                <w:rFonts w:hint="eastAsia" w:ascii="宋体" w:hAnsi="宋体" w:cs="宋体"/>
                <w:color w:val="auto"/>
                <w:sz w:val="24"/>
                <w:lang w:val="en-US" w:eastAsia="zh-CN"/>
              </w:rPr>
              <w:t>生产废水循环使用，不外排；生活污水经化粪池处理后定期清掏。</w:t>
            </w:r>
          </w:p>
          <w:p w14:paraId="6CE4CA58">
            <w:pPr>
              <w:adjustRightInd w:val="0"/>
              <w:snapToGrid w:val="0"/>
              <w:spacing w:line="360" w:lineRule="auto"/>
              <w:ind w:firstLine="482" w:firstLineChars="200"/>
              <w:jc w:val="left"/>
              <w:rPr>
                <w:b/>
                <w:bCs/>
                <w:kern w:val="0"/>
                <w:sz w:val="24"/>
              </w:rPr>
            </w:pPr>
            <w:r>
              <w:rPr>
                <w:b/>
                <w:bCs/>
                <w:kern w:val="0"/>
                <w:sz w:val="24"/>
              </w:rPr>
              <w:t>3、噪声</w:t>
            </w:r>
            <w:r>
              <w:rPr>
                <w:rFonts w:hint="eastAsia"/>
                <w:b/>
                <w:bCs/>
                <w:kern w:val="0"/>
                <w:sz w:val="24"/>
              </w:rPr>
              <w:t>排放标准</w:t>
            </w:r>
          </w:p>
          <w:p w14:paraId="510BBDE3">
            <w:pPr>
              <w:spacing w:line="360" w:lineRule="auto"/>
              <w:ind w:firstLine="480" w:firstLineChars="200"/>
              <w:rPr>
                <w:color w:val="auto"/>
                <w:sz w:val="24"/>
              </w:rPr>
            </w:pPr>
            <w:r>
              <w:rPr>
                <w:color w:val="auto"/>
                <w:sz w:val="24"/>
              </w:rPr>
              <w:t>项目营运期厂界噪声执行《工业企业厂界环境噪声排放标准》（GBl2348-2008）</w:t>
            </w:r>
            <w:r>
              <w:rPr>
                <w:rFonts w:hint="eastAsia"/>
                <w:color w:val="auto"/>
                <w:sz w:val="24"/>
              </w:rPr>
              <w:t>2类</w:t>
            </w:r>
            <w:r>
              <w:rPr>
                <w:color w:val="auto"/>
                <w:sz w:val="24"/>
              </w:rPr>
              <w:t>标准，具体噪声执行值见下表。</w:t>
            </w:r>
          </w:p>
          <w:p w14:paraId="611546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kern w:val="0"/>
                <w:sz w:val="24"/>
              </w:rPr>
            </w:pPr>
            <w:r>
              <w:rPr>
                <w:rFonts w:ascii="Times New Roman" w:hAnsi="Times New Roman" w:eastAsia="宋体" w:cs="Times New Roman"/>
                <w:b/>
                <w:color w:val="auto"/>
                <w:kern w:val="0"/>
                <w:sz w:val="24"/>
              </w:rPr>
              <w:t>表</w:t>
            </w:r>
            <w:r>
              <w:rPr>
                <w:rFonts w:hint="eastAsia" w:ascii="Times New Roman" w:hAnsi="Times New Roman" w:eastAsia="宋体" w:cs="Times New Roman"/>
                <w:b/>
                <w:color w:val="auto"/>
                <w:kern w:val="0"/>
                <w:sz w:val="24"/>
                <w:lang w:val="en-US" w:eastAsia="zh-CN"/>
              </w:rPr>
              <w:t>3.12</w:t>
            </w:r>
            <w:r>
              <w:rPr>
                <w:rFonts w:hint="eastAsia" w:ascii="Times New Roman" w:hAnsi="Times New Roman" w:eastAsia="宋体" w:cs="Times New Roman"/>
                <w:b/>
                <w:color w:val="auto"/>
                <w:kern w:val="0"/>
                <w:sz w:val="24"/>
              </w:rPr>
              <w:t xml:space="preserve">  营运期</w:t>
            </w:r>
            <w:r>
              <w:rPr>
                <w:rFonts w:ascii="Times New Roman" w:hAnsi="Times New Roman" w:eastAsia="宋体" w:cs="Times New Roman"/>
                <w:b/>
                <w:color w:val="auto"/>
                <w:kern w:val="0"/>
                <w:sz w:val="24"/>
              </w:rPr>
              <w:t>工业企业厂界环境噪声排放标准</w:t>
            </w:r>
          </w:p>
          <w:tbl>
            <w:tblPr>
              <w:tblStyle w:val="23"/>
              <w:tblW w:w="8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3256"/>
              <w:gridCol w:w="3318"/>
            </w:tblGrid>
            <w:tr w14:paraId="07CE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2" w:type="pct"/>
                  <w:vMerge w:val="restart"/>
                  <w:vAlign w:val="center"/>
                </w:tcPr>
                <w:p w14:paraId="6C4A4CE4">
                  <w:pPr>
                    <w:pStyle w:val="60"/>
                    <w:ind w:firstLine="0"/>
                    <w:jc w:val="center"/>
                    <w:rPr>
                      <w:rFonts w:ascii="Times New Roman"/>
                      <w:bCs/>
                      <w:sz w:val="21"/>
                      <w:szCs w:val="21"/>
                    </w:rPr>
                  </w:pPr>
                  <w:r>
                    <w:rPr>
                      <w:rFonts w:ascii="Times New Roman"/>
                      <w:bCs/>
                      <w:sz w:val="21"/>
                      <w:szCs w:val="21"/>
                    </w:rPr>
                    <w:t>标准</w:t>
                  </w:r>
                </w:p>
              </w:tc>
              <w:tc>
                <w:tcPr>
                  <w:tcW w:w="4097" w:type="pct"/>
                  <w:gridSpan w:val="2"/>
                  <w:vAlign w:val="center"/>
                </w:tcPr>
                <w:p w14:paraId="4A2F385D">
                  <w:pPr>
                    <w:pStyle w:val="60"/>
                    <w:ind w:firstLine="0"/>
                    <w:jc w:val="center"/>
                    <w:rPr>
                      <w:rFonts w:ascii="Times New Roman"/>
                      <w:bCs/>
                      <w:sz w:val="21"/>
                      <w:szCs w:val="21"/>
                    </w:rPr>
                  </w:pPr>
                  <w:r>
                    <w:rPr>
                      <w:rFonts w:ascii="Times New Roman"/>
                      <w:bCs/>
                      <w:sz w:val="21"/>
                      <w:szCs w:val="21"/>
                    </w:rPr>
                    <w:t>标准值（dB（A））</w:t>
                  </w:r>
                </w:p>
              </w:tc>
            </w:tr>
            <w:tr w14:paraId="29D0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2" w:type="pct"/>
                  <w:vMerge w:val="continue"/>
                  <w:vAlign w:val="center"/>
                </w:tcPr>
                <w:p w14:paraId="4D3F3190">
                  <w:pPr>
                    <w:pStyle w:val="60"/>
                    <w:ind w:firstLine="0"/>
                    <w:jc w:val="center"/>
                    <w:rPr>
                      <w:rFonts w:ascii="Times New Roman"/>
                      <w:bCs/>
                      <w:sz w:val="21"/>
                      <w:szCs w:val="21"/>
                    </w:rPr>
                  </w:pPr>
                </w:p>
              </w:tc>
              <w:tc>
                <w:tcPr>
                  <w:tcW w:w="2029" w:type="pct"/>
                  <w:vAlign w:val="center"/>
                </w:tcPr>
                <w:p w14:paraId="6ABD30FA">
                  <w:pPr>
                    <w:jc w:val="center"/>
                    <w:rPr>
                      <w:szCs w:val="21"/>
                    </w:rPr>
                  </w:pPr>
                  <w:r>
                    <w:rPr>
                      <w:bCs/>
                      <w:szCs w:val="21"/>
                    </w:rPr>
                    <w:t>昼间</w:t>
                  </w:r>
                </w:p>
              </w:tc>
              <w:tc>
                <w:tcPr>
                  <w:tcW w:w="2067" w:type="pct"/>
                  <w:vAlign w:val="center"/>
                </w:tcPr>
                <w:p w14:paraId="071B262A">
                  <w:pPr>
                    <w:jc w:val="center"/>
                    <w:rPr>
                      <w:bCs/>
                      <w:szCs w:val="21"/>
                    </w:rPr>
                  </w:pPr>
                  <w:r>
                    <w:rPr>
                      <w:rFonts w:hint="eastAsia"/>
                      <w:bCs/>
                      <w:szCs w:val="21"/>
                    </w:rPr>
                    <w:t>夜间</w:t>
                  </w:r>
                </w:p>
              </w:tc>
            </w:tr>
            <w:tr w14:paraId="4D71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2" w:type="pct"/>
                  <w:vAlign w:val="center"/>
                </w:tcPr>
                <w:p w14:paraId="22A2F0DF">
                  <w:pPr>
                    <w:pStyle w:val="60"/>
                    <w:ind w:firstLine="0"/>
                    <w:jc w:val="center"/>
                    <w:rPr>
                      <w:rFonts w:ascii="Times New Roman"/>
                      <w:sz w:val="21"/>
                      <w:szCs w:val="21"/>
                    </w:rPr>
                  </w:pPr>
                  <w:r>
                    <w:rPr>
                      <w:rFonts w:hint="eastAsia" w:ascii="Times New Roman"/>
                      <w:sz w:val="21"/>
                      <w:szCs w:val="21"/>
                    </w:rPr>
                    <w:t>2类</w:t>
                  </w:r>
                  <w:r>
                    <w:rPr>
                      <w:rFonts w:ascii="Times New Roman"/>
                      <w:sz w:val="21"/>
                      <w:szCs w:val="21"/>
                    </w:rPr>
                    <w:t>标准</w:t>
                  </w:r>
                </w:p>
              </w:tc>
              <w:tc>
                <w:tcPr>
                  <w:tcW w:w="2029" w:type="pct"/>
                  <w:vAlign w:val="center"/>
                </w:tcPr>
                <w:p w14:paraId="38024429">
                  <w:pPr>
                    <w:jc w:val="center"/>
                    <w:rPr>
                      <w:bCs/>
                      <w:szCs w:val="21"/>
                    </w:rPr>
                  </w:pPr>
                  <w:r>
                    <w:rPr>
                      <w:rFonts w:hint="eastAsia"/>
                      <w:szCs w:val="21"/>
                    </w:rPr>
                    <w:t>60</w:t>
                  </w:r>
                </w:p>
              </w:tc>
              <w:tc>
                <w:tcPr>
                  <w:tcW w:w="2067" w:type="pct"/>
                  <w:vAlign w:val="center"/>
                </w:tcPr>
                <w:p w14:paraId="2027C8D5">
                  <w:pPr>
                    <w:jc w:val="center"/>
                    <w:rPr>
                      <w:szCs w:val="21"/>
                    </w:rPr>
                  </w:pPr>
                  <w:r>
                    <w:rPr>
                      <w:rFonts w:hint="eastAsia"/>
                      <w:szCs w:val="21"/>
                    </w:rPr>
                    <w:t>50</w:t>
                  </w:r>
                </w:p>
              </w:tc>
            </w:tr>
          </w:tbl>
          <w:p w14:paraId="21CEEF26">
            <w:pPr>
              <w:pStyle w:val="30"/>
              <w:spacing w:line="360" w:lineRule="auto"/>
              <w:ind w:firstLine="482" w:firstLineChars="200"/>
            </w:pPr>
            <w:r>
              <w:rPr>
                <w:rFonts w:ascii="Times New Roman" w:hAnsi="Times New Roman"/>
                <w:b/>
                <w:bCs/>
              </w:rPr>
              <w:t>4</w:t>
            </w:r>
            <w:r>
              <w:rPr>
                <w:rFonts w:hint="eastAsia"/>
                <w:b/>
                <w:bCs/>
              </w:rPr>
              <w:t>、固体废物存储、处置标准</w:t>
            </w:r>
          </w:p>
          <w:p w14:paraId="2A6D9061">
            <w:pPr>
              <w:pStyle w:val="30"/>
              <w:spacing w:line="360" w:lineRule="auto"/>
              <w:ind w:firstLine="480" w:firstLineChars="200"/>
              <w:rPr>
                <w:rFonts w:hAnsi="宋体" w:cs="宋体"/>
                <w:kern w:val="0"/>
                <w:szCs w:val="21"/>
              </w:rPr>
            </w:pPr>
            <w:r>
              <w:rPr>
                <w:rFonts w:hint="default" w:ascii="Times New Roman" w:hAnsi="Times New Roman" w:eastAsia="宋体" w:cs="Times New Roman"/>
                <w:kern w:val="0"/>
                <w:sz w:val="24"/>
                <w:szCs w:val="24"/>
                <w:lang w:val="en-US" w:eastAsia="zh-CN"/>
              </w:rPr>
              <w:t>本项目产生固废应执行《中华人民共和国固体废物污染环境防治法》中有关规定。</w:t>
            </w:r>
            <w:r>
              <w:rPr>
                <w:rFonts w:hint="default" w:ascii="Times New Roman" w:hAnsi="Times New Roman" w:eastAsia="宋体" w:cs="Times New Roman"/>
                <w:kern w:val="0"/>
                <w:sz w:val="24"/>
                <w:szCs w:val="24"/>
                <w:lang w:eastAsia="zh-CN"/>
              </w:rPr>
              <w:t>一般固体废物</w:t>
            </w:r>
            <w:r>
              <w:rPr>
                <w:rFonts w:hint="default" w:ascii="Times New Roman" w:hAnsi="Times New Roman" w:eastAsia="宋体" w:cs="Times New Roman"/>
                <w:kern w:val="0"/>
                <w:sz w:val="24"/>
                <w:szCs w:val="24"/>
                <w:lang w:val="en-US" w:eastAsia="zh-CN"/>
              </w:rPr>
              <w:t>参照</w:t>
            </w:r>
            <w:r>
              <w:rPr>
                <w:rFonts w:hint="default" w:ascii="Times New Roman" w:hAnsi="Times New Roman" w:eastAsia="宋体" w:cs="Times New Roman"/>
                <w:kern w:val="0"/>
                <w:sz w:val="24"/>
                <w:szCs w:val="24"/>
                <w:lang w:eastAsia="zh-CN"/>
              </w:rPr>
              <w:t>《一般工业固体废物贮存和填埋污染控制标准》（GB18599-2020）中的相关规定；危险废物执行《危险废物贮存污染控制标准》（GB18597-20</w:t>
            </w:r>
            <w:r>
              <w:rPr>
                <w:rFonts w:hint="default" w:ascii="Times New Roman" w:hAnsi="Times New Roman" w:eastAsia="宋体" w:cs="Times New Roman"/>
                <w:kern w:val="0"/>
                <w:sz w:val="24"/>
                <w:szCs w:val="24"/>
                <w:lang w:val="en-US" w:eastAsia="zh-CN"/>
              </w:rPr>
              <w:t>23</w:t>
            </w:r>
            <w:r>
              <w:rPr>
                <w:rFonts w:hint="default" w:ascii="Times New Roman" w:hAnsi="Times New Roman" w:eastAsia="宋体" w:cs="Times New Roman"/>
                <w:kern w:val="0"/>
                <w:sz w:val="24"/>
                <w:szCs w:val="24"/>
                <w:lang w:eastAsia="zh-CN"/>
              </w:rPr>
              <w:t>）中的相关规定。</w:t>
            </w:r>
          </w:p>
        </w:tc>
      </w:tr>
      <w:tr w14:paraId="73253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3" w:hRule="atLeast"/>
          <w:jc w:val="center"/>
        </w:trPr>
        <w:tc>
          <w:tcPr>
            <w:tcW w:w="486" w:type="dxa"/>
            <w:vAlign w:val="center"/>
          </w:tcPr>
          <w:p w14:paraId="003852C2">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总量</w:t>
            </w:r>
          </w:p>
          <w:p w14:paraId="2DE3103B">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控制</w:t>
            </w:r>
          </w:p>
          <w:p w14:paraId="72F66289">
            <w:pPr>
              <w:pStyle w:val="20"/>
              <w:adjustRightInd w:val="0"/>
              <w:snapToGrid w:val="0"/>
              <w:spacing w:before="0" w:beforeAutospacing="0" w:after="0" w:afterAutospacing="0"/>
              <w:jc w:val="center"/>
              <w:rPr>
                <w:rFonts w:ascii="宋体" w:hAnsi="宋体" w:cs="宋体"/>
                <w:kern w:val="0"/>
                <w:szCs w:val="21"/>
              </w:rPr>
            </w:pPr>
            <w:r>
              <w:rPr>
                <w:rFonts w:hint="eastAsia" w:ascii="宋体" w:hAnsi="宋体" w:eastAsia="宋体" w:cs="宋体"/>
                <w:sz w:val="24"/>
                <w:szCs w:val="24"/>
              </w:rPr>
              <w:t>指标</w:t>
            </w:r>
          </w:p>
        </w:tc>
        <w:tc>
          <w:tcPr>
            <w:tcW w:w="8575" w:type="dxa"/>
            <w:vAlign w:val="center"/>
          </w:tcPr>
          <w:p w14:paraId="548E4734">
            <w:pPr>
              <w:spacing w:line="360" w:lineRule="auto"/>
              <w:ind w:firstLine="480" w:firstLineChars="200"/>
              <w:rPr>
                <w:color w:val="auto"/>
                <w:kern w:val="0"/>
                <w:sz w:val="24"/>
              </w:rPr>
            </w:pPr>
            <w:r>
              <w:rPr>
                <w:color w:val="auto"/>
                <w:kern w:val="0"/>
                <w:sz w:val="24"/>
              </w:rPr>
              <w:t>根据《安徽省环保厅关于进一步加强建设项目新增大气主要污染物总量指标管理工作的通知》皖环发〔2017〕19号，结合工程分析，本项目涉及的总量控制因子主要为COD、NH</w:t>
            </w:r>
            <w:r>
              <w:rPr>
                <w:color w:val="auto"/>
                <w:kern w:val="0"/>
                <w:sz w:val="24"/>
                <w:vertAlign w:val="subscript"/>
              </w:rPr>
              <w:t>3</w:t>
            </w:r>
            <w:r>
              <w:rPr>
                <w:color w:val="auto"/>
                <w:kern w:val="0"/>
                <w:sz w:val="24"/>
              </w:rPr>
              <w:t>-N</w:t>
            </w:r>
            <w:r>
              <w:rPr>
                <w:rFonts w:hint="eastAsia"/>
                <w:color w:val="auto"/>
                <w:kern w:val="0"/>
                <w:sz w:val="24"/>
              </w:rPr>
              <w:t>、烟（粉）尘、</w:t>
            </w:r>
            <w:r>
              <w:rPr>
                <w:color w:val="auto"/>
                <w:kern w:val="0"/>
                <w:sz w:val="24"/>
              </w:rPr>
              <w:t>挥发性有机物（VOCs）</w:t>
            </w:r>
            <w:r>
              <w:rPr>
                <w:rFonts w:hint="eastAsia"/>
                <w:color w:val="auto"/>
                <w:kern w:val="0"/>
                <w:sz w:val="24"/>
              </w:rPr>
              <w:t>。</w:t>
            </w:r>
          </w:p>
          <w:p w14:paraId="4DEA020B">
            <w:pPr>
              <w:spacing w:line="360" w:lineRule="auto"/>
              <w:ind w:firstLine="480" w:firstLineChars="200"/>
              <w:rPr>
                <w:color w:val="auto"/>
                <w:kern w:val="0"/>
                <w:sz w:val="24"/>
                <w:highlight w:val="none"/>
              </w:rPr>
            </w:pPr>
            <w:r>
              <w:rPr>
                <w:rFonts w:hint="eastAsia"/>
                <w:color w:val="auto"/>
                <w:kern w:val="0"/>
                <w:sz w:val="24"/>
              </w:rPr>
              <w:t>本项目无外排废水。</w:t>
            </w:r>
            <w:r>
              <w:rPr>
                <w:rFonts w:ascii="宋体" w:hAnsi="宋体" w:cs="宋体"/>
                <w:color w:val="auto"/>
                <w:sz w:val="24"/>
              </w:rPr>
              <w:t>项目所在厂区实行雨污分流，</w:t>
            </w:r>
            <w:r>
              <w:rPr>
                <w:rFonts w:hint="eastAsia" w:ascii="宋体" w:hAnsi="宋体" w:cs="宋体"/>
                <w:color w:val="auto"/>
                <w:sz w:val="24"/>
              </w:rPr>
              <w:t>雨水经厂区雨水管道收集排入附近沟渠</w:t>
            </w:r>
            <w:r>
              <w:rPr>
                <w:rFonts w:ascii="宋体" w:hAnsi="宋体" w:cs="宋体"/>
                <w:color w:val="auto"/>
                <w:sz w:val="24"/>
              </w:rPr>
              <w:t>；</w:t>
            </w:r>
            <w:r>
              <w:rPr>
                <w:rFonts w:hint="eastAsia" w:ascii="宋体" w:hAnsi="宋体" w:cs="宋体"/>
                <w:color w:val="auto"/>
                <w:sz w:val="24"/>
              </w:rPr>
              <w:t>项目</w:t>
            </w:r>
            <w:r>
              <w:rPr>
                <w:rFonts w:hint="eastAsia" w:ascii="宋体" w:hAnsi="宋体" w:cs="宋体"/>
                <w:color w:val="auto"/>
                <w:sz w:val="24"/>
                <w:lang w:val="en-US" w:eastAsia="zh-CN"/>
              </w:rPr>
              <w:t>生产废水循环使用，不外排；生活污水经化粪池处理后定期清掏。</w:t>
            </w:r>
            <w:r>
              <w:rPr>
                <w:color w:val="auto"/>
                <w:kern w:val="0"/>
                <w:sz w:val="24"/>
              </w:rPr>
              <w:t>因此本</w:t>
            </w:r>
            <w:r>
              <w:rPr>
                <w:color w:val="auto"/>
                <w:kern w:val="0"/>
                <w:sz w:val="24"/>
                <w:highlight w:val="none"/>
              </w:rPr>
              <w:t>项目无需申请</w:t>
            </w:r>
            <w:r>
              <w:rPr>
                <w:rFonts w:hint="eastAsia"/>
                <w:color w:val="auto"/>
                <w:kern w:val="0"/>
                <w:sz w:val="24"/>
                <w:highlight w:val="none"/>
              </w:rPr>
              <w:t>水污染物指标</w:t>
            </w:r>
            <w:r>
              <w:rPr>
                <w:color w:val="auto"/>
                <w:kern w:val="0"/>
                <w:sz w:val="24"/>
                <w:highlight w:val="none"/>
              </w:rPr>
              <w:t>。</w:t>
            </w:r>
          </w:p>
          <w:p w14:paraId="6D1FAEA4">
            <w:pPr>
              <w:spacing w:line="360" w:lineRule="auto"/>
              <w:ind w:firstLine="480" w:firstLineChars="200"/>
              <w:rPr>
                <w:rFonts w:ascii="宋体" w:hAnsi="宋体" w:cs="宋体"/>
                <w:kern w:val="0"/>
                <w:szCs w:val="21"/>
              </w:rPr>
            </w:pPr>
            <w:r>
              <w:rPr>
                <w:rFonts w:hint="default" w:ascii="Times New Roman" w:hAnsi="Times New Roman" w:eastAsia="宋体" w:cs="Times New Roman"/>
                <w:sz w:val="24"/>
                <w:szCs w:val="24"/>
                <w:highlight w:val="none"/>
              </w:rPr>
              <w:t>根据主要环境影响和保护措施分析计算，本</w:t>
            </w:r>
            <w:r>
              <w:rPr>
                <w:rFonts w:hint="eastAsia" w:cs="Times New Roman"/>
                <w:sz w:val="24"/>
                <w:szCs w:val="24"/>
                <w:highlight w:val="none"/>
                <w:lang w:val="en-US" w:eastAsia="zh-CN"/>
              </w:rPr>
              <w:t>次</w:t>
            </w:r>
            <w:r>
              <w:rPr>
                <w:rFonts w:hint="default" w:ascii="Times New Roman" w:hAnsi="Times New Roman" w:eastAsia="宋体" w:cs="Times New Roman"/>
                <w:sz w:val="24"/>
                <w:szCs w:val="24"/>
                <w:highlight w:val="none"/>
              </w:rPr>
              <w:t>运营期排放的废气污染物排放量为：</w:t>
            </w:r>
            <w:r>
              <w:rPr>
                <w:rFonts w:hint="eastAsia" w:ascii="Times New Roman" w:hAnsi="Times New Roman" w:eastAsia="宋体" w:cs="Times New Roman"/>
                <w:sz w:val="24"/>
                <w:szCs w:val="24"/>
                <w:highlight w:val="none"/>
                <w:lang w:val="en-US" w:eastAsia="zh-CN"/>
              </w:rPr>
              <w:t>挥发性有机物0.0065</w:t>
            </w:r>
            <w:r>
              <w:rPr>
                <w:rFonts w:hint="default" w:ascii="Times New Roman" w:hAnsi="Times New Roman" w:eastAsia="宋体" w:cs="Times New Roman"/>
                <w:sz w:val="24"/>
                <w:szCs w:val="24"/>
                <w:highlight w:val="none"/>
              </w:rPr>
              <w:t>t/a</w:t>
            </w:r>
            <w:r>
              <w:rPr>
                <w:rFonts w:hint="eastAsia" w:cs="Times New Roman"/>
                <w:sz w:val="24"/>
                <w:szCs w:val="24"/>
                <w:highlight w:val="none"/>
                <w:lang w:eastAsia="zh-CN"/>
              </w:rPr>
              <w:t>，</w:t>
            </w:r>
            <w:r>
              <w:rPr>
                <w:rFonts w:hint="eastAsia" w:cs="Times New Roman"/>
                <w:sz w:val="24"/>
                <w:szCs w:val="24"/>
                <w:highlight w:val="none"/>
                <w:lang w:val="en-US" w:eastAsia="zh-CN"/>
              </w:rPr>
              <w:t>不会突破安徽云泽环保材料有限公司年产1万吨可降解一次性餐具、包装材料及农膜项目中挥发性有机物1.35</w:t>
            </w:r>
            <w:r>
              <w:rPr>
                <w:rFonts w:hint="default" w:ascii="Times New Roman" w:hAnsi="Times New Roman" w:eastAsia="宋体" w:cs="Times New Roman"/>
                <w:sz w:val="24"/>
                <w:szCs w:val="24"/>
                <w:highlight w:val="none"/>
              </w:rPr>
              <w:t>t/a</w:t>
            </w:r>
            <w:r>
              <w:rPr>
                <w:rFonts w:hint="eastAsia" w:cs="Times New Roman"/>
                <w:sz w:val="24"/>
                <w:szCs w:val="24"/>
                <w:highlight w:val="none"/>
                <w:lang w:val="en-US" w:eastAsia="zh-CN"/>
              </w:rPr>
              <w:t>。</w:t>
            </w:r>
            <w:r>
              <w:rPr>
                <w:rFonts w:hint="eastAsia" w:cs="Times New Roman"/>
                <w:sz w:val="24"/>
                <w:szCs w:val="24"/>
                <w:highlight w:val="none"/>
                <w:lang w:eastAsia="zh-CN"/>
              </w:rPr>
              <w:t>（</w:t>
            </w:r>
            <w:r>
              <w:rPr>
                <w:rFonts w:hint="eastAsia" w:cs="Times New Roman"/>
                <w:sz w:val="24"/>
                <w:szCs w:val="24"/>
                <w:highlight w:val="none"/>
                <w:lang w:val="en-US" w:eastAsia="zh-CN"/>
              </w:rPr>
              <w:t>详见附件6 原环评总量核定表）。</w:t>
            </w:r>
            <w:r>
              <w:rPr>
                <w:rFonts w:hint="default" w:ascii="Times New Roman" w:hAnsi="Times New Roman" w:eastAsia="宋体" w:cs="Times New Roman"/>
                <w:sz w:val="24"/>
                <w:szCs w:val="24"/>
                <w:highlight w:val="none"/>
                <w:lang w:val="en-US" w:eastAsia="zh-CN"/>
              </w:rPr>
              <w:t>因此，本项目污染物排放符合总量控制指标。</w:t>
            </w:r>
          </w:p>
        </w:tc>
      </w:tr>
    </w:tbl>
    <w:p w14:paraId="5B0EABF9">
      <w:pPr>
        <w:pStyle w:val="20"/>
        <w:widowControl/>
        <w:kinsoku/>
        <w:autoSpaceDE w:val="0"/>
        <w:autoSpaceDN w:val="0"/>
        <w:adjustRightInd w:val="0"/>
        <w:snapToGrid w:val="0"/>
        <w:spacing w:before="0" w:beforeAutospacing="0" w:after="0" w:afterAutospacing="0" w:line="360" w:lineRule="auto"/>
        <w:jc w:val="center"/>
        <w:textAlignment w:val="baseline"/>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宋体" w:hAnsi="宋体" w:eastAsia="宋体" w:cs="宋体"/>
          <w:b/>
          <w:bCs/>
          <w:snapToGrid w:val="0"/>
          <w:color w:val="000000"/>
          <w:kern w:val="0"/>
          <w:sz w:val="30"/>
          <w:szCs w:val="30"/>
          <w:lang w:eastAsia="en-US"/>
        </w:rPr>
        <w:t>四、主要环境影响和保护措施</w:t>
      </w: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156"/>
      </w:tblGrid>
      <w:tr w14:paraId="0D0D9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tcMar>
              <w:left w:w="28" w:type="dxa"/>
              <w:right w:w="28" w:type="dxa"/>
            </w:tcMar>
            <w:vAlign w:val="center"/>
          </w:tcPr>
          <w:p w14:paraId="56EDACA8">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施工</w:t>
            </w:r>
          </w:p>
          <w:p w14:paraId="12F007DC">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期环</w:t>
            </w:r>
          </w:p>
          <w:p w14:paraId="1FEB6A26">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境保</w:t>
            </w:r>
          </w:p>
          <w:p w14:paraId="73065F71">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护措</w:t>
            </w:r>
          </w:p>
          <w:p w14:paraId="036F1D08">
            <w:pPr>
              <w:pStyle w:val="20"/>
              <w:adjustRightInd w:val="0"/>
              <w:snapToGrid w:val="0"/>
              <w:spacing w:before="0" w:beforeAutospacing="0" w:after="0" w:afterAutospacing="0"/>
              <w:jc w:val="center"/>
              <w:rPr>
                <w:rFonts w:cs="宋体"/>
                <w:bCs/>
                <w:kern w:val="2"/>
                <w:sz w:val="21"/>
                <w:szCs w:val="21"/>
              </w:rPr>
            </w:pPr>
            <w:r>
              <w:rPr>
                <w:rFonts w:hint="eastAsia" w:ascii="宋体" w:hAnsi="宋体" w:eastAsia="宋体" w:cs="宋体"/>
                <w:sz w:val="24"/>
                <w:szCs w:val="24"/>
              </w:rPr>
              <w:t>施</w:t>
            </w:r>
          </w:p>
        </w:tc>
        <w:tc>
          <w:tcPr>
            <w:tcW w:w="8156" w:type="dxa"/>
          </w:tcPr>
          <w:p w14:paraId="58602F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sz w:val="24"/>
              </w:rPr>
              <w:t>本项目拟租赁宿州市埇桥区工业发展投资有限公司的工业厂房，</w:t>
            </w:r>
            <w:r>
              <w:rPr>
                <w:color w:val="auto"/>
                <w:sz w:val="24"/>
              </w:rPr>
              <w:t>项目施工期不涉及土建施工，仅进行简单的设备安装及各功能区布局，具体施工环境保护措施分析如下：</w:t>
            </w:r>
          </w:p>
          <w:p w14:paraId="1A00BF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1、废气防治措施</w:t>
            </w:r>
          </w:p>
          <w:p w14:paraId="75569D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本项目不涉及土建工程，故施工过程中无施工扬尘，仅在施工过程中，施工机械会因为燃料的燃烧而产生一定的施工机械废气。一般施工机械燃料多为柴油，产生的废气中含有CO、NO、SO</w:t>
            </w:r>
            <w:r>
              <w:rPr>
                <w:color w:val="auto"/>
                <w:sz w:val="24"/>
                <w:vertAlign w:val="subscript"/>
              </w:rPr>
              <w:t>2</w:t>
            </w:r>
            <w:r>
              <w:rPr>
                <w:color w:val="auto"/>
                <w:sz w:val="24"/>
              </w:rPr>
              <w:t>等。该部分废气产生量极少，且产生时间有限。通过设备选型，控制燃料类型，选用清洁能源等方面，可有效减少施工机械废气产生。</w:t>
            </w:r>
          </w:p>
          <w:p w14:paraId="6015D1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2、废水防治措施</w:t>
            </w:r>
          </w:p>
          <w:p w14:paraId="757ECB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因涉及设备安装，故在施工期间，会产生施工人员生活污水。本项目施工期间，施工人数最多</w:t>
            </w:r>
            <w:r>
              <w:rPr>
                <w:rFonts w:hint="eastAsia"/>
                <w:color w:val="auto"/>
                <w:sz w:val="24"/>
              </w:rPr>
              <w:t>8</w:t>
            </w:r>
            <w:r>
              <w:rPr>
                <w:color w:val="auto"/>
                <w:sz w:val="24"/>
              </w:rPr>
              <w:t>人，根据《建筑施工计算手册》中施工现场生活用水定额为20~60L/人·d，本项目取生活用水定额为40L/人·d，故施工期间生活用水量为0.</w:t>
            </w:r>
            <w:r>
              <w:rPr>
                <w:rFonts w:hint="eastAsia"/>
                <w:color w:val="auto"/>
                <w:sz w:val="24"/>
              </w:rPr>
              <w:t>32</w:t>
            </w:r>
            <w:r>
              <w:rPr>
                <w:color w:val="auto"/>
                <w:sz w:val="24"/>
              </w:rPr>
              <w:t>m</w:t>
            </w:r>
            <w:r>
              <w:rPr>
                <w:rFonts w:hint="eastAsia"/>
                <w:color w:val="auto"/>
                <w:sz w:val="24"/>
                <w:vertAlign w:val="superscript"/>
              </w:rPr>
              <w:t>3</w:t>
            </w:r>
            <w:r>
              <w:rPr>
                <w:color w:val="auto"/>
                <w:sz w:val="24"/>
              </w:rPr>
              <w:t>/d，根据《给排水设计手册》，生活污水产生量按用水量的80%计，故施工过程中生活污水产生量为</w:t>
            </w:r>
            <w:r>
              <w:rPr>
                <w:rFonts w:hint="eastAsia"/>
                <w:color w:val="auto"/>
                <w:sz w:val="24"/>
              </w:rPr>
              <w:t>0.256</w:t>
            </w:r>
            <w:r>
              <w:rPr>
                <w:color w:val="auto"/>
                <w:sz w:val="24"/>
              </w:rPr>
              <w:t>m</w:t>
            </w:r>
            <w:r>
              <w:rPr>
                <w:color w:val="auto"/>
                <w:sz w:val="24"/>
                <w:vertAlign w:val="superscript"/>
              </w:rPr>
              <w:t>3</w:t>
            </w:r>
            <w:r>
              <w:rPr>
                <w:color w:val="auto"/>
                <w:sz w:val="24"/>
              </w:rPr>
              <w:t>/d，经化粪池处理后</w:t>
            </w:r>
            <w:r>
              <w:rPr>
                <w:rFonts w:hint="eastAsia"/>
                <w:color w:val="auto"/>
                <w:sz w:val="24"/>
              </w:rPr>
              <w:t>进入市政管网</w:t>
            </w:r>
            <w:r>
              <w:rPr>
                <w:color w:val="auto"/>
                <w:sz w:val="24"/>
              </w:rPr>
              <w:t>。</w:t>
            </w:r>
          </w:p>
          <w:p w14:paraId="4DEDB0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3、噪声防治措施</w:t>
            </w:r>
          </w:p>
          <w:p w14:paraId="3E095F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本项目施工期不涉及基建项目，仅为简单的设备安装，故施工过程中的噪声为点焊接、吊车等，设备噪声源强较小，施工期场界噪声对周边影响较小。</w:t>
            </w:r>
          </w:p>
          <w:p w14:paraId="6598D0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4、固体废物防治措施</w:t>
            </w:r>
          </w:p>
          <w:p w14:paraId="7E260F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color w:val="auto"/>
                <w:sz w:val="24"/>
              </w:rPr>
              <w:t>施工期产生的固体废物主要是废弃的装修材料、设备安装边角料、材料包装箱、袋和生活垃圾等，上述垃圾由环卫统一清运处置，无随意倾倒现象，故不会对周围环境造成影响。</w:t>
            </w:r>
          </w:p>
          <w:p w14:paraId="754F2CF3">
            <w:pPr>
              <w:spacing w:line="360" w:lineRule="auto"/>
              <w:rPr>
                <w:sz w:val="24"/>
              </w:rPr>
            </w:pPr>
          </w:p>
        </w:tc>
      </w:tr>
    </w:tbl>
    <w:p w14:paraId="169850C7">
      <w:pPr>
        <w:adjustRightInd w:val="0"/>
        <w:snapToGrid w:val="0"/>
        <w:jc w:val="center"/>
        <w:rPr>
          <w:rFonts w:ascii="宋体" w:hAnsi="宋体" w:cs="宋体"/>
          <w:bCs/>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171"/>
      </w:tblGrid>
      <w:tr w14:paraId="236E7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8" w:hRule="atLeast"/>
          <w:jc w:val="center"/>
        </w:trPr>
        <w:tc>
          <w:tcPr>
            <w:tcW w:w="737" w:type="dxa"/>
            <w:tcMar>
              <w:left w:w="28" w:type="dxa"/>
              <w:right w:w="28" w:type="dxa"/>
            </w:tcMar>
            <w:vAlign w:val="center"/>
          </w:tcPr>
          <w:p w14:paraId="71DEDF2E">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运营</w:t>
            </w:r>
          </w:p>
          <w:p w14:paraId="69F62D4D">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期环</w:t>
            </w:r>
          </w:p>
          <w:p w14:paraId="651FECE3">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境影</w:t>
            </w:r>
          </w:p>
          <w:p w14:paraId="26F4522E">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响和</w:t>
            </w:r>
          </w:p>
          <w:p w14:paraId="2292B832">
            <w:pPr>
              <w:pStyle w:val="20"/>
              <w:adjustRightInd w:val="0"/>
              <w:snapToGrid w:val="0"/>
              <w:spacing w:before="0" w:beforeAutospacing="0" w:after="0" w:afterAutospacing="0"/>
              <w:jc w:val="center"/>
              <w:rPr>
                <w:rFonts w:hint="eastAsia" w:ascii="宋体" w:hAnsi="宋体" w:eastAsia="宋体" w:cs="宋体"/>
                <w:sz w:val="24"/>
                <w:szCs w:val="24"/>
              </w:rPr>
            </w:pPr>
            <w:r>
              <w:rPr>
                <w:rFonts w:hint="eastAsia" w:ascii="宋体" w:hAnsi="宋体" w:eastAsia="宋体" w:cs="宋体"/>
                <w:sz w:val="24"/>
                <w:szCs w:val="24"/>
              </w:rPr>
              <w:t>保护</w:t>
            </w:r>
          </w:p>
          <w:p w14:paraId="2359C4EC">
            <w:pPr>
              <w:pStyle w:val="20"/>
              <w:adjustRightInd w:val="0"/>
              <w:snapToGrid w:val="0"/>
              <w:spacing w:before="0" w:beforeAutospacing="0" w:after="0" w:afterAutospacing="0"/>
              <w:jc w:val="center"/>
              <w:rPr>
                <w:rFonts w:ascii="宋体" w:hAnsi="宋体" w:cs="宋体"/>
                <w:bCs/>
                <w:szCs w:val="21"/>
              </w:rPr>
            </w:pPr>
            <w:r>
              <w:rPr>
                <w:rFonts w:hint="eastAsia" w:ascii="宋体" w:hAnsi="宋体" w:eastAsia="宋体" w:cs="宋体"/>
                <w:sz w:val="24"/>
                <w:szCs w:val="24"/>
              </w:rPr>
              <w:t>措施</w:t>
            </w:r>
          </w:p>
        </w:tc>
        <w:tc>
          <w:tcPr>
            <w:tcW w:w="8171" w:type="dxa"/>
            <w:vAlign w:val="center"/>
          </w:tcPr>
          <w:p w14:paraId="2055E246">
            <w:pPr>
              <w:spacing w:line="360" w:lineRule="auto"/>
              <w:ind w:firstLine="482" w:firstLineChars="200"/>
              <w:rPr>
                <w:rFonts w:hint="default" w:eastAsia="宋体"/>
                <w:b/>
                <w:bCs/>
                <w:sz w:val="24"/>
                <w:lang w:val="en-US" w:eastAsia="zh-CN"/>
              </w:rPr>
            </w:pPr>
            <w:r>
              <w:rPr>
                <w:b/>
                <w:bCs/>
                <w:sz w:val="24"/>
              </w:rPr>
              <w:t>1、废气</w:t>
            </w:r>
          </w:p>
          <w:p w14:paraId="1BBC336E">
            <w:pPr>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本项目运营期间产生的废气有：①破碎、搅拌、水模成型、成型后晾干G</w:t>
            </w:r>
            <w:r>
              <w:rPr>
                <w:rFonts w:hint="default" w:ascii="Times New Roman" w:hAnsi="Times New Roman" w:eastAsia="宋体" w:cs="Times New Roman"/>
                <w:b w:val="0"/>
                <w:bCs w:val="0"/>
                <w:sz w:val="24"/>
                <w:szCs w:val="24"/>
                <w:vertAlign w:val="subscript"/>
              </w:rPr>
              <w:t>1</w:t>
            </w:r>
            <w:r>
              <w:rPr>
                <w:rFonts w:hint="default" w:ascii="Times New Roman" w:hAnsi="Times New Roman" w:eastAsia="宋体" w:cs="Times New Roman"/>
                <w:b w:val="0"/>
                <w:bCs w:val="0"/>
                <w:sz w:val="24"/>
                <w:szCs w:val="24"/>
                <w:vertAlign w:val="baseline"/>
                <w:lang w:val="en-US" w:eastAsia="zh-CN"/>
              </w:rPr>
              <w:t>~G3臭气浓度</w:t>
            </w:r>
            <w:r>
              <w:rPr>
                <w:rFonts w:hint="default" w:ascii="Times New Roman" w:hAnsi="Times New Roman" w:eastAsia="宋体" w:cs="Times New Roman"/>
                <w:b w:val="0"/>
                <w:bCs w:val="0"/>
                <w:sz w:val="24"/>
                <w:szCs w:val="24"/>
              </w:rPr>
              <w:t>；②</w:t>
            </w:r>
            <w:r>
              <w:rPr>
                <w:rFonts w:hint="default" w:ascii="Times New Roman" w:hAnsi="Times New Roman" w:eastAsia="宋体" w:cs="Times New Roman"/>
                <w:b w:val="0"/>
                <w:bCs w:val="0"/>
                <w:sz w:val="24"/>
                <w:szCs w:val="24"/>
                <w:lang w:val="en-US" w:eastAsia="zh-CN"/>
              </w:rPr>
              <w:t>喷码废气</w:t>
            </w:r>
            <w:r>
              <w:rPr>
                <w:rFonts w:hint="default" w:ascii="Times New Roman" w:hAnsi="Times New Roman" w:eastAsia="宋体" w:cs="Times New Roman"/>
                <w:b w:val="0"/>
                <w:bCs w:val="0"/>
                <w:sz w:val="24"/>
                <w:szCs w:val="24"/>
              </w:rPr>
              <w:t>G</w:t>
            </w:r>
            <w:r>
              <w:rPr>
                <w:rFonts w:hint="default"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rPr>
              <w:t>。</w:t>
            </w:r>
          </w:p>
          <w:p w14:paraId="7643A2AF">
            <w:pPr>
              <w:numPr>
                <w:ilvl w:val="0"/>
                <w:numId w:val="0"/>
              </w:numPr>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 xml:space="preserve"> ① 破碎、搅拌、水模成型、成型后晾干G</w:t>
            </w:r>
            <w:r>
              <w:rPr>
                <w:rFonts w:hint="default" w:ascii="Times New Roman" w:hAnsi="Times New Roman" w:eastAsia="宋体" w:cs="Times New Roman"/>
                <w:b w:val="0"/>
                <w:bCs w:val="0"/>
                <w:sz w:val="24"/>
                <w:szCs w:val="24"/>
                <w:vertAlign w:val="subscript"/>
              </w:rPr>
              <w:t>1</w:t>
            </w:r>
            <w:r>
              <w:rPr>
                <w:rFonts w:hint="default" w:ascii="Times New Roman" w:hAnsi="Times New Roman" w:eastAsia="宋体" w:cs="Times New Roman"/>
                <w:b w:val="0"/>
                <w:bCs w:val="0"/>
                <w:sz w:val="24"/>
                <w:szCs w:val="24"/>
                <w:vertAlign w:val="baseline"/>
                <w:lang w:val="en-US" w:eastAsia="zh-CN"/>
              </w:rPr>
              <w:t>~G3臭气浓度</w:t>
            </w:r>
            <w:r>
              <w:rPr>
                <w:rFonts w:hint="default" w:ascii="Times New Roman" w:hAnsi="Times New Roman" w:eastAsia="宋体" w:cs="Times New Roman"/>
                <w:b w:val="0"/>
                <w:bCs w:val="0"/>
                <w:sz w:val="24"/>
                <w:szCs w:val="24"/>
              </w:rPr>
              <w:t xml:space="preserve"> </w:t>
            </w:r>
          </w:p>
          <w:p w14:paraId="5A0ACCE0">
            <w:pPr>
              <w:numPr>
                <w:ilvl w:val="0"/>
                <w:numId w:val="0"/>
              </w:numPr>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 xml:space="preserve">本项目在破碎、搅拌、水模成型、成型后晾干过程中会产生少量的臭气。恶臭为人们对恶臭物质所感知的一种污染指标，其主要物质种类达上万种之多。由于各种物质之间的相互作用（相加、协同、抵消及掩饰作用等），加之人类的嗅觉功能和恶臭物质取样分析等因素，迄今还难以对大多数恶臭物 质作出浓度标准。根据对同类型车间的现场踏勘，正常情况下废气经收集后车 间内能闻到少许的气味，且能辨认气味的性质。对照北京环境监测中心提出的恶臭6级分级法，项目车间内恶臭等级在2级左右，车间外勉强能闻到有气味，恶臭等级在0-1级左右。 </w:t>
            </w:r>
          </w:p>
          <w:p w14:paraId="4E5EE89A">
            <w:pPr>
              <w:numPr>
                <w:ilvl w:val="0"/>
                <w:numId w:val="0"/>
              </w:numPr>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破碎、搅拌、水模成型、成型后晾干过程中会产生少量的臭气，采用车间内无组织排放，要求</w:t>
            </w:r>
            <w:r>
              <w:rPr>
                <w:rFonts w:hint="eastAsia" w:ascii="Times New Roman" w:hAnsi="Times New Roman" w:eastAsia="宋体" w:cs="Times New Roman"/>
                <w:b w:val="0"/>
                <w:bCs w:val="0"/>
                <w:sz w:val="24"/>
                <w:szCs w:val="24"/>
                <w:lang w:val="en-US" w:eastAsia="zh-CN"/>
              </w:rPr>
              <w:t>在生产场所周边定期喷洒除臭剂，同时</w:t>
            </w:r>
            <w:r>
              <w:rPr>
                <w:rFonts w:hint="default" w:ascii="Times New Roman" w:hAnsi="Times New Roman" w:eastAsia="宋体" w:cs="Times New Roman"/>
                <w:b w:val="0"/>
                <w:bCs w:val="0"/>
                <w:sz w:val="24"/>
                <w:szCs w:val="24"/>
              </w:rPr>
              <w:t>加强车间通风。</w:t>
            </w:r>
          </w:p>
          <w:p w14:paraId="72DB9EC8">
            <w:pPr>
              <w:keepNext w:val="0"/>
              <w:keepLines w:val="0"/>
              <w:pageBreakBefore w:val="0"/>
              <w:wordWrap/>
              <w:overflowPunct/>
              <w:topLinePunct w:val="0"/>
              <w:bidi w:val="0"/>
              <w:spacing w:line="360" w:lineRule="auto"/>
              <w:ind w:right="0" w:firstLine="480" w:firstLineChars="200"/>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sz w:val="24"/>
                <w:szCs w:val="24"/>
              </w:rPr>
              <w:t>②</w:t>
            </w:r>
            <w:r>
              <w:rPr>
                <w:rFonts w:hint="default" w:ascii="Times New Roman" w:hAnsi="Times New Roman" w:eastAsia="宋体" w:cs="Times New Roman"/>
                <w:b w:val="0"/>
                <w:bCs w:val="0"/>
                <w:sz w:val="24"/>
                <w:szCs w:val="24"/>
                <w:lang w:val="en-US" w:eastAsia="zh-CN"/>
              </w:rPr>
              <w:t>喷码</w:t>
            </w:r>
            <w:r>
              <w:rPr>
                <w:rFonts w:hint="default" w:ascii="Times New Roman" w:hAnsi="Times New Roman" w:eastAsia="宋体" w:cs="Times New Roman"/>
                <w:b w:val="0"/>
                <w:bCs w:val="0"/>
                <w:color w:val="auto"/>
                <w:sz w:val="24"/>
                <w:szCs w:val="24"/>
                <w:highlight w:val="none"/>
                <w:lang w:val="en-US" w:eastAsia="zh-CN"/>
              </w:rPr>
              <w:t>废气</w:t>
            </w:r>
          </w:p>
          <w:p w14:paraId="47DCF7C2">
            <w:pPr>
              <w:pStyle w:val="8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default"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color w:val="auto"/>
                <w:spacing w:val="3"/>
                <w:sz w:val="24"/>
                <w:szCs w:val="24"/>
                <w:highlight w:val="none"/>
              </w:rPr>
              <w:t>本项目</w:t>
            </w:r>
            <w:r>
              <w:rPr>
                <w:rFonts w:hint="eastAsia" w:ascii="Times New Roman" w:hAnsi="Times New Roman" w:cs="Times New Roman"/>
                <w:color w:val="auto"/>
                <w:sz w:val="24"/>
                <w:szCs w:val="24"/>
                <w:highlight w:val="none"/>
                <w:lang w:val="en-US" w:eastAsia="zh-CN"/>
              </w:rPr>
              <w:t>喷码</w:t>
            </w:r>
            <w:r>
              <w:rPr>
                <w:rFonts w:hint="default" w:ascii="Times New Roman" w:hAnsi="Times New Roman" w:eastAsia="宋体" w:cs="Times New Roman"/>
                <w:color w:val="auto"/>
                <w:sz w:val="24"/>
                <w:szCs w:val="24"/>
                <w:highlight w:val="none"/>
                <w:lang w:val="en-US" w:eastAsia="zh-CN"/>
              </w:rPr>
              <w:t>使用的水性油墨会产生挥发性有机化合物（以非甲烷总烃计）。根据企业提供的检测报告，可知挥发性有机物占0.</w:t>
            </w:r>
            <w:r>
              <w:rPr>
                <w:rFonts w:hint="eastAsia"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%，项目使用水性油墨</w:t>
            </w:r>
            <w:r>
              <w:rPr>
                <w:rFonts w:hint="eastAsia" w:ascii="Times New Roman" w:hAnsi="Times New Roman" w:cs="Times New Roman"/>
                <w:color w:val="auto"/>
                <w:sz w:val="24"/>
                <w:szCs w:val="24"/>
                <w:highlight w:val="none"/>
                <w:lang w:val="en-US" w:eastAsia="zh-CN"/>
              </w:rPr>
              <w:t>8t</w:t>
            </w:r>
            <w:r>
              <w:rPr>
                <w:rFonts w:hint="default" w:ascii="Times New Roman" w:hAnsi="Times New Roman" w:eastAsia="宋体" w:cs="Times New Roman"/>
                <w:color w:val="auto"/>
                <w:sz w:val="24"/>
                <w:szCs w:val="24"/>
                <w:highlight w:val="none"/>
                <w:lang w:val="en-US" w:eastAsia="zh-CN"/>
              </w:rPr>
              <w:t>/a，则</w:t>
            </w:r>
            <w:r>
              <w:rPr>
                <w:rFonts w:hint="eastAsia" w:ascii="Times New Roman" w:hAnsi="Times New Roman" w:cs="Times New Roman"/>
                <w:color w:val="auto"/>
                <w:sz w:val="24"/>
                <w:szCs w:val="24"/>
                <w:highlight w:val="none"/>
                <w:lang w:val="en-US" w:eastAsia="zh-CN"/>
              </w:rPr>
              <w:t>喷码</w:t>
            </w:r>
            <w:r>
              <w:rPr>
                <w:rFonts w:hint="default" w:ascii="Times New Roman" w:hAnsi="Times New Roman" w:eastAsia="宋体" w:cs="Times New Roman"/>
                <w:color w:val="auto"/>
                <w:sz w:val="24"/>
                <w:szCs w:val="24"/>
                <w:highlight w:val="none"/>
                <w:lang w:val="en-US" w:eastAsia="zh-CN"/>
              </w:rPr>
              <w:t>废气产生量为0.0</w:t>
            </w:r>
            <w:r>
              <w:rPr>
                <w:rFonts w:hint="eastAsia" w:ascii="Times New Roman" w:hAnsi="Times New Roman" w:cs="Times New Roman"/>
                <w:color w:val="auto"/>
                <w:sz w:val="24"/>
                <w:szCs w:val="24"/>
                <w:highlight w:val="none"/>
                <w:lang w:val="en-US" w:eastAsia="zh-CN"/>
              </w:rPr>
              <w:t>72</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采用</w:t>
            </w:r>
            <w:r>
              <w:rPr>
                <w:rFonts w:hint="default" w:ascii="Times New Roman" w:hAnsi="Times New Roman" w:eastAsia="宋体" w:cs="Times New Roman"/>
                <w:color w:val="auto"/>
                <w:sz w:val="24"/>
                <w:szCs w:val="24"/>
                <w:highlight w:val="none"/>
                <w:lang w:val="en-US" w:eastAsia="zh-CN"/>
              </w:rPr>
              <w:t>集气罩收集后</w:t>
            </w:r>
            <w:r>
              <w:rPr>
                <w:rFonts w:hint="eastAsia" w:ascii="Times New Roman" w:hAnsi="Times New Roman" w:cs="Times New Roman"/>
                <w:color w:val="auto"/>
                <w:sz w:val="24"/>
                <w:szCs w:val="24"/>
                <w:highlight w:val="none"/>
                <w:lang w:val="en-US" w:eastAsia="zh-CN"/>
              </w:rPr>
              <w:t>经过</w:t>
            </w:r>
            <w:r>
              <w:rPr>
                <w:rFonts w:hint="default" w:ascii="Times New Roman" w:hAnsi="Times New Roman" w:eastAsia="宋体" w:cs="Times New Roman"/>
                <w:color w:val="auto"/>
                <w:sz w:val="24"/>
                <w:szCs w:val="24"/>
                <w:highlight w:val="none"/>
                <w:lang w:val="en-US" w:eastAsia="zh-CN"/>
              </w:rPr>
              <w:t>二级活性炭吸附装置处理，通过</w:t>
            </w:r>
            <w:r>
              <w:rPr>
                <w:rFonts w:hint="eastAsia" w:ascii="Times New Roman" w:hAnsi="Times New Roman" w:cs="Times New Roman"/>
                <w:color w:val="auto"/>
                <w:sz w:val="24"/>
                <w:szCs w:val="24"/>
                <w:highlight w:val="none"/>
                <w:lang w:val="en-US" w:eastAsia="zh-CN"/>
              </w:rPr>
              <w:t>18m</w:t>
            </w:r>
            <w:r>
              <w:rPr>
                <w:rFonts w:hint="default" w:ascii="Times New Roman" w:hAnsi="Times New Roman" w:eastAsia="宋体" w:cs="Times New Roman"/>
                <w:color w:val="auto"/>
                <w:sz w:val="24"/>
                <w:szCs w:val="24"/>
                <w:highlight w:val="none"/>
                <w:lang w:val="en-US" w:eastAsia="zh-CN"/>
              </w:rPr>
              <w:t>高排气筒</w:t>
            </w:r>
            <w:r>
              <w:rPr>
                <w:rFonts w:hint="eastAsia" w:ascii="Times New Roman" w:hAnsi="Times New Roman" w:cs="Times New Roman"/>
                <w:color w:val="auto"/>
                <w:sz w:val="24"/>
                <w:szCs w:val="24"/>
                <w:highlight w:val="none"/>
                <w:lang w:val="en-US" w:eastAsia="zh-CN"/>
              </w:rPr>
              <w:t>达标</w:t>
            </w:r>
            <w:r>
              <w:rPr>
                <w:rFonts w:hint="default" w:ascii="Times New Roman" w:hAnsi="Times New Roman" w:eastAsia="宋体" w:cs="Times New Roman"/>
                <w:color w:val="auto"/>
                <w:sz w:val="24"/>
                <w:szCs w:val="24"/>
                <w:highlight w:val="none"/>
                <w:lang w:val="en-US" w:eastAsia="zh-CN"/>
              </w:rPr>
              <w:t>排放。收集效率90%，处理效率90%，则</w:t>
            </w:r>
            <w:r>
              <w:rPr>
                <w:rFonts w:hint="eastAsia" w:ascii="Times New Roman" w:hAnsi="Times New Roman" w:cs="Times New Roman"/>
                <w:color w:val="auto"/>
                <w:sz w:val="24"/>
                <w:szCs w:val="24"/>
                <w:highlight w:val="none"/>
                <w:lang w:val="en-US" w:eastAsia="zh-CN"/>
              </w:rPr>
              <w:t>喷码</w:t>
            </w:r>
            <w:r>
              <w:rPr>
                <w:rFonts w:hint="default" w:ascii="Times New Roman" w:hAnsi="Times New Roman" w:eastAsia="宋体" w:cs="Times New Roman"/>
                <w:color w:val="auto"/>
                <w:sz w:val="24"/>
                <w:szCs w:val="24"/>
                <w:highlight w:val="none"/>
                <w:lang w:val="en-US" w:eastAsia="zh-CN"/>
              </w:rPr>
              <w:t>废气</w:t>
            </w:r>
            <w:r>
              <w:rPr>
                <w:rFonts w:hint="eastAsia"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en-US" w:eastAsia="zh-CN"/>
              </w:rPr>
              <w:t>排放量为</w:t>
            </w:r>
            <w:r>
              <w:rPr>
                <w:rFonts w:hint="eastAsia" w:ascii="Times New Roman" w:hAnsi="Times New Roman" w:cs="Times New Roman"/>
                <w:color w:val="auto"/>
                <w:sz w:val="24"/>
                <w:szCs w:val="24"/>
                <w:highlight w:val="none"/>
                <w:lang w:val="en-US" w:eastAsia="zh-CN"/>
              </w:rPr>
              <w:t>0.0065</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pacing w:val="-3"/>
                <w:sz w:val="24"/>
                <w:szCs w:val="24"/>
                <w:highlight w:val="none"/>
                <w:lang w:val="en-US" w:eastAsia="zh-CN"/>
              </w:rPr>
              <w:t>则无组织排放量为</w:t>
            </w:r>
            <w:r>
              <w:rPr>
                <w:rFonts w:hint="eastAsia" w:ascii="Times New Roman" w:hAnsi="Times New Roman" w:cs="Times New Roman"/>
                <w:color w:val="auto"/>
                <w:spacing w:val="-3"/>
                <w:sz w:val="24"/>
                <w:szCs w:val="24"/>
                <w:highlight w:val="none"/>
                <w:lang w:val="en-US" w:eastAsia="zh-CN"/>
              </w:rPr>
              <w:t>0.0072</w:t>
            </w:r>
            <w:r>
              <w:rPr>
                <w:rFonts w:hint="default" w:ascii="Times New Roman" w:hAnsi="Times New Roman" w:eastAsia="宋体" w:cs="Times New Roman"/>
                <w:color w:val="auto"/>
                <w:spacing w:val="-3"/>
                <w:sz w:val="24"/>
                <w:szCs w:val="24"/>
                <w:highlight w:val="none"/>
              </w:rPr>
              <w:t>t/a</w:t>
            </w:r>
            <w:r>
              <w:rPr>
                <w:rFonts w:hint="default" w:ascii="Times New Roman" w:hAnsi="Times New Roman" w:eastAsia="宋体" w:cs="Times New Roman"/>
                <w:color w:val="auto"/>
                <w:spacing w:val="-3"/>
                <w:sz w:val="24"/>
                <w:szCs w:val="24"/>
                <w:highlight w:val="none"/>
                <w:lang w:eastAsia="zh-CN"/>
              </w:rPr>
              <w:t>。</w:t>
            </w:r>
          </w:p>
          <w:p w14:paraId="322E7471">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eastAsia" w:eastAsia="宋体" w:cs="Times New Roman"/>
                <w:color w:val="auto"/>
                <w:sz w:val="24"/>
                <w:szCs w:val="24"/>
                <w:lang w:val="en-US" w:eastAsia="zh-CN"/>
              </w:rPr>
            </w:pPr>
            <w:r>
              <w:rPr>
                <w:rFonts w:hint="eastAsia" w:eastAsia="宋体" w:cs="Times New Roman"/>
                <w:b/>
                <w:bCs/>
                <w:color w:val="auto"/>
                <w:sz w:val="24"/>
                <w:szCs w:val="24"/>
                <w:lang w:val="en-US" w:eastAsia="zh-CN"/>
              </w:rPr>
              <w:t>风量计算：</w:t>
            </w:r>
          </w:p>
          <w:p w14:paraId="2A121A88">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根据《简明通风设计手册》，单个集气罩集气风量计算公式：</w:t>
            </w:r>
          </w:p>
          <w:p w14:paraId="196E13A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Q=K（a＋b）×h×V</w:t>
            </w:r>
            <w:r>
              <w:rPr>
                <w:rFonts w:hint="eastAsia" w:eastAsia="宋体" w:cs="Times New Roman"/>
                <w:color w:val="auto"/>
                <w:sz w:val="24"/>
                <w:szCs w:val="24"/>
                <w:vertAlign w:val="subscript"/>
                <w:lang w:val="en-US" w:eastAsia="zh-CN"/>
              </w:rPr>
              <w:t>0</w:t>
            </w:r>
            <w:r>
              <w:rPr>
                <w:rFonts w:hint="eastAsia" w:eastAsia="宋体" w:cs="Times New Roman"/>
                <w:color w:val="auto"/>
                <w:sz w:val="24"/>
                <w:szCs w:val="24"/>
                <w:lang w:val="en-US" w:eastAsia="zh-CN"/>
              </w:rPr>
              <w:t>×3600</w:t>
            </w:r>
          </w:p>
          <w:p w14:paraId="6883E4C1">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式中：Q——为集气罩集气风量，单位为m</w:t>
            </w:r>
            <w:r>
              <w:rPr>
                <w:rFonts w:hint="eastAsia" w:eastAsia="宋体" w:cs="Times New Roman"/>
                <w:color w:val="auto"/>
                <w:sz w:val="24"/>
                <w:szCs w:val="24"/>
                <w:vertAlign w:val="superscript"/>
                <w:lang w:val="en-US" w:eastAsia="zh-CN"/>
              </w:rPr>
              <w:t>3</w:t>
            </w:r>
            <w:r>
              <w:rPr>
                <w:rFonts w:hint="eastAsia" w:eastAsia="宋体" w:cs="Times New Roman"/>
                <w:color w:val="auto"/>
                <w:sz w:val="24"/>
                <w:szCs w:val="24"/>
                <w:lang w:val="en-US" w:eastAsia="zh-CN"/>
              </w:rPr>
              <w:t>/h；</w:t>
            </w:r>
          </w:p>
          <w:p w14:paraId="6492FCB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 xml:space="preserve">      K——为安全系数1.4；</w:t>
            </w:r>
          </w:p>
          <w:p w14:paraId="05E9076A">
            <w:pPr>
              <w:keepNext w:val="0"/>
              <w:keepLines w:val="0"/>
              <w:pageBreakBefore w:val="0"/>
              <w:widowControl w:val="0"/>
              <w:kinsoku/>
              <w:wordWrap/>
              <w:overflowPunct/>
              <w:topLinePunct w:val="0"/>
              <w:autoSpaceDE/>
              <w:autoSpaceDN/>
              <w:bidi w:val="0"/>
              <w:adjustRightInd w:val="0"/>
              <w:snapToGrid w:val="0"/>
              <w:spacing w:line="348" w:lineRule="auto"/>
              <w:ind w:firstLine="960" w:firstLineChars="4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（a+b）——为集气罩</w:t>
            </w:r>
            <w:r>
              <w:rPr>
                <w:rFonts w:hint="eastAsia" w:cs="Times New Roman"/>
                <w:color w:val="auto"/>
                <w:sz w:val="24"/>
                <w:szCs w:val="24"/>
                <w:lang w:val="en-US" w:eastAsia="zh-CN"/>
              </w:rPr>
              <w:t>长加宽</w:t>
            </w:r>
            <w:r>
              <w:rPr>
                <w:rFonts w:hint="eastAsia" w:eastAsia="宋体" w:cs="Times New Roman"/>
                <w:color w:val="auto"/>
                <w:sz w:val="24"/>
                <w:szCs w:val="24"/>
                <w:lang w:val="en-US" w:eastAsia="zh-CN"/>
              </w:rPr>
              <w:t>，单位为m；</w:t>
            </w:r>
          </w:p>
          <w:p w14:paraId="69827E9D">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 xml:space="preserve">      h——为罩口至污染源的距离，单位为m，本次取</w:t>
            </w:r>
            <w:r>
              <w:rPr>
                <w:rFonts w:hint="eastAsia" w:cs="Times New Roman"/>
                <w:color w:val="auto"/>
                <w:sz w:val="24"/>
                <w:szCs w:val="24"/>
                <w:lang w:val="en-US" w:eastAsia="zh-CN"/>
              </w:rPr>
              <w:t>0.3</w:t>
            </w:r>
            <w:r>
              <w:rPr>
                <w:rFonts w:hint="eastAsia" w:eastAsia="宋体" w:cs="Times New Roman"/>
                <w:color w:val="auto"/>
                <w:sz w:val="24"/>
                <w:szCs w:val="24"/>
                <w:lang w:val="en-US" w:eastAsia="zh-CN"/>
              </w:rPr>
              <w:t>m；</w:t>
            </w:r>
          </w:p>
          <w:p w14:paraId="408BCF87">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 xml:space="preserve">      V</w:t>
            </w:r>
            <w:r>
              <w:rPr>
                <w:rFonts w:hint="eastAsia" w:eastAsia="宋体" w:cs="Times New Roman"/>
                <w:color w:val="auto"/>
                <w:sz w:val="24"/>
                <w:szCs w:val="24"/>
                <w:vertAlign w:val="subscript"/>
                <w:lang w:val="en-US" w:eastAsia="zh-CN"/>
              </w:rPr>
              <w:t>0</w:t>
            </w:r>
            <w:r>
              <w:rPr>
                <w:rFonts w:hint="eastAsia" w:cs="Times New Roman"/>
                <w:color w:val="auto"/>
                <w:sz w:val="24"/>
                <w:szCs w:val="24"/>
                <w:vertAlign w:val="baseline"/>
                <w:lang w:val="en-US" w:eastAsia="zh-CN"/>
              </w:rPr>
              <w:t>：</w:t>
            </w:r>
            <w:r>
              <w:rPr>
                <w:rFonts w:hint="eastAsia" w:eastAsia="宋体" w:cs="Times New Roman"/>
                <w:color w:val="auto"/>
                <w:sz w:val="24"/>
                <w:szCs w:val="24"/>
                <w:lang w:val="en-US" w:eastAsia="zh-CN"/>
              </w:rPr>
              <w:t>污染源气体流速，一般在0.5m/s~1.5m/s，本次评价取均值0.</w:t>
            </w:r>
            <w:r>
              <w:rPr>
                <w:rFonts w:hint="eastAsia" w:cs="Times New Roman"/>
                <w:color w:val="auto"/>
                <w:sz w:val="24"/>
                <w:szCs w:val="24"/>
                <w:lang w:val="en-US" w:eastAsia="zh-CN"/>
              </w:rPr>
              <w:t>7</w:t>
            </w:r>
            <w:r>
              <w:rPr>
                <w:rFonts w:hint="eastAsia" w:eastAsia="宋体" w:cs="Times New Roman"/>
                <w:color w:val="auto"/>
                <w:sz w:val="24"/>
                <w:szCs w:val="24"/>
                <w:lang w:val="en-US" w:eastAsia="zh-CN"/>
              </w:rPr>
              <w:t>m/s。</w:t>
            </w:r>
          </w:p>
          <w:p w14:paraId="7C6F490A">
            <w:pPr>
              <w:spacing w:line="360" w:lineRule="auto"/>
              <w:ind w:firstLine="480" w:firstLineChars="200"/>
              <w:rPr>
                <w:sz w:val="24"/>
              </w:rPr>
            </w:pPr>
            <w:r>
              <w:rPr>
                <w:rFonts w:hint="eastAsia" w:eastAsia="宋体" w:cs="Times New Roman"/>
                <w:color w:val="auto"/>
                <w:sz w:val="24"/>
                <w:szCs w:val="24"/>
                <w:lang w:val="en-US" w:eastAsia="zh-CN"/>
              </w:rPr>
              <w:t>根据建设单位提供资料</w:t>
            </w:r>
            <w:r>
              <w:rPr>
                <w:rFonts w:hint="eastAsia" w:cs="Times New Roman"/>
                <w:color w:val="auto"/>
                <w:sz w:val="24"/>
                <w:szCs w:val="24"/>
                <w:lang w:val="en-US" w:eastAsia="zh-CN"/>
              </w:rPr>
              <w:t>：项目需设置1个集气罩。</w:t>
            </w:r>
            <w:r>
              <w:rPr>
                <w:rFonts w:hint="eastAsia" w:eastAsia="宋体" w:cs="Times New Roman"/>
                <w:color w:val="auto"/>
                <w:sz w:val="24"/>
                <w:szCs w:val="24"/>
                <w:lang w:val="en-US" w:eastAsia="zh-CN"/>
              </w:rPr>
              <w:t>集气罩尺寸为1m×</w:t>
            </w:r>
            <w:r>
              <w:rPr>
                <w:rFonts w:hint="eastAsia" w:cs="Times New Roman"/>
                <w:color w:val="auto"/>
                <w:sz w:val="24"/>
                <w:szCs w:val="24"/>
                <w:lang w:val="en-US" w:eastAsia="zh-CN"/>
              </w:rPr>
              <w:t>1.5</w:t>
            </w:r>
            <w:r>
              <w:rPr>
                <w:rFonts w:hint="eastAsia" w:eastAsia="宋体" w:cs="Times New Roman"/>
                <w:color w:val="auto"/>
                <w:sz w:val="24"/>
                <w:szCs w:val="24"/>
                <w:lang w:val="en-US" w:eastAsia="zh-CN"/>
              </w:rPr>
              <w:t>m。风机风量最低为</w:t>
            </w:r>
            <w:r>
              <w:rPr>
                <w:rFonts w:hint="eastAsia" w:cs="Times New Roman"/>
                <w:color w:val="auto"/>
                <w:sz w:val="24"/>
                <w:szCs w:val="24"/>
                <w:lang w:val="en-US" w:eastAsia="zh-CN"/>
              </w:rPr>
              <w:t>2646</w:t>
            </w:r>
            <w:r>
              <w:rPr>
                <w:rFonts w:hint="eastAsia" w:eastAsia="宋体" w:cs="Times New Roman"/>
                <w:color w:val="auto"/>
                <w:sz w:val="24"/>
                <w:szCs w:val="24"/>
                <w:lang w:val="en-US" w:eastAsia="zh-CN"/>
              </w:rPr>
              <w:t>Nm</w:t>
            </w:r>
            <w:r>
              <w:rPr>
                <w:rFonts w:hint="eastAsia" w:eastAsia="宋体" w:cs="Times New Roman"/>
                <w:color w:val="auto"/>
                <w:sz w:val="24"/>
                <w:szCs w:val="24"/>
                <w:vertAlign w:val="superscript"/>
                <w:lang w:val="en-US" w:eastAsia="zh-CN"/>
              </w:rPr>
              <w:t>3</w:t>
            </w:r>
            <w:r>
              <w:rPr>
                <w:rFonts w:hint="eastAsia" w:eastAsia="宋体" w:cs="Times New Roman"/>
                <w:color w:val="auto"/>
                <w:sz w:val="24"/>
                <w:szCs w:val="24"/>
                <w:lang w:val="en-US" w:eastAsia="zh-CN"/>
              </w:rPr>
              <w:t>/h，为保证抽风效果，风</w:t>
            </w:r>
            <w:r>
              <w:rPr>
                <w:rFonts w:hint="eastAsia" w:eastAsia="宋体" w:cs="Times New Roman"/>
                <w:color w:val="auto"/>
                <w:sz w:val="24"/>
                <w:szCs w:val="24"/>
                <w:highlight w:val="none"/>
                <w:lang w:val="en-US" w:eastAsia="zh-CN"/>
              </w:rPr>
              <w:t>机设计风量为</w:t>
            </w:r>
            <w:r>
              <w:rPr>
                <w:rFonts w:hint="eastAsia" w:cs="Times New Roman"/>
                <w:color w:val="auto"/>
                <w:sz w:val="24"/>
                <w:szCs w:val="24"/>
                <w:highlight w:val="none"/>
                <w:lang w:val="en-US" w:eastAsia="zh-CN"/>
              </w:rPr>
              <w:t>3000</w:t>
            </w:r>
            <w:r>
              <w:rPr>
                <w:rFonts w:hint="default" w:ascii="Times New Roman" w:hAnsi="Times New Roman" w:eastAsia="宋体" w:cs="Times New Roman"/>
                <w:color w:val="auto"/>
                <w:sz w:val="24"/>
                <w:szCs w:val="24"/>
                <w:highlight w:val="none"/>
                <w:lang w:val="en-US" w:eastAsia="zh-CN"/>
              </w:rPr>
              <w:t>m</w:t>
            </w:r>
            <w:r>
              <w:rPr>
                <w:rFonts w:hint="eastAsia"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sz w:val="24"/>
              </w:rPr>
              <w:t>综上所述，本项目废气产生排放情况见下列表。</w:t>
            </w:r>
          </w:p>
          <w:p w14:paraId="649FFC59">
            <w:pPr>
              <w:spacing w:line="360" w:lineRule="auto"/>
              <w:rPr>
                <w:sz w:val="24"/>
              </w:rPr>
            </w:pPr>
          </w:p>
          <w:p w14:paraId="46E4E0EF">
            <w:pPr>
              <w:spacing w:line="360" w:lineRule="auto"/>
              <w:rPr>
                <w:sz w:val="24"/>
              </w:rPr>
            </w:pPr>
          </w:p>
          <w:p w14:paraId="5F8F8055">
            <w:pPr>
              <w:spacing w:line="360" w:lineRule="auto"/>
              <w:rPr>
                <w:sz w:val="24"/>
              </w:rPr>
            </w:pPr>
          </w:p>
          <w:p w14:paraId="32981C58">
            <w:pPr>
              <w:spacing w:line="360" w:lineRule="auto"/>
              <w:rPr>
                <w:sz w:val="24"/>
              </w:rPr>
            </w:pPr>
          </w:p>
          <w:p w14:paraId="2CA795FA">
            <w:pPr>
              <w:spacing w:line="360" w:lineRule="auto"/>
              <w:rPr>
                <w:sz w:val="24"/>
              </w:rPr>
            </w:pPr>
          </w:p>
          <w:p w14:paraId="0F58DCF9">
            <w:pPr>
              <w:rPr>
                <w:sz w:val="32"/>
                <w:szCs w:val="32"/>
              </w:rPr>
            </w:pPr>
          </w:p>
        </w:tc>
      </w:tr>
    </w:tbl>
    <w:p w14:paraId="519719DC">
      <w:pPr>
        <w:adjustRightInd w:val="0"/>
        <w:snapToGrid w:val="0"/>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3"/>
        <w:tblW w:w="1344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486"/>
        <w:gridCol w:w="12957"/>
      </w:tblGrid>
      <w:tr w14:paraId="07D3A7A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8389" w:hRule="atLeast"/>
          <w:jc w:val="center"/>
        </w:trPr>
        <w:tc>
          <w:tcPr>
            <w:tcW w:w="486" w:type="dxa"/>
            <w:tcBorders>
              <w:tl2br w:val="nil"/>
              <w:tr2bl w:val="nil"/>
            </w:tcBorders>
            <w:noWrap w:val="0"/>
            <w:vAlign w:val="center"/>
          </w:tcPr>
          <w:p w14:paraId="36DCCF52">
            <w:pPr>
              <w:pStyle w:val="30"/>
              <w:spacing w:line="240" w:lineRule="auto"/>
              <w:ind w:firstLine="0" w:firstLineChars="0"/>
              <w:jc w:val="center"/>
              <w:rPr>
                <w:color w:val="auto"/>
              </w:rPr>
            </w:pPr>
            <w:r>
              <w:rPr>
                <w:color w:val="auto"/>
              </w:rPr>
              <w:t>运营</w:t>
            </w:r>
          </w:p>
          <w:p w14:paraId="1A5B9136">
            <w:pPr>
              <w:pStyle w:val="30"/>
              <w:spacing w:line="240" w:lineRule="auto"/>
              <w:ind w:firstLine="0" w:firstLineChars="0"/>
              <w:jc w:val="center"/>
              <w:rPr>
                <w:color w:val="auto"/>
              </w:rPr>
            </w:pPr>
            <w:r>
              <w:rPr>
                <w:color w:val="auto"/>
              </w:rPr>
              <w:t>期环</w:t>
            </w:r>
          </w:p>
          <w:p w14:paraId="1959C20B">
            <w:pPr>
              <w:pStyle w:val="30"/>
              <w:spacing w:line="240" w:lineRule="auto"/>
              <w:ind w:firstLine="0" w:firstLineChars="0"/>
              <w:jc w:val="center"/>
              <w:rPr>
                <w:rFonts w:hint="eastAsia"/>
                <w:color w:val="auto"/>
              </w:rPr>
            </w:pPr>
            <w:r>
              <w:rPr>
                <w:color w:val="auto"/>
              </w:rPr>
              <w:t>境影</w:t>
            </w:r>
            <w:r>
              <w:rPr>
                <w:rFonts w:hint="eastAsia"/>
                <w:color w:val="auto"/>
              </w:rPr>
              <w:t>响</w:t>
            </w:r>
          </w:p>
          <w:p w14:paraId="006BDCED">
            <w:pPr>
              <w:pStyle w:val="30"/>
              <w:spacing w:line="240" w:lineRule="auto"/>
              <w:ind w:firstLine="0" w:firstLineChars="0"/>
              <w:jc w:val="center"/>
              <w:rPr>
                <w:color w:val="auto"/>
              </w:rPr>
            </w:pPr>
            <w:r>
              <w:rPr>
                <w:color w:val="auto"/>
              </w:rPr>
              <w:t>和</w:t>
            </w:r>
          </w:p>
          <w:p w14:paraId="7431FBC5">
            <w:pPr>
              <w:pStyle w:val="30"/>
              <w:spacing w:line="240" w:lineRule="auto"/>
              <w:ind w:firstLine="0" w:firstLineChars="0"/>
              <w:jc w:val="center"/>
              <w:rPr>
                <w:color w:val="auto"/>
              </w:rPr>
            </w:pPr>
            <w:r>
              <w:rPr>
                <w:color w:val="auto"/>
              </w:rPr>
              <w:t>保护</w:t>
            </w:r>
          </w:p>
          <w:p w14:paraId="63CDB263">
            <w:pPr>
              <w:pStyle w:val="30"/>
              <w:spacing w:line="240" w:lineRule="auto"/>
              <w:ind w:firstLine="0" w:firstLineChars="0"/>
              <w:jc w:val="center"/>
              <w:rPr>
                <w:color w:val="auto"/>
              </w:rPr>
            </w:pPr>
            <w:r>
              <w:rPr>
                <w:color w:val="auto"/>
              </w:rPr>
              <w:t>措施</w:t>
            </w:r>
          </w:p>
        </w:tc>
        <w:tc>
          <w:tcPr>
            <w:tcW w:w="12957" w:type="dxa"/>
            <w:tcBorders>
              <w:tl2br w:val="nil"/>
              <w:tr2bl w:val="nil"/>
            </w:tcBorders>
            <w:noWrap w:val="0"/>
            <w:vAlign w:val="top"/>
          </w:tcPr>
          <w:p w14:paraId="064D6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4"/>
              </w:rPr>
            </w:pPr>
            <w:r>
              <w:rPr>
                <w:b/>
                <w:bCs/>
                <w:color w:val="auto"/>
                <w:sz w:val="24"/>
              </w:rPr>
              <w:t>表4.</w:t>
            </w:r>
            <w:r>
              <w:rPr>
                <w:rFonts w:hint="eastAsia"/>
                <w:b/>
                <w:bCs/>
                <w:color w:val="auto"/>
                <w:sz w:val="24"/>
              </w:rPr>
              <w:t>1</w:t>
            </w:r>
            <w:r>
              <w:rPr>
                <w:b/>
                <w:bCs/>
                <w:color w:val="auto"/>
                <w:sz w:val="24"/>
              </w:rPr>
              <w:t xml:space="preserve"> </w:t>
            </w:r>
            <w:r>
              <w:rPr>
                <w:rFonts w:hint="eastAsia"/>
                <w:b/>
                <w:bCs/>
                <w:color w:val="auto"/>
                <w:sz w:val="24"/>
              </w:rPr>
              <w:t xml:space="preserve"> </w:t>
            </w:r>
            <w:r>
              <w:rPr>
                <w:b/>
                <w:bCs/>
                <w:color w:val="auto"/>
                <w:sz w:val="24"/>
              </w:rPr>
              <w:t>废气产</w:t>
            </w:r>
            <w:r>
              <w:rPr>
                <w:rFonts w:hint="eastAsia"/>
                <w:b/>
                <w:bCs/>
                <w:color w:val="auto"/>
                <w:sz w:val="24"/>
              </w:rPr>
              <w:t>排</w:t>
            </w:r>
            <w:r>
              <w:rPr>
                <w:b/>
                <w:bCs/>
                <w:color w:val="auto"/>
                <w:sz w:val="24"/>
              </w:rPr>
              <w:t>污情况一览表</w:t>
            </w:r>
          </w:p>
          <w:tbl>
            <w:tblPr>
              <w:tblStyle w:val="23"/>
              <w:tblW w:w="4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57"/>
              <w:gridCol w:w="1003"/>
              <w:gridCol w:w="1003"/>
              <w:gridCol w:w="797"/>
              <w:gridCol w:w="704"/>
              <w:gridCol w:w="1234"/>
              <w:gridCol w:w="760"/>
              <w:gridCol w:w="672"/>
              <w:gridCol w:w="660"/>
              <w:gridCol w:w="652"/>
              <w:gridCol w:w="861"/>
              <w:gridCol w:w="1003"/>
              <w:gridCol w:w="821"/>
              <w:gridCol w:w="775"/>
            </w:tblGrid>
            <w:tr w14:paraId="5C5B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vMerge w:val="restart"/>
                  <w:noWrap w:val="0"/>
                  <w:vAlign w:val="center"/>
                </w:tcPr>
                <w:p w14:paraId="35AD2EA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产排污环节</w:t>
                  </w:r>
                </w:p>
              </w:tc>
              <w:tc>
                <w:tcPr>
                  <w:tcW w:w="304" w:type="pct"/>
                  <w:vMerge w:val="restart"/>
                  <w:noWrap w:val="0"/>
                  <w:vAlign w:val="center"/>
                </w:tcPr>
                <w:p w14:paraId="1648BFA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1126" w:type="pct"/>
                  <w:gridSpan w:val="3"/>
                  <w:noWrap w:val="0"/>
                  <w:vAlign w:val="center"/>
                </w:tcPr>
                <w:p w14:paraId="33011ED1">
                  <w:pPr>
                    <w:pStyle w:val="30"/>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污染物产生情况</w:t>
                  </w:r>
                </w:p>
              </w:tc>
              <w:tc>
                <w:tcPr>
                  <w:tcW w:w="283" w:type="pct"/>
                  <w:vMerge w:val="restart"/>
                  <w:noWrap w:val="0"/>
                  <w:vAlign w:val="center"/>
                </w:tcPr>
                <w:p w14:paraId="43534FF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w:t>
                  </w:r>
                </w:p>
                <w:p w14:paraId="735D432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形式</w:t>
                  </w:r>
                </w:p>
              </w:tc>
              <w:tc>
                <w:tcPr>
                  <w:tcW w:w="1599" w:type="pct"/>
                  <w:gridSpan w:val="5"/>
                  <w:noWrap w:val="0"/>
                  <w:vAlign w:val="center"/>
                </w:tcPr>
                <w:p w14:paraId="5CD07F1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主要污染治理设施</w:t>
                  </w:r>
                </w:p>
              </w:tc>
              <w:tc>
                <w:tcPr>
                  <w:tcW w:w="1079" w:type="pct"/>
                  <w:gridSpan w:val="3"/>
                  <w:noWrap w:val="0"/>
                  <w:vAlign w:val="center"/>
                </w:tcPr>
                <w:p w14:paraId="4690BBC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污染物排放情况</w:t>
                  </w:r>
                </w:p>
              </w:tc>
              <w:tc>
                <w:tcPr>
                  <w:tcW w:w="311" w:type="pct"/>
                  <w:noWrap w:val="0"/>
                  <w:vAlign w:val="center"/>
                </w:tcPr>
                <w:p w14:paraId="78259B6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w:t>
                  </w:r>
                </w:p>
              </w:tc>
            </w:tr>
            <w:tr w14:paraId="7722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vMerge w:val="continue"/>
                  <w:noWrap w:val="0"/>
                  <w:vAlign w:val="center"/>
                </w:tcPr>
                <w:p w14:paraId="41F76C2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04" w:type="pct"/>
                  <w:vMerge w:val="continue"/>
                  <w:noWrap w:val="0"/>
                  <w:vAlign w:val="center"/>
                </w:tcPr>
                <w:p w14:paraId="551FB17F">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403" w:type="pct"/>
                  <w:noWrap w:val="0"/>
                  <w:vAlign w:val="center"/>
                </w:tcPr>
                <w:p w14:paraId="363817F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403" w:type="pct"/>
                  <w:noWrap w:val="0"/>
                  <w:vAlign w:val="center"/>
                </w:tcPr>
                <w:p w14:paraId="38F72A5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w:t>
                  </w:r>
                </w:p>
                <w:p w14:paraId="0F08522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速率kg/h</w:t>
                  </w:r>
                </w:p>
              </w:tc>
              <w:tc>
                <w:tcPr>
                  <w:tcW w:w="320" w:type="pct"/>
                  <w:noWrap w:val="0"/>
                  <w:vAlign w:val="center"/>
                </w:tcPr>
                <w:p w14:paraId="59764E1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产生</w:t>
                  </w:r>
                  <w:r>
                    <w:rPr>
                      <w:rFonts w:hint="default" w:ascii="Times New Roman" w:hAnsi="Times New Roman" w:eastAsia="宋体" w:cs="Times New Roman"/>
                      <w:color w:val="auto"/>
                      <w:sz w:val="21"/>
                      <w:szCs w:val="21"/>
                    </w:rPr>
                    <w:t>浓度mg/m</w:t>
                  </w:r>
                  <w:r>
                    <w:rPr>
                      <w:rFonts w:hint="default" w:ascii="Times New Roman" w:hAnsi="Times New Roman" w:eastAsia="宋体" w:cs="Times New Roman"/>
                      <w:color w:val="auto"/>
                      <w:sz w:val="21"/>
                      <w:szCs w:val="21"/>
                      <w:vertAlign w:val="superscript"/>
                    </w:rPr>
                    <w:t>3</w:t>
                  </w:r>
                </w:p>
              </w:tc>
              <w:tc>
                <w:tcPr>
                  <w:tcW w:w="283" w:type="pct"/>
                  <w:vMerge w:val="continue"/>
                  <w:noWrap w:val="0"/>
                  <w:vAlign w:val="center"/>
                </w:tcPr>
                <w:p w14:paraId="43D61DA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496" w:type="pct"/>
                  <w:noWrap w:val="0"/>
                  <w:vAlign w:val="center"/>
                </w:tcPr>
                <w:p w14:paraId="579D39C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305" w:type="pct"/>
                  <w:noWrap w:val="0"/>
                  <w:vAlign w:val="center"/>
                </w:tcPr>
                <w:p w14:paraId="4EAAE78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w:t>
                  </w:r>
                </w:p>
                <w:p w14:paraId="78941DC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能力</w:t>
                  </w:r>
                </w:p>
              </w:tc>
              <w:tc>
                <w:tcPr>
                  <w:tcW w:w="270" w:type="pct"/>
                  <w:noWrap w:val="0"/>
                  <w:vAlign w:val="center"/>
                </w:tcPr>
                <w:p w14:paraId="2A1E9DCF">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收集效率</w:t>
                  </w:r>
                </w:p>
              </w:tc>
              <w:tc>
                <w:tcPr>
                  <w:tcW w:w="265" w:type="pct"/>
                  <w:noWrap w:val="0"/>
                  <w:vAlign w:val="center"/>
                </w:tcPr>
                <w:p w14:paraId="0B8EFC6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去除效率</w:t>
                  </w:r>
                </w:p>
              </w:tc>
              <w:tc>
                <w:tcPr>
                  <w:tcW w:w="262" w:type="pct"/>
                  <w:noWrap w:val="0"/>
                  <w:vAlign w:val="center"/>
                </w:tcPr>
                <w:p w14:paraId="4292A56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是否为可行技术</w:t>
                  </w:r>
                </w:p>
              </w:tc>
              <w:tc>
                <w:tcPr>
                  <w:tcW w:w="346" w:type="pct"/>
                  <w:noWrap w:val="0"/>
                  <w:vAlign w:val="center"/>
                </w:tcPr>
                <w:p w14:paraId="40D0F7C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403" w:type="pct"/>
                  <w:noWrap w:val="0"/>
                  <w:vAlign w:val="center"/>
                </w:tcPr>
                <w:p w14:paraId="0810906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330" w:type="pct"/>
                  <w:noWrap w:val="0"/>
                  <w:vAlign w:val="center"/>
                </w:tcPr>
                <w:p w14:paraId="6343BD8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p>
              </w:tc>
              <w:tc>
                <w:tcPr>
                  <w:tcW w:w="311" w:type="pct"/>
                  <w:noWrap w:val="0"/>
                  <w:vAlign w:val="center"/>
                </w:tcPr>
                <w:p w14:paraId="42327D0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浓度限值mg/m</w:t>
                  </w:r>
                  <w:r>
                    <w:rPr>
                      <w:rFonts w:hint="default" w:ascii="Times New Roman" w:hAnsi="Times New Roman" w:eastAsia="宋体" w:cs="Times New Roman"/>
                      <w:color w:val="auto"/>
                      <w:sz w:val="21"/>
                      <w:szCs w:val="21"/>
                      <w:vertAlign w:val="superscript"/>
                    </w:rPr>
                    <w:t>3</w:t>
                  </w:r>
                </w:p>
              </w:tc>
            </w:tr>
            <w:tr w14:paraId="1435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295" w:type="pct"/>
                  <w:noWrap w:val="0"/>
                  <w:vAlign w:val="center"/>
                </w:tcPr>
                <w:p w14:paraId="394F6A2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喷码</w:t>
                  </w:r>
                </w:p>
              </w:tc>
              <w:tc>
                <w:tcPr>
                  <w:tcW w:w="304" w:type="pct"/>
                  <w:noWrap w:val="0"/>
                  <w:vAlign w:val="center"/>
                </w:tcPr>
                <w:p w14:paraId="4B610EF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p>
              </w:tc>
              <w:tc>
                <w:tcPr>
                  <w:tcW w:w="403" w:type="pct"/>
                  <w:noWrap w:val="0"/>
                  <w:vAlign w:val="center"/>
                </w:tcPr>
                <w:p w14:paraId="2A17D20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0648</w:t>
                  </w:r>
                </w:p>
              </w:tc>
              <w:tc>
                <w:tcPr>
                  <w:tcW w:w="403" w:type="pct"/>
                  <w:noWrap w:val="0"/>
                  <w:vAlign w:val="center"/>
                </w:tcPr>
                <w:p w14:paraId="4D9DEDB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054</w:t>
                  </w:r>
                </w:p>
              </w:tc>
              <w:tc>
                <w:tcPr>
                  <w:tcW w:w="320" w:type="pct"/>
                  <w:noWrap w:val="0"/>
                  <w:vAlign w:val="center"/>
                </w:tcPr>
                <w:p w14:paraId="1D6C76E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283" w:type="pct"/>
                  <w:noWrap w:val="0"/>
                  <w:vAlign w:val="center"/>
                </w:tcPr>
                <w:p w14:paraId="1EBD4FC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496" w:type="pct"/>
                  <w:noWrap w:val="0"/>
                  <w:vAlign w:val="center"/>
                </w:tcPr>
                <w:p w14:paraId="5AF6491F">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w:t>
                  </w:r>
                  <w:r>
                    <w:rPr>
                      <w:rFonts w:hint="default" w:ascii="Times New Roman" w:hAnsi="Times New Roman" w:eastAsia="宋体" w:cs="Times New Roman"/>
                      <w:color w:val="auto"/>
                      <w:sz w:val="21"/>
                      <w:szCs w:val="21"/>
                      <w:lang w:val="en-US" w:eastAsia="zh-CN"/>
                    </w:rPr>
                    <w:t>二级活性炭吸附装置</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18m</w:t>
                  </w:r>
                  <w:r>
                    <w:rPr>
                      <w:rFonts w:hint="default" w:ascii="Times New Roman" w:hAnsi="Times New Roman" w:eastAsia="宋体" w:cs="Times New Roman"/>
                      <w:color w:val="auto"/>
                      <w:sz w:val="21"/>
                      <w:szCs w:val="21"/>
                    </w:rPr>
                    <w:t>高排气筒（DA001）</w:t>
                  </w:r>
                </w:p>
              </w:tc>
              <w:tc>
                <w:tcPr>
                  <w:tcW w:w="305" w:type="pct"/>
                  <w:noWrap w:val="0"/>
                  <w:vAlign w:val="center"/>
                </w:tcPr>
                <w:p w14:paraId="4A67892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000</w:t>
                  </w:r>
                </w:p>
                <w:p w14:paraId="04D4BFD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m³/h</w:t>
                  </w:r>
                </w:p>
              </w:tc>
              <w:tc>
                <w:tcPr>
                  <w:tcW w:w="270" w:type="pct"/>
                  <w:noWrap w:val="0"/>
                  <w:vAlign w:val="center"/>
                </w:tcPr>
                <w:p w14:paraId="6BBD2A1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265" w:type="pct"/>
                  <w:noWrap w:val="0"/>
                  <w:vAlign w:val="center"/>
                </w:tcPr>
                <w:p w14:paraId="2E4C9DF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262" w:type="pct"/>
                  <w:noWrap w:val="0"/>
                  <w:vAlign w:val="center"/>
                </w:tcPr>
                <w:p w14:paraId="21385FD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346" w:type="pct"/>
                  <w:noWrap w:val="0"/>
                  <w:vAlign w:val="center"/>
                </w:tcPr>
                <w:p w14:paraId="284ACA3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0.0065</w:t>
                  </w:r>
                </w:p>
              </w:tc>
              <w:tc>
                <w:tcPr>
                  <w:tcW w:w="403" w:type="pct"/>
                  <w:noWrap w:val="0"/>
                  <w:vAlign w:val="center"/>
                </w:tcPr>
                <w:p w14:paraId="59F0A9C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0.0054</w:t>
                  </w:r>
                </w:p>
              </w:tc>
              <w:tc>
                <w:tcPr>
                  <w:tcW w:w="330" w:type="pct"/>
                  <w:noWrap w:val="0"/>
                  <w:vAlign w:val="center"/>
                </w:tcPr>
                <w:p w14:paraId="06BD070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311" w:type="pct"/>
                  <w:noWrap w:val="0"/>
                  <w:vAlign w:val="center"/>
                </w:tcPr>
                <w:p w14:paraId="27A52CB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r>
            <w:tr w14:paraId="485F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noWrap w:val="0"/>
                  <w:vAlign w:val="center"/>
                </w:tcPr>
                <w:p w14:paraId="434C066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喷码</w:t>
                  </w:r>
                </w:p>
              </w:tc>
              <w:tc>
                <w:tcPr>
                  <w:tcW w:w="304" w:type="pct"/>
                  <w:noWrap w:val="0"/>
                  <w:vAlign w:val="center"/>
                </w:tcPr>
                <w:p w14:paraId="4B81E5C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403" w:type="pct"/>
                  <w:noWrap w:val="0"/>
                  <w:vAlign w:val="center"/>
                </w:tcPr>
                <w:p w14:paraId="1EA33A2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72</w:t>
                  </w:r>
                </w:p>
              </w:tc>
              <w:tc>
                <w:tcPr>
                  <w:tcW w:w="403" w:type="pct"/>
                  <w:noWrap w:val="0"/>
                  <w:vAlign w:val="center"/>
                </w:tcPr>
                <w:p w14:paraId="290794D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06</w:t>
                  </w:r>
                </w:p>
              </w:tc>
              <w:tc>
                <w:tcPr>
                  <w:tcW w:w="320" w:type="pct"/>
                  <w:noWrap w:val="0"/>
                  <w:vAlign w:val="center"/>
                </w:tcPr>
                <w:p w14:paraId="4977D95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3" w:type="pct"/>
                  <w:noWrap w:val="0"/>
                  <w:vAlign w:val="center"/>
                </w:tcPr>
                <w:p w14:paraId="516C337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496" w:type="pct"/>
                  <w:noWrap w:val="0"/>
                  <w:vAlign w:val="center"/>
                </w:tcPr>
                <w:p w14:paraId="15694B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05" w:type="pct"/>
                  <w:noWrap w:val="0"/>
                  <w:vAlign w:val="center"/>
                </w:tcPr>
                <w:p w14:paraId="25D183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70" w:type="pct"/>
                  <w:noWrap w:val="0"/>
                  <w:vAlign w:val="center"/>
                </w:tcPr>
                <w:p w14:paraId="558FC0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65" w:type="pct"/>
                  <w:noWrap w:val="0"/>
                  <w:vAlign w:val="center"/>
                </w:tcPr>
                <w:p w14:paraId="31B740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62" w:type="pct"/>
                  <w:noWrap w:val="0"/>
                  <w:vAlign w:val="center"/>
                </w:tcPr>
                <w:p w14:paraId="7E17AD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61" w:type="dxa"/>
                  <w:noWrap w:val="0"/>
                  <w:vAlign w:val="center"/>
                </w:tcPr>
                <w:p w14:paraId="4457D4B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72</w:t>
                  </w:r>
                </w:p>
              </w:tc>
              <w:tc>
                <w:tcPr>
                  <w:tcW w:w="1003" w:type="dxa"/>
                  <w:noWrap w:val="0"/>
                  <w:vAlign w:val="center"/>
                </w:tcPr>
                <w:p w14:paraId="098673C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06</w:t>
                  </w:r>
                </w:p>
              </w:tc>
              <w:tc>
                <w:tcPr>
                  <w:tcW w:w="330" w:type="pct"/>
                  <w:noWrap w:val="0"/>
                  <w:vAlign w:val="center"/>
                </w:tcPr>
                <w:p w14:paraId="5DF5F14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11" w:type="pct"/>
                  <w:noWrap w:val="0"/>
                  <w:vAlign w:val="center"/>
                </w:tcPr>
                <w:p w14:paraId="617E475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r>
          </w:tbl>
          <w:p w14:paraId="3FB4B4B1">
            <w:pPr>
              <w:adjustRightInd w:val="0"/>
              <w:snapToGrid w:val="0"/>
              <w:spacing w:before="120" w:beforeLines="50" w:line="360" w:lineRule="auto"/>
              <w:ind w:firstLine="482" w:firstLineChars="200"/>
              <w:rPr>
                <w:color w:val="auto"/>
                <w:sz w:val="24"/>
              </w:rPr>
            </w:pPr>
            <w:r>
              <w:rPr>
                <w:rFonts w:hint="eastAsia"/>
                <w:b/>
                <w:bCs/>
                <w:color w:val="auto"/>
                <w:sz w:val="24"/>
              </w:rPr>
              <w:t>排气口设置及监测计划</w:t>
            </w:r>
          </w:p>
          <w:p w14:paraId="7544CAD9">
            <w:pPr>
              <w:adjustRightInd w:val="0"/>
              <w:snapToGrid w:val="0"/>
              <w:spacing w:line="360" w:lineRule="auto"/>
              <w:ind w:firstLine="480" w:firstLineChars="200"/>
              <w:rPr>
                <w:color w:val="auto"/>
                <w:sz w:val="24"/>
              </w:rPr>
            </w:pPr>
            <w:r>
              <w:rPr>
                <w:rFonts w:hint="eastAsia"/>
                <w:color w:val="auto"/>
                <w:sz w:val="24"/>
              </w:rPr>
              <w:t>根据《排污单位自行监测技术指南总则》（HJ819-2017），制定本项目大气监测计划：</w:t>
            </w:r>
          </w:p>
          <w:p w14:paraId="3303BC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表4.</w:t>
            </w:r>
            <w:r>
              <w:rPr>
                <w:rFonts w:hint="eastAsia" w:ascii="Times New Roman" w:hAnsi="Times New Roman" w:eastAsia="宋体" w:cs="Times New Roman"/>
                <w:b/>
                <w:bCs/>
                <w:color w:val="auto"/>
                <w:sz w:val="24"/>
              </w:rPr>
              <w:t>2</w:t>
            </w:r>
            <w:r>
              <w:rPr>
                <w:rFonts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rPr>
              <w:t xml:space="preserve"> </w:t>
            </w:r>
            <w:r>
              <w:rPr>
                <w:rFonts w:ascii="Times New Roman" w:hAnsi="Times New Roman" w:eastAsia="宋体" w:cs="Times New Roman"/>
                <w:b/>
                <w:bCs/>
                <w:color w:val="auto"/>
                <w:sz w:val="24"/>
              </w:rPr>
              <w:t>废气排放口</w:t>
            </w:r>
            <w:r>
              <w:rPr>
                <w:rFonts w:hint="eastAsia" w:ascii="Times New Roman" w:hAnsi="Times New Roman" w:eastAsia="宋体" w:cs="Times New Roman"/>
                <w:b/>
                <w:bCs/>
                <w:color w:val="auto"/>
                <w:sz w:val="24"/>
              </w:rPr>
              <w:t>设置及大气污染物监测计划</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60"/>
              <w:gridCol w:w="861"/>
              <w:gridCol w:w="848"/>
              <w:gridCol w:w="714"/>
              <w:gridCol w:w="2254"/>
              <w:gridCol w:w="1271"/>
              <w:gridCol w:w="1409"/>
              <w:gridCol w:w="1388"/>
              <w:gridCol w:w="1238"/>
            </w:tblGrid>
            <w:tr w14:paraId="0BED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restart"/>
                  <w:noWrap w:val="0"/>
                  <w:vAlign w:val="center"/>
                </w:tcPr>
                <w:p w14:paraId="05DC9EB2">
                  <w:pPr>
                    <w:adjustRightInd w:val="0"/>
                    <w:snapToGrid w:val="0"/>
                    <w:jc w:val="center"/>
                    <w:rPr>
                      <w:color w:val="auto"/>
                    </w:rPr>
                  </w:pPr>
                  <w:r>
                    <w:rPr>
                      <w:rFonts w:hint="eastAsia"/>
                      <w:color w:val="auto"/>
                    </w:rPr>
                    <w:t>污染源类别</w:t>
                  </w:r>
                </w:p>
              </w:tc>
              <w:tc>
                <w:tcPr>
                  <w:tcW w:w="691" w:type="pct"/>
                  <w:vMerge w:val="restart"/>
                  <w:noWrap w:val="0"/>
                  <w:vAlign w:val="center"/>
                </w:tcPr>
                <w:p w14:paraId="0A614E45">
                  <w:pPr>
                    <w:adjustRightInd w:val="0"/>
                    <w:snapToGrid w:val="0"/>
                    <w:jc w:val="center"/>
                    <w:rPr>
                      <w:color w:val="auto"/>
                    </w:rPr>
                  </w:pPr>
                  <w:r>
                    <w:rPr>
                      <w:rFonts w:hint="eastAsia"/>
                      <w:color w:val="auto"/>
                    </w:rPr>
                    <w:t>排放口编号及名称</w:t>
                  </w:r>
                </w:p>
              </w:tc>
              <w:tc>
                <w:tcPr>
                  <w:tcW w:w="2336" w:type="pct"/>
                  <w:gridSpan w:val="5"/>
                  <w:noWrap w:val="0"/>
                  <w:vAlign w:val="center"/>
                </w:tcPr>
                <w:p w14:paraId="65B19294">
                  <w:pPr>
                    <w:adjustRightInd w:val="0"/>
                    <w:snapToGrid w:val="0"/>
                    <w:jc w:val="center"/>
                    <w:rPr>
                      <w:color w:val="auto"/>
                    </w:rPr>
                  </w:pPr>
                  <w:r>
                    <w:rPr>
                      <w:rFonts w:hint="eastAsia"/>
                      <w:color w:val="auto"/>
                    </w:rPr>
                    <w:t>排放口基本情况</w:t>
                  </w:r>
                </w:p>
              </w:tc>
              <w:tc>
                <w:tcPr>
                  <w:tcW w:w="1584" w:type="pct"/>
                  <w:gridSpan w:val="3"/>
                  <w:noWrap w:val="0"/>
                  <w:vAlign w:val="center"/>
                </w:tcPr>
                <w:p w14:paraId="418028BB">
                  <w:pPr>
                    <w:adjustRightInd w:val="0"/>
                    <w:snapToGrid w:val="0"/>
                    <w:jc w:val="center"/>
                    <w:rPr>
                      <w:color w:val="auto"/>
                    </w:rPr>
                  </w:pPr>
                  <w:r>
                    <w:rPr>
                      <w:rFonts w:hint="eastAsia"/>
                      <w:color w:val="auto"/>
                    </w:rPr>
                    <w:t>监测要求</w:t>
                  </w:r>
                </w:p>
              </w:tc>
            </w:tr>
            <w:tr w14:paraId="53F4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noWrap w:val="0"/>
                  <w:vAlign w:val="center"/>
                </w:tcPr>
                <w:p w14:paraId="2B33DF77">
                  <w:pPr>
                    <w:adjustRightInd w:val="0"/>
                    <w:snapToGrid w:val="0"/>
                    <w:jc w:val="center"/>
                    <w:rPr>
                      <w:color w:val="auto"/>
                    </w:rPr>
                  </w:pPr>
                </w:p>
              </w:tc>
              <w:tc>
                <w:tcPr>
                  <w:tcW w:w="691" w:type="pct"/>
                  <w:vMerge w:val="continue"/>
                  <w:noWrap w:val="0"/>
                  <w:vAlign w:val="center"/>
                </w:tcPr>
                <w:p w14:paraId="234D8E1C">
                  <w:pPr>
                    <w:adjustRightInd w:val="0"/>
                    <w:snapToGrid w:val="0"/>
                    <w:jc w:val="center"/>
                    <w:rPr>
                      <w:color w:val="auto"/>
                    </w:rPr>
                  </w:pPr>
                </w:p>
              </w:tc>
              <w:tc>
                <w:tcPr>
                  <w:tcW w:w="338" w:type="pct"/>
                  <w:noWrap w:val="0"/>
                  <w:vAlign w:val="center"/>
                </w:tcPr>
                <w:p w14:paraId="21CF3C1B">
                  <w:pPr>
                    <w:adjustRightInd w:val="0"/>
                    <w:snapToGrid w:val="0"/>
                    <w:jc w:val="center"/>
                    <w:rPr>
                      <w:color w:val="auto"/>
                    </w:rPr>
                  </w:pPr>
                  <w:r>
                    <w:rPr>
                      <w:rFonts w:hint="eastAsia"/>
                      <w:color w:val="auto"/>
                    </w:rPr>
                    <w:t>高度/m</w:t>
                  </w:r>
                </w:p>
              </w:tc>
              <w:tc>
                <w:tcPr>
                  <w:tcW w:w="333" w:type="pct"/>
                  <w:noWrap w:val="0"/>
                  <w:vAlign w:val="center"/>
                </w:tcPr>
                <w:p w14:paraId="34ACEB1F">
                  <w:pPr>
                    <w:adjustRightInd w:val="0"/>
                    <w:snapToGrid w:val="0"/>
                    <w:jc w:val="center"/>
                    <w:rPr>
                      <w:color w:val="auto"/>
                    </w:rPr>
                  </w:pPr>
                  <w:r>
                    <w:rPr>
                      <w:rFonts w:hint="eastAsia"/>
                      <w:color w:val="auto"/>
                    </w:rPr>
                    <w:t>内径/m</w:t>
                  </w:r>
                </w:p>
              </w:tc>
              <w:tc>
                <w:tcPr>
                  <w:tcW w:w="280" w:type="pct"/>
                  <w:noWrap w:val="0"/>
                  <w:vAlign w:val="center"/>
                </w:tcPr>
                <w:p w14:paraId="6035B696">
                  <w:pPr>
                    <w:adjustRightInd w:val="0"/>
                    <w:snapToGrid w:val="0"/>
                    <w:jc w:val="center"/>
                    <w:rPr>
                      <w:color w:val="auto"/>
                    </w:rPr>
                  </w:pPr>
                  <w:r>
                    <w:rPr>
                      <w:rFonts w:hint="eastAsia"/>
                      <w:color w:val="auto"/>
                    </w:rPr>
                    <w:t>温度</w:t>
                  </w:r>
                  <w:r>
                    <w:rPr>
                      <w:color w:val="auto"/>
                    </w:rPr>
                    <w:t>℃</w:t>
                  </w:r>
                </w:p>
              </w:tc>
              <w:tc>
                <w:tcPr>
                  <w:tcW w:w="885" w:type="pct"/>
                  <w:noWrap w:val="0"/>
                  <w:vAlign w:val="center"/>
                </w:tcPr>
                <w:p w14:paraId="076D6C00">
                  <w:pPr>
                    <w:adjustRightInd w:val="0"/>
                    <w:snapToGrid w:val="0"/>
                    <w:jc w:val="center"/>
                    <w:rPr>
                      <w:color w:val="auto"/>
                    </w:rPr>
                  </w:pPr>
                  <w:r>
                    <w:rPr>
                      <w:rFonts w:hint="eastAsia"/>
                      <w:color w:val="auto"/>
                    </w:rPr>
                    <w:t>坐标</w:t>
                  </w:r>
                </w:p>
              </w:tc>
              <w:tc>
                <w:tcPr>
                  <w:tcW w:w="499" w:type="pct"/>
                  <w:noWrap w:val="0"/>
                  <w:vAlign w:val="center"/>
                </w:tcPr>
                <w:p w14:paraId="15EA5BB1">
                  <w:pPr>
                    <w:adjustRightInd w:val="0"/>
                    <w:snapToGrid w:val="0"/>
                    <w:jc w:val="center"/>
                    <w:rPr>
                      <w:color w:val="auto"/>
                    </w:rPr>
                  </w:pPr>
                  <w:r>
                    <w:rPr>
                      <w:rFonts w:hint="eastAsia"/>
                      <w:color w:val="auto"/>
                    </w:rPr>
                    <w:t>类型</w:t>
                  </w:r>
                </w:p>
              </w:tc>
              <w:tc>
                <w:tcPr>
                  <w:tcW w:w="553" w:type="pct"/>
                  <w:noWrap w:val="0"/>
                  <w:vAlign w:val="center"/>
                </w:tcPr>
                <w:p w14:paraId="41D8CFE8">
                  <w:pPr>
                    <w:adjustRightInd w:val="0"/>
                    <w:snapToGrid w:val="0"/>
                    <w:jc w:val="center"/>
                    <w:rPr>
                      <w:color w:val="auto"/>
                    </w:rPr>
                  </w:pPr>
                  <w:r>
                    <w:rPr>
                      <w:rFonts w:hint="eastAsia"/>
                      <w:color w:val="auto"/>
                    </w:rPr>
                    <w:t>监测点位</w:t>
                  </w:r>
                </w:p>
              </w:tc>
              <w:tc>
                <w:tcPr>
                  <w:tcW w:w="545" w:type="pct"/>
                  <w:noWrap w:val="0"/>
                  <w:vAlign w:val="center"/>
                </w:tcPr>
                <w:p w14:paraId="3E7C0634">
                  <w:pPr>
                    <w:adjustRightInd w:val="0"/>
                    <w:snapToGrid w:val="0"/>
                    <w:jc w:val="center"/>
                    <w:rPr>
                      <w:color w:val="auto"/>
                    </w:rPr>
                  </w:pPr>
                  <w:r>
                    <w:rPr>
                      <w:rFonts w:hint="eastAsia"/>
                      <w:color w:val="auto"/>
                    </w:rPr>
                    <w:t>监测因子</w:t>
                  </w:r>
                </w:p>
              </w:tc>
              <w:tc>
                <w:tcPr>
                  <w:tcW w:w="486" w:type="pct"/>
                  <w:noWrap w:val="0"/>
                  <w:vAlign w:val="center"/>
                </w:tcPr>
                <w:p w14:paraId="16C17558">
                  <w:pPr>
                    <w:adjustRightInd w:val="0"/>
                    <w:snapToGrid w:val="0"/>
                    <w:jc w:val="center"/>
                    <w:rPr>
                      <w:color w:val="auto"/>
                    </w:rPr>
                  </w:pPr>
                  <w:r>
                    <w:rPr>
                      <w:rFonts w:hint="eastAsia"/>
                      <w:color w:val="auto"/>
                    </w:rPr>
                    <w:t>监测频次</w:t>
                  </w:r>
                </w:p>
              </w:tc>
            </w:tr>
            <w:tr w14:paraId="656B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noWrap w:val="0"/>
                  <w:vAlign w:val="center"/>
                </w:tcPr>
                <w:p w14:paraId="61D58E08">
                  <w:pPr>
                    <w:adjustRightInd w:val="0"/>
                    <w:snapToGrid w:val="0"/>
                    <w:jc w:val="center"/>
                    <w:rPr>
                      <w:color w:val="auto"/>
                    </w:rPr>
                  </w:pPr>
                  <w:r>
                    <w:rPr>
                      <w:rFonts w:hint="eastAsia"/>
                      <w:color w:val="auto"/>
                    </w:rPr>
                    <w:t>有组织</w:t>
                  </w:r>
                </w:p>
              </w:tc>
              <w:tc>
                <w:tcPr>
                  <w:tcW w:w="691" w:type="pct"/>
                  <w:noWrap w:val="0"/>
                  <w:vAlign w:val="center"/>
                </w:tcPr>
                <w:p w14:paraId="06619F56">
                  <w:pPr>
                    <w:adjustRightInd w:val="0"/>
                    <w:snapToGrid w:val="0"/>
                    <w:jc w:val="center"/>
                    <w:rPr>
                      <w:rFonts w:hint="eastAsia" w:eastAsia="宋体"/>
                      <w:color w:val="auto"/>
                      <w:lang w:val="en-US" w:eastAsia="zh-CN"/>
                    </w:rPr>
                  </w:pPr>
                  <w:r>
                    <w:rPr>
                      <w:color w:val="auto"/>
                    </w:rPr>
                    <w:t>DA001</w:t>
                  </w:r>
                  <w:r>
                    <w:rPr>
                      <w:rFonts w:hint="eastAsia"/>
                      <w:color w:val="auto"/>
                      <w:lang w:val="en-US" w:eastAsia="zh-CN"/>
                    </w:rPr>
                    <w:t>/喷码废气</w:t>
                  </w:r>
                </w:p>
              </w:tc>
              <w:tc>
                <w:tcPr>
                  <w:tcW w:w="338" w:type="pct"/>
                  <w:noWrap w:val="0"/>
                  <w:vAlign w:val="center"/>
                </w:tcPr>
                <w:p w14:paraId="61F74409">
                  <w:pPr>
                    <w:adjustRightInd w:val="0"/>
                    <w:snapToGrid w:val="0"/>
                    <w:jc w:val="center"/>
                    <w:rPr>
                      <w:rFonts w:hint="default" w:eastAsia="宋体"/>
                      <w:color w:val="auto"/>
                      <w:lang w:val="en-US" w:eastAsia="zh-CN"/>
                    </w:rPr>
                  </w:pPr>
                  <w:r>
                    <w:rPr>
                      <w:rFonts w:hint="eastAsia"/>
                      <w:color w:val="auto"/>
                      <w:lang w:val="en-US" w:eastAsia="zh-CN"/>
                    </w:rPr>
                    <w:t>18</w:t>
                  </w:r>
                </w:p>
              </w:tc>
              <w:tc>
                <w:tcPr>
                  <w:tcW w:w="333" w:type="pct"/>
                  <w:noWrap w:val="0"/>
                  <w:vAlign w:val="center"/>
                </w:tcPr>
                <w:p w14:paraId="2F78308D">
                  <w:pPr>
                    <w:adjustRightInd w:val="0"/>
                    <w:snapToGrid w:val="0"/>
                    <w:jc w:val="center"/>
                    <w:rPr>
                      <w:color w:val="auto"/>
                    </w:rPr>
                  </w:pPr>
                  <w:r>
                    <w:rPr>
                      <w:rFonts w:hint="eastAsia"/>
                      <w:color w:val="auto"/>
                    </w:rPr>
                    <w:t>0.4</w:t>
                  </w:r>
                </w:p>
              </w:tc>
              <w:tc>
                <w:tcPr>
                  <w:tcW w:w="280" w:type="pct"/>
                  <w:noWrap w:val="0"/>
                  <w:vAlign w:val="center"/>
                </w:tcPr>
                <w:p w14:paraId="1EA1E417">
                  <w:pPr>
                    <w:adjustRightInd w:val="0"/>
                    <w:snapToGrid w:val="0"/>
                    <w:jc w:val="center"/>
                    <w:rPr>
                      <w:color w:val="auto"/>
                    </w:rPr>
                  </w:pPr>
                  <w:r>
                    <w:rPr>
                      <w:rFonts w:hint="eastAsia"/>
                      <w:color w:val="auto"/>
                    </w:rPr>
                    <w:t>25</w:t>
                  </w:r>
                </w:p>
              </w:tc>
              <w:tc>
                <w:tcPr>
                  <w:tcW w:w="885" w:type="pct"/>
                  <w:noWrap w:val="0"/>
                  <w:vAlign w:val="center"/>
                </w:tcPr>
                <w:p w14:paraId="6049DB33">
                  <w:pPr>
                    <w:adjustRightInd w:val="0"/>
                    <w:snapToGrid w:val="0"/>
                    <w:jc w:val="center"/>
                    <w:rPr>
                      <w:color w:val="auto"/>
                    </w:rPr>
                  </w:pPr>
                  <w:r>
                    <w:rPr>
                      <w:rFonts w:hint="eastAsia"/>
                      <w:color w:val="auto"/>
                      <w:lang w:val="en-US" w:eastAsia="zh-CN"/>
                    </w:rPr>
                    <w:t>N</w:t>
                  </w:r>
                  <w:r>
                    <w:rPr>
                      <w:rFonts w:hint="eastAsia"/>
                      <w:color w:val="auto"/>
                    </w:rPr>
                    <w:t>117°7′36.387″</w:t>
                  </w:r>
                  <w:r>
                    <w:rPr>
                      <w:rFonts w:hint="eastAsia"/>
                      <w:color w:val="auto"/>
                      <w:lang w:val="en-US" w:eastAsia="zh-CN"/>
                    </w:rPr>
                    <w:t>E</w:t>
                  </w:r>
                  <w:r>
                    <w:rPr>
                      <w:rFonts w:hint="eastAsia"/>
                      <w:color w:val="auto"/>
                    </w:rPr>
                    <w:t>33°36′51.707″</w:t>
                  </w:r>
                </w:p>
              </w:tc>
              <w:tc>
                <w:tcPr>
                  <w:tcW w:w="499" w:type="pct"/>
                  <w:noWrap w:val="0"/>
                  <w:vAlign w:val="center"/>
                </w:tcPr>
                <w:p w14:paraId="2217F5B2">
                  <w:pPr>
                    <w:adjustRightInd w:val="0"/>
                    <w:snapToGrid w:val="0"/>
                    <w:jc w:val="center"/>
                    <w:rPr>
                      <w:color w:val="auto"/>
                    </w:rPr>
                  </w:pPr>
                  <w:r>
                    <w:rPr>
                      <w:color w:val="auto"/>
                      <w:kern w:val="0"/>
                      <w:szCs w:val="21"/>
                    </w:rPr>
                    <w:t>一般排放口</w:t>
                  </w:r>
                </w:p>
              </w:tc>
              <w:tc>
                <w:tcPr>
                  <w:tcW w:w="553" w:type="pct"/>
                  <w:noWrap w:val="0"/>
                  <w:vAlign w:val="center"/>
                </w:tcPr>
                <w:p w14:paraId="3BD065F3">
                  <w:pPr>
                    <w:adjustRightInd w:val="0"/>
                    <w:snapToGrid w:val="0"/>
                    <w:jc w:val="center"/>
                    <w:rPr>
                      <w:color w:val="auto"/>
                    </w:rPr>
                  </w:pPr>
                  <w:r>
                    <w:rPr>
                      <w:color w:val="auto"/>
                    </w:rPr>
                    <w:t>DA001</w:t>
                  </w:r>
                </w:p>
              </w:tc>
              <w:tc>
                <w:tcPr>
                  <w:tcW w:w="545" w:type="pct"/>
                  <w:noWrap w:val="0"/>
                  <w:vAlign w:val="center"/>
                </w:tcPr>
                <w:p w14:paraId="50B7BC7E">
                  <w:pPr>
                    <w:adjustRightInd w:val="0"/>
                    <w:snapToGrid w:val="0"/>
                    <w:jc w:val="center"/>
                    <w:rPr>
                      <w:rFonts w:hint="default" w:eastAsia="宋体"/>
                      <w:color w:val="auto"/>
                      <w:lang w:val="en-US" w:eastAsia="zh-CN"/>
                    </w:rPr>
                  </w:pPr>
                  <w:r>
                    <w:rPr>
                      <w:rFonts w:hint="eastAsia"/>
                      <w:color w:val="auto"/>
                      <w:lang w:val="en-US" w:eastAsia="zh-CN"/>
                    </w:rPr>
                    <w:t>非甲烷总烃</w:t>
                  </w:r>
                </w:p>
              </w:tc>
              <w:tc>
                <w:tcPr>
                  <w:tcW w:w="486" w:type="pct"/>
                  <w:noWrap w:val="0"/>
                  <w:vAlign w:val="center"/>
                </w:tcPr>
                <w:p w14:paraId="5ADE25D0">
                  <w:pPr>
                    <w:adjustRightInd w:val="0"/>
                    <w:snapToGrid w:val="0"/>
                    <w:jc w:val="center"/>
                    <w:rPr>
                      <w:rFonts w:hint="eastAsia" w:eastAsia="宋体"/>
                      <w:color w:val="auto"/>
                      <w:lang w:val="en-US" w:eastAsia="zh-CN"/>
                    </w:rPr>
                  </w:pPr>
                  <w:r>
                    <w:rPr>
                      <w:color w:val="auto"/>
                      <w:kern w:val="0"/>
                      <w:szCs w:val="21"/>
                    </w:rPr>
                    <w:t>1次/</w:t>
                  </w:r>
                  <w:r>
                    <w:rPr>
                      <w:rFonts w:hint="eastAsia"/>
                      <w:color w:val="auto"/>
                      <w:kern w:val="0"/>
                      <w:szCs w:val="21"/>
                      <w:lang w:val="en-US" w:eastAsia="zh-CN"/>
                    </w:rPr>
                    <w:t>半年</w:t>
                  </w:r>
                </w:p>
              </w:tc>
            </w:tr>
            <w:tr w14:paraId="590B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noWrap w:val="0"/>
                  <w:vAlign w:val="center"/>
                </w:tcPr>
                <w:p w14:paraId="4A8825A4">
                  <w:pPr>
                    <w:adjustRightInd w:val="0"/>
                    <w:snapToGrid w:val="0"/>
                    <w:jc w:val="center"/>
                    <w:rPr>
                      <w:color w:val="auto"/>
                    </w:rPr>
                  </w:pPr>
                  <w:r>
                    <w:rPr>
                      <w:rFonts w:hint="eastAsia"/>
                      <w:color w:val="auto"/>
                    </w:rPr>
                    <w:t>无组织</w:t>
                  </w:r>
                </w:p>
              </w:tc>
              <w:tc>
                <w:tcPr>
                  <w:tcW w:w="691" w:type="pct"/>
                  <w:noWrap w:val="0"/>
                  <w:vAlign w:val="center"/>
                </w:tcPr>
                <w:p w14:paraId="796B2C47">
                  <w:pPr>
                    <w:adjustRightInd w:val="0"/>
                    <w:snapToGrid w:val="0"/>
                    <w:jc w:val="center"/>
                    <w:rPr>
                      <w:rFonts w:hint="default" w:eastAsia="宋体"/>
                      <w:color w:val="auto"/>
                      <w:lang w:val="en-US" w:eastAsia="zh-CN"/>
                    </w:rPr>
                  </w:pPr>
                  <w:r>
                    <w:rPr>
                      <w:rFonts w:hint="eastAsia"/>
                      <w:color w:val="auto"/>
                    </w:rPr>
                    <w:t>厂界</w:t>
                  </w:r>
                  <w:r>
                    <w:rPr>
                      <w:rFonts w:hint="eastAsia"/>
                      <w:color w:val="auto"/>
                      <w:lang w:eastAsia="zh-CN"/>
                    </w:rPr>
                    <w:t>、</w:t>
                  </w:r>
                  <w:r>
                    <w:rPr>
                      <w:rFonts w:hint="eastAsia"/>
                      <w:color w:val="auto"/>
                      <w:lang w:val="en-US" w:eastAsia="zh-CN"/>
                    </w:rPr>
                    <w:t>厂区内</w:t>
                  </w:r>
                </w:p>
              </w:tc>
              <w:tc>
                <w:tcPr>
                  <w:tcW w:w="338" w:type="pct"/>
                  <w:noWrap w:val="0"/>
                  <w:vAlign w:val="center"/>
                </w:tcPr>
                <w:p w14:paraId="056062C8">
                  <w:pPr>
                    <w:adjustRightInd w:val="0"/>
                    <w:snapToGrid w:val="0"/>
                    <w:jc w:val="center"/>
                    <w:rPr>
                      <w:color w:val="auto"/>
                    </w:rPr>
                  </w:pPr>
                  <w:r>
                    <w:rPr>
                      <w:rFonts w:hint="eastAsia"/>
                      <w:color w:val="auto"/>
                    </w:rPr>
                    <w:t>/</w:t>
                  </w:r>
                </w:p>
              </w:tc>
              <w:tc>
                <w:tcPr>
                  <w:tcW w:w="333" w:type="pct"/>
                  <w:noWrap w:val="0"/>
                  <w:vAlign w:val="center"/>
                </w:tcPr>
                <w:p w14:paraId="276371D4">
                  <w:pPr>
                    <w:adjustRightInd w:val="0"/>
                    <w:snapToGrid w:val="0"/>
                    <w:jc w:val="center"/>
                    <w:rPr>
                      <w:color w:val="auto"/>
                    </w:rPr>
                  </w:pPr>
                  <w:r>
                    <w:rPr>
                      <w:rFonts w:hint="eastAsia"/>
                      <w:color w:val="auto"/>
                    </w:rPr>
                    <w:t>/</w:t>
                  </w:r>
                </w:p>
              </w:tc>
              <w:tc>
                <w:tcPr>
                  <w:tcW w:w="280" w:type="pct"/>
                  <w:noWrap w:val="0"/>
                  <w:vAlign w:val="center"/>
                </w:tcPr>
                <w:p w14:paraId="6C13EBAA">
                  <w:pPr>
                    <w:adjustRightInd w:val="0"/>
                    <w:snapToGrid w:val="0"/>
                    <w:jc w:val="center"/>
                    <w:rPr>
                      <w:color w:val="auto"/>
                    </w:rPr>
                  </w:pPr>
                  <w:r>
                    <w:rPr>
                      <w:rFonts w:hint="eastAsia"/>
                      <w:color w:val="auto"/>
                    </w:rPr>
                    <w:t>/</w:t>
                  </w:r>
                </w:p>
              </w:tc>
              <w:tc>
                <w:tcPr>
                  <w:tcW w:w="885" w:type="pct"/>
                  <w:noWrap w:val="0"/>
                  <w:vAlign w:val="center"/>
                </w:tcPr>
                <w:p w14:paraId="6CDAB618">
                  <w:pPr>
                    <w:adjustRightInd w:val="0"/>
                    <w:snapToGrid w:val="0"/>
                    <w:jc w:val="center"/>
                    <w:rPr>
                      <w:color w:val="auto"/>
                    </w:rPr>
                  </w:pPr>
                  <w:r>
                    <w:rPr>
                      <w:rFonts w:hint="eastAsia"/>
                      <w:color w:val="auto"/>
                    </w:rPr>
                    <w:t>/</w:t>
                  </w:r>
                </w:p>
              </w:tc>
              <w:tc>
                <w:tcPr>
                  <w:tcW w:w="499" w:type="pct"/>
                  <w:noWrap w:val="0"/>
                  <w:vAlign w:val="center"/>
                </w:tcPr>
                <w:p w14:paraId="75669F21">
                  <w:pPr>
                    <w:adjustRightInd w:val="0"/>
                    <w:snapToGrid w:val="0"/>
                    <w:jc w:val="center"/>
                    <w:rPr>
                      <w:color w:val="auto"/>
                    </w:rPr>
                  </w:pPr>
                  <w:r>
                    <w:rPr>
                      <w:rFonts w:hint="eastAsia"/>
                      <w:color w:val="auto"/>
                    </w:rPr>
                    <w:t>/</w:t>
                  </w:r>
                </w:p>
              </w:tc>
              <w:tc>
                <w:tcPr>
                  <w:tcW w:w="553" w:type="pct"/>
                  <w:noWrap w:val="0"/>
                  <w:vAlign w:val="center"/>
                </w:tcPr>
                <w:p w14:paraId="1B2E4820">
                  <w:pPr>
                    <w:adjustRightInd w:val="0"/>
                    <w:snapToGrid w:val="0"/>
                    <w:jc w:val="center"/>
                    <w:rPr>
                      <w:rFonts w:hint="default" w:eastAsia="宋体"/>
                      <w:color w:val="auto"/>
                      <w:lang w:val="en-US" w:eastAsia="zh-CN"/>
                    </w:rPr>
                  </w:pPr>
                  <w:r>
                    <w:rPr>
                      <w:rFonts w:hint="eastAsia"/>
                      <w:color w:val="auto"/>
                    </w:rPr>
                    <w:t>厂界</w:t>
                  </w:r>
                  <w:r>
                    <w:rPr>
                      <w:rFonts w:hint="eastAsia"/>
                      <w:color w:val="auto"/>
                      <w:lang w:eastAsia="zh-CN"/>
                    </w:rPr>
                    <w:t>、</w:t>
                  </w:r>
                  <w:r>
                    <w:rPr>
                      <w:rFonts w:hint="eastAsia"/>
                      <w:color w:val="auto"/>
                      <w:lang w:val="en-US" w:eastAsia="zh-CN"/>
                    </w:rPr>
                    <w:t>厂区内</w:t>
                  </w:r>
                </w:p>
              </w:tc>
              <w:tc>
                <w:tcPr>
                  <w:tcW w:w="545" w:type="pct"/>
                  <w:noWrap w:val="0"/>
                  <w:vAlign w:val="center"/>
                </w:tcPr>
                <w:p w14:paraId="5360B09B">
                  <w:pPr>
                    <w:adjustRightInd w:val="0"/>
                    <w:snapToGrid w:val="0"/>
                    <w:jc w:val="center"/>
                    <w:rPr>
                      <w:color w:val="auto"/>
                    </w:rPr>
                  </w:pPr>
                  <w:r>
                    <w:rPr>
                      <w:rFonts w:hint="eastAsia"/>
                      <w:color w:val="auto"/>
                    </w:rPr>
                    <w:t>非甲烷总烃</w:t>
                  </w:r>
                </w:p>
              </w:tc>
              <w:tc>
                <w:tcPr>
                  <w:tcW w:w="486" w:type="pct"/>
                  <w:noWrap w:val="0"/>
                  <w:vAlign w:val="center"/>
                </w:tcPr>
                <w:p w14:paraId="144DBA56">
                  <w:pPr>
                    <w:adjustRightInd w:val="0"/>
                    <w:snapToGrid w:val="0"/>
                    <w:jc w:val="center"/>
                    <w:rPr>
                      <w:color w:val="auto"/>
                    </w:rPr>
                  </w:pPr>
                  <w:r>
                    <w:rPr>
                      <w:color w:val="auto"/>
                      <w:kern w:val="0"/>
                      <w:szCs w:val="21"/>
                    </w:rPr>
                    <w:t>1次/年</w:t>
                  </w:r>
                </w:p>
              </w:tc>
            </w:tr>
          </w:tbl>
          <w:p w14:paraId="13F81E67">
            <w:pPr>
              <w:adjustRightInd w:val="0"/>
              <w:snapToGrid w:val="0"/>
              <w:spacing w:before="120" w:beforeLines="50" w:line="360" w:lineRule="auto"/>
              <w:rPr>
                <w:color w:val="auto"/>
              </w:rPr>
            </w:pPr>
          </w:p>
        </w:tc>
      </w:tr>
    </w:tbl>
    <w:p w14:paraId="76F089FD">
      <w:pPr>
        <w:pStyle w:val="11"/>
        <w:ind w:left="0" w:leftChars="0"/>
      </w:pPr>
    </w:p>
    <w:p w14:paraId="4207F6EA">
      <w:pPr>
        <w:pStyle w:val="11"/>
        <w:ind w:left="0" w:leftChars="0"/>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8545"/>
      </w:tblGrid>
      <w:tr w14:paraId="31B7A4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88" w:hRule="atLeast"/>
          <w:jc w:val="center"/>
        </w:trPr>
        <w:tc>
          <w:tcPr>
            <w:tcW w:w="436" w:type="dxa"/>
            <w:tcMar>
              <w:left w:w="28" w:type="dxa"/>
              <w:right w:w="28" w:type="dxa"/>
            </w:tcMar>
            <w:vAlign w:val="center"/>
          </w:tcPr>
          <w:p w14:paraId="60673A43">
            <w:pPr>
              <w:pStyle w:val="11"/>
            </w:pPr>
          </w:p>
        </w:tc>
        <w:tc>
          <w:tcPr>
            <w:tcW w:w="8545" w:type="dxa"/>
            <w:vAlign w:val="center"/>
          </w:tcPr>
          <w:p w14:paraId="7FF643A4">
            <w:pPr>
              <w:adjustRightInd w:val="0"/>
              <w:snapToGrid w:val="0"/>
              <w:spacing w:before="120" w:beforeLines="50" w:line="360" w:lineRule="auto"/>
              <w:ind w:firstLine="442" w:firstLineChars="200"/>
              <w:rPr>
                <w:rFonts w:hint="eastAsia"/>
                <w:b/>
                <w:color w:val="auto"/>
                <w:spacing w:val="-10"/>
                <w:sz w:val="24"/>
              </w:rPr>
            </w:pPr>
            <w:r>
              <w:rPr>
                <w:rFonts w:hint="eastAsia"/>
                <w:b/>
                <w:color w:val="auto"/>
                <w:spacing w:val="-10"/>
                <w:sz w:val="24"/>
              </w:rPr>
              <w:t>废气处理工艺可行性分析</w:t>
            </w:r>
          </w:p>
          <w:p w14:paraId="77EE6BD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olor w:val="auto"/>
                <w:kern w:val="0"/>
                <w:sz w:val="24"/>
                <w:lang w:val="en-US" w:eastAsia="zh-CN"/>
              </w:rPr>
            </w:pPr>
            <w:r>
              <w:rPr>
                <w:rFonts w:hint="eastAsia"/>
                <w:color w:val="auto"/>
                <w:kern w:val="0"/>
                <w:sz w:val="24"/>
                <w:lang w:val="en-US" w:eastAsia="zh-CN"/>
              </w:rPr>
              <w:t>（1）二级活性炭可行性分析</w:t>
            </w:r>
          </w:p>
          <w:p w14:paraId="4F60998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olor w:val="auto"/>
                <w:kern w:val="0"/>
                <w:sz w:val="24"/>
                <w:lang w:eastAsia="zh-CN"/>
              </w:rPr>
            </w:pPr>
            <w:r>
              <w:rPr>
                <w:rFonts w:hint="eastAsia"/>
                <w:color w:val="auto"/>
                <w:kern w:val="0"/>
                <w:sz w:val="24"/>
                <w:lang w:val="en-US" w:eastAsia="zh-CN"/>
              </w:rPr>
              <w:t>本项目</w:t>
            </w:r>
            <w:r>
              <w:rPr>
                <w:color w:val="auto"/>
                <w:kern w:val="0"/>
                <w:sz w:val="24"/>
              </w:rPr>
              <w:t>拟采用</w:t>
            </w:r>
            <w:r>
              <w:rPr>
                <w:rFonts w:hint="eastAsia"/>
                <w:color w:val="auto"/>
                <w:kern w:val="0"/>
                <w:sz w:val="24"/>
                <w:lang w:eastAsia="zh-CN"/>
              </w:rPr>
              <w:t>“</w:t>
            </w:r>
            <w:r>
              <w:rPr>
                <w:rFonts w:hint="eastAsia"/>
                <w:color w:val="auto"/>
                <w:kern w:val="0"/>
                <w:sz w:val="24"/>
                <w:lang w:val="en-US" w:eastAsia="zh-CN"/>
              </w:rPr>
              <w:t>二级活性炭</w:t>
            </w:r>
            <w:r>
              <w:rPr>
                <w:rFonts w:hint="eastAsia"/>
                <w:color w:val="auto"/>
                <w:kern w:val="0"/>
                <w:sz w:val="24"/>
                <w:lang w:eastAsia="zh-CN"/>
              </w:rPr>
              <w:t>”</w:t>
            </w:r>
            <w:r>
              <w:rPr>
                <w:color w:val="auto"/>
                <w:kern w:val="0"/>
                <w:sz w:val="24"/>
              </w:rPr>
              <w:t>处理有机废气</w:t>
            </w:r>
            <w:r>
              <w:rPr>
                <w:rFonts w:hint="eastAsia"/>
                <w:color w:val="auto"/>
                <w:kern w:val="0"/>
                <w:sz w:val="24"/>
                <w:lang w:eastAsia="zh-CN"/>
              </w:rPr>
              <w:t>。</w:t>
            </w:r>
          </w:p>
          <w:p w14:paraId="3FE8A822">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color w:val="auto"/>
                <w:sz w:val="24"/>
              </w:rPr>
            </w:pPr>
            <w:r>
              <w:rPr>
                <w:rFonts w:ascii="宋体" w:hAnsi="宋体" w:cs="宋体"/>
                <w:b/>
                <w:color w:val="auto"/>
                <w:kern w:val="0"/>
                <w:sz w:val="24"/>
              </w:rPr>
              <w:t>活性炭吸附原理：</w:t>
            </w:r>
            <w:r>
              <w:rPr>
                <w:rFonts w:ascii="宋体" w:hAnsi="宋体" w:cs="宋体"/>
                <w:color w:val="auto"/>
                <w:kern w:val="0"/>
                <w:sz w:val="24"/>
              </w:rPr>
              <w:t>活性炭是一种很细小的炭粒</w:t>
            </w:r>
            <w:r>
              <w:rPr>
                <w:rFonts w:hint="eastAsia" w:ascii="宋体" w:hAnsi="宋体" w:cs="宋体"/>
                <w:color w:val="auto"/>
                <w:kern w:val="0"/>
                <w:sz w:val="24"/>
                <w:lang w:eastAsia="zh-CN"/>
              </w:rPr>
              <w:t>，</w:t>
            </w:r>
            <w:r>
              <w:rPr>
                <w:rFonts w:ascii="宋体" w:hAnsi="宋体" w:cs="宋体"/>
                <w:color w:val="auto"/>
                <w:kern w:val="0"/>
                <w:sz w:val="24"/>
              </w:rPr>
              <w:t>有很大的表面积</w:t>
            </w:r>
            <w:r>
              <w:rPr>
                <w:rFonts w:hint="eastAsia" w:ascii="Calibri" w:hAnsi="Calibri" w:cs="Calibri"/>
                <w:bCs/>
                <w:color w:val="auto"/>
                <w:kern w:val="0"/>
                <w:sz w:val="24"/>
              </w:rPr>
              <w:t>，</w:t>
            </w:r>
            <w:r>
              <w:rPr>
                <w:rFonts w:ascii="宋体" w:hAnsi="宋体" w:cs="宋体"/>
                <w:color w:val="auto"/>
                <w:kern w:val="0"/>
                <w:sz w:val="24"/>
              </w:rPr>
              <w:t>而且炭粒中还有</w:t>
            </w:r>
            <w:r>
              <w:rPr>
                <w:color w:val="auto"/>
                <w:sz w:val="24"/>
              </w:rPr>
              <w:t>更细小的孔</w:t>
            </w:r>
            <w:r>
              <w:rPr>
                <w:rFonts w:hint="eastAsia"/>
                <w:color w:val="auto"/>
                <w:sz w:val="24"/>
                <w:lang w:eastAsia="zh-CN"/>
              </w:rPr>
              <w:t>——</w:t>
            </w:r>
            <w:r>
              <w:rPr>
                <w:color w:val="auto"/>
                <w:sz w:val="24"/>
              </w:rPr>
              <w:t>毛细管。这种毛细管具有很强的吸附能力</w:t>
            </w:r>
            <w:r>
              <w:rPr>
                <w:rFonts w:hint="eastAsia"/>
                <w:color w:val="auto"/>
                <w:sz w:val="24"/>
                <w:lang w:eastAsia="zh-CN"/>
              </w:rPr>
              <w:t>，</w:t>
            </w:r>
            <w:r>
              <w:rPr>
                <w:color w:val="auto"/>
                <w:sz w:val="24"/>
              </w:rPr>
              <w:t>由于炭粒的表面积很大</w:t>
            </w:r>
            <w:r>
              <w:rPr>
                <w:rFonts w:hint="eastAsia" w:ascii="Calibri" w:hAnsi="Calibri" w:cs="Calibri"/>
                <w:bCs/>
                <w:color w:val="auto"/>
                <w:sz w:val="24"/>
              </w:rPr>
              <w:t>，</w:t>
            </w:r>
            <w:r>
              <w:rPr>
                <w:color w:val="auto"/>
                <w:sz w:val="24"/>
              </w:rPr>
              <w:t>所以能与气体</w:t>
            </w:r>
            <w:r>
              <w:rPr>
                <w:rFonts w:hint="eastAsia" w:ascii="Calibri" w:hAnsi="Calibri" w:cs="Calibri"/>
                <w:bCs/>
                <w:color w:val="auto"/>
                <w:sz w:val="24"/>
              </w:rPr>
              <w:t>（</w:t>
            </w:r>
            <w:r>
              <w:rPr>
                <w:color w:val="auto"/>
                <w:sz w:val="24"/>
              </w:rPr>
              <w:t>有机废气</w:t>
            </w:r>
            <w:r>
              <w:rPr>
                <w:rFonts w:hint="eastAsia" w:ascii="Calibri" w:hAnsi="Calibri" w:cs="Calibri"/>
                <w:bCs/>
                <w:color w:val="auto"/>
                <w:sz w:val="24"/>
              </w:rPr>
              <w:t>）</w:t>
            </w:r>
            <w:r>
              <w:rPr>
                <w:color w:val="auto"/>
                <w:sz w:val="24"/>
              </w:rPr>
              <w:t>充分接触</w:t>
            </w:r>
            <w:r>
              <w:rPr>
                <w:rFonts w:hint="eastAsia"/>
                <w:color w:val="auto"/>
                <w:sz w:val="24"/>
                <w:lang w:eastAsia="zh-CN"/>
              </w:rPr>
              <w:t>，</w:t>
            </w:r>
            <w:r>
              <w:rPr>
                <w:color w:val="auto"/>
                <w:sz w:val="24"/>
              </w:rPr>
              <w:t>当这些气体</w:t>
            </w:r>
            <w:r>
              <w:rPr>
                <w:rFonts w:hint="eastAsia" w:ascii="Calibri" w:hAnsi="Calibri" w:cs="Calibri"/>
                <w:bCs/>
                <w:color w:val="auto"/>
                <w:sz w:val="24"/>
              </w:rPr>
              <w:t>（</w:t>
            </w:r>
            <w:r>
              <w:rPr>
                <w:color w:val="auto"/>
                <w:sz w:val="24"/>
              </w:rPr>
              <w:t>有机废气</w:t>
            </w:r>
            <w:r>
              <w:rPr>
                <w:rFonts w:hint="eastAsia" w:ascii="Calibri" w:hAnsi="Calibri" w:cs="Calibri"/>
                <w:bCs/>
                <w:color w:val="auto"/>
                <w:sz w:val="24"/>
              </w:rPr>
              <w:t>）</w:t>
            </w:r>
            <w:r>
              <w:rPr>
                <w:color w:val="auto"/>
                <w:sz w:val="24"/>
              </w:rPr>
              <w:t>碰到毛细管就被吸附</w:t>
            </w:r>
            <w:r>
              <w:rPr>
                <w:rFonts w:hint="eastAsia" w:ascii="Calibri" w:hAnsi="Calibri" w:cs="Calibri"/>
                <w:bCs/>
                <w:color w:val="auto"/>
                <w:sz w:val="24"/>
              </w:rPr>
              <w:t>，</w:t>
            </w:r>
            <w:r>
              <w:rPr>
                <w:color w:val="auto"/>
                <w:sz w:val="24"/>
              </w:rPr>
              <w:t>起净化作用。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w:t>
            </w:r>
          </w:p>
          <w:p w14:paraId="4B47A329">
            <w:pPr>
              <w:jc w:val="center"/>
              <w:rPr>
                <w:color w:val="auto"/>
              </w:rPr>
            </w:pPr>
            <w:r>
              <w:rPr>
                <w:color w:val="auto"/>
                <w:lang w:bidi="ar"/>
              </w:rPr>
              <w:drawing>
                <wp:inline distT="0" distB="0" distL="114300" distR="114300">
                  <wp:extent cx="4791075" cy="2333625"/>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2"/>
                          <a:stretch>
                            <a:fillRect/>
                          </a:stretch>
                        </pic:blipFill>
                        <pic:spPr>
                          <a:xfrm>
                            <a:off x="0" y="0"/>
                            <a:ext cx="4791075" cy="2333625"/>
                          </a:xfrm>
                          <a:prstGeom prst="rect">
                            <a:avLst/>
                          </a:prstGeom>
                          <a:noFill/>
                          <a:ln>
                            <a:noFill/>
                          </a:ln>
                        </pic:spPr>
                      </pic:pic>
                    </a:graphicData>
                  </a:graphic>
                </wp:inline>
              </w:drawing>
            </w:r>
          </w:p>
          <w:p w14:paraId="707F7A36">
            <w:pPr>
              <w:spacing w:line="360" w:lineRule="auto"/>
              <w:jc w:val="center"/>
              <w:rPr>
                <w:b/>
                <w:color w:val="auto"/>
                <w:sz w:val="24"/>
                <w:szCs w:val="24"/>
              </w:rPr>
            </w:pPr>
            <w:r>
              <w:rPr>
                <w:rFonts w:hint="eastAsia" w:cs="宋体"/>
                <w:b/>
                <w:color w:val="auto"/>
                <w:sz w:val="24"/>
                <w:szCs w:val="24"/>
                <w:lang w:bidi="ar"/>
              </w:rPr>
              <w:t>图</w:t>
            </w:r>
            <w:r>
              <w:rPr>
                <w:rFonts w:hint="eastAsia"/>
                <w:b/>
                <w:color w:val="auto"/>
                <w:sz w:val="24"/>
                <w:szCs w:val="24"/>
                <w:lang w:val="en-US" w:eastAsia="zh-CN" w:bidi="ar"/>
              </w:rPr>
              <w:t xml:space="preserve">4.1 </w:t>
            </w:r>
            <w:r>
              <w:rPr>
                <w:b/>
                <w:color w:val="auto"/>
                <w:sz w:val="24"/>
                <w:szCs w:val="24"/>
                <w:lang w:bidi="ar"/>
              </w:rPr>
              <w:t xml:space="preserve"> </w:t>
            </w:r>
            <w:r>
              <w:rPr>
                <w:rFonts w:hint="eastAsia" w:cs="宋体"/>
                <w:b/>
                <w:color w:val="auto"/>
                <w:sz w:val="24"/>
                <w:szCs w:val="24"/>
                <w:lang w:bidi="ar"/>
              </w:rPr>
              <w:t>单级活性炭吸附箱（不进行脱附的简单工艺）</w:t>
            </w:r>
          </w:p>
          <w:p w14:paraId="1DC005B8">
            <w:pPr>
              <w:pStyle w:val="20"/>
              <w:spacing w:before="0" w:beforeAutospacing="0" w:after="0" w:afterAutospacing="0" w:line="360" w:lineRule="auto"/>
              <w:ind w:firstLine="480"/>
              <w:jc w:val="both"/>
              <w:rPr>
                <w:rFonts w:hint="eastAsia" w:ascii="Times New Roman" w:hAnsi="Times New Roman" w:cs="Times New Roman"/>
                <w:color w:val="auto"/>
                <w:kern w:val="2"/>
                <w:lang w:eastAsia="zh-CN"/>
              </w:rPr>
            </w:pPr>
            <w:r>
              <w:rPr>
                <w:rFonts w:hint="eastAsia"/>
                <w:color w:val="auto"/>
                <w:sz w:val="24"/>
              </w:rPr>
              <w:t>本项目利用</w:t>
            </w:r>
            <w:r>
              <w:rPr>
                <w:rFonts w:hint="eastAsia"/>
                <w:color w:val="auto"/>
                <w:sz w:val="24"/>
                <w:lang w:eastAsia="zh-CN"/>
              </w:rPr>
              <w:t>“</w:t>
            </w:r>
            <w:r>
              <w:rPr>
                <w:rFonts w:hint="eastAsia"/>
                <w:color w:val="auto"/>
                <w:sz w:val="24"/>
                <w:lang w:val="en-US" w:eastAsia="zh-CN"/>
              </w:rPr>
              <w:t>二级活性炭吸附</w:t>
            </w:r>
            <w:r>
              <w:rPr>
                <w:rFonts w:hint="eastAsia"/>
                <w:color w:val="auto"/>
                <w:sz w:val="24"/>
                <w:lang w:eastAsia="zh-CN"/>
              </w:rPr>
              <w:t>”</w:t>
            </w:r>
            <w:r>
              <w:rPr>
                <w:rFonts w:hint="eastAsia"/>
                <w:color w:val="auto"/>
                <w:sz w:val="24"/>
              </w:rPr>
              <w:t>处理有机废气，为国内较为普遍的有机废气处理方式，现有的管理经验较为丰富，企业可以节省大量管理维护培训费用，活性炭吸附装置运行稳定，维护简单。</w:t>
            </w:r>
          </w:p>
          <w:p w14:paraId="6DCDA22C">
            <w:pPr>
              <w:pStyle w:val="20"/>
              <w:spacing w:before="0" w:beforeAutospacing="0" w:after="0" w:afterAutospacing="0" w:line="360" w:lineRule="auto"/>
              <w:ind w:firstLine="480"/>
              <w:jc w:val="both"/>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本项目</w:t>
            </w:r>
            <w:r>
              <w:rPr>
                <w:rFonts w:hint="default" w:ascii="Times New Roman" w:hAnsi="Times New Roman" w:cs="Times New Roman"/>
                <w:color w:val="auto"/>
                <w:kern w:val="0"/>
                <w:sz w:val="24"/>
                <w:lang w:val="en-US" w:eastAsia="zh-CN"/>
              </w:rPr>
              <w:t>二级活性炭</w:t>
            </w:r>
            <w:r>
              <w:rPr>
                <w:rFonts w:hint="default" w:ascii="Times New Roman" w:hAnsi="Times New Roman" w:cs="Times New Roman"/>
                <w:color w:val="auto"/>
                <w:sz w:val="24"/>
              </w:rPr>
              <w:t>的</w:t>
            </w:r>
            <w:r>
              <w:rPr>
                <w:rFonts w:hint="default" w:ascii="Times New Roman" w:hAnsi="Times New Roman" w:cs="Times New Roman"/>
                <w:color w:val="auto"/>
                <w:sz w:val="24"/>
                <w:lang w:eastAsia="zh-CN"/>
              </w:rPr>
              <w:t>吸附</w:t>
            </w:r>
            <w:r>
              <w:rPr>
                <w:rFonts w:hint="default" w:ascii="Times New Roman" w:hAnsi="Times New Roman" w:cs="Times New Roman"/>
                <w:color w:val="auto"/>
                <w:sz w:val="24"/>
              </w:rPr>
              <w:t>效率取</w:t>
            </w:r>
            <w:r>
              <w:rPr>
                <w:rFonts w:hint="default" w:ascii="Times New Roman" w:hAnsi="Times New Roman" w:cs="Times New Roman"/>
                <w:color w:val="auto"/>
                <w:sz w:val="24"/>
                <w:lang w:val="en-US" w:eastAsia="zh-CN"/>
              </w:rPr>
              <w:t>90</w:t>
            </w:r>
            <w:r>
              <w:rPr>
                <w:rFonts w:hint="default" w:ascii="Times New Roman" w:hAnsi="Times New Roman" w:cs="Times New Roman"/>
                <w:color w:val="auto"/>
                <w:sz w:val="24"/>
              </w:rPr>
              <w:t>%</w:t>
            </w:r>
            <w:r>
              <w:rPr>
                <w:rFonts w:hint="eastAsia" w:ascii="Times New Roman" w:hAnsi="Times New Roman" w:eastAsia="宋体" w:cs="Times New Roman"/>
                <w:color w:val="auto"/>
                <w:sz w:val="24"/>
                <w:lang w:eastAsia="zh-CN"/>
              </w:rPr>
              <w:t>。</w:t>
            </w:r>
          </w:p>
          <w:p w14:paraId="41EE7EFF">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b/>
                <w:bCs/>
                <w:color w:val="auto"/>
                <w:sz w:val="24"/>
                <w:lang w:val="en-US" w:eastAsia="zh-CN"/>
              </w:rPr>
            </w:pPr>
            <w:r>
              <w:rPr>
                <w:rFonts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3  活性炭吸附装置技术参数表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2047"/>
              <w:gridCol w:w="2048"/>
              <w:gridCol w:w="2048"/>
            </w:tblGrid>
            <w:tr w14:paraId="3D8F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7" w:type="dxa"/>
                  <w:noWrap w:val="0"/>
                  <w:vAlign w:val="center"/>
                </w:tcPr>
                <w:p w14:paraId="39D01BF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活性炭密度</w:t>
                  </w:r>
                </w:p>
              </w:tc>
              <w:tc>
                <w:tcPr>
                  <w:tcW w:w="2047" w:type="dxa"/>
                  <w:noWrap w:val="0"/>
                  <w:vAlign w:val="center"/>
                </w:tcPr>
                <w:p w14:paraId="6D4BA58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活性炭碘吸附值</w:t>
                  </w:r>
                </w:p>
              </w:tc>
              <w:tc>
                <w:tcPr>
                  <w:tcW w:w="2048" w:type="dxa"/>
                  <w:noWrap w:val="0"/>
                  <w:vAlign w:val="center"/>
                </w:tcPr>
                <w:p w14:paraId="0F85A11C">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介质温度</w:t>
                  </w:r>
                </w:p>
              </w:tc>
              <w:tc>
                <w:tcPr>
                  <w:tcW w:w="2048" w:type="dxa"/>
                  <w:noWrap w:val="0"/>
                  <w:vAlign w:val="center"/>
                </w:tcPr>
                <w:p w14:paraId="1729237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介质</w:t>
                  </w:r>
                </w:p>
              </w:tc>
            </w:tr>
            <w:tr w14:paraId="46C0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7" w:type="dxa"/>
                  <w:noWrap w:val="0"/>
                  <w:vAlign w:val="center"/>
                </w:tcPr>
                <w:p w14:paraId="6C75026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550kg/m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2047" w:type="dxa"/>
                  <w:noWrap w:val="0"/>
                  <w:vAlign w:val="center"/>
                </w:tcPr>
                <w:p w14:paraId="34F9901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＞800mg/g</w:t>
                  </w:r>
                </w:p>
              </w:tc>
              <w:tc>
                <w:tcPr>
                  <w:tcW w:w="2048" w:type="dxa"/>
                  <w:noWrap w:val="0"/>
                  <w:vAlign w:val="center"/>
                </w:tcPr>
                <w:p w14:paraId="6F57B962">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常温（-5℃~40℃）</w:t>
                  </w:r>
                </w:p>
              </w:tc>
              <w:tc>
                <w:tcPr>
                  <w:tcW w:w="2048" w:type="dxa"/>
                  <w:noWrap w:val="0"/>
                  <w:vAlign w:val="center"/>
                </w:tcPr>
                <w:p w14:paraId="3C73233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有机废气</w:t>
                  </w:r>
                </w:p>
              </w:tc>
            </w:tr>
            <w:tr w14:paraId="58EC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7" w:type="dxa"/>
                  <w:noWrap w:val="0"/>
                  <w:vAlign w:val="center"/>
                </w:tcPr>
                <w:p w14:paraId="498FDCF8">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处理效率</w:t>
                  </w:r>
                </w:p>
              </w:tc>
              <w:tc>
                <w:tcPr>
                  <w:tcW w:w="2047" w:type="dxa"/>
                  <w:noWrap w:val="0"/>
                  <w:vAlign w:val="center"/>
                </w:tcPr>
                <w:p w14:paraId="1D75E8D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活性炭形态</w:t>
                  </w:r>
                </w:p>
              </w:tc>
              <w:tc>
                <w:tcPr>
                  <w:tcW w:w="2048" w:type="dxa"/>
                  <w:noWrap w:val="0"/>
                  <w:vAlign w:val="center"/>
                </w:tcPr>
                <w:p w14:paraId="2FE78A9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每个</w:t>
                  </w:r>
                  <w:r>
                    <w:rPr>
                      <w:rFonts w:hint="default" w:ascii="Times New Roman" w:hAnsi="Times New Roman" w:eastAsia="宋体" w:cs="Times New Roman"/>
                      <w:b w:val="0"/>
                      <w:bCs w:val="0"/>
                      <w:color w:val="auto"/>
                      <w:sz w:val="21"/>
                      <w:szCs w:val="21"/>
                      <w:highlight w:val="none"/>
                      <w:vertAlign w:val="baseline"/>
                      <w:lang w:val="en-US" w:eastAsia="zh-CN"/>
                    </w:rPr>
                    <w:t>活性炭层数</w:t>
                  </w:r>
                </w:p>
              </w:tc>
              <w:tc>
                <w:tcPr>
                  <w:tcW w:w="2048" w:type="dxa"/>
                  <w:noWrap w:val="0"/>
                  <w:vAlign w:val="center"/>
                </w:tcPr>
                <w:p w14:paraId="2B28242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活性炭间距</w:t>
                  </w:r>
                </w:p>
              </w:tc>
            </w:tr>
            <w:tr w14:paraId="3E2B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7" w:type="dxa"/>
                  <w:noWrap w:val="0"/>
                  <w:vAlign w:val="center"/>
                </w:tcPr>
                <w:p w14:paraId="55DB2B49">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90%</w:t>
                  </w:r>
                </w:p>
              </w:tc>
              <w:tc>
                <w:tcPr>
                  <w:tcW w:w="2047" w:type="dxa"/>
                  <w:noWrap w:val="0"/>
                  <w:vAlign w:val="center"/>
                </w:tcPr>
                <w:p w14:paraId="0ADC623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蜂窝状活性炭</w:t>
                  </w:r>
                </w:p>
              </w:tc>
              <w:tc>
                <w:tcPr>
                  <w:tcW w:w="2048" w:type="dxa"/>
                  <w:noWrap w:val="0"/>
                  <w:vAlign w:val="center"/>
                </w:tcPr>
                <w:p w14:paraId="1F5FF63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4层</w:t>
                  </w:r>
                </w:p>
              </w:tc>
              <w:tc>
                <w:tcPr>
                  <w:tcW w:w="2048" w:type="dxa"/>
                  <w:noWrap w:val="0"/>
                  <w:vAlign w:val="center"/>
                </w:tcPr>
                <w:p w14:paraId="3F2F509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w:t>
                  </w:r>
                  <w:r>
                    <w:rPr>
                      <w:rFonts w:hint="eastAsia" w:ascii="Times New Roman" w:hAnsi="Times New Roman" w:eastAsia="宋体" w:cs="Times New Roman"/>
                      <w:b w:val="0"/>
                      <w:bCs w:val="0"/>
                      <w:color w:val="auto"/>
                      <w:sz w:val="21"/>
                      <w:szCs w:val="21"/>
                      <w:highlight w:val="none"/>
                      <w:vertAlign w:val="baseline"/>
                      <w:lang w:val="en-US" w:eastAsia="zh-CN"/>
                    </w:rPr>
                    <w:t>22</w:t>
                  </w:r>
                  <w:r>
                    <w:rPr>
                      <w:rFonts w:hint="default" w:ascii="Times New Roman" w:hAnsi="Times New Roman" w:eastAsia="宋体" w:cs="Times New Roman"/>
                      <w:b w:val="0"/>
                      <w:bCs w:val="0"/>
                      <w:color w:val="auto"/>
                      <w:sz w:val="21"/>
                      <w:szCs w:val="21"/>
                      <w:highlight w:val="none"/>
                      <w:vertAlign w:val="baseline"/>
                      <w:lang w:val="en-US" w:eastAsia="zh-CN"/>
                    </w:rPr>
                    <w:t>m</w:t>
                  </w:r>
                </w:p>
              </w:tc>
            </w:tr>
            <w:tr w14:paraId="3A86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7" w:type="dxa"/>
                  <w:noWrap w:val="0"/>
                  <w:vAlign w:val="center"/>
                </w:tcPr>
                <w:p w14:paraId="4C3393D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风量</w:t>
                  </w:r>
                </w:p>
              </w:tc>
              <w:tc>
                <w:tcPr>
                  <w:tcW w:w="2047" w:type="dxa"/>
                  <w:noWrap w:val="0"/>
                  <w:vAlign w:val="center"/>
                </w:tcPr>
                <w:p w14:paraId="2676985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活性炭单层厚度</w:t>
                  </w:r>
                </w:p>
              </w:tc>
              <w:tc>
                <w:tcPr>
                  <w:tcW w:w="2048" w:type="dxa"/>
                  <w:noWrap w:val="0"/>
                  <w:vAlign w:val="center"/>
                </w:tcPr>
                <w:p w14:paraId="4E9D6A9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一次填充量</w:t>
                  </w:r>
                </w:p>
              </w:tc>
              <w:tc>
                <w:tcPr>
                  <w:tcW w:w="2048" w:type="dxa"/>
                  <w:noWrap w:val="0"/>
                  <w:vAlign w:val="center"/>
                </w:tcPr>
                <w:p w14:paraId="05E60A3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活性炭箱规格</w:t>
                  </w:r>
                </w:p>
              </w:tc>
            </w:tr>
            <w:tr w14:paraId="31A1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7" w:type="dxa"/>
                  <w:noWrap w:val="0"/>
                  <w:vAlign w:val="center"/>
                </w:tcPr>
                <w:p w14:paraId="09BFB0E7">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000m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/h</w:t>
                  </w:r>
                </w:p>
              </w:tc>
              <w:tc>
                <w:tcPr>
                  <w:tcW w:w="2047" w:type="dxa"/>
                  <w:noWrap w:val="0"/>
                  <w:vAlign w:val="center"/>
                </w:tcPr>
                <w:p w14:paraId="137DBEC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0.1m</w:t>
                  </w:r>
                </w:p>
              </w:tc>
              <w:tc>
                <w:tcPr>
                  <w:tcW w:w="2048" w:type="dxa"/>
                  <w:noWrap w:val="0"/>
                  <w:vAlign w:val="center"/>
                </w:tcPr>
                <w:p w14:paraId="53CB399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w:t>
                  </w:r>
                  <w:r>
                    <w:rPr>
                      <w:rFonts w:hint="eastAsia" w:ascii="Times New Roman" w:hAnsi="Times New Roman" w:eastAsia="宋体" w:cs="Times New Roman"/>
                      <w:b w:val="0"/>
                      <w:bCs w:val="0"/>
                      <w:color w:val="auto"/>
                      <w:sz w:val="21"/>
                      <w:szCs w:val="21"/>
                      <w:highlight w:val="none"/>
                      <w:vertAlign w:val="baseline"/>
                      <w:lang w:val="en-US" w:eastAsia="zh-CN"/>
                    </w:rPr>
                    <w:t>kg</w:t>
                  </w:r>
                </w:p>
              </w:tc>
              <w:tc>
                <w:tcPr>
                  <w:tcW w:w="2048" w:type="dxa"/>
                  <w:noWrap w:val="0"/>
                  <w:vAlign w:val="center"/>
                </w:tcPr>
                <w:p w14:paraId="76BF74C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二级</w:t>
                  </w:r>
                </w:p>
              </w:tc>
            </w:tr>
            <w:tr w14:paraId="0FAD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7" w:type="dxa"/>
                  <w:noWrap w:val="0"/>
                  <w:vAlign w:val="center"/>
                </w:tcPr>
                <w:p w14:paraId="6BF93EC3">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气体流速参数</w:t>
                  </w:r>
                </w:p>
              </w:tc>
              <w:tc>
                <w:tcPr>
                  <w:tcW w:w="2047" w:type="dxa"/>
                  <w:noWrap w:val="0"/>
                  <w:vAlign w:val="center"/>
                </w:tcPr>
                <w:p w14:paraId="0B8938E5">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炭</w:t>
                  </w:r>
                  <w:r>
                    <w:rPr>
                      <w:rFonts w:hint="default" w:ascii="Times New Roman" w:hAnsi="Times New Roman" w:eastAsia="宋体" w:cs="Times New Roman"/>
                      <w:b w:val="0"/>
                      <w:bCs w:val="0"/>
                      <w:color w:val="auto"/>
                      <w:sz w:val="21"/>
                      <w:szCs w:val="21"/>
                      <w:highlight w:val="none"/>
                      <w:vertAlign w:val="baseline"/>
                      <w:lang w:val="en-US" w:eastAsia="zh-CN"/>
                    </w:rPr>
                    <w:t>箱的</w:t>
                  </w:r>
                  <w:r>
                    <w:rPr>
                      <w:rFonts w:hint="eastAsia" w:ascii="Times New Roman" w:hAnsi="Times New Roman" w:eastAsia="宋体" w:cs="Times New Roman"/>
                      <w:b w:val="0"/>
                      <w:bCs w:val="0"/>
                      <w:color w:val="auto"/>
                      <w:sz w:val="21"/>
                      <w:szCs w:val="21"/>
                      <w:highlight w:val="none"/>
                      <w:vertAlign w:val="baseline"/>
                      <w:lang w:val="en-US" w:eastAsia="zh-CN"/>
                    </w:rPr>
                    <w:t>截</w:t>
                  </w:r>
                  <w:r>
                    <w:rPr>
                      <w:rFonts w:hint="default" w:ascii="Times New Roman" w:hAnsi="Times New Roman" w:eastAsia="宋体" w:cs="Times New Roman"/>
                      <w:b w:val="0"/>
                      <w:bCs w:val="0"/>
                      <w:color w:val="auto"/>
                      <w:sz w:val="21"/>
                      <w:szCs w:val="21"/>
                      <w:highlight w:val="none"/>
                      <w:vertAlign w:val="baseline"/>
                      <w:lang w:val="en-US" w:eastAsia="zh-CN"/>
                    </w:rPr>
                    <w:t>面积</w:t>
                  </w:r>
                </w:p>
              </w:tc>
              <w:tc>
                <w:tcPr>
                  <w:tcW w:w="2048" w:type="dxa"/>
                  <w:noWrap w:val="0"/>
                  <w:vAlign w:val="center"/>
                </w:tcPr>
                <w:p w14:paraId="06043901">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活性炭堆积密度</w:t>
                  </w:r>
                </w:p>
              </w:tc>
              <w:tc>
                <w:tcPr>
                  <w:tcW w:w="2048" w:type="dxa"/>
                  <w:noWrap w:val="0"/>
                  <w:vAlign w:val="center"/>
                </w:tcPr>
                <w:p w14:paraId="784CD684">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14:paraId="3E75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7" w:type="dxa"/>
                  <w:noWrap w:val="0"/>
                  <w:vAlign w:val="center"/>
                </w:tcPr>
                <w:p w14:paraId="7B2251D6">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宜低于1.20m/s</w:t>
                  </w:r>
                </w:p>
              </w:tc>
              <w:tc>
                <w:tcPr>
                  <w:tcW w:w="2047" w:type="dxa"/>
                  <w:noWrap w:val="0"/>
                  <w:vAlign w:val="center"/>
                </w:tcPr>
                <w:p w14:paraId="6AAD5ABB">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1.19</w:t>
                  </w:r>
                  <w:r>
                    <w:rPr>
                      <w:rFonts w:hint="eastAsia" w:ascii="Times New Roman" w:hAnsi="Times New Roman" w:eastAsia="宋体" w:cs="Times New Roman"/>
                      <w:b w:val="0"/>
                      <w:bCs w:val="0"/>
                      <w:color w:val="auto"/>
                      <w:sz w:val="21"/>
                      <w:szCs w:val="21"/>
                      <w:highlight w:val="none"/>
                      <w:vertAlign w:val="baseline"/>
                      <w:lang w:val="en-US" w:eastAsia="zh-CN"/>
                    </w:rPr>
                    <w:t>m</w:t>
                  </w:r>
                  <w:r>
                    <w:rPr>
                      <w:rFonts w:hint="eastAsia" w:ascii="Times New Roman" w:hAnsi="Times New Roman" w:eastAsia="宋体" w:cs="Times New Roman"/>
                      <w:b w:val="0"/>
                      <w:bCs w:val="0"/>
                      <w:color w:val="auto"/>
                      <w:sz w:val="21"/>
                      <w:szCs w:val="21"/>
                      <w:highlight w:val="none"/>
                      <w:vertAlign w:val="superscript"/>
                      <w:lang w:val="en-US" w:eastAsia="zh-CN"/>
                    </w:rPr>
                    <w:t>2</w:t>
                  </w:r>
                </w:p>
              </w:tc>
              <w:tc>
                <w:tcPr>
                  <w:tcW w:w="2048" w:type="dxa"/>
                  <w:noWrap w:val="0"/>
                  <w:vAlign w:val="center"/>
                </w:tcPr>
                <w:p w14:paraId="68C80EFE">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350</w:t>
                  </w:r>
                  <w:r>
                    <w:rPr>
                      <w:rFonts w:hint="default" w:ascii="Times New Roman" w:hAnsi="Times New Roman" w:eastAsia="宋体" w:cs="Times New Roman"/>
                      <w:b w:val="0"/>
                      <w:bCs w:val="0"/>
                      <w:color w:val="auto"/>
                      <w:sz w:val="21"/>
                      <w:szCs w:val="21"/>
                      <w:highlight w:val="none"/>
                      <w:vertAlign w:val="baseline"/>
                      <w:lang w:val="en-US" w:eastAsia="zh-CN"/>
                    </w:rPr>
                    <w:t>kg/m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2048" w:type="dxa"/>
                  <w:noWrap w:val="0"/>
                  <w:vAlign w:val="center"/>
                </w:tcPr>
                <w:p w14:paraId="04F4916A">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bl>
          <w:p w14:paraId="0497031E">
            <w:pPr>
              <w:wordWrap w:val="0"/>
              <w:spacing w:line="360" w:lineRule="auto"/>
              <w:ind w:firstLine="480" w:firstLineChars="200"/>
              <w:rPr>
                <w:rFonts w:hint="eastAsia"/>
                <w:b w:val="0"/>
                <w:bCs/>
                <w:color w:val="auto"/>
                <w:spacing w:val="-10"/>
                <w:sz w:val="24"/>
                <w:lang w:val="en-US" w:eastAsia="zh-CN"/>
              </w:rPr>
            </w:pPr>
            <w:r>
              <w:rPr>
                <w:rFonts w:hint="eastAsia"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喷码产生的有机废气参照执行</w:t>
            </w:r>
            <w:r>
              <w:rPr>
                <w:rFonts w:hint="default" w:ascii="Times New Roman" w:hAnsi="Times New Roman" w:eastAsia="宋体" w:cs="Times New Roman"/>
                <w:color w:val="auto"/>
                <w:sz w:val="24"/>
                <w:highlight w:val="none"/>
                <w:lang w:val="en-US" w:eastAsia="zh-CN"/>
              </w:rPr>
              <w:t>《固定源挥发性有机物综合排放标准第 4部分：印刷工业》</w:t>
            </w:r>
            <w:r>
              <w:rPr>
                <w:rFonts w:hint="eastAsia"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lang w:val="en-US" w:eastAsia="zh-CN"/>
              </w:rPr>
              <w:t>表1挥发性有机物排放限值</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厂区内非甲烷总烃无组织排放</w:t>
            </w:r>
            <w:r>
              <w:rPr>
                <w:rFonts w:hint="eastAsia" w:ascii="Times New Roman" w:hAnsi="Times New Roman" w:eastAsia="宋体" w:cs="Times New Roman"/>
                <w:color w:val="auto"/>
                <w:sz w:val="24"/>
                <w:highlight w:val="none"/>
                <w:lang w:val="en-US" w:eastAsia="zh-CN"/>
              </w:rPr>
              <w:t>参照</w:t>
            </w:r>
            <w:r>
              <w:rPr>
                <w:rFonts w:hint="default" w:ascii="Times New Roman" w:hAnsi="Times New Roman" w:eastAsia="宋体" w:cs="Times New Roman"/>
                <w:color w:val="auto"/>
                <w:sz w:val="24"/>
                <w:highlight w:val="none"/>
                <w:lang w:val="en-US" w:eastAsia="zh-CN"/>
              </w:rPr>
              <w:t>执行《固定源挥发</w:t>
            </w:r>
            <w:r>
              <w:rPr>
                <w:rFonts w:hint="default" w:ascii="Times New Roman" w:hAnsi="Times New Roman" w:eastAsia="宋体" w:cs="Times New Roman"/>
                <w:b w:val="0"/>
                <w:bCs w:val="0"/>
                <w:color w:val="auto"/>
                <w:sz w:val="24"/>
                <w:highlight w:val="none"/>
                <w:lang w:val="en-US" w:eastAsia="zh-CN"/>
              </w:rPr>
              <w:t>性有机物综合排放标准第4部分：印刷工业》中的表3挥发性有机物排放限值</w:t>
            </w:r>
            <w:r>
              <w:rPr>
                <w:rFonts w:hint="eastAsia" w:cs="Times New Roman"/>
                <w:b w:val="0"/>
                <w:bCs w:val="0"/>
                <w:color w:val="auto"/>
                <w:sz w:val="24"/>
                <w:highlight w:val="none"/>
                <w:lang w:val="en-US" w:eastAsia="zh-CN"/>
              </w:rPr>
              <w:t>；厂界非甲烷总烃执行</w:t>
            </w:r>
            <w:r>
              <w:rPr>
                <w:b w:val="0"/>
                <w:bCs w:val="0"/>
                <w:color w:val="auto"/>
                <w:sz w:val="24"/>
                <w:highlight w:val="none"/>
              </w:rPr>
              <w:t>《</w:t>
            </w:r>
            <w:r>
              <w:rPr>
                <w:rFonts w:hint="eastAsia"/>
                <w:b w:val="0"/>
                <w:bCs w:val="0"/>
                <w:color w:val="auto"/>
                <w:sz w:val="24"/>
                <w:highlight w:val="none"/>
                <w:lang w:val="en-US" w:eastAsia="zh-CN"/>
              </w:rPr>
              <w:t>大气污染物综合排放标准</w:t>
            </w:r>
            <w:r>
              <w:rPr>
                <w:b w:val="0"/>
                <w:bCs w:val="0"/>
                <w:color w:val="auto"/>
                <w:sz w:val="24"/>
                <w:highlight w:val="none"/>
              </w:rPr>
              <w:t>》（GB</w:t>
            </w:r>
            <w:r>
              <w:rPr>
                <w:rFonts w:hint="eastAsia"/>
                <w:b w:val="0"/>
                <w:bCs w:val="0"/>
                <w:color w:val="auto"/>
                <w:sz w:val="24"/>
                <w:highlight w:val="none"/>
                <w:lang w:val="en-US" w:eastAsia="zh-CN"/>
              </w:rPr>
              <w:t>16297</w:t>
            </w:r>
            <w:r>
              <w:rPr>
                <w:b w:val="0"/>
                <w:bCs w:val="0"/>
                <w:color w:val="auto"/>
                <w:sz w:val="24"/>
                <w:highlight w:val="none"/>
              </w:rPr>
              <w:t>-</w:t>
            </w:r>
            <w:r>
              <w:rPr>
                <w:rFonts w:hint="eastAsia"/>
                <w:b w:val="0"/>
                <w:bCs w:val="0"/>
                <w:color w:val="auto"/>
                <w:sz w:val="24"/>
                <w:highlight w:val="none"/>
                <w:lang w:val="en-US" w:eastAsia="zh-CN"/>
              </w:rPr>
              <w:t>1996</w:t>
            </w:r>
            <w:r>
              <w:rPr>
                <w:b w:val="0"/>
                <w:bCs w:val="0"/>
                <w:color w:val="auto"/>
                <w:sz w:val="24"/>
                <w:highlight w:val="none"/>
              </w:rPr>
              <w:t>）</w:t>
            </w:r>
            <w:r>
              <w:rPr>
                <w:rFonts w:hint="eastAsia"/>
                <w:b w:val="0"/>
                <w:bCs w:val="0"/>
                <w:color w:val="auto"/>
                <w:sz w:val="24"/>
                <w:highlight w:val="none"/>
              </w:rPr>
              <w:t>表2新污染源大气污染物排放限值</w:t>
            </w:r>
            <w:r>
              <w:rPr>
                <w:rFonts w:hint="eastAsia"/>
                <w:color w:val="auto"/>
                <w:sz w:val="24"/>
                <w:highlight w:val="none"/>
                <w:lang w:bidi="ar"/>
              </w:rPr>
              <w:t>。</w:t>
            </w:r>
            <w:r>
              <w:rPr>
                <w:rFonts w:hint="eastAsia"/>
                <w:color w:val="auto"/>
                <w:sz w:val="24"/>
                <w:highlight w:val="none"/>
                <w:lang w:val="en-US" w:eastAsia="zh-CN"/>
              </w:rPr>
              <w:t>因此本项目废气治理措施技术可行。</w:t>
            </w:r>
          </w:p>
          <w:p w14:paraId="1A7D303F">
            <w:pPr>
              <w:adjustRightInd w:val="0"/>
              <w:snapToGrid w:val="0"/>
              <w:spacing w:line="360" w:lineRule="auto"/>
              <w:ind w:firstLine="442" w:firstLineChars="200"/>
              <w:rPr>
                <w:rFonts w:hint="eastAsia"/>
                <w:b/>
                <w:color w:val="auto"/>
                <w:spacing w:val="-10"/>
                <w:sz w:val="24"/>
              </w:rPr>
            </w:pPr>
            <w:r>
              <w:rPr>
                <w:rFonts w:hint="eastAsia"/>
                <w:b/>
                <w:color w:val="auto"/>
                <w:spacing w:val="-10"/>
                <w:sz w:val="24"/>
              </w:rPr>
              <w:t>非正常工况分析</w:t>
            </w:r>
          </w:p>
          <w:p w14:paraId="7D965729">
            <w:pPr>
              <w:adjustRightInd w:val="0"/>
              <w:snapToGrid w:val="0"/>
              <w:spacing w:line="360" w:lineRule="auto"/>
              <w:ind w:firstLine="480" w:firstLineChars="200"/>
              <w:rPr>
                <w:color w:val="auto"/>
                <w:sz w:val="24"/>
              </w:rPr>
            </w:pPr>
            <w:r>
              <w:rPr>
                <w:color w:val="auto"/>
                <w:sz w:val="24"/>
              </w:rPr>
              <w:t>非正常工况是指生产运行阶段的检修、操作不正常或设备故障等引起的一般性事故排放。根据本项目的污染物特点及工程分析，非正常工况</w:t>
            </w:r>
            <w:r>
              <w:rPr>
                <w:rFonts w:hint="eastAsia"/>
                <w:color w:val="auto"/>
                <w:sz w:val="24"/>
              </w:rPr>
              <w:t>主要为环保设施故障，即</w:t>
            </w:r>
            <w:r>
              <w:rPr>
                <w:rFonts w:hint="eastAsia"/>
                <w:color w:val="auto"/>
                <w:sz w:val="24"/>
                <w:lang w:val="en-US" w:eastAsia="zh-CN"/>
              </w:rPr>
              <w:t>喷码</w:t>
            </w:r>
            <w:r>
              <w:rPr>
                <w:rFonts w:hint="eastAsia"/>
                <w:color w:val="auto"/>
                <w:sz w:val="24"/>
              </w:rPr>
              <w:t>废气处理设备“二级活性炭吸附装置”故障，引起VOCs事故排放。</w:t>
            </w:r>
            <w:r>
              <w:rPr>
                <w:color w:val="auto"/>
                <w:kern w:val="0"/>
                <w:sz w:val="24"/>
                <w:lang w:bidi="ar"/>
              </w:rPr>
              <w:t>事故持续时间在</w:t>
            </w:r>
            <w:r>
              <w:rPr>
                <w:rFonts w:hint="eastAsia"/>
                <w:color w:val="auto"/>
                <w:kern w:val="0"/>
                <w:sz w:val="24"/>
                <w:lang w:bidi="ar"/>
              </w:rPr>
              <w:t>0.5h</w:t>
            </w:r>
            <w:r>
              <w:rPr>
                <w:color w:val="auto"/>
                <w:kern w:val="0"/>
                <w:sz w:val="24"/>
                <w:lang w:bidi="ar"/>
              </w:rPr>
              <w:t>之内，非正常工况条件下废气排放源强及排放情况见下表</w:t>
            </w:r>
            <w:r>
              <w:rPr>
                <w:color w:val="auto"/>
                <w:sz w:val="24"/>
              </w:rPr>
              <w:t>：</w:t>
            </w:r>
          </w:p>
          <w:p w14:paraId="2A2BEC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4.4</w:t>
            </w:r>
            <w:r>
              <w:rPr>
                <w:rFonts w:ascii="Times New Roman" w:hAnsi="Times New Roman" w:eastAsia="宋体" w:cs="Times New Roman"/>
                <w:b/>
                <w:bCs/>
                <w:color w:val="auto"/>
                <w:sz w:val="24"/>
              </w:rPr>
              <w:t xml:space="preserve">  非正常工况下污染物排放一览表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848"/>
              <w:gridCol w:w="2180"/>
              <w:gridCol w:w="580"/>
              <w:gridCol w:w="642"/>
              <w:gridCol w:w="795"/>
              <w:gridCol w:w="617"/>
              <w:gridCol w:w="2189"/>
            </w:tblGrid>
            <w:tr w14:paraId="1016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 w:type="pct"/>
                  <w:noWrap w:val="0"/>
                  <w:vAlign w:val="center"/>
                </w:tcPr>
                <w:p w14:paraId="52A59E0A">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rFonts w:hint="eastAsia"/>
                      <w:color w:val="auto"/>
                      <w:szCs w:val="21"/>
                    </w:rPr>
                    <w:t>序号</w:t>
                  </w:r>
                </w:p>
              </w:tc>
              <w:tc>
                <w:tcPr>
                  <w:tcW w:w="511" w:type="pct"/>
                  <w:noWrap w:val="0"/>
                  <w:vAlign w:val="center"/>
                </w:tcPr>
                <w:p w14:paraId="7119A701">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rFonts w:hint="eastAsia"/>
                      <w:color w:val="auto"/>
                      <w:szCs w:val="21"/>
                    </w:rPr>
                    <w:t>污染源</w:t>
                  </w:r>
                </w:p>
              </w:tc>
              <w:tc>
                <w:tcPr>
                  <w:tcW w:w="1311" w:type="pct"/>
                  <w:noWrap w:val="0"/>
                  <w:vAlign w:val="center"/>
                </w:tcPr>
                <w:p w14:paraId="657514DE">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rFonts w:hint="eastAsia"/>
                      <w:color w:val="auto"/>
                      <w:szCs w:val="21"/>
                    </w:rPr>
                    <w:t>非正常排放原因</w:t>
                  </w:r>
                </w:p>
              </w:tc>
              <w:tc>
                <w:tcPr>
                  <w:tcW w:w="350" w:type="pct"/>
                  <w:noWrap w:val="0"/>
                  <w:vAlign w:val="center"/>
                </w:tcPr>
                <w:p w14:paraId="713E33AC">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rFonts w:hint="eastAsia"/>
                      <w:color w:val="auto"/>
                      <w:szCs w:val="21"/>
                    </w:rPr>
                    <w:t>污染物</w:t>
                  </w:r>
                </w:p>
              </w:tc>
              <w:tc>
                <w:tcPr>
                  <w:tcW w:w="387" w:type="pct"/>
                  <w:noWrap w:val="0"/>
                  <w:vAlign w:val="center"/>
                </w:tcPr>
                <w:p w14:paraId="7F96968F">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color w:val="auto"/>
                      <w:szCs w:val="21"/>
                    </w:rPr>
                    <w:t>频次</w:t>
                  </w:r>
                </w:p>
              </w:tc>
              <w:tc>
                <w:tcPr>
                  <w:tcW w:w="466" w:type="pct"/>
                  <w:noWrap w:val="0"/>
                  <w:vAlign w:val="center"/>
                </w:tcPr>
                <w:p w14:paraId="4C6E6B75">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color w:val="auto"/>
                      <w:szCs w:val="21"/>
                    </w:rPr>
                    <w:t>排放量</w:t>
                  </w:r>
                  <w:r>
                    <w:rPr>
                      <w:rFonts w:hint="eastAsia"/>
                      <w:color w:val="auto"/>
                      <w:szCs w:val="21"/>
                    </w:rPr>
                    <w:t>t/a</w:t>
                  </w:r>
                </w:p>
              </w:tc>
              <w:tc>
                <w:tcPr>
                  <w:tcW w:w="372" w:type="pct"/>
                  <w:noWrap w:val="0"/>
                  <w:vAlign w:val="center"/>
                </w:tcPr>
                <w:p w14:paraId="4EBDF221">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color w:val="auto"/>
                      <w:szCs w:val="21"/>
                    </w:rPr>
                    <w:t>持续时间</w:t>
                  </w:r>
                  <w:r>
                    <w:rPr>
                      <w:rFonts w:hint="eastAsia"/>
                      <w:color w:val="auto"/>
                      <w:szCs w:val="21"/>
                    </w:rPr>
                    <w:t>/h</w:t>
                  </w:r>
                </w:p>
              </w:tc>
              <w:tc>
                <w:tcPr>
                  <w:tcW w:w="1316" w:type="pct"/>
                  <w:noWrap w:val="0"/>
                  <w:vAlign w:val="center"/>
                </w:tcPr>
                <w:p w14:paraId="646388B4">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color w:val="auto"/>
                      <w:szCs w:val="21"/>
                    </w:rPr>
                    <w:t>措施</w:t>
                  </w:r>
                </w:p>
              </w:tc>
            </w:tr>
            <w:tr w14:paraId="7B74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 w:type="pct"/>
                  <w:noWrap w:val="0"/>
                  <w:vAlign w:val="center"/>
                </w:tcPr>
                <w:p w14:paraId="39FDE0F6">
                  <w:pPr>
                    <w:keepNext w:val="0"/>
                    <w:keepLines w:val="0"/>
                    <w:pageBreakBefore w:val="0"/>
                    <w:widowControl w:val="0"/>
                    <w:kinsoku/>
                    <w:wordWrap/>
                    <w:overflowPunct/>
                    <w:topLinePunct w:val="0"/>
                    <w:bidi w:val="0"/>
                    <w:adjustRightInd w:val="0"/>
                    <w:snapToGrid w:val="0"/>
                    <w:jc w:val="center"/>
                    <w:textAlignment w:val="auto"/>
                    <w:outlineLvl w:val="0"/>
                    <w:rPr>
                      <w:rFonts w:hint="eastAsia" w:eastAsia="宋体"/>
                      <w:color w:val="auto"/>
                      <w:szCs w:val="21"/>
                      <w:lang w:val="en-US" w:eastAsia="zh-CN"/>
                    </w:rPr>
                  </w:pPr>
                  <w:r>
                    <w:rPr>
                      <w:rFonts w:hint="eastAsia"/>
                      <w:color w:val="auto"/>
                      <w:szCs w:val="21"/>
                      <w:lang w:val="en-US" w:eastAsia="zh-CN"/>
                    </w:rPr>
                    <w:t>1</w:t>
                  </w:r>
                </w:p>
              </w:tc>
              <w:tc>
                <w:tcPr>
                  <w:tcW w:w="511" w:type="pct"/>
                  <w:noWrap w:val="0"/>
                  <w:vAlign w:val="center"/>
                </w:tcPr>
                <w:p w14:paraId="7B419300">
                  <w:pPr>
                    <w:keepNext w:val="0"/>
                    <w:keepLines w:val="0"/>
                    <w:pageBreakBefore w:val="0"/>
                    <w:widowControl w:val="0"/>
                    <w:kinsoku/>
                    <w:wordWrap/>
                    <w:overflowPunct/>
                    <w:topLinePunct w:val="0"/>
                    <w:bidi w:val="0"/>
                    <w:adjustRightInd w:val="0"/>
                    <w:snapToGrid w:val="0"/>
                    <w:jc w:val="center"/>
                    <w:textAlignment w:val="auto"/>
                    <w:outlineLvl w:val="0"/>
                    <w:rPr>
                      <w:rFonts w:hint="eastAsia" w:eastAsia="宋体"/>
                      <w:color w:val="auto"/>
                      <w:szCs w:val="21"/>
                      <w:lang w:val="en-US" w:eastAsia="zh-CN"/>
                    </w:rPr>
                  </w:pPr>
                  <w:r>
                    <w:rPr>
                      <w:rFonts w:hint="eastAsia"/>
                      <w:color w:val="auto"/>
                      <w:szCs w:val="21"/>
                    </w:rPr>
                    <w:t>DA00</w:t>
                  </w:r>
                  <w:r>
                    <w:rPr>
                      <w:rFonts w:hint="eastAsia"/>
                      <w:color w:val="auto"/>
                      <w:szCs w:val="21"/>
                      <w:lang w:val="en-US" w:eastAsia="zh-CN"/>
                    </w:rPr>
                    <w:t>1</w:t>
                  </w:r>
                </w:p>
              </w:tc>
              <w:tc>
                <w:tcPr>
                  <w:tcW w:w="1311" w:type="pct"/>
                  <w:noWrap w:val="0"/>
                  <w:vAlign w:val="center"/>
                </w:tcPr>
                <w:p w14:paraId="39649D6A">
                  <w:pPr>
                    <w:keepNext w:val="0"/>
                    <w:keepLines w:val="0"/>
                    <w:pageBreakBefore w:val="0"/>
                    <w:widowControl w:val="0"/>
                    <w:kinsoku/>
                    <w:wordWrap/>
                    <w:overflowPunct/>
                    <w:topLinePunct w:val="0"/>
                    <w:bidi w:val="0"/>
                    <w:adjustRightInd w:val="0"/>
                    <w:snapToGrid w:val="0"/>
                    <w:jc w:val="center"/>
                    <w:textAlignment w:val="auto"/>
                    <w:outlineLvl w:val="0"/>
                    <w:rPr>
                      <w:rFonts w:hint="default" w:eastAsia="宋体"/>
                      <w:color w:val="auto"/>
                      <w:szCs w:val="21"/>
                      <w:lang w:val="en-US" w:eastAsia="zh-CN"/>
                    </w:rPr>
                  </w:pPr>
                  <w:r>
                    <w:rPr>
                      <w:rFonts w:hint="eastAsia"/>
                      <w:color w:val="auto"/>
                      <w:szCs w:val="21"/>
                      <w:lang w:val="en-US" w:eastAsia="zh-CN"/>
                    </w:rPr>
                    <w:t>喷码</w:t>
                  </w:r>
                  <w:r>
                    <w:rPr>
                      <w:rFonts w:hint="eastAsia"/>
                      <w:color w:val="auto"/>
                      <w:szCs w:val="21"/>
                    </w:rPr>
                    <w:t>废气的处理设施“二级活性炭吸附装置”等处理效率下降或故障，处理效率为</w:t>
                  </w:r>
                  <w:r>
                    <w:rPr>
                      <w:rFonts w:hint="eastAsia"/>
                      <w:color w:val="auto"/>
                      <w:szCs w:val="21"/>
                      <w:lang w:val="en-US" w:eastAsia="zh-CN"/>
                    </w:rPr>
                    <w:t>0%</w:t>
                  </w:r>
                </w:p>
              </w:tc>
              <w:tc>
                <w:tcPr>
                  <w:tcW w:w="350" w:type="pct"/>
                  <w:noWrap w:val="0"/>
                  <w:vAlign w:val="center"/>
                </w:tcPr>
                <w:p w14:paraId="7466B578">
                  <w:pPr>
                    <w:keepNext w:val="0"/>
                    <w:keepLines w:val="0"/>
                    <w:pageBreakBefore w:val="0"/>
                    <w:widowControl w:val="0"/>
                    <w:kinsoku/>
                    <w:wordWrap/>
                    <w:overflowPunct/>
                    <w:topLinePunct w:val="0"/>
                    <w:bidi w:val="0"/>
                    <w:adjustRightInd w:val="0"/>
                    <w:snapToGrid w:val="0"/>
                    <w:jc w:val="center"/>
                    <w:textAlignment w:val="auto"/>
                    <w:rPr>
                      <w:rFonts w:hint="eastAsia" w:eastAsia="宋体"/>
                      <w:color w:val="auto"/>
                      <w:szCs w:val="21"/>
                      <w:lang w:val="en-US" w:eastAsia="zh-CN"/>
                    </w:rPr>
                  </w:pPr>
                  <w:r>
                    <w:rPr>
                      <w:rFonts w:hint="eastAsia"/>
                      <w:color w:val="auto"/>
                      <w:szCs w:val="21"/>
                    </w:rPr>
                    <w:t>非甲烷总烃</w:t>
                  </w:r>
                </w:p>
              </w:tc>
              <w:tc>
                <w:tcPr>
                  <w:tcW w:w="387" w:type="pct"/>
                  <w:noWrap w:val="0"/>
                  <w:vAlign w:val="center"/>
                </w:tcPr>
                <w:p w14:paraId="438DEE04">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color w:val="auto"/>
                      <w:szCs w:val="21"/>
                    </w:rPr>
                    <w:t>1</w:t>
                  </w:r>
                  <w:r>
                    <w:rPr>
                      <w:rFonts w:hint="eastAsia"/>
                      <w:color w:val="auto"/>
                      <w:szCs w:val="21"/>
                    </w:rPr>
                    <w:t>~2</w:t>
                  </w:r>
                  <w:r>
                    <w:rPr>
                      <w:color w:val="auto"/>
                      <w:szCs w:val="21"/>
                    </w:rPr>
                    <w:t>次/年</w:t>
                  </w:r>
                </w:p>
              </w:tc>
              <w:tc>
                <w:tcPr>
                  <w:tcW w:w="466" w:type="pct"/>
                  <w:noWrap w:val="0"/>
                  <w:vAlign w:val="center"/>
                </w:tcPr>
                <w:p w14:paraId="7035B75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auto"/>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0648</w:t>
                  </w:r>
                </w:p>
              </w:tc>
              <w:tc>
                <w:tcPr>
                  <w:tcW w:w="372" w:type="pct"/>
                  <w:noWrap w:val="0"/>
                  <w:vAlign w:val="center"/>
                </w:tcPr>
                <w:p w14:paraId="4F2839FC">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rFonts w:hint="eastAsia"/>
                      <w:color w:val="auto"/>
                      <w:szCs w:val="21"/>
                    </w:rPr>
                    <w:t>0.5</w:t>
                  </w:r>
                </w:p>
              </w:tc>
              <w:tc>
                <w:tcPr>
                  <w:tcW w:w="1316" w:type="pct"/>
                  <w:noWrap w:val="0"/>
                  <w:vAlign w:val="center"/>
                </w:tcPr>
                <w:p w14:paraId="3E229966">
                  <w:pPr>
                    <w:keepNext w:val="0"/>
                    <w:keepLines w:val="0"/>
                    <w:pageBreakBefore w:val="0"/>
                    <w:widowControl w:val="0"/>
                    <w:kinsoku/>
                    <w:wordWrap/>
                    <w:overflowPunct/>
                    <w:topLinePunct w:val="0"/>
                    <w:bidi w:val="0"/>
                    <w:adjustRightInd w:val="0"/>
                    <w:snapToGrid w:val="0"/>
                    <w:jc w:val="center"/>
                    <w:textAlignment w:val="auto"/>
                    <w:outlineLvl w:val="0"/>
                    <w:rPr>
                      <w:color w:val="auto"/>
                      <w:szCs w:val="21"/>
                    </w:rPr>
                  </w:pPr>
                  <w:r>
                    <w:rPr>
                      <w:color w:val="auto"/>
                      <w:szCs w:val="21"/>
                    </w:rPr>
                    <w:t>立即停止</w:t>
                  </w:r>
                  <w:r>
                    <w:rPr>
                      <w:rFonts w:hint="eastAsia"/>
                      <w:color w:val="auto"/>
                      <w:szCs w:val="21"/>
                    </w:rPr>
                    <w:t>生产进行检修，</w:t>
                  </w:r>
                  <w:r>
                    <w:rPr>
                      <w:color w:val="auto"/>
                      <w:szCs w:val="21"/>
                    </w:rPr>
                    <w:t>直至废气治理设施正常运行。并定期对废气处理装置维护、维修、保养</w:t>
                  </w:r>
                </w:p>
              </w:tc>
            </w:tr>
          </w:tbl>
          <w:p w14:paraId="1BE23D78">
            <w:pPr>
              <w:adjustRightInd w:val="0"/>
              <w:snapToGrid w:val="0"/>
              <w:spacing w:before="120" w:beforeLines="50" w:line="360" w:lineRule="auto"/>
              <w:ind w:firstLine="442" w:firstLineChars="200"/>
              <w:rPr>
                <w:rFonts w:hint="eastAsia"/>
                <w:b/>
                <w:color w:val="auto"/>
                <w:spacing w:val="-10"/>
                <w:sz w:val="24"/>
              </w:rPr>
            </w:pPr>
            <w:r>
              <w:rPr>
                <w:rFonts w:hint="eastAsia"/>
                <w:b/>
                <w:color w:val="auto"/>
                <w:spacing w:val="-10"/>
                <w:sz w:val="24"/>
              </w:rPr>
              <w:t>废气影响分析</w:t>
            </w:r>
          </w:p>
          <w:p w14:paraId="59902B5D">
            <w:pPr>
              <w:autoSpaceDE w:val="0"/>
              <w:autoSpaceDN w:val="0"/>
              <w:adjustRightInd w:val="0"/>
              <w:snapToGrid w:val="0"/>
              <w:spacing w:line="360" w:lineRule="auto"/>
              <w:ind w:firstLine="480" w:firstLineChars="200"/>
              <w:rPr>
                <w:color w:val="auto"/>
                <w:kern w:val="0"/>
                <w:sz w:val="24"/>
              </w:rPr>
            </w:pPr>
            <w:r>
              <w:rPr>
                <w:rFonts w:hint="eastAsia"/>
                <w:color w:val="auto"/>
                <w:sz w:val="24"/>
              </w:rPr>
              <w:t>本项目位于</w:t>
            </w:r>
            <w:r>
              <w:rPr>
                <w:rFonts w:hint="eastAsia" w:cs="Times New Roman"/>
                <w:color w:val="auto"/>
                <w:kern w:val="0"/>
                <w:sz w:val="24"/>
                <w:lang w:eastAsia="zh-CN"/>
              </w:rPr>
              <w:t>安徽省宿州市埇桥区朱仙庄镇三塔路与幸福路向南20米</w:t>
            </w:r>
            <w:r>
              <w:rPr>
                <w:color w:val="auto"/>
                <w:sz w:val="24"/>
              </w:rPr>
              <w:t>，</w:t>
            </w:r>
            <w:r>
              <w:rPr>
                <w:rFonts w:hint="eastAsia" w:ascii="宋体" w:hAnsi="宋体" w:cs="宋体"/>
                <w:color w:val="auto"/>
                <w:kern w:val="0"/>
                <w:sz w:val="24"/>
                <w:lang w:bidi="ar"/>
              </w:rPr>
              <w:t>根据</w:t>
            </w:r>
            <w:r>
              <w:rPr>
                <w:color w:val="auto"/>
                <w:kern w:val="0"/>
                <w:sz w:val="24"/>
              </w:rPr>
              <w:t>《202</w:t>
            </w:r>
            <w:r>
              <w:rPr>
                <w:rFonts w:hint="eastAsia"/>
                <w:color w:val="auto"/>
                <w:kern w:val="0"/>
                <w:sz w:val="24"/>
                <w:lang w:val="en-US" w:eastAsia="zh-CN"/>
              </w:rPr>
              <w:t>4</w:t>
            </w:r>
            <w:r>
              <w:rPr>
                <w:color w:val="auto"/>
                <w:kern w:val="0"/>
                <w:sz w:val="24"/>
              </w:rPr>
              <w:t>年宿州市环境质量公报》，</w:t>
            </w:r>
            <w:r>
              <w:rPr>
                <w:rFonts w:hint="eastAsia"/>
                <w:color w:val="auto"/>
                <w:kern w:val="0"/>
                <w:sz w:val="24"/>
                <w:lang w:eastAsia="zh-CN"/>
              </w:rPr>
              <w:t>项目</w:t>
            </w:r>
            <w:r>
              <w:rPr>
                <w:color w:val="auto"/>
                <w:kern w:val="0"/>
                <w:sz w:val="24"/>
              </w:rPr>
              <w:t>所在地为大气环境空气质量不达标区。</w:t>
            </w:r>
          </w:p>
          <w:p w14:paraId="42052C25">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w:t>
            </w:r>
            <w:r>
              <w:rPr>
                <w:rFonts w:hint="default" w:ascii="Times New Roman" w:hAnsi="Times New Roman" w:eastAsia="宋体" w:cs="Times New Roman"/>
                <w:color w:val="auto"/>
                <w:sz w:val="24"/>
                <w:highlight w:val="none"/>
                <w:lang w:eastAsia="zh-CN"/>
              </w:rPr>
              <w:t>项目</w:t>
            </w:r>
            <w:r>
              <w:rPr>
                <w:rFonts w:hint="eastAsia" w:ascii="Times New Roman" w:hAnsi="Times New Roman" w:eastAsia="宋体" w:cs="Times New Roman"/>
                <w:color w:val="auto"/>
                <w:sz w:val="24"/>
                <w:lang w:val="en-US" w:eastAsia="zh-CN"/>
              </w:rPr>
              <w:t>喷码产生的有机废气参照执行</w:t>
            </w:r>
            <w:r>
              <w:rPr>
                <w:rFonts w:hint="default" w:ascii="Times New Roman" w:hAnsi="Times New Roman" w:eastAsia="宋体" w:cs="Times New Roman"/>
                <w:color w:val="auto"/>
                <w:sz w:val="24"/>
                <w:highlight w:val="none"/>
                <w:lang w:val="en-US" w:eastAsia="zh-CN"/>
              </w:rPr>
              <w:t>《固定源挥发性有机物综合排放标准第 4部分：印刷工业》</w:t>
            </w:r>
            <w:r>
              <w:rPr>
                <w:rFonts w:hint="eastAsia"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lang w:val="en-US" w:eastAsia="zh-CN"/>
              </w:rPr>
              <w:t>表1挥发性有机物排放限值</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厂区内非甲烷总烃无组织排放</w:t>
            </w:r>
            <w:r>
              <w:rPr>
                <w:rFonts w:hint="eastAsia" w:ascii="Times New Roman" w:hAnsi="Times New Roman" w:eastAsia="宋体" w:cs="Times New Roman"/>
                <w:color w:val="auto"/>
                <w:sz w:val="24"/>
                <w:highlight w:val="none"/>
                <w:lang w:val="en-US" w:eastAsia="zh-CN"/>
              </w:rPr>
              <w:t>参照</w:t>
            </w:r>
            <w:r>
              <w:rPr>
                <w:rFonts w:hint="default" w:ascii="Times New Roman" w:hAnsi="Times New Roman" w:eastAsia="宋体" w:cs="Times New Roman"/>
                <w:color w:val="auto"/>
                <w:sz w:val="24"/>
                <w:highlight w:val="none"/>
                <w:lang w:val="en-US" w:eastAsia="zh-CN"/>
              </w:rPr>
              <w:t>执行《固定源挥发</w:t>
            </w:r>
            <w:r>
              <w:rPr>
                <w:rFonts w:hint="default" w:ascii="Times New Roman" w:hAnsi="Times New Roman" w:eastAsia="宋体" w:cs="Times New Roman"/>
                <w:b w:val="0"/>
                <w:bCs w:val="0"/>
                <w:color w:val="auto"/>
                <w:sz w:val="24"/>
                <w:highlight w:val="none"/>
                <w:lang w:val="en-US" w:eastAsia="zh-CN"/>
              </w:rPr>
              <w:t>性有机物综合排放标准第4部分：印刷工业》中的表3挥发性有机物排放限值</w:t>
            </w:r>
            <w:r>
              <w:rPr>
                <w:rFonts w:hint="eastAsia" w:cs="Times New Roman"/>
                <w:b w:val="0"/>
                <w:bCs w:val="0"/>
                <w:color w:val="auto"/>
                <w:sz w:val="24"/>
                <w:highlight w:val="none"/>
                <w:lang w:val="en-US" w:eastAsia="zh-CN"/>
              </w:rPr>
              <w:t>；厂界非甲烷总烃执行</w:t>
            </w:r>
            <w:r>
              <w:rPr>
                <w:b w:val="0"/>
                <w:bCs w:val="0"/>
                <w:color w:val="auto"/>
                <w:sz w:val="24"/>
              </w:rPr>
              <w:t>《</w:t>
            </w:r>
            <w:r>
              <w:rPr>
                <w:rFonts w:hint="eastAsia"/>
                <w:b w:val="0"/>
                <w:bCs w:val="0"/>
                <w:color w:val="auto"/>
                <w:sz w:val="24"/>
                <w:lang w:val="en-US" w:eastAsia="zh-CN"/>
              </w:rPr>
              <w:t>大气污染物综合排放标准</w:t>
            </w:r>
            <w:r>
              <w:rPr>
                <w:b w:val="0"/>
                <w:bCs w:val="0"/>
                <w:color w:val="auto"/>
                <w:sz w:val="24"/>
              </w:rPr>
              <w:t>》（GB</w:t>
            </w:r>
            <w:r>
              <w:rPr>
                <w:rFonts w:hint="eastAsia"/>
                <w:b w:val="0"/>
                <w:bCs w:val="0"/>
                <w:color w:val="auto"/>
                <w:sz w:val="24"/>
                <w:lang w:val="en-US" w:eastAsia="zh-CN"/>
              </w:rPr>
              <w:t>16297</w:t>
            </w:r>
            <w:r>
              <w:rPr>
                <w:b w:val="0"/>
                <w:bCs w:val="0"/>
                <w:color w:val="auto"/>
                <w:sz w:val="24"/>
              </w:rPr>
              <w:t>-</w:t>
            </w:r>
            <w:r>
              <w:rPr>
                <w:rFonts w:hint="eastAsia"/>
                <w:b w:val="0"/>
                <w:bCs w:val="0"/>
                <w:color w:val="auto"/>
                <w:sz w:val="24"/>
                <w:lang w:val="en-US" w:eastAsia="zh-CN"/>
              </w:rPr>
              <w:t>1996</w:t>
            </w:r>
            <w:r>
              <w:rPr>
                <w:b w:val="0"/>
                <w:bCs w:val="0"/>
                <w:color w:val="auto"/>
                <w:sz w:val="24"/>
              </w:rPr>
              <w:t>）</w:t>
            </w:r>
            <w:r>
              <w:rPr>
                <w:rFonts w:hint="eastAsia"/>
                <w:b w:val="0"/>
                <w:bCs w:val="0"/>
                <w:color w:val="auto"/>
                <w:sz w:val="24"/>
              </w:rPr>
              <w:t>表2新污染源大气污染物排放限值</w:t>
            </w:r>
            <w:r>
              <w:rPr>
                <w:rFonts w:hint="default" w:ascii="Times New Roman" w:hAnsi="Times New Roman" w:eastAsia="宋体" w:cs="Times New Roman"/>
                <w:color w:val="auto"/>
                <w:sz w:val="24"/>
                <w:highlight w:val="none"/>
              </w:rPr>
              <w:t>。</w:t>
            </w:r>
          </w:p>
          <w:p w14:paraId="25922E86">
            <w:pPr>
              <w:autoSpaceDE w:val="0"/>
              <w:autoSpaceDN w:val="0"/>
              <w:adjustRightInd w:val="0"/>
              <w:snapToGrid w:val="0"/>
              <w:spacing w:line="360" w:lineRule="auto"/>
              <w:ind w:firstLine="480" w:firstLineChars="200"/>
              <w:rPr>
                <w:color w:val="auto"/>
              </w:rPr>
            </w:pPr>
            <w:r>
              <w:rPr>
                <w:color w:val="auto"/>
                <w:sz w:val="24"/>
              </w:rPr>
              <w:t>综上</w:t>
            </w:r>
            <w:r>
              <w:rPr>
                <w:rFonts w:hint="eastAsia"/>
                <w:color w:val="auto"/>
                <w:sz w:val="24"/>
              </w:rPr>
              <w:t>，</w:t>
            </w:r>
            <w:r>
              <w:rPr>
                <w:color w:val="auto"/>
                <w:sz w:val="24"/>
              </w:rPr>
              <w:t>该项目产生的大气污染物在落实本次评价的废气防治措施后，对区域大气环境质量影响较小。</w:t>
            </w:r>
          </w:p>
          <w:p w14:paraId="664A991A">
            <w:pPr>
              <w:spacing w:line="360" w:lineRule="auto"/>
              <w:ind w:firstLine="482" w:firstLineChars="200"/>
              <w:rPr>
                <w:b/>
                <w:bCs/>
                <w:sz w:val="24"/>
              </w:rPr>
            </w:pPr>
            <w:r>
              <w:rPr>
                <w:b/>
                <w:bCs/>
                <w:sz w:val="24"/>
              </w:rPr>
              <w:t>2、废水</w:t>
            </w:r>
          </w:p>
          <w:p w14:paraId="442F1E34">
            <w:pPr>
              <w:spacing w:line="360" w:lineRule="auto"/>
              <w:ind w:firstLine="482" w:firstLineChars="200"/>
              <w:rPr>
                <w:b/>
                <w:bCs/>
                <w:sz w:val="24"/>
              </w:rPr>
            </w:pPr>
            <w:r>
              <w:rPr>
                <w:b/>
                <w:bCs/>
                <w:sz w:val="24"/>
              </w:rPr>
              <w:t xml:space="preserve"> 废水产排污情况及污染防治措施</w:t>
            </w:r>
          </w:p>
          <w:p w14:paraId="39ED724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项目营运期用水主要为员工办公生活用水和</w:t>
            </w:r>
            <w:r>
              <w:rPr>
                <w:rFonts w:hint="default" w:ascii="Times New Roman" w:hAnsi="Times New Roman" w:eastAsia="宋体" w:cs="Times New Roman"/>
                <w:sz w:val="24"/>
                <w:szCs w:val="24"/>
              </w:rPr>
              <w:t>破碎及调浆用水</w:t>
            </w:r>
            <w:r>
              <w:rPr>
                <w:rFonts w:hint="eastAsia" w:ascii="Times New Roman" w:hAnsi="Times New Roman" w:eastAsia="宋体" w:cs="Times New Roman"/>
                <w:sz w:val="24"/>
                <w:highlight w:val="none"/>
              </w:rPr>
              <w:t>。</w:t>
            </w:r>
          </w:p>
          <w:p w14:paraId="456BCC0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①员工办公生活用水</w:t>
            </w:r>
          </w:p>
          <w:p w14:paraId="6F7D798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highlight w:val="none"/>
              </w:rPr>
            </w:pPr>
            <w:r>
              <w:rPr>
                <w:rFonts w:hint="default" w:ascii="Times New Roman" w:hAnsi="Times New Roman" w:eastAsia="宋体" w:cs="Times New Roman"/>
                <w:color w:val="auto"/>
                <w:sz w:val="24"/>
                <w:szCs w:val="24"/>
                <w:highlight w:val="none"/>
                <w:lang w:eastAsia="zh-CN"/>
              </w:rPr>
              <w:t>本项目职工定员</w:t>
            </w:r>
            <w:r>
              <w:rPr>
                <w:rFonts w:hint="eastAsia" w:ascii="Times New Roman" w:hAnsi="Times New Roman"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eastAsia="zh-CN"/>
              </w:rPr>
              <w:t>人，年工作时间为</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eastAsia="zh-CN"/>
              </w:rPr>
              <w:t>天，厂区不提供食</w:t>
            </w:r>
            <w:r>
              <w:rPr>
                <w:rFonts w:hint="eastAsia" w:ascii="Times New Roman" w:hAnsi="Times New Roman" w:cs="Times New Roman"/>
                <w:color w:val="auto"/>
                <w:sz w:val="24"/>
                <w:szCs w:val="24"/>
                <w:highlight w:val="none"/>
                <w:lang w:val="en-US" w:eastAsia="zh-CN"/>
              </w:rPr>
              <w:t>宿</w:t>
            </w:r>
            <w:r>
              <w:rPr>
                <w:rFonts w:hint="default" w:ascii="Times New Roman" w:hAnsi="Times New Roman" w:eastAsia="宋体" w:cs="Times New Roman"/>
                <w:color w:val="auto"/>
                <w:sz w:val="24"/>
                <w:szCs w:val="24"/>
                <w:highlight w:val="none"/>
                <w:lang w:eastAsia="zh-CN"/>
              </w:rPr>
              <w:t>。根据《安徽省行业用水定额》（DB34/T 679-20</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eastAsia="zh-CN"/>
              </w:rPr>
              <w:t>），人均用水量取</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。则本项目生活用水量为</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eastAsia="zh-CN"/>
              </w:rPr>
              <w:t>t/d（</w:t>
            </w:r>
            <w:r>
              <w:rPr>
                <w:rFonts w:hint="eastAsia"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color w:val="auto"/>
                <w:sz w:val="24"/>
                <w:szCs w:val="24"/>
                <w:highlight w:val="none"/>
                <w:lang w:eastAsia="zh-CN"/>
              </w:rPr>
              <w:t>t/a），生活污水量按照用水量的80%计算，则生活污水产生量约为</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t/d（</w:t>
            </w:r>
            <w:r>
              <w:rPr>
                <w:rFonts w:hint="eastAsia" w:ascii="Times New Roman" w:hAnsi="Times New Roman" w:eastAsia="宋体" w:cs="Times New Roman"/>
                <w:color w:val="auto"/>
                <w:sz w:val="24"/>
                <w:szCs w:val="24"/>
                <w:highlight w:val="none"/>
                <w:lang w:val="en-US" w:eastAsia="zh-CN"/>
              </w:rPr>
              <w:t>600</w:t>
            </w:r>
            <w:r>
              <w:rPr>
                <w:rFonts w:hint="default" w:ascii="Times New Roman" w:hAnsi="Times New Roman" w:eastAsia="宋体" w:cs="Times New Roman"/>
                <w:color w:val="auto"/>
                <w:sz w:val="24"/>
                <w:szCs w:val="24"/>
                <w:highlight w:val="none"/>
                <w:lang w:eastAsia="zh-CN"/>
              </w:rPr>
              <w:t>t/a）。</w:t>
            </w:r>
            <w:r>
              <w:rPr>
                <w:rFonts w:hint="eastAsia" w:ascii="Times New Roman" w:hAnsi="Times New Roman" w:eastAsia="宋体" w:cs="Times New Roman"/>
                <w:sz w:val="24"/>
                <w:highlight w:val="none"/>
              </w:rPr>
              <w:t>员工生活污水经化粪池处理后定期清掏，不外排。</w:t>
            </w:r>
          </w:p>
          <w:p w14:paraId="4E8542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②破碎及调浆用水 </w:t>
            </w:r>
          </w:p>
          <w:p w14:paraId="2204E3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根据企业提供资料可知，本项目破碎及搅拌调浆过程均需添加水，项目破碎1t干纸需要0.5m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水，1t干纸破碎后得到1.5t碎纸，搅拌调浆1t打碎后的碎纸需3m³水，则项目破碎+搅拌1t干纸需要用水量约5m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。项目将调配好的浆料吸入成型模具挤压定型产生的废水约占用水量的35%，则项目1t干纸废水产生量约1.75m³，项目干纸（纸箱边角料）使用量约</w:t>
            </w:r>
            <w:r>
              <w:rPr>
                <w:rFonts w:hint="eastAsia" w:ascii="Times New Roman" w:hAnsi="Times New Roman" w:eastAsia="宋体" w:cs="Times New Roman"/>
                <w:sz w:val="24"/>
                <w:szCs w:val="24"/>
                <w:lang w:val="en-US" w:eastAsia="zh-CN"/>
              </w:rPr>
              <w:t>8000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/a，用水量约</w:t>
            </w:r>
            <w:r>
              <w:rPr>
                <w:rFonts w:hint="eastAsia" w:ascii="Times New Roman" w:hAnsi="Times New Roman" w:eastAsia="宋体" w:cs="Times New Roman"/>
                <w:sz w:val="24"/>
                <w:szCs w:val="24"/>
                <w:lang w:val="en-US" w:eastAsia="zh-CN"/>
              </w:rPr>
              <w:t>133.3</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z w:val="24"/>
                <w:szCs w:val="24"/>
                <w:lang w:val="en-US" w:eastAsia="zh-CN"/>
              </w:rPr>
              <w:t>40000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/a），压制成型废水产生量约</w:t>
            </w:r>
            <w:r>
              <w:rPr>
                <w:rFonts w:hint="eastAsia" w:ascii="Times New Roman" w:hAnsi="Times New Roman" w:eastAsia="宋体" w:cs="Times New Roman"/>
                <w:sz w:val="24"/>
                <w:szCs w:val="24"/>
                <w:lang w:val="en-US" w:eastAsia="zh-CN"/>
              </w:rPr>
              <w:t>46.7</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z w:val="24"/>
                <w:szCs w:val="24"/>
                <w:lang w:val="en-US" w:eastAsia="zh-CN"/>
              </w:rPr>
              <w:t>14000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 由于项目产品对水质要求不高，这部分水全部回用于破碎及搅拌调浆用水，则需补充新鲜水</w:t>
            </w:r>
            <w:r>
              <w:rPr>
                <w:rFonts w:hint="eastAsia" w:ascii="Times New Roman" w:hAnsi="Times New Roman" w:eastAsia="宋体" w:cs="Times New Roman"/>
                <w:sz w:val="24"/>
                <w:szCs w:val="24"/>
                <w:lang w:val="en-US" w:eastAsia="zh-CN"/>
              </w:rPr>
              <w:t>86.6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z w:val="24"/>
                <w:szCs w:val="24"/>
                <w:lang w:val="en-US" w:eastAsia="zh-CN"/>
              </w:rPr>
              <w:t>25980</w:t>
            </w:r>
            <w:r>
              <w:rPr>
                <w:rFonts w:hint="default" w:ascii="Times New Roman" w:hAnsi="Times New Roman" w:eastAsia="宋体" w:cs="Times New Roman"/>
                <w:sz w:val="24"/>
                <w:szCs w:val="24"/>
              </w:rPr>
              <w:t xml:space="preserve">m³/a）。 </w:t>
            </w:r>
          </w:p>
          <w:p w14:paraId="660D4E9E">
            <w:pPr>
              <w:spacing w:line="360" w:lineRule="auto"/>
              <w:ind w:firstLine="482" w:firstLineChars="200"/>
              <w:rPr>
                <w:b/>
                <w:bCs/>
                <w:sz w:val="24"/>
              </w:rPr>
            </w:pPr>
            <w:r>
              <w:rPr>
                <w:b/>
                <w:bCs/>
                <w:sz w:val="24"/>
              </w:rPr>
              <w:t>废水排放的达标性分析</w:t>
            </w:r>
          </w:p>
          <w:p w14:paraId="58DB3A1B">
            <w:pPr>
              <w:spacing w:line="360" w:lineRule="auto"/>
              <w:ind w:firstLine="480" w:firstLineChars="200"/>
              <w:rPr>
                <w:sz w:val="24"/>
              </w:rPr>
            </w:pPr>
            <w:r>
              <w:rPr>
                <w:sz w:val="24"/>
              </w:rPr>
              <w:t>本项目无外排废水。</w:t>
            </w:r>
            <w:r>
              <w:rPr>
                <w:rFonts w:hint="eastAsia" w:ascii="宋体" w:hAnsi="宋体" w:cs="宋体"/>
                <w:sz w:val="24"/>
              </w:rPr>
              <w:t>项目</w:t>
            </w:r>
            <w:r>
              <w:rPr>
                <w:rFonts w:hint="eastAsia" w:ascii="宋体" w:hAnsi="宋体" w:cs="宋体"/>
                <w:sz w:val="24"/>
                <w:lang w:val="en-US" w:eastAsia="zh-CN"/>
              </w:rPr>
              <w:t>生产用水</w:t>
            </w:r>
            <w:r>
              <w:rPr>
                <w:rFonts w:hint="eastAsia" w:ascii="宋体" w:hAnsi="宋体" w:cs="宋体"/>
                <w:sz w:val="24"/>
              </w:rPr>
              <w:t>，定期补充</w:t>
            </w:r>
            <w:r>
              <w:rPr>
                <w:rFonts w:hint="eastAsia" w:ascii="宋体" w:hAnsi="宋体" w:cs="宋体"/>
                <w:sz w:val="24"/>
                <w:lang w:eastAsia="zh-CN"/>
              </w:rPr>
              <w:t>，</w:t>
            </w:r>
            <w:r>
              <w:rPr>
                <w:rFonts w:hint="eastAsia" w:ascii="宋体" w:hAnsi="宋体" w:cs="宋体"/>
                <w:sz w:val="24"/>
                <w:lang w:val="en-US" w:eastAsia="zh-CN"/>
              </w:rPr>
              <w:t>循环使用</w:t>
            </w:r>
            <w:r>
              <w:rPr>
                <w:rFonts w:hint="eastAsia" w:ascii="宋体" w:hAnsi="宋体" w:cs="宋体"/>
                <w:sz w:val="24"/>
              </w:rPr>
              <w:t>，不外排</w:t>
            </w:r>
            <w:r>
              <w:rPr>
                <w:rFonts w:ascii="宋体" w:hAnsi="宋体" w:cs="宋体"/>
                <w:sz w:val="24"/>
              </w:rPr>
              <w:t>；生活污水进入化粪池处理后，定期清掏，不外排</w:t>
            </w:r>
            <w:r>
              <w:rPr>
                <w:sz w:val="24"/>
              </w:rPr>
              <w:t>。由此可见，本项目运营后产生的废水对周围环境影响较小。</w:t>
            </w:r>
          </w:p>
          <w:p w14:paraId="610ADE70">
            <w:pPr>
              <w:spacing w:line="360" w:lineRule="auto"/>
              <w:ind w:firstLine="482" w:firstLineChars="200"/>
              <w:rPr>
                <w:b/>
                <w:bCs/>
                <w:sz w:val="24"/>
              </w:rPr>
            </w:pPr>
            <w:r>
              <w:rPr>
                <w:b/>
                <w:bCs/>
                <w:sz w:val="24"/>
              </w:rPr>
              <w:t>3、噪声</w:t>
            </w:r>
          </w:p>
          <w:p w14:paraId="439D220B">
            <w:pPr>
              <w:spacing w:line="360" w:lineRule="auto"/>
              <w:ind w:firstLine="480" w:firstLineChars="200"/>
              <w:rPr>
                <w:sz w:val="24"/>
              </w:rPr>
            </w:pPr>
            <w:r>
              <w:rPr>
                <w:sz w:val="24"/>
              </w:rPr>
              <w:t>（1）噪声污染源强分析</w:t>
            </w:r>
          </w:p>
          <w:p w14:paraId="52646B6A">
            <w:pPr>
              <w:spacing w:line="360" w:lineRule="auto"/>
              <w:ind w:firstLine="480" w:firstLineChars="200"/>
            </w:pPr>
            <w:r>
              <w:rPr>
                <w:sz w:val="24"/>
              </w:rPr>
              <w:t>项目噪声源主要为各成型机、碎料机、各类泵、液压升降平台</w:t>
            </w:r>
            <w:r>
              <w:rPr>
                <w:rFonts w:hint="eastAsia"/>
                <w:sz w:val="24"/>
                <w:lang w:eastAsia="zh-CN"/>
              </w:rPr>
              <w:t>、</w:t>
            </w:r>
            <w:r>
              <w:rPr>
                <w:sz w:val="24"/>
              </w:rPr>
              <w:t>各整形机、烘干机、压缩机、油压机、烘房、吊篮系统、气动喷枪、废气处理设备配套风机等设备的运行噪声，距离设备1 m处的平均声级在6</w:t>
            </w:r>
            <w:r>
              <w:rPr>
                <w:rFonts w:hint="eastAsia"/>
                <w:sz w:val="24"/>
                <w:lang w:val="en-US" w:eastAsia="zh-CN"/>
              </w:rPr>
              <w:t>0</w:t>
            </w:r>
            <w:r>
              <w:rPr>
                <w:sz w:val="24"/>
              </w:rPr>
              <w:t>-8</w:t>
            </w:r>
            <w:r>
              <w:rPr>
                <w:rFonts w:hint="eastAsia"/>
                <w:sz w:val="24"/>
                <w:lang w:val="en-US" w:eastAsia="zh-CN"/>
              </w:rPr>
              <w:t>0</w:t>
            </w:r>
            <w:r>
              <w:rPr>
                <w:sz w:val="24"/>
              </w:rPr>
              <w:t xml:space="preserve"> dB左右。具体情况见下表</w:t>
            </w:r>
            <w:r>
              <w:rPr>
                <w:rFonts w:hint="eastAsia"/>
                <w:sz w:val="24"/>
                <w:lang w:val="en-US" w:eastAsia="zh-CN"/>
              </w:rPr>
              <w:t>4.5</w:t>
            </w:r>
            <w:r>
              <w:rPr>
                <w:sz w:val="24"/>
              </w:rPr>
              <w:t>。</w:t>
            </w:r>
          </w:p>
          <w:p w14:paraId="41EF94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表4.</w:t>
            </w:r>
            <w:r>
              <w:rPr>
                <w:rFonts w:hint="eastAsia" w:cs="Times New Roman"/>
                <w:b/>
                <w:bCs/>
                <w:color w:val="auto"/>
                <w:sz w:val="24"/>
                <w:lang w:val="en-US" w:eastAsia="zh-CN"/>
              </w:rPr>
              <w:t>5</w:t>
            </w:r>
            <w:r>
              <w:rPr>
                <w:rFonts w:hint="eastAsia"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rPr>
              <w:t>项目生产车间噪声源强 单位：</w:t>
            </w:r>
            <w:r>
              <w:rPr>
                <w:rFonts w:ascii="Times New Roman" w:hAnsi="Times New Roman" w:eastAsia="宋体" w:cs="Times New Roman"/>
                <w:b/>
                <w:bCs/>
                <w:color w:val="auto"/>
                <w:sz w:val="24"/>
              </w:rPr>
              <w:t>dB（A）</w:t>
            </w:r>
          </w:p>
          <w:tbl>
            <w:tblPr>
              <w:tblStyle w:val="81"/>
              <w:tblW w:w="497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42"/>
              <w:gridCol w:w="650"/>
              <w:gridCol w:w="457"/>
              <w:gridCol w:w="457"/>
              <w:gridCol w:w="602"/>
              <w:gridCol w:w="383"/>
              <w:gridCol w:w="383"/>
              <w:gridCol w:w="393"/>
              <w:gridCol w:w="936"/>
              <w:gridCol w:w="1032"/>
              <w:gridCol w:w="476"/>
              <w:gridCol w:w="678"/>
              <w:gridCol w:w="887"/>
              <w:gridCol w:w="510"/>
            </w:tblGrid>
            <w:tr w14:paraId="442E2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7" w:type="pct"/>
                  <w:vMerge w:val="restart"/>
                  <w:tcBorders>
                    <w:tl2br w:val="nil"/>
                    <w:tr2bl w:val="nil"/>
                  </w:tcBorders>
                  <w:noWrap w:val="0"/>
                  <w:vAlign w:val="center"/>
                </w:tcPr>
                <w:p w14:paraId="338AC2D2">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392" w:type="pct"/>
                  <w:vMerge w:val="restart"/>
                  <w:tcBorders>
                    <w:tl2br w:val="nil"/>
                    <w:tr2bl w:val="nil"/>
                  </w:tcBorders>
                  <w:noWrap w:val="0"/>
                  <w:vAlign w:val="center"/>
                </w:tcPr>
                <w:p w14:paraId="54850F4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w:t>
                  </w:r>
                </w:p>
                <w:p w14:paraId="27505475">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名称</w:t>
                  </w:r>
                </w:p>
              </w:tc>
              <w:tc>
                <w:tcPr>
                  <w:tcW w:w="276" w:type="pct"/>
                  <w:vMerge w:val="restart"/>
                  <w:tcBorders>
                    <w:tl2br w:val="nil"/>
                    <w:tr2bl w:val="nil"/>
                  </w:tcBorders>
                  <w:noWrap w:val="0"/>
                  <w:vAlign w:val="center"/>
                </w:tcPr>
                <w:p w14:paraId="32F3CC63">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数量（台/套）</w:t>
                  </w:r>
                </w:p>
              </w:tc>
              <w:tc>
                <w:tcPr>
                  <w:tcW w:w="276" w:type="pct"/>
                  <w:vMerge w:val="restart"/>
                  <w:tcBorders>
                    <w:tl2br w:val="nil"/>
                    <w:tr2bl w:val="nil"/>
                  </w:tcBorders>
                  <w:noWrap w:val="0"/>
                  <w:vAlign w:val="center"/>
                </w:tcPr>
                <w:p w14:paraId="0F741CA8">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声功率级dB（A/</w:t>
                  </w:r>
                </w:p>
              </w:tc>
              <w:tc>
                <w:tcPr>
                  <w:tcW w:w="363" w:type="pct"/>
                  <w:vMerge w:val="restart"/>
                  <w:tcBorders>
                    <w:tl2br w:val="nil"/>
                    <w:tr2bl w:val="nil"/>
                  </w:tcBorders>
                  <w:noWrap w:val="0"/>
                  <w:vAlign w:val="center"/>
                </w:tcPr>
                <w:p w14:paraId="4A8A073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声源控制措施</w:t>
                  </w:r>
                </w:p>
              </w:tc>
              <w:tc>
                <w:tcPr>
                  <w:tcW w:w="699" w:type="pct"/>
                  <w:gridSpan w:val="3"/>
                  <w:tcBorders>
                    <w:tl2br w:val="nil"/>
                    <w:tr2bl w:val="nil"/>
                  </w:tcBorders>
                  <w:noWrap w:val="0"/>
                  <w:vAlign w:val="center"/>
                </w:tcPr>
                <w:p w14:paraId="118969AB">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空间相对距离</w:t>
                  </w:r>
                </w:p>
              </w:tc>
              <w:tc>
                <w:tcPr>
                  <w:tcW w:w="565" w:type="pct"/>
                  <w:vMerge w:val="restart"/>
                  <w:tcBorders>
                    <w:tl2br w:val="nil"/>
                    <w:tr2bl w:val="nil"/>
                  </w:tcBorders>
                  <w:noWrap w:val="0"/>
                  <w:vAlign w:val="center"/>
                </w:tcPr>
                <w:p w14:paraId="7356F3CC">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距室内边界距离/m</w:t>
                  </w:r>
                </w:p>
              </w:tc>
              <w:tc>
                <w:tcPr>
                  <w:tcW w:w="623" w:type="pct"/>
                  <w:vMerge w:val="restart"/>
                  <w:tcBorders>
                    <w:tl2br w:val="nil"/>
                    <w:tr2bl w:val="nil"/>
                  </w:tcBorders>
                  <w:noWrap w:val="0"/>
                  <w:vAlign w:val="center"/>
                </w:tcPr>
                <w:p w14:paraId="61BEACA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室内边界声级/dB（A）</w:t>
                  </w:r>
                </w:p>
              </w:tc>
              <w:tc>
                <w:tcPr>
                  <w:tcW w:w="287" w:type="pct"/>
                  <w:vMerge w:val="restart"/>
                  <w:tcBorders>
                    <w:tl2br w:val="nil"/>
                    <w:tr2bl w:val="nil"/>
                  </w:tcBorders>
                  <w:noWrap w:val="0"/>
                  <w:vAlign w:val="center"/>
                </w:tcPr>
                <w:p w14:paraId="2D20902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运行时段</w:t>
                  </w:r>
                </w:p>
              </w:tc>
              <w:tc>
                <w:tcPr>
                  <w:tcW w:w="409" w:type="pct"/>
                  <w:vMerge w:val="restart"/>
                  <w:tcBorders>
                    <w:tl2br w:val="nil"/>
                    <w:tr2bl w:val="nil"/>
                  </w:tcBorders>
                  <w:noWrap w:val="0"/>
                  <w:vAlign w:val="center"/>
                </w:tcPr>
                <w:p w14:paraId="3881D7BE">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建筑物插入损失/dB（A）</w:t>
                  </w:r>
                </w:p>
              </w:tc>
              <w:tc>
                <w:tcPr>
                  <w:tcW w:w="836" w:type="pct"/>
                  <w:gridSpan w:val="2"/>
                  <w:tcBorders>
                    <w:tl2br w:val="nil"/>
                    <w:tr2bl w:val="nil"/>
                  </w:tcBorders>
                  <w:noWrap w:val="0"/>
                  <w:vAlign w:val="center"/>
                </w:tcPr>
                <w:p w14:paraId="46D3C5BB">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建筑物外噪声</w:t>
                  </w:r>
                </w:p>
              </w:tc>
            </w:tr>
            <w:tr w14:paraId="75FD9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7" w:type="pct"/>
                  <w:vMerge w:val="continue"/>
                  <w:tcBorders>
                    <w:tl2br w:val="nil"/>
                    <w:tr2bl w:val="nil"/>
                  </w:tcBorders>
                  <w:noWrap w:val="0"/>
                  <w:vAlign w:val="center"/>
                </w:tcPr>
                <w:p w14:paraId="361FEF2E">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392" w:type="pct"/>
                  <w:vMerge w:val="continue"/>
                  <w:tcBorders>
                    <w:tl2br w:val="nil"/>
                    <w:tr2bl w:val="nil"/>
                  </w:tcBorders>
                  <w:noWrap w:val="0"/>
                  <w:vAlign w:val="center"/>
                </w:tcPr>
                <w:p w14:paraId="6A68AF98">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276" w:type="pct"/>
                  <w:vMerge w:val="continue"/>
                  <w:tcBorders>
                    <w:tl2br w:val="nil"/>
                    <w:tr2bl w:val="nil"/>
                  </w:tcBorders>
                  <w:noWrap w:val="0"/>
                  <w:vAlign w:val="center"/>
                </w:tcPr>
                <w:p w14:paraId="33E500C3">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276" w:type="pct"/>
                  <w:vMerge w:val="continue"/>
                  <w:tcBorders>
                    <w:tl2br w:val="nil"/>
                    <w:tr2bl w:val="nil"/>
                  </w:tcBorders>
                  <w:noWrap w:val="0"/>
                  <w:vAlign w:val="center"/>
                </w:tcPr>
                <w:p w14:paraId="1D8E9EB4">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363" w:type="pct"/>
                  <w:vMerge w:val="continue"/>
                  <w:tcBorders>
                    <w:tl2br w:val="nil"/>
                    <w:tr2bl w:val="nil"/>
                  </w:tcBorders>
                  <w:noWrap w:val="0"/>
                  <w:vAlign w:val="center"/>
                </w:tcPr>
                <w:p w14:paraId="67B4EDB6">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231" w:type="pct"/>
                  <w:tcBorders>
                    <w:tl2br w:val="nil"/>
                    <w:tr2bl w:val="nil"/>
                  </w:tcBorders>
                  <w:noWrap w:val="0"/>
                  <w:vAlign w:val="center"/>
                </w:tcPr>
                <w:p w14:paraId="790B8500">
                  <w:pPr>
                    <w:pStyle w:val="82"/>
                    <w:keepNext w:val="0"/>
                    <w:keepLines w:val="0"/>
                    <w:pageBreakBefore w:val="0"/>
                    <w:kinsoku/>
                    <w:wordWrap/>
                    <w:overflowPunct/>
                    <w:topLinePunct w:val="0"/>
                    <w:autoSpaceDN w:val="0"/>
                    <w:bidi w:val="0"/>
                    <w:adjustRightInd/>
                    <w:snapToGrid/>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X</w:t>
                  </w:r>
                </w:p>
              </w:tc>
              <w:tc>
                <w:tcPr>
                  <w:tcW w:w="231" w:type="pct"/>
                  <w:tcBorders>
                    <w:tl2br w:val="nil"/>
                    <w:tr2bl w:val="nil"/>
                  </w:tcBorders>
                  <w:noWrap w:val="0"/>
                  <w:vAlign w:val="center"/>
                </w:tcPr>
                <w:p w14:paraId="714DA9F6">
                  <w:pPr>
                    <w:pStyle w:val="82"/>
                    <w:keepNext w:val="0"/>
                    <w:keepLines w:val="0"/>
                    <w:pageBreakBefore w:val="0"/>
                    <w:kinsoku/>
                    <w:wordWrap/>
                    <w:overflowPunct/>
                    <w:topLinePunct w:val="0"/>
                    <w:autoSpaceDN w:val="0"/>
                    <w:bidi w:val="0"/>
                    <w:adjustRightInd/>
                    <w:snapToGrid/>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Y</w:t>
                  </w:r>
                </w:p>
              </w:tc>
              <w:tc>
                <w:tcPr>
                  <w:tcW w:w="237" w:type="pct"/>
                  <w:tcBorders>
                    <w:tl2br w:val="nil"/>
                    <w:tr2bl w:val="nil"/>
                  </w:tcBorders>
                  <w:noWrap w:val="0"/>
                  <w:vAlign w:val="center"/>
                </w:tcPr>
                <w:p w14:paraId="118A86BF">
                  <w:pPr>
                    <w:pStyle w:val="82"/>
                    <w:keepNext w:val="0"/>
                    <w:keepLines w:val="0"/>
                    <w:pageBreakBefore w:val="0"/>
                    <w:kinsoku/>
                    <w:wordWrap/>
                    <w:overflowPunct/>
                    <w:topLinePunct w:val="0"/>
                    <w:autoSpaceDN w:val="0"/>
                    <w:bidi w:val="0"/>
                    <w:adjustRightInd/>
                    <w:snapToGrid/>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Z</w:t>
                  </w:r>
                </w:p>
              </w:tc>
              <w:tc>
                <w:tcPr>
                  <w:tcW w:w="565" w:type="pct"/>
                  <w:vMerge w:val="continue"/>
                  <w:tcBorders>
                    <w:tl2br w:val="nil"/>
                    <w:tr2bl w:val="nil"/>
                  </w:tcBorders>
                  <w:noWrap w:val="0"/>
                  <w:vAlign w:val="center"/>
                </w:tcPr>
                <w:p w14:paraId="078B788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623" w:type="pct"/>
                  <w:vMerge w:val="continue"/>
                  <w:tcBorders>
                    <w:tl2br w:val="nil"/>
                    <w:tr2bl w:val="nil"/>
                  </w:tcBorders>
                  <w:noWrap w:val="0"/>
                  <w:vAlign w:val="center"/>
                </w:tcPr>
                <w:p w14:paraId="773AD80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287" w:type="pct"/>
                  <w:vMerge w:val="continue"/>
                  <w:tcBorders>
                    <w:tl2br w:val="nil"/>
                    <w:tr2bl w:val="nil"/>
                  </w:tcBorders>
                  <w:noWrap w:val="0"/>
                  <w:vAlign w:val="center"/>
                </w:tcPr>
                <w:p w14:paraId="77C8C28B">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409" w:type="pct"/>
                  <w:vMerge w:val="continue"/>
                  <w:tcBorders>
                    <w:tl2br w:val="nil"/>
                    <w:tr2bl w:val="nil"/>
                  </w:tcBorders>
                  <w:noWrap w:val="0"/>
                  <w:vAlign w:val="center"/>
                </w:tcPr>
                <w:p w14:paraId="09E5F885">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535" w:type="pct"/>
                  <w:tcBorders>
                    <w:tl2br w:val="nil"/>
                    <w:tr2bl w:val="nil"/>
                  </w:tcBorders>
                  <w:noWrap w:val="0"/>
                  <w:vAlign w:val="center"/>
                </w:tcPr>
                <w:p w14:paraId="3A02DCAA">
                  <w:pPr>
                    <w:pStyle w:val="62"/>
                    <w:keepNext w:val="0"/>
                    <w:keepLines w:val="0"/>
                    <w:pageBreakBefore w:val="0"/>
                    <w:kinsoku/>
                    <w:wordWrap/>
                    <w:overflowPunct/>
                    <w:topLinePunct w:val="0"/>
                    <w:autoSpaceDN w:val="0"/>
                    <w:bidi w:val="0"/>
                    <w:ind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声压级</w:t>
                  </w:r>
                  <w:r>
                    <w:rPr>
                      <w:rFonts w:hint="default" w:ascii="Times New Roman" w:hAnsi="Times New Roman" w:eastAsia="宋体" w:cs="Times New Roman"/>
                      <w:color w:val="auto"/>
                      <w:sz w:val="21"/>
                      <w:szCs w:val="21"/>
                    </w:rPr>
                    <w:t>/dB（A）</w:t>
                  </w:r>
                </w:p>
              </w:tc>
              <w:tc>
                <w:tcPr>
                  <w:tcW w:w="301" w:type="pct"/>
                  <w:tcBorders>
                    <w:tl2br w:val="nil"/>
                    <w:tr2bl w:val="nil"/>
                  </w:tcBorders>
                  <w:noWrap w:val="0"/>
                  <w:vAlign w:val="center"/>
                </w:tcPr>
                <w:p w14:paraId="70C96D16">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建筑物外距离</w:t>
                  </w:r>
                </w:p>
              </w:tc>
            </w:tr>
            <w:tr w14:paraId="22F58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7" w:type="pct"/>
                  <w:tcBorders>
                    <w:tl2br w:val="nil"/>
                    <w:tr2bl w:val="nil"/>
                  </w:tcBorders>
                  <w:noWrap w:val="0"/>
                  <w:vAlign w:val="center"/>
                </w:tcPr>
                <w:p w14:paraId="547C1400">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92" w:type="pct"/>
                  <w:tcBorders>
                    <w:tl2br w:val="nil"/>
                    <w:tr2bl w:val="nil"/>
                  </w:tcBorders>
                  <w:noWrap w:val="0"/>
                  <w:vAlign w:val="center"/>
                </w:tcPr>
                <w:p w14:paraId="5A636683">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2"/>
                      <w:szCs w:val="22"/>
                      <w:lang w:val="en-US" w:eastAsia="zh-CN"/>
                    </w:rPr>
                    <w:t>成型机</w:t>
                  </w:r>
                </w:p>
              </w:tc>
              <w:tc>
                <w:tcPr>
                  <w:tcW w:w="276" w:type="pct"/>
                  <w:tcBorders>
                    <w:tl2br w:val="nil"/>
                    <w:tr2bl w:val="nil"/>
                  </w:tcBorders>
                  <w:noWrap w:val="0"/>
                  <w:vAlign w:val="center"/>
                </w:tcPr>
                <w:p w14:paraId="56437BA2">
                  <w:pPr>
                    <w:keepNext w:val="0"/>
                    <w:keepLines w:val="0"/>
                    <w:pageBreakBefore w:val="0"/>
                    <w:widowControl/>
                    <w:suppressLineNumbers w:val="0"/>
                    <w:kinsoku/>
                    <w:wordWrap/>
                    <w:overflowPunct/>
                    <w:topLinePunct w:val="0"/>
                    <w:autoSpaceDE/>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auto"/>
                      <w:kern w:val="0"/>
                      <w:sz w:val="22"/>
                      <w:szCs w:val="22"/>
                      <w:lang w:val="en-US" w:eastAsia="zh-CN" w:bidi="ar-SA"/>
                    </w:rPr>
                  </w:pPr>
                  <w:r>
                    <w:rPr>
                      <w:rFonts w:hint="eastAsia" w:cs="Times New Roman"/>
                      <w:color w:val="auto"/>
                      <w:kern w:val="0"/>
                      <w:sz w:val="22"/>
                      <w:szCs w:val="22"/>
                      <w:lang w:val="en-US" w:eastAsia="zh-CN"/>
                    </w:rPr>
                    <w:t>5</w:t>
                  </w:r>
                </w:p>
              </w:tc>
              <w:tc>
                <w:tcPr>
                  <w:tcW w:w="276" w:type="pct"/>
                  <w:tcBorders>
                    <w:tl2br w:val="nil"/>
                    <w:tr2bl w:val="nil"/>
                  </w:tcBorders>
                  <w:noWrap w:val="0"/>
                  <w:vAlign w:val="center"/>
                </w:tcPr>
                <w:p w14:paraId="70586A46">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363" w:type="pct"/>
                  <w:vMerge w:val="restart"/>
                  <w:tcBorders>
                    <w:tl2br w:val="nil"/>
                    <w:tr2bl w:val="nil"/>
                  </w:tcBorders>
                  <w:noWrap w:val="0"/>
                  <w:vAlign w:val="center"/>
                </w:tcPr>
                <w:p w14:paraId="4C120A1F">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c>
                <w:tcPr>
                  <w:tcW w:w="231" w:type="pct"/>
                  <w:tcBorders>
                    <w:tl2br w:val="nil"/>
                    <w:tr2bl w:val="nil"/>
                  </w:tcBorders>
                  <w:noWrap w:val="0"/>
                  <w:vAlign w:val="center"/>
                </w:tcPr>
                <w:p w14:paraId="35BF715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231" w:type="pct"/>
                  <w:tcBorders>
                    <w:tl2br w:val="nil"/>
                    <w:tr2bl w:val="nil"/>
                  </w:tcBorders>
                  <w:noWrap w:val="0"/>
                  <w:vAlign w:val="center"/>
                </w:tcPr>
                <w:p w14:paraId="24C488F7">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37" w:type="pct"/>
                  <w:tcBorders>
                    <w:tl2br w:val="nil"/>
                    <w:tr2bl w:val="nil"/>
                  </w:tcBorders>
                  <w:noWrap w:val="0"/>
                  <w:vAlign w:val="center"/>
                </w:tcPr>
                <w:p w14:paraId="6D01E06F">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565" w:type="pct"/>
                  <w:tcBorders>
                    <w:tl2br w:val="nil"/>
                    <w:tr2bl w:val="nil"/>
                  </w:tcBorders>
                  <w:noWrap w:val="0"/>
                  <w:vAlign w:val="center"/>
                </w:tcPr>
                <w:p w14:paraId="1FF7F5B7">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cs="Times New Roman"/>
                      <w:color w:val="auto"/>
                      <w:sz w:val="21"/>
                      <w:szCs w:val="21"/>
                      <w:highlight w:val="none"/>
                      <w:lang w:val="en-US" w:eastAsia="zh-CN"/>
                    </w:rPr>
                    <w:t>72</w:t>
                  </w:r>
                  <w:r>
                    <w:rPr>
                      <w:rFonts w:hint="default" w:ascii="Times New Roman" w:hAnsi="Times New Roman" w:eastAsia="宋体" w:cs="Times New Roman"/>
                      <w:color w:val="auto"/>
                      <w:sz w:val="21"/>
                      <w:szCs w:val="21"/>
                      <w:highlight w:val="none"/>
                      <w:lang w:val="en-US" w:eastAsia="zh-CN"/>
                    </w:rPr>
                    <w:t>、</w:t>
                  </w:r>
                </w:p>
                <w:p w14:paraId="22F6F8DF">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cs="Times New Roman"/>
                      <w:color w:val="auto"/>
                      <w:sz w:val="21"/>
                      <w:szCs w:val="21"/>
                      <w:highlight w:val="none"/>
                      <w:lang w:val="en-US" w:eastAsia="zh-CN"/>
                    </w:rPr>
                    <w:t>79</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cs="Times New Roman"/>
                      <w:color w:val="auto"/>
                      <w:sz w:val="21"/>
                      <w:szCs w:val="21"/>
                      <w:highlight w:val="none"/>
                      <w:lang w:val="en-US" w:eastAsia="zh-CN"/>
                    </w:rPr>
                    <w:t>8</w:t>
                  </w:r>
                </w:p>
              </w:tc>
              <w:tc>
                <w:tcPr>
                  <w:tcW w:w="623" w:type="pct"/>
                  <w:tcBorders>
                    <w:tl2br w:val="nil"/>
                    <w:tr2bl w:val="nil"/>
                  </w:tcBorders>
                  <w:noWrap w:val="0"/>
                  <w:vAlign w:val="center"/>
                </w:tcPr>
                <w:p w14:paraId="5B2C8B93">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40.2</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32.8</w:t>
                  </w:r>
                  <w:r>
                    <w:rPr>
                      <w:rFonts w:hint="default" w:ascii="Times New Roman" w:hAnsi="Times New Roman" w:eastAsia="宋体" w:cs="Times New Roman"/>
                      <w:color w:val="auto"/>
                      <w:sz w:val="21"/>
                      <w:szCs w:val="21"/>
                      <w:highlight w:val="none"/>
                      <w:lang w:val="en-US" w:eastAsia="zh-CN"/>
                    </w:rPr>
                    <w:t>、</w:t>
                  </w:r>
                </w:p>
                <w:p w14:paraId="2F335B0A">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32.0</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51.9</w:t>
                  </w:r>
                </w:p>
              </w:tc>
              <w:tc>
                <w:tcPr>
                  <w:tcW w:w="287" w:type="pct"/>
                  <w:tcBorders>
                    <w:tl2br w:val="nil"/>
                    <w:tr2bl w:val="nil"/>
                  </w:tcBorders>
                  <w:noWrap w:val="0"/>
                  <w:vAlign w:val="center"/>
                </w:tcPr>
                <w:p w14:paraId="5574C8CC">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昼间</w:t>
                  </w:r>
                </w:p>
              </w:tc>
              <w:tc>
                <w:tcPr>
                  <w:tcW w:w="409" w:type="pct"/>
                  <w:tcBorders>
                    <w:tl2br w:val="nil"/>
                    <w:tr2bl w:val="nil"/>
                  </w:tcBorders>
                  <w:noWrap w:val="0"/>
                  <w:vAlign w:val="center"/>
                </w:tcPr>
                <w:p w14:paraId="73D9E9A1">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35" w:type="pct"/>
                  <w:tcBorders>
                    <w:tl2br w:val="nil"/>
                    <w:tr2bl w:val="nil"/>
                  </w:tcBorders>
                  <w:noWrap w:val="0"/>
                  <w:vAlign w:val="center"/>
                </w:tcPr>
                <w:p w14:paraId="094F09D5">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35.2</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27.8</w:t>
                  </w:r>
                  <w:r>
                    <w:rPr>
                      <w:rFonts w:hint="default" w:ascii="Times New Roman" w:hAnsi="Times New Roman" w:eastAsia="宋体" w:cs="Times New Roman"/>
                      <w:color w:val="auto"/>
                      <w:sz w:val="21"/>
                      <w:szCs w:val="21"/>
                      <w:highlight w:val="none"/>
                      <w:lang w:val="en-US" w:eastAsia="zh-CN"/>
                    </w:rPr>
                    <w:t>、</w:t>
                  </w:r>
                </w:p>
                <w:p w14:paraId="4CE27425">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27.0</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46.9</w:t>
                  </w:r>
                </w:p>
              </w:tc>
              <w:tc>
                <w:tcPr>
                  <w:tcW w:w="301" w:type="pct"/>
                  <w:tcBorders>
                    <w:tl2br w:val="nil"/>
                    <w:tr2bl w:val="nil"/>
                  </w:tcBorders>
                  <w:noWrap w:val="0"/>
                  <w:vAlign w:val="center"/>
                </w:tcPr>
                <w:p w14:paraId="39D15242">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0"/>
                      <w:lang w:val="en-US" w:eastAsia="zh-CN" w:bidi="ar-SA"/>
                    </w:rPr>
                    <w:t>1m</w:t>
                  </w:r>
                </w:p>
              </w:tc>
            </w:tr>
            <w:tr w14:paraId="26FF6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2" w:hRule="atLeast"/>
                <w:jc w:val="center"/>
              </w:trPr>
              <w:tc>
                <w:tcPr>
                  <w:tcW w:w="267" w:type="pct"/>
                  <w:tcBorders>
                    <w:tl2br w:val="nil"/>
                    <w:tr2bl w:val="nil"/>
                  </w:tcBorders>
                  <w:noWrap w:val="0"/>
                  <w:vAlign w:val="center"/>
                </w:tcPr>
                <w:p w14:paraId="733717A0">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92" w:type="pct"/>
                  <w:tcBorders>
                    <w:tl2br w:val="nil"/>
                    <w:tr2bl w:val="nil"/>
                  </w:tcBorders>
                  <w:noWrap w:val="0"/>
                  <w:vAlign w:val="center"/>
                </w:tcPr>
                <w:p w14:paraId="4E389EE4">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2"/>
                      <w:szCs w:val="22"/>
                      <w:lang w:val="en-US" w:eastAsia="zh-CN"/>
                    </w:rPr>
                    <w:t>空压机</w:t>
                  </w:r>
                </w:p>
              </w:tc>
              <w:tc>
                <w:tcPr>
                  <w:tcW w:w="276" w:type="pct"/>
                  <w:tcBorders>
                    <w:tl2br w:val="nil"/>
                    <w:tr2bl w:val="nil"/>
                  </w:tcBorders>
                  <w:noWrap w:val="0"/>
                  <w:vAlign w:val="center"/>
                </w:tcPr>
                <w:p w14:paraId="485F4038">
                  <w:pPr>
                    <w:keepNext w:val="0"/>
                    <w:keepLines w:val="0"/>
                    <w:pageBreakBefore w:val="0"/>
                    <w:widowControl/>
                    <w:suppressLineNumbers w:val="0"/>
                    <w:kinsoku/>
                    <w:wordWrap/>
                    <w:overflowPunct/>
                    <w:topLinePunct w:val="0"/>
                    <w:autoSpaceDE/>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auto"/>
                      <w:kern w:val="0"/>
                      <w:sz w:val="22"/>
                      <w:szCs w:val="22"/>
                      <w:lang w:val="en-US" w:eastAsia="zh-CN" w:bidi="ar-SA"/>
                    </w:rPr>
                  </w:pPr>
                  <w:r>
                    <w:rPr>
                      <w:rFonts w:hint="eastAsia" w:cs="Times New Roman"/>
                      <w:color w:val="auto"/>
                      <w:kern w:val="0"/>
                      <w:sz w:val="22"/>
                      <w:szCs w:val="22"/>
                      <w:lang w:val="en-US" w:eastAsia="zh-CN"/>
                    </w:rPr>
                    <w:t>3</w:t>
                  </w:r>
                </w:p>
              </w:tc>
              <w:tc>
                <w:tcPr>
                  <w:tcW w:w="276" w:type="pct"/>
                  <w:tcBorders>
                    <w:tl2br w:val="nil"/>
                    <w:tr2bl w:val="nil"/>
                  </w:tcBorders>
                  <w:noWrap w:val="0"/>
                  <w:vAlign w:val="center"/>
                </w:tcPr>
                <w:p w14:paraId="0E2E4E2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363" w:type="pct"/>
                  <w:vMerge w:val="continue"/>
                  <w:tcBorders>
                    <w:tl2br w:val="nil"/>
                    <w:tr2bl w:val="nil"/>
                  </w:tcBorders>
                  <w:noWrap w:val="0"/>
                  <w:vAlign w:val="center"/>
                </w:tcPr>
                <w:p w14:paraId="547197B3">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231" w:type="pct"/>
                  <w:tcBorders>
                    <w:tl2br w:val="nil"/>
                    <w:tr2bl w:val="nil"/>
                  </w:tcBorders>
                  <w:noWrap w:val="0"/>
                  <w:vAlign w:val="center"/>
                </w:tcPr>
                <w:p w14:paraId="51CE1A46">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231" w:type="pct"/>
                  <w:tcBorders>
                    <w:tl2br w:val="nil"/>
                    <w:tr2bl w:val="nil"/>
                  </w:tcBorders>
                  <w:noWrap w:val="0"/>
                  <w:vAlign w:val="center"/>
                </w:tcPr>
                <w:p w14:paraId="6552FBB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237" w:type="pct"/>
                  <w:tcBorders>
                    <w:tl2br w:val="nil"/>
                    <w:tr2bl w:val="nil"/>
                  </w:tcBorders>
                  <w:noWrap w:val="0"/>
                  <w:vAlign w:val="center"/>
                </w:tcPr>
                <w:p w14:paraId="6259A241">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565" w:type="pct"/>
                  <w:tcBorders>
                    <w:tl2br w:val="nil"/>
                    <w:tr2bl w:val="nil"/>
                  </w:tcBorders>
                  <w:noWrap w:val="0"/>
                  <w:vAlign w:val="center"/>
                </w:tcPr>
                <w:p w14:paraId="0C28AC96">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37</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62</w:t>
                  </w:r>
                  <w:r>
                    <w:rPr>
                      <w:rFonts w:hint="default" w:ascii="Times New Roman" w:hAnsi="Times New Roman" w:eastAsia="宋体" w:cs="Times New Roman"/>
                      <w:color w:val="auto"/>
                      <w:sz w:val="21"/>
                      <w:szCs w:val="21"/>
                      <w:highlight w:val="none"/>
                      <w:lang w:val="en-US" w:eastAsia="zh-CN"/>
                    </w:rPr>
                    <w:t>、</w:t>
                  </w:r>
                </w:p>
                <w:p w14:paraId="68C928DC">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73</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28</w:t>
                  </w:r>
                </w:p>
              </w:tc>
              <w:tc>
                <w:tcPr>
                  <w:tcW w:w="623" w:type="pct"/>
                  <w:tcBorders>
                    <w:tl2br w:val="nil"/>
                    <w:tr2bl w:val="nil"/>
                  </w:tcBorders>
                  <w:noWrap w:val="0"/>
                  <w:vAlign w:val="center"/>
                </w:tcPr>
                <w:p w14:paraId="01F2473E">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48.6</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44.1</w:t>
                  </w:r>
                  <w:r>
                    <w:rPr>
                      <w:rFonts w:hint="default" w:ascii="Times New Roman" w:hAnsi="Times New Roman" w:eastAsia="宋体" w:cs="Times New Roman"/>
                      <w:color w:val="auto"/>
                      <w:sz w:val="21"/>
                      <w:szCs w:val="21"/>
                      <w:highlight w:val="none"/>
                      <w:lang w:val="en-US" w:eastAsia="zh-CN"/>
                    </w:rPr>
                    <w:t>、</w:t>
                  </w:r>
                </w:p>
                <w:p w14:paraId="220142A0">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42.7</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51.0</w:t>
                  </w:r>
                </w:p>
              </w:tc>
              <w:tc>
                <w:tcPr>
                  <w:tcW w:w="287" w:type="pct"/>
                  <w:tcBorders>
                    <w:tl2br w:val="nil"/>
                    <w:tr2bl w:val="nil"/>
                  </w:tcBorders>
                  <w:noWrap w:val="0"/>
                  <w:vAlign w:val="center"/>
                </w:tcPr>
                <w:p w14:paraId="4D7AB317">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昼间</w:t>
                  </w:r>
                </w:p>
              </w:tc>
              <w:tc>
                <w:tcPr>
                  <w:tcW w:w="409" w:type="pct"/>
                  <w:tcBorders>
                    <w:tl2br w:val="nil"/>
                    <w:tr2bl w:val="nil"/>
                  </w:tcBorders>
                  <w:noWrap w:val="0"/>
                  <w:vAlign w:val="center"/>
                </w:tcPr>
                <w:p w14:paraId="147867FE">
                  <w:pPr>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535" w:type="pct"/>
                  <w:tcBorders>
                    <w:tl2br w:val="nil"/>
                    <w:tr2bl w:val="nil"/>
                  </w:tcBorders>
                  <w:noWrap w:val="0"/>
                  <w:vAlign w:val="center"/>
                </w:tcPr>
                <w:p w14:paraId="407A467A">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43.6</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39.1</w:t>
                  </w:r>
                  <w:r>
                    <w:rPr>
                      <w:rFonts w:hint="default" w:ascii="Times New Roman" w:hAnsi="Times New Roman" w:eastAsia="宋体" w:cs="Times New Roman"/>
                      <w:color w:val="auto"/>
                      <w:sz w:val="21"/>
                      <w:szCs w:val="21"/>
                      <w:highlight w:val="none"/>
                      <w:lang w:val="en-US" w:eastAsia="zh-CN"/>
                    </w:rPr>
                    <w:t>、</w:t>
                  </w:r>
                </w:p>
                <w:p w14:paraId="14F2B3C0">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37.7</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46.0</w:t>
                  </w:r>
                </w:p>
              </w:tc>
              <w:tc>
                <w:tcPr>
                  <w:tcW w:w="301" w:type="pct"/>
                  <w:tcBorders>
                    <w:tl2br w:val="nil"/>
                    <w:tr2bl w:val="nil"/>
                  </w:tcBorders>
                  <w:noWrap w:val="0"/>
                  <w:vAlign w:val="center"/>
                </w:tcPr>
                <w:p w14:paraId="09718128">
                  <w:pPr>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0"/>
                      <w:lang w:val="en-US" w:eastAsia="zh-CN" w:bidi="ar-SA"/>
                    </w:rPr>
                    <w:t>1m</w:t>
                  </w:r>
                </w:p>
              </w:tc>
            </w:tr>
            <w:tr w14:paraId="46852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7" w:type="pct"/>
                  <w:tcBorders>
                    <w:tl2br w:val="nil"/>
                    <w:tr2bl w:val="nil"/>
                  </w:tcBorders>
                  <w:noWrap w:val="0"/>
                  <w:vAlign w:val="center"/>
                </w:tcPr>
                <w:p w14:paraId="4D6DA8B7">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392" w:type="pct"/>
                  <w:tcBorders>
                    <w:tl2br w:val="nil"/>
                    <w:tr2bl w:val="nil"/>
                  </w:tcBorders>
                  <w:noWrap w:val="0"/>
                  <w:vAlign w:val="center"/>
                </w:tcPr>
                <w:p w14:paraId="77A246DD">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2"/>
                      <w:szCs w:val="22"/>
                      <w:lang w:val="en-US" w:eastAsia="zh-CN"/>
                    </w:rPr>
                    <w:t>整型、修边机</w:t>
                  </w:r>
                </w:p>
              </w:tc>
              <w:tc>
                <w:tcPr>
                  <w:tcW w:w="276" w:type="pct"/>
                  <w:tcBorders>
                    <w:tl2br w:val="nil"/>
                    <w:tr2bl w:val="nil"/>
                  </w:tcBorders>
                  <w:noWrap w:val="0"/>
                  <w:vAlign w:val="center"/>
                </w:tcPr>
                <w:p w14:paraId="5859866E">
                  <w:pPr>
                    <w:keepNext w:val="0"/>
                    <w:keepLines w:val="0"/>
                    <w:pageBreakBefore w:val="0"/>
                    <w:widowControl/>
                    <w:suppressLineNumbers w:val="0"/>
                    <w:kinsoku/>
                    <w:wordWrap/>
                    <w:overflowPunct/>
                    <w:topLinePunct w:val="0"/>
                    <w:autoSpaceDE/>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auto"/>
                      <w:kern w:val="0"/>
                      <w:sz w:val="22"/>
                      <w:szCs w:val="22"/>
                      <w:lang w:val="en-US" w:eastAsia="zh-CN" w:bidi="ar-SA"/>
                    </w:rPr>
                  </w:pPr>
                  <w:r>
                    <w:rPr>
                      <w:rFonts w:hint="eastAsia" w:cs="Times New Roman"/>
                      <w:color w:val="auto"/>
                      <w:kern w:val="0"/>
                      <w:sz w:val="22"/>
                      <w:szCs w:val="22"/>
                      <w:lang w:val="en-US" w:eastAsia="zh-CN"/>
                    </w:rPr>
                    <w:t>11</w:t>
                  </w:r>
                </w:p>
              </w:tc>
              <w:tc>
                <w:tcPr>
                  <w:tcW w:w="276" w:type="pct"/>
                  <w:tcBorders>
                    <w:tl2br w:val="nil"/>
                    <w:tr2bl w:val="nil"/>
                  </w:tcBorders>
                  <w:noWrap w:val="0"/>
                  <w:vAlign w:val="center"/>
                </w:tcPr>
                <w:p w14:paraId="5EA7F0AE">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363" w:type="pct"/>
                  <w:vMerge w:val="continue"/>
                  <w:tcBorders>
                    <w:tl2br w:val="nil"/>
                    <w:tr2bl w:val="nil"/>
                  </w:tcBorders>
                  <w:noWrap w:val="0"/>
                  <w:vAlign w:val="center"/>
                </w:tcPr>
                <w:p w14:paraId="431567E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231" w:type="pct"/>
                  <w:tcBorders>
                    <w:tl2br w:val="nil"/>
                    <w:tr2bl w:val="nil"/>
                  </w:tcBorders>
                  <w:noWrap w:val="0"/>
                  <w:vAlign w:val="center"/>
                </w:tcPr>
                <w:p w14:paraId="124491B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231" w:type="pct"/>
                  <w:tcBorders>
                    <w:tl2br w:val="nil"/>
                    <w:tr2bl w:val="nil"/>
                  </w:tcBorders>
                  <w:noWrap w:val="0"/>
                  <w:vAlign w:val="center"/>
                </w:tcPr>
                <w:p w14:paraId="54D50670">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37" w:type="pct"/>
                  <w:tcBorders>
                    <w:tl2br w:val="nil"/>
                    <w:tr2bl w:val="nil"/>
                  </w:tcBorders>
                  <w:noWrap w:val="0"/>
                  <w:vAlign w:val="center"/>
                </w:tcPr>
                <w:p w14:paraId="78E0E34E">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565" w:type="pct"/>
                  <w:tcBorders>
                    <w:tl2br w:val="nil"/>
                    <w:tr2bl w:val="nil"/>
                  </w:tcBorders>
                  <w:noWrap w:val="0"/>
                  <w:vAlign w:val="center"/>
                </w:tcPr>
                <w:p w14:paraId="65FD7EFB">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34</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w:t>
                  </w:r>
                </w:p>
                <w:p w14:paraId="2D3B2B96">
                  <w:pPr>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49</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71</w:t>
                  </w:r>
                </w:p>
              </w:tc>
              <w:tc>
                <w:tcPr>
                  <w:tcW w:w="623" w:type="pct"/>
                  <w:tcBorders>
                    <w:tl2br w:val="nil"/>
                    <w:tr2bl w:val="nil"/>
                  </w:tcBorders>
                  <w:noWrap w:val="0"/>
                  <w:vAlign w:val="center"/>
                </w:tcPr>
                <w:p w14:paraId="28676ED2">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39.4</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51.9</w:t>
                  </w:r>
                  <w:r>
                    <w:rPr>
                      <w:rFonts w:hint="default" w:ascii="Times New Roman" w:hAnsi="Times New Roman" w:eastAsia="宋体" w:cs="Times New Roman"/>
                      <w:color w:val="auto"/>
                      <w:sz w:val="21"/>
                      <w:szCs w:val="21"/>
                      <w:highlight w:val="none"/>
                      <w:lang w:val="en-US" w:eastAsia="zh-CN"/>
                    </w:rPr>
                    <w:t>、</w:t>
                  </w:r>
                </w:p>
                <w:p w14:paraId="0AD41A93">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36.2</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33.0</w:t>
                  </w:r>
                </w:p>
              </w:tc>
              <w:tc>
                <w:tcPr>
                  <w:tcW w:w="287" w:type="pct"/>
                  <w:tcBorders>
                    <w:tl2br w:val="nil"/>
                    <w:tr2bl w:val="nil"/>
                  </w:tcBorders>
                  <w:noWrap w:val="0"/>
                  <w:vAlign w:val="center"/>
                </w:tcPr>
                <w:p w14:paraId="78F80D4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昼间</w:t>
                  </w:r>
                </w:p>
              </w:tc>
              <w:tc>
                <w:tcPr>
                  <w:tcW w:w="409" w:type="pct"/>
                  <w:tcBorders>
                    <w:tl2br w:val="nil"/>
                    <w:tr2bl w:val="nil"/>
                  </w:tcBorders>
                  <w:noWrap w:val="0"/>
                  <w:vAlign w:val="center"/>
                </w:tcPr>
                <w:p w14:paraId="52DE9683">
                  <w:pPr>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535" w:type="pct"/>
                  <w:tcBorders>
                    <w:tl2br w:val="nil"/>
                    <w:tr2bl w:val="nil"/>
                  </w:tcBorders>
                  <w:noWrap w:val="0"/>
                  <w:vAlign w:val="center"/>
                </w:tcPr>
                <w:p w14:paraId="50FAE443">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34.4</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46.9</w:t>
                  </w:r>
                  <w:r>
                    <w:rPr>
                      <w:rFonts w:hint="default" w:ascii="Times New Roman" w:hAnsi="Times New Roman" w:eastAsia="宋体" w:cs="Times New Roman"/>
                      <w:color w:val="auto"/>
                      <w:sz w:val="21"/>
                      <w:szCs w:val="21"/>
                      <w:highlight w:val="none"/>
                      <w:lang w:val="en-US" w:eastAsia="zh-CN"/>
                    </w:rPr>
                    <w:t>、</w:t>
                  </w:r>
                </w:p>
                <w:p w14:paraId="74EB932F">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31.2</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28.0</w:t>
                  </w:r>
                </w:p>
              </w:tc>
              <w:tc>
                <w:tcPr>
                  <w:tcW w:w="301" w:type="pct"/>
                  <w:tcBorders>
                    <w:tl2br w:val="nil"/>
                    <w:tr2bl w:val="nil"/>
                  </w:tcBorders>
                  <w:noWrap w:val="0"/>
                  <w:vAlign w:val="center"/>
                </w:tcPr>
                <w:p w14:paraId="2296E6AC">
                  <w:pPr>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0"/>
                      <w:lang w:val="en-US" w:eastAsia="zh-CN" w:bidi="ar-SA"/>
                    </w:rPr>
                    <w:t>1m</w:t>
                  </w:r>
                </w:p>
              </w:tc>
            </w:tr>
            <w:tr w14:paraId="74EEC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67" w:type="pct"/>
                  <w:tcBorders>
                    <w:tl2br w:val="nil"/>
                    <w:tr2bl w:val="nil"/>
                  </w:tcBorders>
                  <w:noWrap w:val="0"/>
                  <w:vAlign w:val="center"/>
                </w:tcPr>
                <w:p w14:paraId="131D21FE">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92" w:type="pct"/>
                  <w:tcBorders>
                    <w:tl2br w:val="nil"/>
                    <w:tr2bl w:val="nil"/>
                  </w:tcBorders>
                  <w:noWrap w:val="0"/>
                  <w:vAlign w:val="center"/>
                </w:tcPr>
                <w:p w14:paraId="18B87354">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2"/>
                      <w:szCs w:val="22"/>
                      <w:lang w:val="en-US" w:eastAsia="zh-CN"/>
                    </w:rPr>
                    <w:t>喷码机</w:t>
                  </w:r>
                </w:p>
              </w:tc>
              <w:tc>
                <w:tcPr>
                  <w:tcW w:w="276" w:type="pct"/>
                  <w:tcBorders>
                    <w:tl2br w:val="nil"/>
                    <w:tr2bl w:val="nil"/>
                  </w:tcBorders>
                  <w:noWrap w:val="0"/>
                  <w:vAlign w:val="center"/>
                </w:tcPr>
                <w:p w14:paraId="17606E32">
                  <w:pPr>
                    <w:keepNext w:val="0"/>
                    <w:keepLines w:val="0"/>
                    <w:pageBreakBefore w:val="0"/>
                    <w:widowControl/>
                    <w:suppressLineNumbers w:val="0"/>
                    <w:kinsoku/>
                    <w:wordWrap/>
                    <w:overflowPunct/>
                    <w:topLinePunct w:val="0"/>
                    <w:autoSpaceDE/>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auto"/>
                      <w:kern w:val="0"/>
                      <w:sz w:val="22"/>
                      <w:szCs w:val="22"/>
                      <w:lang w:val="en-US" w:eastAsia="zh-CN" w:bidi="ar-SA"/>
                    </w:rPr>
                  </w:pPr>
                  <w:r>
                    <w:rPr>
                      <w:rFonts w:hint="eastAsia" w:cs="Times New Roman"/>
                      <w:color w:val="auto"/>
                      <w:kern w:val="0"/>
                      <w:sz w:val="22"/>
                      <w:szCs w:val="22"/>
                      <w:lang w:val="en-US" w:eastAsia="zh-CN"/>
                    </w:rPr>
                    <w:t>1</w:t>
                  </w:r>
                </w:p>
              </w:tc>
              <w:tc>
                <w:tcPr>
                  <w:tcW w:w="276" w:type="pct"/>
                  <w:tcBorders>
                    <w:tl2br w:val="nil"/>
                    <w:tr2bl w:val="nil"/>
                  </w:tcBorders>
                  <w:noWrap w:val="0"/>
                  <w:vAlign w:val="center"/>
                </w:tcPr>
                <w:p w14:paraId="5BE2D6F3">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363" w:type="pct"/>
                  <w:vMerge w:val="continue"/>
                  <w:tcBorders>
                    <w:tl2br w:val="nil"/>
                    <w:tr2bl w:val="nil"/>
                  </w:tcBorders>
                  <w:noWrap w:val="0"/>
                  <w:vAlign w:val="center"/>
                </w:tcPr>
                <w:p w14:paraId="683EDE70">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rPr>
                  </w:pPr>
                </w:p>
              </w:tc>
              <w:tc>
                <w:tcPr>
                  <w:tcW w:w="231" w:type="pct"/>
                  <w:tcBorders>
                    <w:tl2br w:val="nil"/>
                    <w:tr2bl w:val="nil"/>
                  </w:tcBorders>
                  <w:noWrap w:val="0"/>
                  <w:vAlign w:val="center"/>
                </w:tcPr>
                <w:p w14:paraId="7FEAA6F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31" w:type="pct"/>
                  <w:tcBorders>
                    <w:tl2br w:val="nil"/>
                    <w:tr2bl w:val="nil"/>
                  </w:tcBorders>
                  <w:noWrap w:val="0"/>
                  <w:vAlign w:val="center"/>
                </w:tcPr>
                <w:p w14:paraId="2ADB9EC2">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37" w:type="pct"/>
                  <w:tcBorders>
                    <w:tl2br w:val="nil"/>
                    <w:tr2bl w:val="nil"/>
                  </w:tcBorders>
                  <w:noWrap w:val="0"/>
                  <w:vAlign w:val="center"/>
                </w:tcPr>
                <w:p w14:paraId="163C4DE2">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565" w:type="pct"/>
                  <w:tcBorders>
                    <w:tl2br w:val="nil"/>
                    <w:tr2bl w:val="nil"/>
                  </w:tcBorders>
                  <w:noWrap w:val="0"/>
                  <w:vAlign w:val="center"/>
                </w:tcPr>
                <w:p w14:paraId="45928908">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54</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w:t>
                  </w:r>
                </w:p>
                <w:p w14:paraId="171376B8">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29</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71</w:t>
                  </w:r>
                </w:p>
              </w:tc>
              <w:tc>
                <w:tcPr>
                  <w:tcW w:w="623" w:type="pct"/>
                  <w:tcBorders>
                    <w:tl2br w:val="nil"/>
                    <w:tr2bl w:val="nil"/>
                  </w:tcBorders>
                  <w:noWrap w:val="0"/>
                  <w:vAlign w:val="center"/>
                </w:tcPr>
                <w:p w14:paraId="071BCD1D">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30.4</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46.9</w:t>
                  </w:r>
                  <w:r>
                    <w:rPr>
                      <w:rFonts w:hint="default" w:ascii="Times New Roman" w:hAnsi="Times New Roman" w:eastAsia="宋体" w:cs="Times New Roman"/>
                      <w:color w:val="auto"/>
                      <w:sz w:val="21"/>
                      <w:szCs w:val="21"/>
                      <w:highlight w:val="none"/>
                      <w:lang w:val="en-US" w:eastAsia="zh-CN"/>
                    </w:rPr>
                    <w:t>、</w:t>
                  </w:r>
                </w:p>
                <w:p w14:paraId="0177FE52">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35.8</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28.0</w:t>
                  </w:r>
                </w:p>
              </w:tc>
              <w:tc>
                <w:tcPr>
                  <w:tcW w:w="287" w:type="pct"/>
                  <w:tcBorders>
                    <w:tl2br w:val="nil"/>
                    <w:tr2bl w:val="nil"/>
                  </w:tcBorders>
                  <w:noWrap w:val="0"/>
                  <w:vAlign w:val="center"/>
                </w:tcPr>
                <w:p w14:paraId="39594246">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昼间</w:t>
                  </w:r>
                </w:p>
              </w:tc>
              <w:tc>
                <w:tcPr>
                  <w:tcW w:w="409" w:type="pct"/>
                  <w:tcBorders>
                    <w:tl2br w:val="nil"/>
                    <w:tr2bl w:val="nil"/>
                  </w:tcBorders>
                  <w:noWrap w:val="0"/>
                  <w:vAlign w:val="center"/>
                </w:tcPr>
                <w:p w14:paraId="1E75B80B">
                  <w:pPr>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535" w:type="pct"/>
                  <w:tcBorders>
                    <w:tl2br w:val="nil"/>
                    <w:tr2bl w:val="nil"/>
                  </w:tcBorders>
                  <w:noWrap w:val="0"/>
                  <w:vAlign w:val="center"/>
                </w:tcPr>
                <w:p w14:paraId="1D0D44BA">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25.4</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41.9</w:t>
                  </w:r>
                  <w:r>
                    <w:rPr>
                      <w:rFonts w:hint="default" w:ascii="Times New Roman" w:hAnsi="Times New Roman" w:eastAsia="宋体" w:cs="Times New Roman"/>
                      <w:color w:val="auto"/>
                      <w:sz w:val="21"/>
                      <w:szCs w:val="21"/>
                      <w:highlight w:val="none"/>
                      <w:lang w:val="en-US" w:eastAsia="zh-CN"/>
                    </w:rPr>
                    <w:t>、</w:t>
                  </w:r>
                </w:p>
                <w:p w14:paraId="5A3E648C">
                  <w:pPr>
                    <w:pStyle w:val="82"/>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highlight w:val="none"/>
                      <w:lang w:val="en-US" w:eastAsia="zh-CN"/>
                    </w:rPr>
                    <w:t>W:</w:t>
                  </w:r>
                  <w:r>
                    <w:rPr>
                      <w:rFonts w:hint="eastAsia" w:ascii="Times New Roman" w:hAnsi="Times New Roman" w:eastAsia="宋体" w:cs="Times New Roman"/>
                      <w:color w:val="auto"/>
                      <w:sz w:val="21"/>
                      <w:szCs w:val="21"/>
                      <w:highlight w:val="none"/>
                      <w:lang w:val="en-US" w:eastAsia="zh-CN"/>
                    </w:rPr>
                    <w:t>30.8</w:t>
                  </w: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23.0</w:t>
                  </w:r>
                </w:p>
              </w:tc>
              <w:tc>
                <w:tcPr>
                  <w:tcW w:w="301" w:type="pct"/>
                  <w:tcBorders>
                    <w:tl2br w:val="nil"/>
                    <w:tr2bl w:val="nil"/>
                  </w:tcBorders>
                  <w:noWrap w:val="0"/>
                  <w:vAlign w:val="center"/>
                </w:tcPr>
                <w:p w14:paraId="684C4EDF">
                  <w:pPr>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0"/>
                      <w:lang w:val="en-US" w:eastAsia="zh-CN" w:bidi="ar-SA"/>
                    </w:rPr>
                    <w:t>1m</w:t>
                  </w:r>
                </w:p>
              </w:tc>
            </w:tr>
            <w:tr w14:paraId="14AF1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14"/>
                  <w:tcBorders>
                    <w:tl2br w:val="nil"/>
                    <w:tr2bl w:val="nil"/>
                  </w:tcBorders>
                  <w:noWrap w:val="0"/>
                  <w:vAlign w:val="center"/>
                </w:tcPr>
                <w:p w14:paraId="2CA31607">
                  <w:pPr>
                    <w:keepNext w:val="0"/>
                    <w:keepLines w:val="0"/>
                    <w:pageBreakBefore w:val="0"/>
                    <w:kinsoku/>
                    <w:wordWrap/>
                    <w:overflowPunct/>
                    <w:topLinePunct w:val="0"/>
                    <w:autoSpaceDN w:val="0"/>
                    <w:bidi w:val="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室内声源以各建筑物中心为原点</w:t>
                  </w:r>
                  <w:r>
                    <w:rPr>
                      <w:rFonts w:hint="eastAsia" w:cs="Times New Roman"/>
                      <w:color w:val="auto"/>
                      <w:sz w:val="21"/>
                      <w:szCs w:val="21"/>
                      <w:lang w:val="en-US" w:eastAsia="zh-CN"/>
                    </w:rPr>
                    <w:t>（117°7′36.522″,33°36′53.059″）</w:t>
                  </w:r>
                  <w:r>
                    <w:rPr>
                      <w:rFonts w:hint="default" w:ascii="Times New Roman" w:hAnsi="Times New Roman" w:eastAsia="宋体" w:cs="Times New Roman"/>
                      <w:color w:val="auto"/>
                      <w:sz w:val="21"/>
                      <w:szCs w:val="21"/>
                      <w:lang w:val="en-US" w:eastAsia="zh-CN"/>
                    </w:rPr>
                    <w:t>，噪声以厂房边界为厂界。</w:t>
                  </w:r>
                </w:p>
              </w:tc>
            </w:tr>
          </w:tbl>
          <w:p w14:paraId="40271E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表4.</w:t>
            </w:r>
            <w:r>
              <w:rPr>
                <w:rFonts w:hint="eastAsia" w:cs="Times New Roman"/>
                <w:b/>
                <w:bCs/>
                <w:color w:val="auto"/>
                <w:sz w:val="24"/>
                <w:lang w:val="en-US" w:eastAsia="zh-CN"/>
              </w:rPr>
              <w:t>6</w:t>
            </w:r>
            <w:r>
              <w:rPr>
                <w:rFonts w:hint="eastAsia"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rPr>
              <w:t>项目噪声源强一览表（室外声源） 单位：dB（A）</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132"/>
              <w:gridCol w:w="492"/>
              <w:gridCol w:w="413"/>
              <w:gridCol w:w="478"/>
              <w:gridCol w:w="478"/>
              <w:gridCol w:w="2123"/>
              <w:gridCol w:w="1074"/>
              <w:gridCol w:w="899"/>
              <w:gridCol w:w="738"/>
            </w:tblGrid>
            <w:tr w14:paraId="7301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restart"/>
                  <w:shd w:val="clear" w:color="auto" w:fill="auto"/>
                  <w:vAlign w:val="center"/>
                </w:tcPr>
                <w:p w14:paraId="7BC4B4F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p w14:paraId="6A706FD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序号</w:t>
                  </w:r>
                </w:p>
              </w:tc>
              <w:tc>
                <w:tcPr>
                  <w:tcW w:w="1188" w:type="dxa"/>
                  <w:vMerge w:val="restart"/>
                  <w:shd w:val="clear" w:color="auto" w:fill="auto"/>
                  <w:vAlign w:val="center"/>
                </w:tcPr>
                <w:p w14:paraId="71AFA70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p w14:paraId="73E736E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声源名称</w:t>
                  </w:r>
                </w:p>
              </w:tc>
              <w:tc>
                <w:tcPr>
                  <w:tcW w:w="504" w:type="dxa"/>
                  <w:vMerge w:val="restart"/>
                  <w:shd w:val="clear" w:color="auto" w:fill="auto"/>
                  <w:vAlign w:val="center"/>
                </w:tcPr>
                <w:p w14:paraId="20ACFC2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p w14:paraId="196CD1A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型号</w:t>
                  </w:r>
                </w:p>
              </w:tc>
              <w:tc>
                <w:tcPr>
                  <w:tcW w:w="1398" w:type="dxa"/>
                  <w:gridSpan w:val="3"/>
                  <w:shd w:val="clear" w:color="auto" w:fill="auto"/>
                  <w:vAlign w:val="center"/>
                </w:tcPr>
                <w:p w14:paraId="319C4B0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r>
                    <w:rPr>
                      <w:rFonts w:hint="default" w:ascii="Times New Roman" w:hAnsi="Times New Roman" w:eastAsia="宋体" w:cs="Times New Roman"/>
                    </w:rPr>
                    <w:t>空间相对位置/m</w:t>
                  </w:r>
                </w:p>
              </w:tc>
              <w:tc>
                <w:tcPr>
                  <w:tcW w:w="3385" w:type="dxa"/>
                  <w:gridSpan w:val="2"/>
                  <w:vAlign w:val="center"/>
                </w:tcPr>
                <w:p w14:paraId="2D7CEBF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r>
                    <w:rPr>
                      <w:rFonts w:hint="default" w:ascii="Times New Roman" w:hAnsi="Times New Roman" w:eastAsia="宋体" w:cs="Times New Roman"/>
                    </w:rPr>
                    <w:t>声源源强（任选一种）</w:t>
                  </w:r>
                </w:p>
              </w:tc>
              <w:tc>
                <w:tcPr>
                  <w:tcW w:w="949" w:type="dxa"/>
                  <w:vMerge w:val="restart"/>
                  <w:shd w:val="clear" w:color="auto" w:fill="auto"/>
                  <w:vAlign w:val="center"/>
                </w:tcPr>
                <w:p w14:paraId="7730CFC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p w14:paraId="717C0FC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声源控制措施</w:t>
                  </w:r>
                </w:p>
              </w:tc>
              <w:tc>
                <w:tcPr>
                  <w:tcW w:w="765" w:type="dxa"/>
                  <w:vMerge w:val="restart"/>
                  <w:shd w:val="clear" w:color="auto" w:fill="auto"/>
                  <w:vAlign w:val="center"/>
                </w:tcPr>
                <w:p w14:paraId="7778055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p w14:paraId="2297872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运行时段</w:t>
                  </w:r>
                </w:p>
              </w:tc>
            </w:tr>
            <w:tr w14:paraId="1E1C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vAlign w:val="center"/>
                </w:tcPr>
                <w:p w14:paraId="20C1CB4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tc>
              <w:tc>
                <w:tcPr>
                  <w:tcW w:w="1188" w:type="dxa"/>
                  <w:vMerge w:val="continue"/>
                  <w:vAlign w:val="center"/>
                </w:tcPr>
                <w:p w14:paraId="3C87DCF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tc>
              <w:tc>
                <w:tcPr>
                  <w:tcW w:w="504" w:type="dxa"/>
                  <w:vMerge w:val="continue"/>
                  <w:vAlign w:val="center"/>
                </w:tcPr>
                <w:p w14:paraId="269A9AD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tc>
              <w:tc>
                <w:tcPr>
                  <w:tcW w:w="422" w:type="dxa"/>
                  <w:shd w:val="clear" w:color="auto" w:fill="auto"/>
                  <w:vAlign w:val="center"/>
                </w:tcPr>
                <w:p w14:paraId="7F2A112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p w14:paraId="06A2BB2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X</w:t>
                  </w:r>
                </w:p>
              </w:tc>
              <w:tc>
                <w:tcPr>
                  <w:tcW w:w="488" w:type="dxa"/>
                  <w:shd w:val="clear" w:color="auto" w:fill="auto"/>
                  <w:vAlign w:val="center"/>
                </w:tcPr>
                <w:p w14:paraId="158CEB7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p w14:paraId="5E1D58C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Y</w:t>
                  </w:r>
                </w:p>
              </w:tc>
              <w:tc>
                <w:tcPr>
                  <w:tcW w:w="488" w:type="dxa"/>
                  <w:shd w:val="clear" w:color="auto" w:fill="auto"/>
                  <w:vAlign w:val="center"/>
                </w:tcPr>
                <w:p w14:paraId="6CFA0E4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p w14:paraId="29B9880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Z</w:t>
                  </w:r>
                </w:p>
              </w:tc>
              <w:tc>
                <w:tcPr>
                  <w:tcW w:w="2261" w:type="dxa"/>
                  <w:shd w:val="clear" w:color="auto" w:fill="auto"/>
                  <w:vAlign w:val="center"/>
                </w:tcPr>
                <w:p w14:paraId="60BF0F9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（声压级/ 距声源距离）/（dB(A)/m）</w:t>
                  </w:r>
                </w:p>
              </w:tc>
              <w:tc>
                <w:tcPr>
                  <w:tcW w:w="1124" w:type="dxa"/>
                  <w:shd w:val="clear" w:color="auto" w:fill="auto"/>
                  <w:vAlign w:val="center"/>
                </w:tcPr>
                <w:p w14:paraId="2A14936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声功率级/dB(A)</w:t>
                  </w:r>
                </w:p>
              </w:tc>
              <w:tc>
                <w:tcPr>
                  <w:tcW w:w="949" w:type="dxa"/>
                  <w:vMerge w:val="continue"/>
                  <w:vAlign w:val="center"/>
                </w:tcPr>
                <w:p w14:paraId="65A5169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tc>
              <w:tc>
                <w:tcPr>
                  <w:tcW w:w="765" w:type="dxa"/>
                  <w:vMerge w:val="continue"/>
                  <w:vAlign w:val="center"/>
                </w:tcPr>
                <w:p w14:paraId="2CB50ED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rPr>
                  </w:pPr>
                </w:p>
              </w:tc>
            </w:tr>
            <w:tr w14:paraId="4B96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4" w:type="dxa"/>
                  <w:shd w:val="clear" w:color="auto" w:fill="auto"/>
                  <w:vAlign w:val="center"/>
                </w:tcPr>
                <w:p w14:paraId="1E67900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1</w:t>
                  </w:r>
                </w:p>
              </w:tc>
              <w:tc>
                <w:tcPr>
                  <w:tcW w:w="1188" w:type="dxa"/>
                  <w:shd w:val="clear" w:color="auto" w:fill="auto"/>
                  <w:vAlign w:val="center"/>
                </w:tcPr>
                <w:p w14:paraId="10E25D5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DA001 配套风机</w:t>
                  </w:r>
                </w:p>
              </w:tc>
              <w:tc>
                <w:tcPr>
                  <w:tcW w:w="504" w:type="dxa"/>
                  <w:shd w:val="clear" w:color="auto" w:fill="auto"/>
                  <w:vAlign w:val="center"/>
                </w:tcPr>
                <w:p w14:paraId="5DEE039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w:t>
                  </w:r>
                </w:p>
              </w:tc>
              <w:tc>
                <w:tcPr>
                  <w:tcW w:w="422" w:type="dxa"/>
                  <w:shd w:val="clear" w:color="auto" w:fill="auto"/>
                  <w:vAlign w:val="center"/>
                </w:tcPr>
                <w:p w14:paraId="7B66F6D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2</w:t>
                  </w:r>
                </w:p>
              </w:tc>
              <w:tc>
                <w:tcPr>
                  <w:tcW w:w="488" w:type="dxa"/>
                  <w:shd w:val="clear" w:color="auto" w:fill="auto"/>
                  <w:vAlign w:val="center"/>
                </w:tcPr>
                <w:p w14:paraId="239E6FD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30</w:t>
                  </w:r>
                </w:p>
              </w:tc>
              <w:tc>
                <w:tcPr>
                  <w:tcW w:w="488" w:type="dxa"/>
                  <w:shd w:val="clear" w:color="auto" w:fill="auto"/>
                  <w:vAlign w:val="center"/>
                </w:tcPr>
                <w:p w14:paraId="1E783C9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15</w:t>
                  </w:r>
                </w:p>
              </w:tc>
              <w:tc>
                <w:tcPr>
                  <w:tcW w:w="2261" w:type="dxa"/>
                  <w:shd w:val="clear" w:color="auto" w:fill="auto"/>
                  <w:vAlign w:val="center"/>
                </w:tcPr>
                <w:p w14:paraId="5DAE45C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eastAsia" w:ascii="Times New Roman" w:hAnsi="Times New Roman" w:eastAsia="宋体" w:cs="Times New Roman"/>
                      <w:lang w:val="en-US" w:eastAsia="zh-CN"/>
                    </w:rPr>
                    <w:t>90</w:t>
                  </w:r>
                  <w:r>
                    <w:rPr>
                      <w:rFonts w:hint="default" w:ascii="Times New Roman" w:hAnsi="Times New Roman" w:eastAsia="宋体" w:cs="Times New Roman"/>
                    </w:rPr>
                    <w:t>/1</w:t>
                  </w:r>
                </w:p>
              </w:tc>
              <w:tc>
                <w:tcPr>
                  <w:tcW w:w="1124" w:type="dxa"/>
                  <w:shd w:val="clear" w:color="auto" w:fill="auto"/>
                  <w:vAlign w:val="center"/>
                </w:tcPr>
                <w:p w14:paraId="0764EAD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w:t>
                  </w:r>
                </w:p>
              </w:tc>
              <w:tc>
                <w:tcPr>
                  <w:tcW w:w="949" w:type="dxa"/>
                  <w:shd w:val="clear" w:color="auto" w:fill="auto"/>
                  <w:vAlign w:val="center"/>
                </w:tcPr>
                <w:p w14:paraId="0F9482C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减振、消声</w:t>
                  </w:r>
                </w:p>
              </w:tc>
              <w:tc>
                <w:tcPr>
                  <w:tcW w:w="765" w:type="dxa"/>
                  <w:shd w:val="clear" w:color="auto" w:fill="auto"/>
                  <w:vAlign w:val="center"/>
                </w:tcPr>
                <w:p w14:paraId="080B7C9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lang w:val="en-US" w:eastAsia="en-US"/>
                    </w:rPr>
                  </w:pPr>
                  <w:r>
                    <w:rPr>
                      <w:rFonts w:hint="default" w:ascii="Times New Roman" w:hAnsi="Times New Roman" w:eastAsia="宋体" w:cs="Times New Roman"/>
                    </w:rPr>
                    <w:t>8h/d</w:t>
                  </w:r>
                </w:p>
              </w:tc>
            </w:tr>
          </w:tbl>
          <w:p w14:paraId="2793AD53">
            <w:pPr>
              <w:adjustRightInd w:val="0"/>
              <w:snapToGrid w:val="0"/>
              <w:spacing w:before="120" w:beforeLines="50" w:line="360" w:lineRule="auto"/>
              <w:ind w:firstLine="482" w:firstLineChars="200"/>
              <w:rPr>
                <w:rFonts w:hint="eastAsia"/>
                <w:b/>
                <w:bCs/>
                <w:color w:val="auto"/>
                <w:sz w:val="24"/>
              </w:rPr>
            </w:pPr>
            <w:r>
              <w:rPr>
                <w:rFonts w:hint="eastAsia"/>
                <w:b/>
                <w:bCs/>
                <w:color w:val="auto"/>
                <w:sz w:val="24"/>
              </w:rPr>
              <w:t>厂界和环境保护目标达标情况分析：</w:t>
            </w:r>
          </w:p>
          <w:p w14:paraId="65B88FEC">
            <w:pPr>
              <w:adjustRightInd w:val="0"/>
              <w:snapToGrid w:val="0"/>
              <w:spacing w:line="360" w:lineRule="auto"/>
              <w:ind w:firstLine="480" w:firstLineChars="200"/>
              <w:rPr>
                <w:rFonts w:hint="eastAsia"/>
                <w:color w:val="auto"/>
                <w:sz w:val="24"/>
                <w:lang w:val="zh-CN"/>
              </w:rPr>
            </w:pPr>
            <w:r>
              <w:rPr>
                <w:rFonts w:hint="eastAsia"/>
                <w:color w:val="auto"/>
                <w:sz w:val="24"/>
                <w:lang w:val="zh-CN"/>
              </w:rPr>
              <w:t>根据设备噪声强度，采用距离衰减模式分析该项目对声环境的影响。预测模式采用《环境影响评价技术导则</w:t>
            </w:r>
            <w:r>
              <w:rPr>
                <w:rFonts w:hint="eastAsia"/>
                <w:color w:val="auto"/>
                <w:sz w:val="24"/>
              </w:rPr>
              <w:t xml:space="preserve">  </w:t>
            </w:r>
            <w:r>
              <w:rPr>
                <w:rFonts w:hint="eastAsia"/>
                <w:color w:val="auto"/>
                <w:sz w:val="24"/>
                <w:lang w:val="zh-CN"/>
              </w:rPr>
              <w:t>声环境》</w:t>
            </w:r>
            <w:r>
              <w:rPr>
                <w:rFonts w:hint="eastAsia" w:ascii="宋体" w:hAnsi="宋体"/>
                <w:color w:val="auto"/>
                <w:sz w:val="24"/>
                <w:lang w:val="zh-CN"/>
              </w:rPr>
              <w:t>(</w:t>
            </w:r>
            <w:r>
              <w:rPr>
                <w:rFonts w:hint="eastAsia"/>
                <w:color w:val="auto"/>
                <w:sz w:val="24"/>
                <w:lang w:val="zh-CN"/>
              </w:rPr>
              <w:t>HJ2.4-2021</w:t>
            </w:r>
            <w:r>
              <w:rPr>
                <w:rFonts w:hint="eastAsia" w:ascii="宋体" w:hAnsi="宋体"/>
                <w:color w:val="auto"/>
                <w:sz w:val="24"/>
                <w:lang w:val="zh-CN"/>
              </w:rPr>
              <w:t>)中推荐</w:t>
            </w:r>
            <w:r>
              <w:rPr>
                <w:rFonts w:hint="eastAsia"/>
                <w:color w:val="auto"/>
                <w:sz w:val="24"/>
                <w:lang w:val="zh-CN"/>
              </w:rPr>
              <w:t>的噪声预测模式，噪声衰减公式：</w:t>
            </w:r>
          </w:p>
          <w:p w14:paraId="151BE712">
            <w:pPr>
              <w:pStyle w:val="22"/>
              <w:widowControl/>
              <w:adjustRightInd w:val="0"/>
              <w:spacing w:before="0" w:after="0" w:line="360" w:lineRule="auto"/>
              <w:ind w:right="0" w:firstLine="480" w:firstLineChars="200"/>
              <w:rPr>
                <w:color w:val="auto"/>
                <w:sz w:val="24"/>
                <w:szCs w:val="24"/>
              </w:rPr>
            </w:pPr>
            <w:r>
              <w:rPr>
                <w:color w:val="auto"/>
                <w:sz w:val="24"/>
                <w:szCs w:val="24"/>
              </w:rPr>
              <w:t>①如图B.1所示，声源位于室内，室内声源可采用等效室外声源声功率级法进行计算。设靠近开口处（或窗户）室内、室外某倍频带的声压级或A声级分别为L</w:t>
            </w:r>
            <w:r>
              <w:rPr>
                <w:color w:val="auto"/>
                <w:sz w:val="24"/>
                <w:szCs w:val="24"/>
                <w:vertAlign w:val="subscript"/>
              </w:rPr>
              <w:t>p1</w:t>
            </w:r>
            <w:r>
              <w:rPr>
                <w:color w:val="auto"/>
                <w:sz w:val="24"/>
                <w:szCs w:val="24"/>
              </w:rPr>
              <w:t>和L</w:t>
            </w:r>
            <w:r>
              <w:rPr>
                <w:color w:val="auto"/>
                <w:sz w:val="24"/>
                <w:szCs w:val="24"/>
                <w:vertAlign w:val="subscript"/>
              </w:rPr>
              <w:t>p2</w:t>
            </w:r>
            <w:r>
              <w:rPr>
                <w:color w:val="auto"/>
                <w:sz w:val="24"/>
                <w:szCs w:val="24"/>
              </w:rPr>
              <w:t>。若声源所在室内声场为近似扩散声场，则室外的倍频带声压级可按式（B.1）近似求出：</w:t>
            </w:r>
          </w:p>
          <w:p w14:paraId="751189DE">
            <w:pPr>
              <w:pStyle w:val="22"/>
              <w:adjustRightInd w:val="0"/>
              <w:spacing w:before="0" w:after="0" w:line="360" w:lineRule="auto"/>
              <w:ind w:right="0" w:firstLine="210"/>
              <w:jc w:val="center"/>
              <w:rPr>
                <w:color w:val="auto"/>
                <w:sz w:val="24"/>
                <w:szCs w:val="24"/>
              </w:rPr>
            </w:pPr>
            <w:r>
              <w:rPr>
                <w:color w:val="auto"/>
              </w:rPr>
              <w:drawing>
                <wp:inline distT="0" distB="0" distL="114300" distR="114300">
                  <wp:extent cx="3482975" cy="373380"/>
                  <wp:effectExtent l="0" t="0" r="3175" b="762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3"/>
                          <a:stretch>
                            <a:fillRect/>
                          </a:stretch>
                        </pic:blipFill>
                        <pic:spPr>
                          <a:xfrm>
                            <a:off x="0" y="0"/>
                            <a:ext cx="3482975" cy="373380"/>
                          </a:xfrm>
                          <a:prstGeom prst="rect">
                            <a:avLst/>
                          </a:prstGeom>
                          <a:noFill/>
                          <a:ln>
                            <a:noFill/>
                          </a:ln>
                        </pic:spPr>
                      </pic:pic>
                    </a:graphicData>
                  </a:graphic>
                </wp:inline>
              </w:drawing>
            </w:r>
          </w:p>
          <w:p w14:paraId="577BE036">
            <w:pPr>
              <w:pStyle w:val="22"/>
              <w:adjustRightInd w:val="0"/>
              <w:spacing w:before="0" w:after="0" w:line="360" w:lineRule="auto"/>
              <w:ind w:right="0" w:firstLine="0" w:firstLineChars="0"/>
              <w:rPr>
                <w:color w:val="auto"/>
                <w:sz w:val="24"/>
                <w:szCs w:val="24"/>
              </w:rPr>
            </w:pPr>
            <w:r>
              <w:rPr>
                <w:color w:val="auto"/>
                <w:sz w:val="24"/>
                <w:szCs w:val="24"/>
              </w:rPr>
              <w:t>式中：L</w:t>
            </w:r>
            <w:r>
              <w:rPr>
                <w:color w:val="auto"/>
                <w:sz w:val="24"/>
                <w:szCs w:val="24"/>
                <w:vertAlign w:val="subscript"/>
              </w:rPr>
              <w:t>p1</w:t>
            </w:r>
            <w:r>
              <w:rPr>
                <w:color w:val="auto"/>
              </w:rPr>
              <w:t>——</w:t>
            </w:r>
            <w:r>
              <w:rPr>
                <w:color w:val="auto"/>
                <w:sz w:val="24"/>
                <w:szCs w:val="24"/>
              </w:rPr>
              <w:t>靠近开口处（或窗户）室内某倍频带的声压级或A声级，dB；</w:t>
            </w:r>
          </w:p>
          <w:p w14:paraId="228D2596">
            <w:pPr>
              <w:pStyle w:val="22"/>
              <w:adjustRightInd w:val="0"/>
              <w:spacing w:before="0" w:after="0" w:line="360" w:lineRule="auto"/>
              <w:ind w:right="0" w:firstLine="720" w:firstLineChars="300"/>
              <w:rPr>
                <w:color w:val="auto"/>
                <w:sz w:val="24"/>
                <w:szCs w:val="24"/>
              </w:rPr>
            </w:pPr>
            <w:r>
              <w:rPr>
                <w:color w:val="auto"/>
                <w:sz w:val="24"/>
                <w:szCs w:val="24"/>
              </w:rPr>
              <w:t>L</w:t>
            </w:r>
            <w:r>
              <w:rPr>
                <w:color w:val="auto"/>
                <w:sz w:val="24"/>
                <w:szCs w:val="24"/>
                <w:vertAlign w:val="subscript"/>
              </w:rPr>
              <w:t>p2</w:t>
            </w:r>
            <w:r>
              <w:rPr>
                <w:color w:val="auto"/>
              </w:rPr>
              <w:t>——</w:t>
            </w:r>
            <w:r>
              <w:rPr>
                <w:color w:val="auto"/>
                <w:sz w:val="24"/>
                <w:szCs w:val="24"/>
              </w:rPr>
              <w:t>靠近开口处（或窗户）室外某倍频带的声压级或A声级，dB；</w:t>
            </w:r>
          </w:p>
          <w:p w14:paraId="55E9680D">
            <w:pPr>
              <w:pStyle w:val="22"/>
              <w:adjustRightInd w:val="0"/>
              <w:spacing w:before="0" w:after="0" w:line="360" w:lineRule="auto"/>
              <w:ind w:right="0" w:firstLine="720" w:firstLineChars="300"/>
              <w:rPr>
                <w:color w:val="auto"/>
                <w:sz w:val="24"/>
                <w:szCs w:val="24"/>
              </w:rPr>
            </w:pPr>
            <w:r>
              <w:rPr>
                <w:color w:val="auto"/>
                <w:sz w:val="24"/>
                <w:szCs w:val="24"/>
              </w:rPr>
              <w:t>TL</w:t>
            </w:r>
            <w:r>
              <w:rPr>
                <w:color w:val="auto"/>
              </w:rPr>
              <w:t>——</w:t>
            </w:r>
            <w:r>
              <w:rPr>
                <w:color w:val="auto"/>
                <w:sz w:val="24"/>
                <w:szCs w:val="24"/>
              </w:rPr>
              <w:t>隔墙（或窗户）倍频带或A声级的隔声量，dB。</w:t>
            </w:r>
          </w:p>
          <w:p w14:paraId="36B35939">
            <w:pPr>
              <w:pStyle w:val="22"/>
              <w:adjustRightInd w:val="0"/>
              <w:spacing w:before="0" w:after="0" w:line="360" w:lineRule="auto"/>
              <w:ind w:right="0" w:firstLine="0" w:firstLineChars="0"/>
              <w:jc w:val="center"/>
              <w:rPr>
                <w:color w:val="auto"/>
              </w:rPr>
            </w:pPr>
            <w:r>
              <w:rPr>
                <w:color w:val="auto"/>
              </w:rPr>
              <w:drawing>
                <wp:inline distT="0" distB="0" distL="114300" distR="114300">
                  <wp:extent cx="3236595" cy="1656080"/>
                  <wp:effectExtent l="0" t="0" r="1905" b="127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4"/>
                          <a:stretch>
                            <a:fillRect/>
                          </a:stretch>
                        </pic:blipFill>
                        <pic:spPr>
                          <a:xfrm>
                            <a:off x="0" y="0"/>
                            <a:ext cx="3236595" cy="1656080"/>
                          </a:xfrm>
                          <a:prstGeom prst="rect">
                            <a:avLst/>
                          </a:prstGeom>
                          <a:noFill/>
                          <a:ln>
                            <a:noFill/>
                          </a:ln>
                        </pic:spPr>
                      </pic:pic>
                    </a:graphicData>
                  </a:graphic>
                </wp:inline>
              </w:drawing>
            </w:r>
          </w:p>
          <w:p w14:paraId="72298742">
            <w:pPr>
              <w:pStyle w:val="22"/>
              <w:widowControl/>
              <w:adjustRightInd w:val="0"/>
              <w:spacing w:before="0" w:after="0" w:line="360" w:lineRule="auto"/>
              <w:ind w:right="0" w:firstLine="0" w:firstLineChars="0"/>
              <w:jc w:val="center"/>
              <w:rPr>
                <w:b/>
                <w:bCs/>
                <w:color w:val="auto"/>
                <w:sz w:val="24"/>
                <w:szCs w:val="24"/>
              </w:rPr>
            </w:pPr>
            <w:r>
              <w:rPr>
                <w:b/>
                <w:bCs/>
                <w:color w:val="auto"/>
                <w:sz w:val="24"/>
                <w:szCs w:val="24"/>
              </w:rPr>
              <w:t>图B.1  室内声源等效为室外声源图例</w:t>
            </w:r>
          </w:p>
          <w:p w14:paraId="4992D381">
            <w:pPr>
              <w:pStyle w:val="22"/>
              <w:adjustRightInd w:val="0"/>
              <w:spacing w:before="0" w:after="0" w:line="360" w:lineRule="auto"/>
              <w:ind w:right="0" w:firstLine="480" w:firstLineChars="200"/>
              <w:rPr>
                <w:bCs/>
                <w:color w:val="auto"/>
                <w:sz w:val="24"/>
                <w:szCs w:val="24"/>
              </w:rPr>
            </w:pPr>
            <w:r>
              <w:rPr>
                <w:bCs/>
                <w:color w:val="auto"/>
                <w:sz w:val="24"/>
                <w:szCs w:val="24"/>
              </w:rPr>
              <w:t>②也可按式（B.2）计算某一室内声源靠近围护结构处产生的倍频带声压级或A声级：</w:t>
            </w:r>
          </w:p>
          <w:p w14:paraId="23AE599D">
            <w:pPr>
              <w:pStyle w:val="22"/>
              <w:adjustRightInd w:val="0"/>
              <w:spacing w:before="0" w:after="0" w:line="360" w:lineRule="auto"/>
              <w:ind w:right="0" w:firstLine="0" w:firstLineChars="0"/>
              <w:jc w:val="center"/>
              <w:rPr>
                <w:bCs/>
                <w:color w:val="auto"/>
                <w:sz w:val="24"/>
                <w:szCs w:val="24"/>
              </w:rPr>
            </w:pPr>
            <w:r>
              <w:rPr>
                <w:color w:val="auto"/>
              </w:rPr>
              <w:drawing>
                <wp:inline distT="0" distB="0" distL="114300" distR="114300">
                  <wp:extent cx="3904615" cy="432435"/>
                  <wp:effectExtent l="0" t="0" r="635" b="571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5"/>
                          <a:stretch>
                            <a:fillRect/>
                          </a:stretch>
                        </pic:blipFill>
                        <pic:spPr>
                          <a:xfrm>
                            <a:off x="0" y="0"/>
                            <a:ext cx="3904615" cy="432435"/>
                          </a:xfrm>
                          <a:prstGeom prst="rect">
                            <a:avLst/>
                          </a:prstGeom>
                          <a:noFill/>
                          <a:ln>
                            <a:noFill/>
                          </a:ln>
                        </pic:spPr>
                      </pic:pic>
                    </a:graphicData>
                  </a:graphic>
                </wp:inline>
              </w:drawing>
            </w:r>
          </w:p>
          <w:p w14:paraId="113404B1">
            <w:pPr>
              <w:pStyle w:val="22"/>
              <w:adjustRightInd w:val="0"/>
              <w:spacing w:before="0" w:after="0" w:line="360" w:lineRule="auto"/>
              <w:ind w:right="0" w:firstLine="0" w:firstLineChars="0"/>
              <w:rPr>
                <w:bCs/>
                <w:color w:val="auto"/>
                <w:sz w:val="24"/>
                <w:szCs w:val="24"/>
              </w:rPr>
            </w:pPr>
            <w:r>
              <w:rPr>
                <w:bCs/>
                <w:color w:val="auto"/>
                <w:sz w:val="24"/>
                <w:szCs w:val="24"/>
              </w:rPr>
              <w:t>式中：L</w:t>
            </w:r>
            <w:r>
              <w:rPr>
                <w:bCs/>
                <w:color w:val="auto"/>
                <w:sz w:val="24"/>
                <w:szCs w:val="24"/>
                <w:vertAlign w:val="subscript"/>
              </w:rPr>
              <w:t>p1</w:t>
            </w:r>
            <w:r>
              <w:rPr>
                <w:bCs/>
                <w:color w:val="auto"/>
                <w:sz w:val="24"/>
                <w:szCs w:val="24"/>
              </w:rPr>
              <w:t>——靠近开口处（或窗户）室内某倍频带的声压级或A声级，dB；</w:t>
            </w:r>
          </w:p>
          <w:p w14:paraId="7A2FF2CA">
            <w:pPr>
              <w:pStyle w:val="22"/>
              <w:adjustRightInd w:val="0"/>
              <w:spacing w:before="0" w:after="0" w:line="360" w:lineRule="auto"/>
              <w:ind w:right="0" w:firstLine="720" w:firstLineChars="300"/>
              <w:rPr>
                <w:bCs/>
                <w:color w:val="auto"/>
                <w:sz w:val="24"/>
                <w:szCs w:val="24"/>
              </w:rPr>
            </w:pPr>
            <w:r>
              <w:rPr>
                <w:bCs/>
                <w:color w:val="auto"/>
                <w:sz w:val="24"/>
                <w:szCs w:val="24"/>
              </w:rPr>
              <w:t>L</w:t>
            </w:r>
            <w:r>
              <w:rPr>
                <w:bCs/>
                <w:color w:val="auto"/>
                <w:sz w:val="24"/>
                <w:szCs w:val="24"/>
                <w:vertAlign w:val="subscript"/>
              </w:rPr>
              <w:t xml:space="preserve">w </w:t>
            </w:r>
            <w:r>
              <w:rPr>
                <w:bCs/>
                <w:color w:val="auto"/>
                <w:sz w:val="24"/>
                <w:szCs w:val="24"/>
              </w:rPr>
              <w:t>——点声源声功率级（A计权或倍频带），dB；</w:t>
            </w:r>
          </w:p>
          <w:p w14:paraId="7375E57A">
            <w:pPr>
              <w:pStyle w:val="22"/>
              <w:adjustRightInd w:val="0"/>
              <w:spacing w:before="0" w:after="0" w:line="360" w:lineRule="auto"/>
              <w:ind w:right="0" w:firstLine="720" w:firstLineChars="300"/>
              <w:rPr>
                <w:bCs/>
                <w:color w:val="auto"/>
                <w:sz w:val="24"/>
                <w:szCs w:val="24"/>
              </w:rPr>
            </w:pPr>
            <w:r>
              <w:rPr>
                <w:bCs/>
                <w:color w:val="auto"/>
                <w:sz w:val="24"/>
                <w:szCs w:val="24"/>
              </w:rPr>
              <w:t>Q——指向性因数；通常对无指向性声源，当声源放在房间中心时，Q=1；当放在一面墙的中心时，Q=2；当放在两面墙夹角处时，Q=4；当放在三面墙夹角处时，Q=8；</w:t>
            </w:r>
          </w:p>
          <w:p w14:paraId="68828950">
            <w:pPr>
              <w:pStyle w:val="22"/>
              <w:adjustRightInd w:val="0"/>
              <w:spacing w:before="0" w:after="0" w:line="360" w:lineRule="auto"/>
              <w:ind w:right="0" w:firstLine="720" w:firstLineChars="300"/>
              <w:rPr>
                <w:bCs/>
                <w:color w:val="auto"/>
                <w:sz w:val="24"/>
                <w:szCs w:val="24"/>
              </w:rPr>
            </w:pPr>
            <w:r>
              <w:rPr>
                <w:bCs/>
                <w:color w:val="auto"/>
                <w:sz w:val="24"/>
                <w:szCs w:val="24"/>
              </w:rPr>
              <w:t>R——房间常数；</w:t>
            </w:r>
            <w:r>
              <w:rPr>
                <w:color w:val="auto"/>
                <w:kern w:val="0"/>
                <w:sz w:val="24"/>
                <w:szCs w:val="24"/>
              </w:rPr>
              <w:t>R=Sα/（1-α）</w:t>
            </w:r>
            <w:r>
              <w:rPr>
                <w:bCs/>
                <w:color w:val="auto"/>
                <w:sz w:val="24"/>
                <w:szCs w:val="24"/>
              </w:rPr>
              <w:t>，S为房间内表面面积，m</w:t>
            </w:r>
            <w:r>
              <w:rPr>
                <w:bCs/>
                <w:color w:val="auto"/>
                <w:sz w:val="24"/>
                <w:szCs w:val="24"/>
                <w:vertAlign w:val="superscript"/>
              </w:rPr>
              <w:t>2</w:t>
            </w:r>
            <w:r>
              <w:rPr>
                <w:bCs/>
                <w:color w:val="auto"/>
                <w:sz w:val="24"/>
                <w:szCs w:val="24"/>
              </w:rPr>
              <w:t>；α为平均吸声系数；</w:t>
            </w:r>
          </w:p>
          <w:p w14:paraId="250073A8">
            <w:pPr>
              <w:pStyle w:val="22"/>
              <w:adjustRightInd w:val="0"/>
              <w:spacing w:before="0" w:after="0" w:line="360" w:lineRule="auto"/>
              <w:ind w:right="0" w:firstLine="720" w:firstLineChars="300"/>
              <w:rPr>
                <w:bCs/>
                <w:color w:val="auto"/>
                <w:sz w:val="24"/>
                <w:szCs w:val="24"/>
              </w:rPr>
            </w:pPr>
            <w:r>
              <w:rPr>
                <w:bCs/>
                <w:color w:val="auto"/>
                <w:sz w:val="24"/>
                <w:szCs w:val="24"/>
              </w:rPr>
              <w:t>r ——声源到靠近围护结构某点处的距离，m。</w:t>
            </w:r>
          </w:p>
          <w:p w14:paraId="16908B11">
            <w:pPr>
              <w:pStyle w:val="22"/>
              <w:adjustRightInd w:val="0"/>
              <w:spacing w:before="0" w:after="0" w:line="360" w:lineRule="auto"/>
              <w:ind w:right="0" w:firstLine="480" w:firstLineChars="200"/>
              <w:rPr>
                <w:bCs/>
                <w:color w:val="auto"/>
                <w:sz w:val="24"/>
                <w:szCs w:val="24"/>
              </w:rPr>
            </w:pPr>
            <w:r>
              <w:rPr>
                <w:bCs/>
                <w:color w:val="auto"/>
                <w:sz w:val="24"/>
                <w:szCs w:val="24"/>
              </w:rPr>
              <w:t>③然后按式（B.3）计算出所有室内声源在围护结构处产生的i倍频带叠加声压级：</w:t>
            </w:r>
          </w:p>
          <w:p w14:paraId="609C65C0">
            <w:pPr>
              <w:pStyle w:val="22"/>
              <w:adjustRightInd w:val="0"/>
              <w:spacing w:before="0" w:after="0" w:line="360" w:lineRule="auto"/>
              <w:ind w:right="0" w:firstLine="0" w:firstLineChars="0"/>
              <w:jc w:val="center"/>
              <w:rPr>
                <w:bCs/>
                <w:color w:val="auto"/>
                <w:sz w:val="24"/>
                <w:szCs w:val="24"/>
              </w:rPr>
            </w:pPr>
            <w:r>
              <w:rPr>
                <w:color w:val="auto"/>
              </w:rPr>
              <w:drawing>
                <wp:inline distT="0" distB="0" distL="114300" distR="114300">
                  <wp:extent cx="3957955" cy="560705"/>
                  <wp:effectExtent l="0" t="0" r="4445" b="127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6"/>
                          <a:stretch>
                            <a:fillRect/>
                          </a:stretch>
                        </pic:blipFill>
                        <pic:spPr>
                          <a:xfrm>
                            <a:off x="0" y="0"/>
                            <a:ext cx="3957955" cy="560705"/>
                          </a:xfrm>
                          <a:prstGeom prst="rect">
                            <a:avLst/>
                          </a:prstGeom>
                          <a:noFill/>
                          <a:ln>
                            <a:noFill/>
                          </a:ln>
                        </pic:spPr>
                      </pic:pic>
                    </a:graphicData>
                  </a:graphic>
                </wp:inline>
              </w:drawing>
            </w:r>
          </w:p>
          <w:p w14:paraId="1C874449">
            <w:pPr>
              <w:adjustRightInd w:val="0"/>
              <w:snapToGrid w:val="0"/>
              <w:spacing w:line="360" w:lineRule="auto"/>
              <w:rPr>
                <w:color w:val="auto"/>
                <w:kern w:val="0"/>
                <w:sz w:val="24"/>
              </w:rPr>
            </w:pPr>
            <w:r>
              <w:rPr>
                <w:color w:val="auto"/>
                <w:kern w:val="0"/>
                <w:sz w:val="24"/>
              </w:rPr>
              <w:t>式中：L</w:t>
            </w:r>
            <w:r>
              <w:rPr>
                <w:color w:val="auto"/>
                <w:kern w:val="0"/>
                <w:sz w:val="24"/>
                <w:vertAlign w:val="subscript"/>
              </w:rPr>
              <w:t>pli</w:t>
            </w:r>
            <w:r>
              <w:rPr>
                <w:color w:val="auto"/>
                <w:kern w:val="0"/>
                <w:sz w:val="24"/>
              </w:rPr>
              <w:t>（T）——靠近围护结构处室内N个声源i倍频带的叠加声压级，dB；</w:t>
            </w:r>
          </w:p>
          <w:p w14:paraId="353C48BE">
            <w:pPr>
              <w:adjustRightInd w:val="0"/>
              <w:snapToGrid w:val="0"/>
              <w:spacing w:line="360" w:lineRule="auto"/>
              <w:ind w:firstLine="720" w:firstLineChars="300"/>
              <w:rPr>
                <w:color w:val="auto"/>
                <w:kern w:val="0"/>
                <w:sz w:val="24"/>
              </w:rPr>
            </w:pPr>
            <w:r>
              <w:rPr>
                <w:color w:val="auto"/>
                <w:kern w:val="0"/>
                <w:sz w:val="24"/>
              </w:rPr>
              <w:t>L</w:t>
            </w:r>
            <w:r>
              <w:rPr>
                <w:color w:val="auto"/>
                <w:kern w:val="0"/>
                <w:sz w:val="24"/>
                <w:vertAlign w:val="subscript"/>
              </w:rPr>
              <w:t>plij</w:t>
            </w:r>
            <w:r>
              <w:rPr>
                <w:color w:val="auto"/>
                <w:kern w:val="0"/>
                <w:sz w:val="24"/>
              </w:rPr>
              <w:t>——室内j声源i倍频带的声压级，dB；</w:t>
            </w:r>
          </w:p>
          <w:p w14:paraId="57D02537">
            <w:pPr>
              <w:adjustRightInd w:val="0"/>
              <w:snapToGrid w:val="0"/>
              <w:spacing w:line="360" w:lineRule="auto"/>
              <w:ind w:firstLine="630" w:firstLineChars="300"/>
              <w:rPr>
                <w:color w:val="auto"/>
              </w:rPr>
            </w:pPr>
            <w:r>
              <w:rPr>
                <w:color w:val="auto"/>
              </w:rPr>
              <w:t>N</w:t>
            </w:r>
            <w:r>
              <w:rPr>
                <w:color w:val="auto"/>
                <w:kern w:val="0"/>
                <w:sz w:val="24"/>
              </w:rPr>
              <w:t>——室内声源总数。</w:t>
            </w:r>
          </w:p>
          <w:p w14:paraId="0984602A">
            <w:pPr>
              <w:pStyle w:val="22"/>
              <w:adjustRightInd w:val="0"/>
              <w:spacing w:before="0" w:after="0" w:line="360" w:lineRule="auto"/>
              <w:ind w:right="0" w:firstLine="480" w:firstLineChars="200"/>
              <w:rPr>
                <w:bCs/>
                <w:color w:val="auto"/>
                <w:sz w:val="24"/>
                <w:szCs w:val="24"/>
              </w:rPr>
            </w:pPr>
            <w:r>
              <w:rPr>
                <w:bCs/>
                <w:color w:val="auto"/>
                <w:sz w:val="24"/>
                <w:szCs w:val="24"/>
              </w:rPr>
              <w:t>④在室内近似为扩散声场时，按式（B.4）计算出靠近室外围护结构处的声压级：</w:t>
            </w:r>
          </w:p>
          <w:p w14:paraId="74C5A6A4">
            <w:pPr>
              <w:pStyle w:val="22"/>
              <w:adjustRightInd w:val="0"/>
              <w:spacing w:before="0" w:after="0" w:line="360" w:lineRule="auto"/>
              <w:ind w:right="0" w:firstLine="0" w:firstLineChars="0"/>
              <w:jc w:val="center"/>
              <w:rPr>
                <w:bCs/>
                <w:color w:val="auto"/>
                <w:sz w:val="24"/>
                <w:szCs w:val="24"/>
              </w:rPr>
            </w:pPr>
            <w:r>
              <w:rPr>
                <w:color w:val="auto"/>
              </w:rPr>
              <w:drawing>
                <wp:inline distT="0" distB="0" distL="114300" distR="114300">
                  <wp:extent cx="4064000" cy="332740"/>
                  <wp:effectExtent l="0" t="0" r="3175" b="63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7"/>
                          <a:stretch>
                            <a:fillRect/>
                          </a:stretch>
                        </pic:blipFill>
                        <pic:spPr>
                          <a:xfrm>
                            <a:off x="0" y="0"/>
                            <a:ext cx="4064000" cy="332740"/>
                          </a:xfrm>
                          <a:prstGeom prst="rect">
                            <a:avLst/>
                          </a:prstGeom>
                          <a:noFill/>
                          <a:ln>
                            <a:noFill/>
                          </a:ln>
                        </pic:spPr>
                      </pic:pic>
                    </a:graphicData>
                  </a:graphic>
                </wp:inline>
              </w:drawing>
            </w:r>
          </w:p>
          <w:p w14:paraId="26AAC0D9">
            <w:pPr>
              <w:adjustRightInd w:val="0"/>
              <w:snapToGrid w:val="0"/>
              <w:spacing w:line="360" w:lineRule="auto"/>
              <w:rPr>
                <w:color w:val="auto"/>
                <w:kern w:val="0"/>
                <w:sz w:val="24"/>
              </w:rPr>
            </w:pPr>
            <w:r>
              <w:rPr>
                <w:color w:val="auto"/>
                <w:kern w:val="0"/>
                <w:sz w:val="24"/>
              </w:rPr>
              <w:t>式中：L</w:t>
            </w:r>
            <w:r>
              <w:rPr>
                <w:color w:val="auto"/>
                <w:kern w:val="0"/>
                <w:sz w:val="24"/>
                <w:vertAlign w:val="subscript"/>
              </w:rPr>
              <w:t>p2i</w:t>
            </w:r>
            <w:r>
              <w:rPr>
                <w:color w:val="auto"/>
                <w:kern w:val="0"/>
                <w:sz w:val="24"/>
              </w:rPr>
              <w:t>（T）——靠近围护结构处室外N个声源i倍频带的叠加声压级，dB；</w:t>
            </w:r>
          </w:p>
          <w:p w14:paraId="2C0E2965">
            <w:pPr>
              <w:adjustRightInd w:val="0"/>
              <w:snapToGrid w:val="0"/>
              <w:spacing w:line="360" w:lineRule="auto"/>
              <w:ind w:firstLine="720" w:firstLineChars="300"/>
              <w:rPr>
                <w:color w:val="auto"/>
                <w:kern w:val="0"/>
                <w:sz w:val="24"/>
              </w:rPr>
            </w:pPr>
            <w:r>
              <w:rPr>
                <w:color w:val="auto"/>
                <w:kern w:val="0"/>
                <w:sz w:val="24"/>
              </w:rPr>
              <w:t>L</w:t>
            </w:r>
            <w:r>
              <w:rPr>
                <w:color w:val="auto"/>
                <w:kern w:val="0"/>
                <w:sz w:val="24"/>
                <w:vertAlign w:val="subscript"/>
              </w:rPr>
              <w:t>pli</w:t>
            </w:r>
            <w:r>
              <w:rPr>
                <w:color w:val="auto"/>
                <w:kern w:val="0"/>
                <w:sz w:val="24"/>
              </w:rPr>
              <w:t>（T）——靠近围护结构处室内N个声源i倍频带的叠加声压级，dB；</w:t>
            </w:r>
          </w:p>
          <w:p w14:paraId="6E8327E6">
            <w:pPr>
              <w:adjustRightInd w:val="0"/>
              <w:snapToGrid w:val="0"/>
              <w:spacing w:line="360" w:lineRule="auto"/>
              <w:ind w:firstLine="720" w:firstLineChars="300"/>
              <w:rPr>
                <w:color w:val="auto"/>
                <w:kern w:val="0"/>
                <w:sz w:val="24"/>
              </w:rPr>
            </w:pPr>
            <w:r>
              <w:rPr>
                <w:color w:val="auto"/>
                <w:kern w:val="0"/>
                <w:sz w:val="24"/>
              </w:rPr>
              <w:t>TL</w:t>
            </w:r>
            <w:r>
              <w:rPr>
                <w:color w:val="auto"/>
                <w:kern w:val="0"/>
                <w:sz w:val="24"/>
                <w:vertAlign w:val="subscript"/>
              </w:rPr>
              <w:t>i</w:t>
            </w:r>
            <w:r>
              <w:rPr>
                <w:color w:val="auto"/>
                <w:kern w:val="0"/>
                <w:sz w:val="24"/>
              </w:rPr>
              <w:t>——围护结构i倍频带的隔声量，dB；</w:t>
            </w:r>
          </w:p>
          <w:p w14:paraId="191CE4D0">
            <w:pPr>
              <w:pStyle w:val="22"/>
              <w:adjustRightInd w:val="0"/>
              <w:spacing w:before="0" w:after="0" w:line="360" w:lineRule="auto"/>
              <w:ind w:right="0" w:firstLine="480" w:firstLineChars="200"/>
              <w:rPr>
                <w:bCs/>
                <w:color w:val="auto"/>
                <w:sz w:val="24"/>
                <w:szCs w:val="24"/>
              </w:rPr>
            </w:pPr>
            <w:r>
              <w:rPr>
                <w:bCs/>
                <w:color w:val="auto"/>
                <w:sz w:val="24"/>
                <w:szCs w:val="24"/>
              </w:rPr>
              <w:t>⑤然后按式（B.5）将室外声源的声压级和透过面积换算成等效的室外声源，计算出中心位置位于透声面积（S）处的等效声源的倍频带声功率级。</w:t>
            </w:r>
          </w:p>
          <w:p w14:paraId="37E59C90">
            <w:pPr>
              <w:pStyle w:val="22"/>
              <w:adjustRightInd w:val="0"/>
              <w:spacing w:before="0" w:after="0" w:line="360" w:lineRule="auto"/>
              <w:ind w:right="0" w:firstLine="0" w:firstLineChars="0"/>
              <w:jc w:val="center"/>
              <w:rPr>
                <w:bCs/>
                <w:color w:val="auto"/>
                <w:sz w:val="24"/>
                <w:szCs w:val="24"/>
              </w:rPr>
            </w:pPr>
            <w:r>
              <w:rPr>
                <w:color w:val="auto"/>
              </w:rPr>
              <w:drawing>
                <wp:inline distT="0" distB="0" distL="114300" distR="114300">
                  <wp:extent cx="3923665" cy="304165"/>
                  <wp:effectExtent l="0" t="0" r="635" b="63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8"/>
                          <a:stretch>
                            <a:fillRect/>
                          </a:stretch>
                        </pic:blipFill>
                        <pic:spPr>
                          <a:xfrm>
                            <a:off x="0" y="0"/>
                            <a:ext cx="3923665" cy="304165"/>
                          </a:xfrm>
                          <a:prstGeom prst="rect">
                            <a:avLst/>
                          </a:prstGeom>
                          <a:noFill/>
                          <a:ln>
                            <a:noFill/>
                          </a:ln>
                        </pic:spPr>
                      </pic:pic>
                    </a:graphicData>
                  </a:graphic>
                </wp:inline>
              </w:drawing>
            </w:r>
          </w:p>
          <w:p w14:paraId="49E589E0">
            <w:pPr>
              <w:adjustRightInd w:val="0"/>
              <w:snapToGrid w:val="0"/>
              <w:spacing w:line="360" w:lineRule="auto"/>
              <w:rPr>
                <w:color w:val="auto"/>
                <w:sz w:val="24"/>
              </w:rPr>
            </w:pPr>
            <w:r>
              <w:rPr>
                <w:color w:val="auto"/>
                <w:sz w:val="24"/>
              </w:rPr>
              <w:t>式中：L</w:t>
            </w:r>
            <w:r>
              <w:rPr>
                <w:color w:val="auto"/>
                <w:sz w:val="24"/>
                <w:vertAlign w:val="subscript"/>
              </w:rPr>
              <w:t>W</w:t>
            </w:r>
            <w:r>
              <w:rPr>
                <w:color w:val="auto"/>
                <w:sz w:val="24"/>
              </w:rPr>
              <w:t>——中心位置位于透声面积（S）处的等效声源的倍频带声功率级，dB；</w:t>
            </w:r>
          </w:p>
          <w:p w14:paraId="31B62D53">
            <w:pPr>
              <w:adjustRightInd w:val="0"/>
              <w:snapToGrid w:val="0"/>
              <w:spacing w:line="360" w:lineRule="auto"/>
              <w:ind w:firstLine="720" w:firstLineChars="300"/>
              <w:rPr>
                <w:color w:val="auto"/>
                <w:sz w:val="24"/>
              </w:rPr>
            </w:pPr>
            <w:r>
              <w:rPr>
                <w:color w:val="auto"/>
                <w:sz w:val="24"/>
              </w:rPr>
              <w:t>L</w:t>
            </w:r>
            <w:r>
              <w:rPr>
                <w:color w:val="auto"/>
                <w:sz w:val="24"/>
                <w:vertAlign w:val="subscript"/>
              </w:rPr>
              <w:t>p2</w:t>
            </w:r>
            <w:r>
              <w:rPr>
                <w:color w:val="auto"/>
                <w:sz w:val="24"/>
              </w:rPr>
              <w:t>（T）——靠近围护结构处室外声源的声压级，dB；</w:t>
            </w:r>
          </w:p>
          <w:p w14:paraId="4786CBE8">
            <w:pPr>
              <w:adjustRightInd w:val="0"/>
              <w:snapToGrid w:val="0"/>
              <w:spacing w:line="360" w:lineRule="auto"/>
              <w:ind w:firstLine="720" w:firstLineChars="300"/>
              <w:rPr>
                <w:color w:val="auto"/>
                <w:sz w:val="24"/>
              </w:rPr>
            </w:pPr>
            <w:r>
              <w:rPr>
                <w:color w:val="auto"/>
                <w:sz w:val="24"/>
              </w:rPr>
              <w:t>S——透声面积，m</w:t>
            </w:r>
            <w:r>
              <w:rPr>
                <w:color w:val="auto"/>
                <w:sz w:val="24"/>
                <w:vertAlign w:val="superscript"/>
              </w:rPr>
              <w:t>2</w:t>
            </w:r>
            <w:r>
              <w:rPr>
                <w:color w:val="auto"/>
                <w:sz w:val="24"/>
              </w:rPr>
              <w:t>。</w:t>
            </w:r>
          </w:p>
          <w:p w14:paraId="270BEC60">
            <w:pPr>
              <w:adjustRightInd w:val="0"/>
              <w:snapToGrid w:val="0"/>
              <w:spacing w:line="360" w:lineRule="auto"/>
              <w:ind w:firstLine="480" w:firstLineChars="200"/>
              <w:rPr>
                <w:color w:val="auto"/>
                <w:sz w:val="24"/>
              </w:rPr>
            </w:pPr>
            <w:r>
              <w:rPr>
                <w:color w:val="auto"/>
                <w:sz w:val="24"/>
              </w:rPr>
              <w:t>然后按室外声源预测方法计算预测点处的 A 声级。</w:t>
            </w:r>
          </w:p>
          <w:p w14:paraId="485F330B">
            <w:pPr>
              <w:adjustRightInd w:val="0"/>
              <w:snapToGrid w:val="0"/>
              <w:spacing w:line="360" w:lineRule="auto"/>
              <w:ind w:firstLine="480" w:firstLineChars="200"/>
              <w:rPr>
                <w:color w:val="auto"/>
                <w:sz w:val="24"/>
              </w:rPr>
            </w:pPr>
            <w:r>
              <w:rPr>
                <w:color w:val="auto"/>
                <w:sz w:val="24"/>
              </w:rPr>
              <w:t>⑥工业企业噪声计算</w:t>
            </w:r>
          </w:p>
          <w:p w14:paraId="04794DF6">
            <w:pPr>
              <w:adjustRightInd w:val="0"/>
              <w:snapToGrid w:val="0"/>
              <w:spacing w:line="360" w:lineRule="auto"/>
              <w:ind w:firstLine="480" w:firstLineChars="200"/>
              <w:rPr>
                <w:color w:val="auto"/>
                <w:kern w:val="0"/>
                <w:sz w:val="24"/>
              </w:rPr>
            </w:pPr>
            <w:r>
              <w:rPr>
                <w:color w:val="auto"/>
                <w:kern w:val="0"/>
                <w:sz w:val="24"/>
              </w:rPr>
              <w:t>设第i个室外声源在预测点产生的A声级为L</w:t>
            </w:r>
            <w:r>
              <w:rPr>
                <w:color w:val="auto"/>
                <w:kern w:val="0"/>
                <w:sz w:val="24"/>
                <w:vertAlign w:val="subscript"/>
              </w:rPr>
              <w:t>Ai</w:t>
            </w:r>
            <w:r>
              <w:rPr>
                <w:color w:val="auto"/>
                <w:kern w:val="0"/>
                <w:sz w:val="24"/>
              </w:rPr>
              <w:t>，在T时间内该声源工作时间为t</w:t>
            </w:r>
            <w:r>
              <w:rPr>
                <w:color w:val="auto"/>
                <w:kern w:val="0"/>
                <w:sz w:val="24"/>
                <w:vertAlign w:val="subscript"/>
              </w:rPr>
              <w:t>i</w:t>
            </w:r>
            <w:r>
              <w:rPr>
                <w:color w:val="auto"/>
                <w:kern w:val="0"/>
                <w:sz w:val="24"/>
              </w:rPr>
              <w:t>；第j个等效室外声源在预测点产生的A声级为L</w:t>
            </w:r>
            <w:r>
              <w:rPr>
                <w:color w:val="auto"/>
                <w:kern w:val="0"/>
                <w:sz w:val="24"/>
                <w:vertAlign w:val="subscript"/>
              </w:rPr>
              <w:t xml:space="preserve">Aj </w:t>
            </w:r>
            <w:r>
              <w:rPr>
                <w:color w:val="auto"/>
                <w:kern w:val="0"/>
                <w:sz w:val="24"/>
              </w:rPr>
              <w:t>，在T时间内该声源工作时间为t</w:t>
            </w:r>
            <w:r>
              <w:rPr>
                <w:color w:val="auto"/>
                <w:kern w:val="0"/>
                <w:sz w:val="24"/>
                <w:vertAlign w:val="subscript"/>
              </w:rPr>
              <w:t>j</w:t>
            </w:r>
            <w:r>
              <w:rPr>
                <w:color w:val="auto"/>
                <w:kern w:val="0"/>
                <w:sz w:val="24"/>
              </w:rPr>
              <w:t>，则拟建工程声源对预测点产生的贡献值（L</w:t>
            </w:r>
            <w:r>
              <w:rPr>
                <w:color w:val="auto"/>
                <w:kern w:val="0"/>
                <w:sz w:val="24"/>
                <w:vertAlign w:val="subscript"/>
              </w:rPr>
              <w:t>eqg</w:t>
            </w:r>
            <w:r>
              <w:rPr>
                <w:color w:val="auto"/>
                <w:kern w:val="0"/>
                <w:sz w:val="24"/>
              </w:rPr>
              <w:t>）为：</w:t>
            </w:r>
          </w:p>
          <w:p w14:paraId="39A091C5">
            <w:pPr>
              <w:adjustRightInd w:val="0"/>
              <w:snapToGrid w:val="0"/>
              <w:spacing w:line="360" w:lineRule="auto"/>
              <w:jc w:val="center"/>
              <w:rPr>
                <w:color w:val="auto"/>
                <w:kern w:val="0"/>
                <w:sz w:val="24"/>
              </w:rPr>
            </w:pPr>
            <w:r>
              <w:rPr>
                <w:color w:val="auto"/>
              </w:rPr>
              <w:drawing>
                <wp:inline distT="0" distB="0" distL="114300" distR="114300">
                  <wp:extent cx="4066540" cy="510540"/>
                  <wp:effectExtent l="0" t="0" r="635" b="381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9"/>
                          <a:stretch>
                            <a:fillRect/>
                          </a:stretch>
                        </pic:blipFill>
                        <pic:spPr>
                          <a:xfrm>
                            <a:off x="0" y="0"/>
                            <a:ext cx="4066540" cy="510540"/>
                          </a:xfrm>
                          <a:prstGeom prst="rect">
                            <a:avLst/>
                          </a:prstGeom>
                          <a:noFill/>
                          <a:ln>
                            <a:noFill/>
                          </a:ln>
                        </pic:spPr>
                      </pic:pic>
                    </a:graphicData>
                  </a:graphic>
                </wp:inline>
              </w:drawing>
            </w:r>
          </w:p>
          <w:p w14:paraId="1160E7E1">
            <w:pPr>
              <w:adjustRightInd w:val="0"/>
              <w:snapToGrid w:val="0"/>
              <w:spacing w:line="360" w:lineRule="auto"/>
              <w:rPr>
                <w:color w:val="auto"/>
                <w:kern w:val="0"/>
                <w:sz w:val="24"/>
                <w:vertAlign w:val="subscript"/>
              </w:rPr>
            </w:pPr>
            <w:r>
              <w:rPr>
                <w:color w:val="auto"/>
                <w:kern w:val="0"/>
                <w:sz w:val="24"/>
              </w:rPr>
              <w:t>式中：L</w:t>
            </w:r>
            <w:r>
              <w:rPr>
                <w:color w:val="auto"/>
                <w:kern w:val="0"/>
                <w:sz w:val="24"/>
                <w:vertAlign w:val="subscript"/>
              </w:rPr>
              <w:t>eqg</w:t>
            </w:r>
            <w:r>
              <w:rPr>
                <w:color w:val="auto"/>
                <w:kern w:val="0"/>
                <w:sz w:val="24"/>
              </w:rPr>
              <w:t>——建设项目声源在预测点产生的噪声贡献值，dB；</w:t>
            </w:r>
          </w:p>
          <w:p w14:paraId="1442C480">
            <w:pPr>
              <w:adjustRightInd w:val="0"/>
              <w:snapToGrid w:val="0"/>
              <w:spacing w:line="360" w:lineRule="auto"/>
              <w:ind w:firstLine="720" w:firstLineChars="300"/>
              <w:rPr>
                <w:color w:val="auto"/>
                <w:kern w:val="0"/>
                <w:sz w:val="24"/>
              </w:rPr>
            </w:pPr>
            <w:r>
              <w:rPr>
                <w:color w:val="auto"/>
                <w:kern w:val="0"/>
                <w:sz w:val="24"/>
              </w:rPr>
              <w:t>T——用于计算等效声级的时间，s；</w:t>
            </w:r>
          </w:p>
          <w:p w14:paraId="46557CD1">
            <w:pPr>
              <w:adjustRightInd w:val="0"/>
              <w:snapToGrid w:val="0"/>
              <w:spacing w:line="360" w:lineRule="auto"/>
              <w:ind w:firstLine="720" w:firstLineChars="300"/>
              <w:rPr>
                <w:color w:val="auto"/>
                <w:kern w:val="0"/>
                <w:sz w:val="24"/>
              </w:rPr>
            </w:pPr>
            <w:r>
              <w:rPr>
                <w:color w:val="auto"/>
                <w:kern w:val="0"/>
                <w:sz w:val="24"/>
              </w:rPr>
              <w:t>N——室外声源个数；</w:t>
            </w:r>
          </w:p>
          <w:p w14:paraId="75BCA3D0">
            <w:pPr>
              <w:adjustRightInd w:val="0"/>
              <w:snapToGrid w:val="0"/>
              <w:spacing w:line="360" w:lineRule="auto"/>
              <w:ind w:firstLine="720" w:firstLineChars="300"/>
              <w:rPr>
                <w:color w:val="auto"/>
                <w:kern w:val="0"/>
                <w:sz w:val="24"/>
              </w:rPr>
            </w:pPr>
            <w:r>
              <w:rPr>
                <w:color w:val="auto"/>
                <w:kern w:val="0"/>
                <w:sz w:val="24"/>
              </w:rPr>
              <w:t xml:space="preserve">t </w:t>
            </w:r>
            <w:r>
              <w:rPr>
                <w:color w:val="auto"/>
                <w:kern w:val="0"/>
                <w:sz w:val="24"/>
                <w:vertAlign w:val="subscript"/>
              </w:rPr>
              <w:t>i</w:t>
            </w:r>
            <w:r>
              <w:rPr>
                <w:color w:val="auto"/>
                <w:kern w:val="0"/>
                <w:sz w:val="24"/>
              </w:rPr>
              <w:t>——在T时间内i声源工作时间，s；</w:t>
            </w:r>
          </w:p>
          <w:p w14:paraId="787030DB">
            <w:pPr>
              <w:adjustRightInd w:val="0"/>
              <w:snapToGrid w:val="0"/>
              <w:spacing w:line="360" w:lineRule="auto"/>
              <w:ind w:firstLine="720" w:firstLineChars="300"/>
              <w:rPr>
                <w:color w:val="auto"/>
                <w:kern w:val="0"/>
                <w:sz w:val="24"/>
              </w:rPr>
            </w:pPr>
            <w:r>
              <w:rPr>
                <w:color w:val="auto"/>
                <w:kern w:val="0"/>
                <w:sz w:val="24"/>
              </w:rPr>
              <w:t>M——等效室外声源个数；</w:t>
            </w:r>
          </w:p>
          <w:p w14:paraId="676FCC6E">
            <w:pPr>
              <w:adjustRightInd w:val="0"/>
              <w:snapToGrid w:val="0"/>
              <w:spacing w:line="360" w:lineRule="auto"/>
              <w:ind w:firstLine="720" w:firstLineChars="300"/>
              <w:rPr>
                <w:color w:val="auto"/>
                <w:kern w:val="0"/>
                <w:sz w:val="24"/>
              </w:rPr>
            </w:pPr>
            <w:r>
              <w:rPr>
                <w:color w:val="auto"/>
                <w:kern w:val="0"/>
                <w:sz w:val="24"/>
              </w:rPr>
              <w:t>t</w:t>
            </w:r>
            <w:r>
              <w:rPr>
                <w:color w:val="auto"/>
                <w:kern w:val="0"/>
                <w:sz w:val="24"/>
                <w:vertAlign w:val="subscript"/>
              </w:rPr>
              <w:t>j</w:t>
            </w:r>
            <w:r>
              <w:rPr>
                <w:color w:val="auto"/>
                <w:kern w:val="0"/>
                <w:sz w:val="24"/>
              </w:rPr>
              <w:t>——在T时间内j声源工作时间，s。</w:t>
            </w:r>
          </w:p>
          <w:p w14:paraId="13C2B268">
            <w:pPr>
              <w:tabs>
                <w:tab w:val="left" w:pos="1219"/>
              </w:tabs>
              <w:autoSpaceDE w:val="0"/>
              <w:autoSpaceDN w:val="0"/>
              <w:adjustRightInd w:val="0"/>
              <w:snapToGrid w:val="0"/>
              <w:spacing w:line="360" w:lineRule="auto"/>
              <w:ind w:right="193" w:firstLine="436" w:firstLineChars="182"/>
              <w:rPr>
                <w:color w:val="auto"/>
                <w:sz w:val="24"/>
              </w:rPr>
            </w:pPr>
            <w:r>
              <w:rPr>
                <w:color w:val="auto"/>
                <w:sz w:val="24"/>
              </w:rPr>
              <w:t>⑦预测结果</w:t>
            </w:r>
          </w:p>
          <w:p w14:paraId="626EA058">
            <w:pPr>
              <w:adjustRightInd w:val="0"/>
              <w:snapToGrid w:val="0"/>
              <w:spacing w:line="360" w:lineRule="auto"/>
              <w:ind w:firstLine="480" w:firstLineChars="200"/>
              <w:rPr>
                <w:rFonts w:hint="eastAsia"/>
                <w:color w:val="auto"/>
                <w:sz w:val="24"/>
              </w:rPr>
            </w:pPr>
            <w:r>
              <w:rPr>
                <w:rFonts w:hint="eastAsia"/>
                <w:color w:val="auto"/>
                <w:sz w:val="24"/>
              </w:rPr>
              <w:t>根据噪声源衰减计算程序，预测结果详见下表。</w:t>
            </w:r>
          </w:p>
          <w:p w14:paraId="2EFFB8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表4.</w:t>
            </w:r>
            <w:r>
              <w:rPr>
                <w:rFonts w:hint="eastAsia" w:cs="Times New Roman"/>
                <w:b/>
                <w:bCs/>
                <w:color w:val="auto"/>
                <w:sz w:val="24"/>
                <w:lang w:val="en-US" w:eastAsia="zh-CN"/>
              </w:rPr>
              <w:t>7</w:t>
            </w:r>
            <w:r>
              <w:rPr>
                <w:rFonts w:hint="eastAsia"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lang w:val="en-US" w:eastAsia="zh-CN"/>
              </w:rPr>
              <w:t>厂区边界</w:t>
            </w:r>
            <w:r>
              <w:rPr>
                <w:rFonts w:hint="eastAsia" w:ascii="Times New Roman" w:hAnsi="Times New Roman" w:eastAsia="宋体" w:cs="Times New Roman"/>
                <w:b/>
                <w:bCs/>
                <w:color w:val="auto"/>
                <w:sz w:val="24"/>
              </w:rPr>
              <w:t>噪声预测结果一览表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1289"/>
              <w:gridCol w:w="1637"/>
              <w:gridCol w:w="1686"/>
              <w:gridCol w:w="1662"/>
              <w:gridCol w:w="843"/>
            </w:tblGrid>
            <w:tr w14:paraId="34A7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vMerge w:val="restart"/>
                  <w:noWrap w:val="0"/>
                  <w:vAlign w:val="center"/>
                </w:tcPr>
                <w:p w14:paraId="3D406D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厂</w:t>
                  </w:r>
                  <w:r>
                    <w:rPr>
                      <w:rFonts w:hint="eastAsia" w:ascii="Times New Roman" w:hAnsi="Times New Roman" w:eastAsia="宋体" w:cs="Times New Roman"/>
                      <w:snapToGrid/>
                      <w:color w:val="auto"/>
                      <w:spacing w:val="0"/>
                      <w:kern w:val="0"/>
                      <w:position w:val="0"/>
                      <w:sz w:val="21"/>
                      <w:szCs w:val="21"/>
                      <w:highlight w:val="none"/>
                      <w:lang w:val="en-US" w:eastAsia="zh-CN"/>
                    </w:rPr>
                    <w:t>区边</w:t>
                  </w:r>
                  <w:r>
                    <w:rPr>
                      <w:rFonts w:hint="default" w:ascii="Times New Roman" w:hAnsi="Times New Roman" w:eastAsia="宋体" w:cs="Times New Roman"/>
                      <w:snapToGrid/>
                      <w:color w:val="auto"/>
                      <w:spacing w:val="0"/>
                      <w:kern w:val="0"/>
                      <w:position w:val="0"/>
                      <w:sz w:val="21"/>
                      <w:szCs w:val="21"/>
                      <w:highlight w:val="none"/>
                    </w:rPr>
                    <w:t>界</w:t>
                  </w:r>
                </w:p>
              </w:tc>
              <w:tc>
                <w:tcPr>
                  <w:tcW w:w="775" w:type="pct"/>
                  <w:noWrap w:val="0"/>
                  <w:vAlign w:val="center"/>
                </w:tcPr>
                <w:p w14:paraId="157E27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cs="Times New Roman"/>
                      <w:snapToGrid/>
                      <w:color w:val="auto"/>
                      <w:spacing w:val="0"/>
                      <w:kern w:val="0"/>
                      <w:position w:val="0"/>
                      <w:sz w:val="21"/>
                      <w:szCs w:val="21"/>
                      <w:highlight w:val="none"/>
                      <w:lang w:val="en-US" w:eastAsia="zh-CN"/>
                    </w:rPr>
                    <w:t>背景值</w:t>
                  </w:r>
                </w:p>
              </w:tc>
              <w:tc>
                <w:tcPr>
                  <w:tcW w:w="984" w:type="pct"/>
                  <w:noWrap w:val="0"/>
                  <w:vAlign w:val="center"/>
                </w:tcPr>
                <w:p w14:paraId="120ED0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lang w:eastAsia="zh-CN"/>
                    </w:rPr>
                  </w:pPr>
                  <w:r>
                    <w:rPr>
                      <w:rFonts w:hint="default" w:ascii="Times New Roman" w:hAnsi="Times New Roman" w:eastAsia="宋体" w:cs="Times New Roman"/>
                      <w:snapToGrid/>
                      <w:color w:val="auto"/>
                      <w:spacing w:val="0"/>
                      <w:kern w:val="0"/>
                      <w:position w:val="0"/>
                      <w:sz w:val="21"/>
                      <w:szCs w:val="21"/>
                      <w:highlight w:val="none"/>
                      <w:lang w:eastAsia="zh-CN"/>
                    </w:rPr>
                    <w:t>贡献值</w:t>
                  </w:r>
                </w:p>
              </w:tc>
              <w:tc>
                <w:tcPr>
                  <w:tcW w:w="1014" w:type="pct"/>
                  <w:noWrap w:val="0"/>
                  <w:vAlign w:val="center"/>
                </w:tcPr>
                <w:p w14:paraId="21C007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cs="Times New Roman"/>
                      <w:snapToGrid/>
                      <w:color w:val="auto"/>
                      <w:spacing w:val="0"/>
                      <w:kern w:val="0"/>
                      <w:position w:val="0"/>
                      <w:sz w:val="21"/>
                      <w:szCs w:val="21"/>
                      <w:highlight w:val="none"/>
                      <w:lang w:val="en-US" w:eastAsia="zh-CN"/>
                    </w:rPr>
                    <w:t>预测值</w:t>
                  </w:r>
                </w:p>
              </w:tc>
              <w:tc>
                <w:tcPr>
                  <w:tcW w:w="999" w:type="pct"/>
                  <w:noWrap w:val="0"/>
                  <w:vAlign w:val="center"/>
                </w:tcPr>
                <w:p w14:paraId="36D396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评价标准</w:t>
                  </w:r>
                </w:p>
              </w:tc>
              <w:tc>
                <w:tcPr>
                  <w:tcW w:w="505" w:type="pct"/>
                  <w:vMerge w:val="restart"/>
                  <w:noWrap w:val="0"/>
                  <w:vAlign w:val="center"/>
                </w:tcPr>
                <w:p w14:paraId="2BA383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达标情况</w:t>
                  </w:r>
                </w:p>
              </w:tc>
            </w:tr>
            <w:tr w14:paraId="3EF1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1" w:type="pct"/>
                  <w:vMerge w:val="continue"/>
                  <w:noWrap w:val="0"/>
                  <w:vAlign w:val="center"/>
                </w:tcPr>
                <w:p w14:paraId="69619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p>
              </w:tc>
              <w:tc>
                <w:tcPr>
                  <w:tcW w:w="775" w:type="pct"/>
                  <w:noWrap w:val="0"/>
                  <w:vAlign w:val="center"/>
                </w:tcPr>
                <w:p w14:paraId="50C2FE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color w:val="auto"/>
                      <w:spacing w:val="0"/>
                      <w:kern w:val="0"/>
                      <w:position w:val="0"/>
                      <w:sz w:val="21"/>
                      <w:szCs w:val="21"/>
                      <w:highlight w:val="none"/>
                      <w:lang w:val="en-US" w:eastAsia="zh-CN"/>
                    </w:rPr>
                  </w:pPr>
                  <w:r>
                    <w:rPr>
                      <w:rFonts w:hint="eastAsia" w:cs="Times New Roman"/>
                      <w:snapToGrid/>
                      <w:color w:val="auto"/>
                      <w:spacing w:val="0"/>
                      <w:kern w:val="0"/>
                      <w:position w:val="0"/>
                      <w:sz w:val="21"/>
                      <w:szCs w:val="21"/>
                      <w:highlight w:val="none"/>
                      <w:lang w:val="en-US" w:eastAsia="zh-CN"/>
                    </w:rPr>
                    <w:t>昼间</w:t>
                  </w:r>
                </w:p>
              </w:tc>
              <w:tc>
                <w:tcPr>
                  <w:tcW w:w="984" w:type="pct"/>
                  <w:noWrap w:val="0"/>
                  <w:vAlign w:val="center"/>
                </w:tcPr>
                <w:p w14:paraId="355BE2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昼间</w:t>
                  </w:r>
                </w:p>
              </w:tc>
              <w:tc>
                <w:tcPr>
                  <w:tcW w:w="1014" w:type="pct"/>
                  <w:noWrap w:val="0"/>
                  <w:vAlign w:val="center"/>
                </w:tcPr>
                <w:p w14:paraId="174672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color w:val="auto"/>
                      <w:spacing w:val="0"/>
                      <w:kern w:val="0"/>
                      <w:position w:val="0"/>
                      <w:sz w:val="21"/>
                      <w:szCs w:val="21"/>
                      <w:highlight w:val="none"/>
                      <w:lang w:val="en-US" w:eastAsia="zh-CN"/>
                    </w:rPr>
                  </w:pPr>
                  <w:r>
                    <w:rPr>
                      <w:rFonts w:hint="eastAsia" w:cs="Times New Roman"/>
                      <w:snapToGrid/>
                      <w:color w:val="auto"/>
                      <w:spacing w:val="0"/>
                      <w:kern w:val="0"/>
                      <w:position w:val="0"/>
                      <w:sz w:val="21"/>
                      <w:szCs w:val="21"/>
                      <w:highlight w:val="none"/>
                      <w:lang w:val="en-US" w:eastAsia="zh-CN"/>
                    </w:rPr>
                    <w:t>昼间</w:t>
                  </w:r>
                </w:p>
              </w:tc>
              <w:tc>
                <w:tcPr>
                  <w:tcW w:w="999" w:type="pct"/>
                  <w:noWrap w:val="0"/>
                  <w:vAlign w:val="center"/>
                </w:tcPr>
                <w:p w14:paraId="6EA47A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昼间</w:t>
                  </w:r>
                </w:p>
              </w:tc>
              <w:tc>
                <w:tcPr>
                  <w:tcW w:w="505" w:type="pct"/>
                  <w:vMerge w:val="continue"/>
                  <w:noWrap w:val="0"/>
                  <w:vAlign w:val="center"/>
                </w:tcPr>
                <w:p w14:paraId="634515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p>
              </w:tc>
            </w:tr>
            <w:tr w14:paraId="005A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noWrap w:val="0"/>
                  <w:vAlign w:val="center"/>
                </w:tcPr>
                <w:p w14:paraId="581F7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color w:val="auto"/>
                      <w:spacing w:val="0"/>
                      <w:kern w:val="0"/>
                      <w:position w:val="0"/>
                      <w:sz w:val="21"/>
                      <w:szCs w:val="21"/>
                      <w:highlight w:val="none"/>
                      <w:lang w:eastAsia="zh-CN"/>
                    </w:rPr>
                  </w:pPr>
                  <w:r>
                    <w:rPr>
                      <w:rFonts w:hint="default" w:ascii="Times New Roman" w:hAnsi="Times New Roman" w:eastAsia="宋体" w:cs="Times New Roman"/>
                      <w:snapToGrid/>
                      <w:color w:val="auto"/>
                      <w:spacing w:val="0"/>
                      <w:kern w:val="0"/>
                      <w:position w:val="0"/>
                      <w:sz w:val="21"/>
                      <w:szCs w:val="21"/>
                      <w:highlight w:val="none"/>
                    </w:rPr>
                    <w:t>东</w:t>
                  </w:r>
                  <w:r>
                    <w:rPr>
                      <w:rFonts w:hint="eastAsia" w:ascii="Times New Roman" w:hAnsi="Times New Roman" w:eastAsia="宋体" w:cs="Times New Roman"/>
                      <w:snapToGrid/>
                      <w:color w:val="auto"/>
                      <w:spacing w:val="0"/>
                      <w:kern w:val="0"/>
                      <w:position w:val="0"/>
                      <w:sz w:val="21"/>
                      <w:szCs w:val="21"/>
                      <w:highlight w:val="none"/>
                      <w:lang w:val="en-US" w:eastAsia="zh-CN"/>
                    </w:rPr>
                    <w:t>厂界</w:t>
                  </w:r>
                </w:p>
              </w:tc>
              <w:tc>
                <w:tcPr>
                  <w:tcW w:w="775" w:type="pct"/>
                  <w:noWrap w:val="0"/>
                  <w:vAlign w:val="center"/>
                </w:tcPr>
                <w:p w14:paraId="0F5C1BC0">
                  <w:pPr>
                    <w:widowControl/>
                    <w:spacing w:line="240" w:lineRule="auto"/>
                    <w:jc w:val="center"/>
                    <w:textAlignment w:val="center"/>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84" w:type="pct"/>
                  <w:noWrap w:val="0"/>
                  <w:vAlign w:val="center"/>
                </w:tcPr>
                <w:p w14:paraId="2765AB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snapToGrid/>
                      <w:color w:val="auto"/>
                      <w:spacing w:val="0"/>
                      <w:kern w:val="0"/>
                      <w:position w:val="0"/>
                      <w:sz w:val="21"/>
                      <w:szCs w:val="21"/>
                      <w:highlight w:val="none"/>
                      <w:lang w:val="en-US" w:eastAsia="zh-CN"/>
                    </w:rPr>
                    <w:t>44.</w:t>
                  </w:r>
                  <w:r>
                    <w:rPr>
                      <w:rFonts w:hint="eastAsia" w:cs="Times New Roman"/>
                      <w:snapToGrid/>
                      <w:color w:val="auto"/>
                      <w:spacing w:val="0"/>
                      <w:kern w:val="0"/>
                      <w:position w:val="0"/>
                      <w:sz w:val="21"/>
                      <w:szCs w:val="21"/>
                      <w:highlight w:val="none"/>
                      <w:lang w:val="en-US" w:eastAsia="zh-CN"/>
                    </w:rPr>
                    <w:t>7</w:t>
                  </w:r>
                </w:p>
              </w:tc>
              <w:tc>
                <w:tcPr>
                  <w:tcW w:w="1014" w:type="pct"/>
                  <w:noWrap w:val="0"/>
                  <w:vAlign w:val="center"/>
                </w:tcPr>
                <w:p w14:paraId="55516C7D">
                  <w:pPr>
                    <w:widowControl/>
                    <w:spacing w:line="240" w:lineRule="auto"/>
                    <w:jc w:val="center"/>
                    <w:textAlignment w:val="center"/>
                    <w:rPr>
                      <w:rFonts w:hint="default"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99" w:type="pct"/>
                  <w:noWrap w:val="0"/>
                  <w:vAlign w:val="center"/>
                </w:tcPr>
                <w:p w14:paraId="1FA249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ascii="Times New Roman" w:hAnsi="Times New Roman" w:eastAsia="黑体" w:cs="Times New Roman"/>
                      <w:snapToGrid/>
                      <w:color w:val="auto"/>
                      <w:spacing w:val="0"/>
                      <w:kern w:val="0"/>
                      <w:position w:val="0"/>
                      <w:sz w:val="21"/>
                      <w:szCs w:val="21"/>
                      <w:highlight w:val="none"/>
                      <w:lang w:val="en-US" w:eastAsia="zh-CN"/>
                    </w:rPr>
                    <w:t>60</w:t>
                  </w:r>
                </w:p>
              </w:tc>
              <w:tc>
                <w:tcPr>
                  <w:tcW w:w="505" w:type="pct"/>
                  <w:noWrap w:val="0"/>
                  <w:vAlign w:val="center"/>
                </w:tcPr>
                <w:p w14:paraId="3C5383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达标</w:t>
                  </w:r>
                </w:p>
              </w:tc>
            </w:tr>
            <w:tr w14:paraId="5876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noWrap w:val="0"/>
                  <w:vAlign w:val="center"/>
                </w:tcPr>
                <w:p w14:paraId="15C9E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color w:val="auto"/>
                      <w:spacing w:val="0"/>
                      <w:kern w:val="0"/>
                      <w:position w:val="0"/>
                      <w:sz w:val="21"/>
                      <w:szCs w:val="21"/>
                      <w:highlight w:val="none"/>
                      <w:lang w:val="en-US" w:eastAsia="zh-CN"/>
                    </w:rPr>
                  </w:pPr>
                  <w:r>
                    <w:rPr>
                      <w:rFonts w:hint="default" w:ascii="Times New Roman" w:hAnsi="Times New Roman" w:eastAsia="宋体" w:cs="Times New Roman"/>
                      <w:snapToGrid/>
                      <w:color w:val="auto"/>
                      <w:spacing w:val="0"/>
                      <w:kern w:val="0"/>
                      <w:position w:val="0"/>
                      <w:sz w:val="21"/>
                      <w:szCs w:val="21"/>
                      <w:highlight w:val="none"/>
                    </w:rPr>
                    <w:t>南</w:t>
                  </w:r>
                  <w:r>
                    <w:rPr>
                      <w:rFonts w:hint="eastAsia" w:ascii="Times New Roman" w:hAnsi="Times New Roman" w:eastAsia="宋体" w:cs="Times New Roman"/>
                      <w:snapToGrid/>
                      <w:color w:val="auto"/>
                      <w:spacing w:val="0"/>
                      <w:kern w:val="0"/>
                      <w:position w:val="0"/>
                      <w:sz w:val="21"/>
                      <w:szCs w:val="21"/>
                      <w:highlight w:val="none"/>
                      <w:lang w:val="en-US" w:eastAsia="zh-CN"/>
                    </w:rPr>
                    <w:t>厂界</w:t>
                  </w:r>
                </w:p>
              </w:tc>
              <w:tc>
                <w:tcPr>
                  <w:tcW w:w="775" w:type="pct"/>
                  <w:noWrap w:val="0"/>
                  <w:vAlign w:val="center"/>
                </w:tcPr>
                <w:p w14:paraId="771E15D7">
                  <w:pPr>
                    <w:widowControl/>
                    <w:spacing w:line="240" w:lineRule="auto"/>
                    <w:jc w:val="center"/>
                    <w:textAlignment w:val="center"/>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84" w:type="pct"/>
                  <w:noWrap w:val="0"/>
                  <w:vAlign w:val="center"/>
                </w:tcPr>
                <w:p w14:paraId="1841CE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cs="Times New Roman"/>
                      <w:snapToGrid/>
                      <w:color w:val="auto"/>
                      <w:spacing w:val="0"/>
                      <w:kern w:val="0"/>
                      <w:position w:val="0"/>
                      <w:sz w:val="21"/>
                      <w:szCs w:val="21"/>
                      <w:highlight w:val="none"/>
                      <w:lang w:val="en-US" w:eastAsia="zh-CN"/>
                    </w:rPr>
                    <w:t>48.6</w:t>
                  </w:r>
                </w:p>
              </w:tc>
              <w:tc>
                <w:tcPr>
                  <w:tcW w:w="1014" w:type="pct"/>
                  <w:noWrap w:val="0"/>
                  <w:vAlign w:val="center"/>
                </w:tcPr>
                <w:p w14:paraId="7128C48F">
                  <w:pPr>
                    <w:widowControl/>
                    <w:spacing w:line="240" w:lineRule="auto"/>
                    <w:jc w:val="center"/>
                    <w:textAlignment w:val="center"/>
                    <w:rPr>
                      <w:rFonts w:hint="default"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99" w:type="pct"/>
                  <w:noWrap w:val="0"/>
                  <w:vAlign w:val="center"/>
                </w:tcPr>
                <w:p w14:paraId="4DFC05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ascii="Times New Roman" w:hAnsi="Times New Roman" w:eastAsia="黑体" w:cs="Times New Roman"/>
                      <w:snapToGrid/>
                      <w:color w:val="auto"/>
                      <w:spacing w:val="0"/>
                      <w:kern w:val="0"/>
                      <w:position w:val="0"/>
                      <w:sz w:val="21"/>
                      <w:szCs w:val="21"/>
                      <w:highlight w:val="none"/>
                      <w:lang w:val="en-US" w:eastAsia="zh-CN"/>
                    </w:rPr>
                    <w:t>60</w:t>
                  </w:r>
                </w:p>
              </w:tc>
              <w:tc>
                <w:tcPr>
                  <w:tcW w:w="505" w:type="pct"/>
                  <w:noWrap w:val="0"/>
                  <w:vAlign w:val="center"/>
                </w:tcPr>
                <w:p w14:paraId="36E735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达标</w:t>
                  </w:r>
                </w:p>
              </w:tc>
            </w:tr>
            <w:tr w14:paraId="09C8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noWrap w:val="0"/>
                  <w:vAlign w:val="center"/>
                </w:tcPr>
                <w:p w14:paraId="28DF7F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color w:val="auto"/>
                      <w:spacing w:val="0"/>
                      <w:kern w:val="0"/>
                      <w:position w:val="0"/>
                      <w:sz w:val="21"/>
                      <w:szCs w:val="21"/>
                      <w:highlight w:val="none"/>
                      <w:lang w:val="en-US" w:eastAsia="zh-CN"/>
                    </w:rPr>
                  </w:pPr>
                  <w:r>
                    <w:rPr>
                      <w:rFonts w:hint="default" w:ascii="Times New Roman" w:hAnsi="Times New Roman" w:eastAsia="宋体" w:cs="Times New Roman"/>
                      <w:snapToGrid/>
                      <w:color w:val="auto"/>
                      <w:spacing w:val="0"/>
                      <w:kern w:val="0"/>
                      <w:position w:val="0"/>
                      <w:sz w:val="21"/>
                      <w:szCs w:val="21"/>
                      <w:highlight w:val="none"/>
                    </w:rPr>
                    <w:t>西</w:t>
                  </w:r>
                  <w:r>
                    <w:rPr>
                      <w:rFonts w:hint="eastAsia" w:ascii="Times New Roman" w:hAnsi="Times New Roman" w:eastAsia="宋体" w:cs="Times New Roman"/>
                      <w:snapToGrid/>
                      <w:color w:val="auto"/>
                      <w:spacing w:val="0"/>
                      <w:kern w:val="0"/>
                      <w:position w:val="0"/>
                      <w:sz w:val="21"/>
                      <w:szCs w:val="21"/>
                      <w:highlight w:val="none"/>
                      <w:lang w:val="en-US" w:eastAsia="zh-CN"/>
                    </w:rPr>
                    <w:t>厂界</w:t>
                  </w:r>
                </w:p>
              </w:tc>
              <w:tc>
                <w:tcPr>
                  <w:tcW w:w="775" w:type="pct"/>
                  <w:noWrap w:val="0"/>
                  <w:vAlign w:val="center"/>
                </w:tcPr>
                <w:p w14:paraId="676147DB">
                  <w:pPr>
                    <w:widowControl/>
                    <w:spacing w:line="240" w:lineRule="auto"/>
                    <w:jc w:val="center"/>
                    <w:textAlignment w:val="center"/>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84" w:type="pct"/>
                  <w:noWrap w:val="0"/>
                  <w:vAlign w:val="center"/>
                </w:tcPr>
                <w:p w14:paraId="7F87BD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cs="Times New Roman"/>
                      <w:snapToGrid/>
                      <w:color w:val="auto"/>
                      <w:spacing w:val="0"/>
                      <w:kern w:val="0"/>
                      <w:position w:val="0"/>
                      <w:sz w:val="21"/>
                      <w:szCs w:val="21"/>
                      <w:highlight w:val="none"/>
                      <w:lang w:val="en-US" w:eastAsia="zh-CN"/>
                    </w:rPr>
                    <w:t>39.5</w:t>
                  </w:r>
                </w:p>
              </w:tc>
              <w:tc>
                <w:tcPr>
                  <w:tcW w:w="1014" w:type="pct"/>
                  <w:noWrap w:val="0"/>
                  <w:vAlign w:val="center"/>
                </w:tcPr>
                <w:p w14:paraId="68F19D96">
                  <w:pPr>
                    <w:widowControl/>
                    <w:spacing w:line="240" w:lineRule="auto"/>
                    <w:jc w:val="center"/>
                    <w:textAlignment w:val="center"/>
                    <w:rPr>
                      <w:rFonts w:hint="default"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99" w:type="pct"/>
                  <w:noWrap w:val="0"/>
                  <w:vAlign w:val="center"/>
                </w:tcPr>
                <w:p w14:paraId="553BBE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ascii="Times New Roman" w:hAnsi="Times New Roman" w:eastAsia="黑体" w:cs="Times New Roman"/>
                      <w:snapToGrid/>
                      <w:color w:val="auto"/>
                      <w:spacing w:val="0"/>
                      <w:kern w:val="0"/>
                      <w:position w:val="0"/>
                      <w:sz w:val="21"/>
                      <w:szCs w:val="21"/>
                      <w:highlight w:val="none"/>
                      <w:lang w:val="en-US" w:eastAsia="zh-CN"/>
                    </w:rPr>
                    <w:t>60</w:t>
                  </w:r>
                </w:p>
              </w:tc>
              <w:tc>
                <w:tcPr>
                  <w:tcW w:w="505" w:type="pct"/>
                  <w:noWrap w:val="0"/>
                  <w:vAlign w:val="center"/>
                </w:tcPr>
                <w:p w14:paraId="5B462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达标</w:t>
                  </w:r>
                </w:p>
              </w:tc>
            </w:tr>
            <w:tr w14:paraId="56C8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noWrap w:val="0"/>
                  <w:vAlign w:val="center"/>
                </w:tcPr>
                <w:p w14:paraId="76A45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color w:val="auto"/>
                      <w:spacing w:val="0"/>
                      <w:kern w:val="0"/>
                      <w:position w:val="0"/>
                      <w:sz w:val="21"/>
                      <w:szCs w:val="21"/>
                      <w:highlight w:val="none"/>
                      <w:lang w:val="en-US" w:eastAsia="zh-CN"/>
                    </w:rPr>
                  </w:pPr>
                  <w:r>
                    <w:rPr>
                      <w:rFonts w:hint="default" w:ascii="Times New Roman" w:hAnsi="Times New Roman" w:eastAsia="宋体" w:cs="Times New Roman"/>
                      <w:snapToGrid/>
                      <w:color w:val="auto"/>
                      <w:spacing w:val="0"/>
                      <w:kern w:val="0"/>
                      <w:position w:val="0"/>
                      <w:sz w:val="21"/>
                      <w:szCs w:val="21"/>
                      <w:highlight w:val="none"/>
                    </w:rPr>
                    <w:t>北</w:t>
                  </w:r>
                  <w:r>
                    <w:rPr>
                      <w:rFonts w:hint="eastAsia" w:ascii="Times New Roman" w:hAnsi="Times New Roman" w:eastAsia="宋体" w:cs="Times New Roman"/>
                      <w:snapToGrid/>
                      <w:color w:val="auto"/>
                      <w:spacing w:val="0"/>
                      <w:kern w:val="0"/>
                      <w:position w:val="0"/>
                      <w:sz w:val="21"/>
                      <w:szCs w:val="21"/>
                      <w:highlight w:val="none"/>
                      <w:lang w:val="en-US" w:eastAsia="zh-CN"/>
                    </w:rPr>
                    <w:t>厂界</w:t>
                  </w:r>
                </w:p>
              </w:tc>
              <w:tc>
                <w:tcPr>
                  <w:tcW w:w="775" w:type="pct"/>
                  <w:noWrap w:val="0"/>
                  <w:vAlign w:val="center"/>
                </w:tcPr>
                <w:p w14:paraId="7EE3710B">
                  <w:pPr>
                    <w:widowControl/>
                    <w:spacing w:line="240" w:lineRule="auto"/>
                    <w:jc w:val="center"/>
                    <w:textAlignment w:val="center"/>
                    <w:rPr>
                      <w:rFonts w:hint="default"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84" w:type="pct"/>
                  <w:noWrap w:val="0"/>
                  <w:vAlign w:val="center"/>
                </w:tcPr>
                <w:p w14:paraId="239EDA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cs="Times New Roman"/>
                      <w:snapToGrid/>
                      <w:color w:val="auto"/>
                      <w:spacing w:val="0"/>
                      <w:kern w:val="0"/>
                      <w:position w:val="0"/>
                      <w:sz w:val="21"/>
                      <w:szCs w:val="21"/>
                      <w:highlight w:val="none"/>
                      <w:lang w:val="en-US" w:eastAsia="zh-CN"/>
                    </w:rPr>
                    <w:t>49.5</w:t>
                  </w:r>
                </w:p>
              </w:tc>
              <w:tc>
                <w:tcPr>
                  <w:tcW w:w="1014" w:type="pct"/>
                  <w:noWrap w:val="0"/>
                  <w:vAlign w:val="center"/>
                </w:tcPr>
                <w:p w14:paraId="3EE25C31">
                  <w:pPr>
                    <w:widowControl/>
                    <w:spacing w:line="240" w:lineRule="auto"/>
                    <w:jc w:val="center"/>
                    <w:textAlignment w:val="center"/>
                    <w:rPr>
                      <w:rFonts w:hint="default"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999" w:type="pct"/>
                  <w:noWrap w:val="0"/>
                  <w:vAlign w:val="center"/>
                </w:tcPr>
                <w:p w14:paraId="61D49C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ascii="Times New Roman" w:hAnsi="Times New Roman" w:eastAsia="黑体" w:cs="Times New Roman"/>
                      <w:snapToGrid/>
                      <w:color w:val="auto"/>
                      <w:spacing w:val="0"/>
                      <w:kern w:val="0"/>
                      <w:position w:val="0"/>
                      <w:sz w:val="21"/>
                      <w:szCs w:val="21"/>
                      <w:highlight w:val="none"/>
                      <w:lang w:val="en-US" w:eastAsia="zh-CN"/>
                    </w:rPr>
                    <w:t>60</w:t>
                  </w:r>
                </w:p>
              </w:tc>
              <w:tc>
                <w:tcPr>
                  <w:tcW w:w="505" w:type="pct"/>
                  <w:noWrap w:val="0"/>
                  <w:vAlign w:val="center"/>
                </w:tcPr>
                <w:p w14:paraId="0F2176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达标</w:t>
                  </w:r>
                </w:p>
              </w:tc>
            </w:tr>
            <w:tr w14:paraId="7B0A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noWrap w:val="0"/>
                  <w:vAlign w:val="center"/>
                </w:tcPr>
                <w:p w14:paraId="3AF1A18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Times New Roman" w:hAnsi="Times New Roman" w:eastAsia="宋体" w:cs="Times New Roman"/>
                      <w:snapToGrid/>
                      <w:color w:val="auto"/>
                      <w:spacing w:val="0"/>
                      <w:kern w:val="0"/>
                      <w:position w:val="0"/>
                      <w:sz w:val="21"/>
                      <w:szCs w:val="21"/>
                      <w:highlight w:val="none"/>
                      <w:lang w:val="en-US" w:eastAsia="zh-CN"/>
                    </w:rPr>
                  </w:pPr>
                  <w:r>
                    <w:rPr>
                      <w:rFonts w:hint="default" w:ascii="Times New Roman" w:hAnsi="Times New Roman" w:eastAsia="宋体" w:cs="Times New Roman"/>
                      <w:sz w:val="21"/>
                      <w:szCs w:val="21"/>
                      <w:lang w:val="en-US" w:eastAsia="zh-CN"/>
                    </w:rPr>
                    <w:t>高家</w:t>
                  </w:r>
                </w:p>
              </w:tc>
              <w:tc>
                <w:tcPr>
                  <w:tcW w:w="775" w:type="pct"/>
                  <w:noWrap w:val="0"/>
                  <w:vAlign w:val="center"/>
                </w:tcPr>
                <w:p w14:paraId="074243ED">
                  <w:pPr>
                    <w:pStyle w:val="56"/>
                    <w:rPr>
                      <w:rFonts w:hint="eastAsia" w:ascii="Times New Roman" w:hAnsi="Times New Roman" w:eastAsia="宋体" w:cs="Times New Roman"/>
                      <w:b w:val="0"/>
                      <w:bCs w:val="0"/>
                      <w:color w:val="auto"/>
                      <w:kern w:val="2"/>
                      <w:sz w:val="21"/>
                      <w:szCs w:val="21"/>
                      <w:highlight w:val="none"/>
                      <w:lang w:val="en-US" w:eastAsia="zh-CN" w:bidi="ar-SA"/>
                    </w:rPr>
                  </w:pPr>
                  <w:r>
                    <w:rPr>
                      <w:rFonts w:hint="eastAsia"/>
                      <w:highlight w:val="none"/>
                      <w:lang w:val="en-US" w:eastAsia="zh-CN"/>
                    </w:rPr>
                    <w:t>55.2</w:t>
                  </w:r>
                </w:p>
              </w:tc>
              <w:tc>
                <w:tcPr>
                  <w:tcW w:w="984" w:type="pct"/>
                  <w:noWrap w:val="0"/>
                  <w:vAlign w:val="center"/>
                </w:tcPr>
                <w:p w14:paraId="703742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cs="Times New Roman"/>
                      <w:snapToGrid/>
                      <w:color w:val="auto"/>
                      <w:spacing w:val="0"/>
                      <w:kern w:val="0"/>
                      <w:position w:val="0"/>
                      <w:sz w:val="21"/>
                      <w:szCs w:val="21"/>
                      <w:highlight w:val="none"/>
                      <w:lang w:val="en-US" w:eastAsia="zh-CN"/>
                    </w:rPr>
                    <w:t>55.2</w:t>
                  </w:r>
                </w:p>
              </w:tc>
              <w:tc>
                <w:tcPr>
                  <w:tcW w:w="1014" w:type="pct"/>
                  <w:noWrap w:val="0"/>
                  <w:vAlign w:val="center"/>
                </w:tcPr>
                <w:p w14:paraId="0F81CF3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999" w:type="pct"/>
                  <w:noWrap w:val="0"/>
                  <w:vAlign w:val="center"/>
                </w:tcPr>
                <w:p w14:paraId="2F38B4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eastAsia" w:ascii="Times New Roman" w:hAnsi="Times New Roman" w:cs="Times New Roman"/>
                      <w:snapToGrid/>
                      <w:color w:val="auto"/>
                      <w:spacing w:val="0"/>
                      <w:kern w:val="0"/>
                      <w:position w:val="0"/>
                      <w:sz w:val="21"/>
                      <w:szCs w:val="21"/>
                      <w:highlight w:val="none"/>
                      <w:lang w:val="en-US" w:eastAsia="zh-CN"/>
                    </w:rPr>
                  </w:pPr>
                  <w:r>
                    <w:rPr>
                      <w:rFonts w:hint="eastAsia" w:ascii="Times New Roman" w:hAnsi="Times New Roman" w:eastAsia="黑体" w:cs="Times New Roman"/>
                      <w:snapToGrid/>
                      <w:color w:val="auto"/>
                      <w:spacing w:val="0"/>
                      <w:kern w:val="0"/>
                      <w:position w:val="0"/>
                      <w:sz w:val="21"/>
                      <w:szCs w:val="21"/>
                      <w:highlight w:val="none"/>
                      <w:lang w:val="en-US" w:eastAsia="zh-CN"/>
                    </w:rPr>
                    <w:t>60</w:t>
                  </w:r>
                </w:p>
              </w:tc>
              <w:tc>
                <w:tcPr>
                  <w:tcW w:w="505" w:type="pct"/>
                  <w:noWrap w:val="0"/>
                  <w:vAlign w:val="center"/>
                </w:tcPr>
                <w:p w14:paraId="673B12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达标</w:t>
                  </w:r>
                </w:p>
              </w:tc>
            </w:tr>
            <w:tr w14:paraId="6C9E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noWrap w:val="0"/>
                  <w:vAlign w:val="center"/>
                </w:tcPr>
                <w:p w14:paraId="345B67A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Times New Roman" w:hAnsi="Times New Roman" w:eastAsia="宋体" w:cs="Times New Roman"/>
                      <w:snapToGrid/>
                      <w:color w:val="auto"/>
                      <w:spacing w:val="0"/>
                      <w:kern w:val="0"/>
                      <w:position w:val="0"/>
                      <w:sz w:val="21"/>
                      <w:szCs w:val="21"/>
                      <w:highlight w:val="none"/>
                      <w:lang w:val="en-US" w:eastAsia="zh-CN"/>
                    </w:rPr>
                  </w:pPr>
                  <w:r>
                    <w:rPr>
                      <w:rFonts w:hint="default" w:ascii="Times New Roman" w:hAnsi="Times New Roman" w:eastAsia="宋体" w:cs="Times New Roman"/>
                      <w:sz w:val="21"/>
                      <w:szCs w:val="21"/>
                      <w:lang w:val="en-US" w:eastAsia="zh-CN"/>
                    </w:rPr>
                    <w:t>三铺村四组</w:t>
                  </w:r>
                </w:p>
              </w:tc>
              <w:tc>
                <w:tcPr>
                  <w:tcW w:w="775" w:type="pct"/>
                  <w:noWrap w:val="0"/>
                  <w:vAlign w:val="center"/>
                </w:tcPr>
                <w:p w14:paraId="408B5EFC">
                  <w:pPr>
                    <w:pStyle w:val="56"/>
                    <w:rPr>
                      <w:rFonts w:hint="eastAsia" w:ascii="Times New Roman" w:hAnsi="Times New Roman" w:eastAsia="宋体" w:cs="Times New Roman"/>
                      <w:b w:val="0"/>
                      <w:bCs w:val="0"/>
                      <w:color w:val="auto"/>
                      <w:kern w:val="2"/>
                      <w:sz w:val="21"/>
                      <w:szCs w:val="21"/>
                      <w:highlight w:val="none"/>
                      <w:lang w:val="en-US" w:eastAsia="zh-CN" w:bidi="ar-SA"/>
                    </w:rPr>
                  </w:pPr>
                  <w:r>
                    <w:rPr>
                      <w:rFonts w:hint="eastAsia"/>
                      <w:highlight w:val="none"/>
                      <w:lang w:val="en-US" w:eastAsia="zh-CN"/>
                    </w:rPr>
                    <w:t>42.9</w:t>
                  </w:r>
                </w:p>
              </w:tc>
              <w:tc>
                <w:tcPr>
                  <w:tcW w:w="984" w:type="pct"/>
                  <w:noWrap w:val="0"/>
                  <w:vAlign w:val="center"/>
                </w:tcPr>
                <w:p w14:paraId="0AD558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cs="Times New Roman"/>
                      <w:snapToGrid/>
                      <w:color w:val="auto"/>
                      <w:spacing w:val="0"/>
                      <w:kern w:val="0"/>
                      <w:position w:val="0"/>
                      <w:sz w:val="21"/>
                      <w:szCs w:val="21"/>
                      <w:highlight w:val="none"/>
                      <w:lang w:val="en-US" w:eastAsia="zh-CN"/>
                    </w:rPr>
                    <w:t>43.4</w:t>
                  </w:r>
                </w:p>
              </w:tc>
              <w:tc>
                <w:tcPr>
                  <w:tcW w:w="1014" w:type="pct"/>
                  <w:noWrap w:val="0"/>
                  <w:vAlign w:val="center"/>
                </w:tcPr>
                <w:p w14:paraId="532B72E9">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999" w:type="pct"/>
                  <w:noWrap w:val="0"/>
                  <w:vAlign w:val="center"/>
                </w:tcPr>
                <w:p w14:paraId="7DBBEB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eastAsia" w:ascii="Times New Roman" w:hAnsi="Times New Roman" w:eastAsia="黑体" w:cs="Times New Roman"/>
                      <w:snapToGrid/>
                      <w:color w:val="auto"/>
                      <w:spacing w:val="0"/>
                      <w:kern w:val="0"/>
                      <w:position w:val="0"/>
                      <w:sz w:val="21"/>
                      <w:szCs w:val="21"/>
                      <w:highlight w:val="none"/>
                      <w:lang w:val="en-US" w:eastAsia="zh-CN"/>
                    </w:rPr>
                  </w:pPr>
                  <w:r>
                    <w:rPr>
                      <w:rFonts w:hint="eastAsia" w:ascii="Times New Roman" w:hAnsi="Times New Roman" w:eastAsia="黑体" w:cs="Times New Roman"/>
                      <w:snapToGrid/>
                      <w:color w:val="auto"/>
                      <w:spacing w:val="0"/>
                      <w:kern w:val="0"/>
                      <w:position w:val="0"/>
                      <w:sz w:val="21"/>
                      <w:szCs w:val="21"/>
                      <w:highlight w:val="none"/>
                      <w:lang w:val="en-US" w:eastAsia="zh-CN"/>
                    </w:rPr>
                    <w:t>60</w:t>
                  </w:r>
                </w:p>
              </w:tc>
              <w:tc>
                <w:tcPr>
                  <w:tcW w:w="505" w:type="pct"/>
                  <w:noWrap w:val="0"/>
                  <w:vAlign w:val="center"/>
                </w:tcPr>
                <w:p w14:paraId="1CCF97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rPr>
                  </w:pPr>
                  <w:r>
                    <w:rPr>
                      <w:rFonts w:hint="default" w:ascii="Times New Roman" w:hAnsi="Times New Roman" w:eastAsia="宋体" w:cs="Times New Roman"/>
                      <w:snapToGrid/>
                      <w:color w:val="auto"/>
                      <w:spacing w:val="0"/>
                      <w:kern w:val="0"/>
                      <w:position w:val="0"/>
                      <w:sz w:val="21"/>
                      <w:szCs w:val="21"/>
                      <w:highlight w:val="none"/>
                    </w:rPr>
                    <w:t>达标</w:t>
                  </w:r>
                </w:p>
              </w:tc>
            </w:tr>
            <w:tr w14:paraId="3755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14:paraId="7BEEB1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lang w:val="en-US" w:eastAsia="zh-CN"/>
                    </w:rPr>
                  </w:pPr>
                  <w:r>
                    <w:rPr>
                      <w:rFonts w:hint="eastAsia" w:ascii="Times New Roman" w:hAnsi="Times New Roman" w:eastAsia="宋体" w:cs="Times New Roman"/>
                      <w:b/>
                      <w:bCs/>
                      <w:snapToGrid/>
                      <w:color w:val="auto"/>
                      <w:spacing w:val="0"/>
                      <w:kern w:val="0"/>
                      <w:position w:val="0"/>
                      <w:sz w:val="21"/>
                      <w:szCs w:val="21"/>
                      <w:highlight w:val="none"/>
                      <w:lang w:val="en-US" w:eastAsia="zh-CN"/>
                    </w:rPr>
                    <w:t>备注：敏感点高家</w:t>
                  </w:r>
                  <w:r>
                    <w:rPr>
                      <w:rFonts w:hint="eastAsia" w:cs="Times New Roman"/>
                      <w:b/>
                      <w:bCs/>
                      <w:snapToGrid/>
                      <w:color w:val="auto"/>
                      <w:spacing w:val="0"/>
                      <w:kern w:val="0"/>
                      <w:position w:val="0"/>
                      <w:sz w:val="21"/>
                      <w:szCs w:val="21"/>
                      <w:highlight w:val="none"/>
                      <w:lang w:val="en-US" w:eastAsia="zh-CN"/>
                    </w:rPr>
                    <w:t>、三铺村四组</w:t>
                  </w:r>
                  <w:r>
                    <w:rPr>
                      <w:rFonts w:hint="eastAsia" w:ascii="Times New Roman" w:hAnsi="Times New Roman" w:eastAsia="宋体" w:cs="Times New Roman"/>
                      <w:b/>
                      <w:bCs/>
                      <w:snapToGrid/>
                      <w:color w:val="auto"/>
                      <w:spacing w:val="0"/>
                      <w:kern w:val="0"/>
                      <w:position w:val="0"/>
                      <w:sz w:val="21"/>
                      <w:szCs w:val="21"/>
                      <w:highlight w:val="none"/>
                      <w:lang w:val="en-US" w:eastAsia="zh-CN"/>
                    </w:rPr>
                    <w:t>的贡献值是由东厂界的贡献值</w:t>
                  </w:r>
                  <w:r>
                    <w:rPr>
                      <w:rFonts w:hint="eastAsia" w:cs="Times New Roman"/>
                      <w:b/>
                      <w:bCs/>
                      <w:snapToGrid/>
                      <w:color w:val="auto"/>
                      <w:spacing w:val="0"/>
                      <w:kern w:val="0"/>
                      <w:position w:val="0"/>
                      <w:sz w:val="21"/>
                      <w:szCs w:val="21"/>
                      <w:highlight w:val="none"/>
                      <w:lang w:val="en-US" w:eastAsia="zh-CN"/>
                    </w:rPr>
                    <w:t>分别</w:t>
                  </w:r>
                  <w:r>
                    <w:rPr>
                      <w:rFonts w:hint="eastAsia" w:ascii="Times New Roman" w:hAnsi="Times New Roman" w:eastAsia="宋体" w:cs="Times New Roman"/>
                      <w:b/>
                      <w:bCs/>
                      <w:snapToGrid/>
                      <w:color w:val="auto"/>
                      <w:spacing w:val="0"/>
                      <w:kern w:val="0"/>
                      <w:position w:val="0"/>
                      <w:sz w:val="21"/>
                      <w:szCs w:val="21"/>
                      <w:highlight w:val="none"/>
                      <w:lang w:val="en-US" w:eastAsia="zh-CN"/>
                    </w:rPr>
                    <w:t>衰减</w:t>
                  </w:r>
                  <w:r>
                    <w:rPr>
                      <w:rFonts w:hint="eastAsia" w:cs="Times New Roman"/>
                      <w:b/>
                      <w:bCs/>
                      <w:snapToGrid/>
                      <w:color w:val="auto"/>
                      <w:spacing w:val="0"/>
                      <w:kern w:val="0"/>
                      <w:position w:val="0"/>
                      <w:sz w:val="21"/>
                      <w:szCs w:val="21"/>
                      <w:highlight w:val="none"/>
                      <w:lang w:val="en-US" w:eastAsia="zh-CN"/>
                    </w:rPr>
                    <w:t>14</w:t>
                  </w:r>
                  <w:r>
                    <w:rPr>
                      <w:rFonts w:hint="eastAsia" w:ascii="Times New Roman" w:hAnsi="Times New Roman" w:eastAsia="宋体" w:cs="Times New Roman"/>
                      <w:b/>
                      <w:bCs/>
                      <w:snapToGrid/>
                      <w:color w:val="auto"/>
                      <w:spacing w:val="0"/>
                      <w:kern w:val="0"/>
                      <w:position w:val="0"/>
                      <w:sz w:val="21"/>
                      <w:szCs w:val="21"/>
                      <w:highlight w:val="none"/>
                      <w:lang w:val="en-US" w:eastAsia="zh-CN"/>
                    </w:rPr>
                    <w:t>m</w:t>
                  </w:r>
                  <w:r>
                    <w:rPr>
                      <w:rFonts w:hint="eastAsia" w:cs="Times New Roman"/>
                      <w:b/>
                      <w:bCs/>
                      <w:snapToGrid/>
                      <w:color w:val="auto"/>
                      <w:spacing w:val="0"/>
                      <w:kern w:val="0"/>
                      <w:position w:val="0"/>
                      <w:sz w:val="21"/>
                      <w:szCs w:val="21"/>
                      <w:highlight w:val="none"/>
                      <w:lang w:val="en-US" w:eastAsia="zh-CN"/>
                    </w:rPr>
                    <w:t>、3m</w:t>
                  </w:r>
                  <w:r>
                    <w:rPr>
                      <w:rFonts w:hint="eastAsia" w:ascii="Times New Roman" w:hAnsi="Times New Roman" w:eastAsia="宋体" w:cs="Times New Roman"/>
                      <w:b/>
                      <w:bCs/>
                      <w:snapToGrid/>
                      <w:color w:val="auto"/>
                      <w:spacing w:val="0"/>
                      <w:kern w:val="0"/>
                      <w:position w:val="0"/>
                      <w:sz w:val="21"/>
                      <w:szCs w:val="21"/>
                      <w:highlight w:val="none"/>
                      <w:lang w:val="en-US" w:eastAsia="zh-CN"/>
                    </w:rPr>
                    <w:t>后得到。</w:t>
                  </w:r>
                </w:p>
              </w:tc>
            </w:tr>
          </w:tbl>
          <w:p w14:paraId="1ADA7471">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由上表可见，东侧、南侧、西侧、北侧厂界噪声排放</w:t>
            </w:r>
            <w:r>
              <w:rPr>
                <w:rFonts w:hint="eastAsia" w:ascii="Times New Roman" w:hAnsi="Times New Roman" w:eastAsia="宋体" w:cs="Times New Roman"/>
                <w:color w:val="auto"/>
                <w:kern w:val="0"/>
                <w:sz w:val="24"/>
                <w:highlight w:val="none"/>
              </w:rPr>
              <w:t>满足</w:t>
            </w:r>
            <w:r>
              <w:rPr>
                <w:rFonts w:ascii="Times New Roman" w:hAnsi="Times New Roman" w:eastAsia="宋体" w:cs="Times New Roman"/>
                <w:color w:val="auto"/>
                <w:kern w:val="0"/>
                <w:sz w:val="24"/>
                <w:highlight w:val="none"/>
              </w:rPr>
              <w:t>《工业企业厂界环境噪声排放标准》（GB12348-2008）中</w:t>
            </w:r>
            <w:r>
              <w:rPr>
                <w:rFonts w:hint="eastAsia" w:cs="Times New Roman"/>
                <w:color w:val="auto"/>
                <w:kern w:val="0"/>
                <w:sz w:val="24"/>
                <w:highlight w:val="none"/>
                <w:lang w:val="en-US" w:eastAsia="zh-CN"/>
              </w:rPr>
              <w:t>2</w:t>
            </w:r>
            <w:r>
              <w:rPr>
                <w:rFonts w:ascii="Times New Roman" w:hAnsi="Times New Roman" w:eastAsia="宋体" w:cs="Times New Roman"/>
                <w:color w:val="auto"/>
                <w:kern w:val="0"/>
                <w:sz w:val="24"/>
                <w:highlight w:val="none"/>
              </w:rPr>
              <w:t>类标准要求（昼间：</w:t>
            </w:r>
            <w:r>
              <w:rPr>
                <w:rFonts w:hint="eastAsia" w:ascii="Times New Roman" w:hAnsi="Times New Roman" w:eastAsia="宋体" w:cs="Times New Roman"/>
                <w:color w:val="auto"/>
                <w:kern w:val="0"/>
                <w:sz w:val="24"/>
                <w:highlight w:val="none"/>
              </w:rPr>
              <w:t>6</w:t>
            </w:r>
            <w:r>
              <w:rPr>
                <w:rFonts w:hint="eastAsia" w:cs="Times New Roman"/>
                <w:color w:val="auto"/>
                <w:kern w:val="0"/>
                <w:sz w:val="24"/>
                <w:highlight w:val="none"/>
                <w:lang w:val="en-US" w:eastAsia="zh-CN"/>
              </w:rPr>
              <w:t>0</w:t>
            </w:r>
            <w:r>
              <w:rPr>
                <w:rFonts w:ascii="Times New Roman" w:hAnsi="Times New Roman" w:eastAsia="宋体" w:cs="Times New Roman"/>
                <w:color w:val="auto"/>
                <w:kern w:val="0"/>
                <w:sz w:val="24"/>
                <w:highlight w:val="none"/>
              </w:rPr>
              <w:t>dB（A））</w:t>
            </w:r>
            <w:r>
              <w:rPr>
                <w:rFonts w:hint="eastAsia"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敏感点</w:t>
            </w:r>
            <w:r>
              <w:rPr>
                <w:rFonts w:hint="eastAsia" w:cs="Times New Roman"/>
                <w:color w:val="auto"/>
                <w:kern w:val="0"/>
                <w:sz w:val="24"/>
                <w:highlight w:val="none"/>
                <w:lang w:val="en-US" w:eastAsia="zh-CN"/>
              </w:rPr>
              <w:t>高家、三铺村四组</w:t>
            </w:r>
            <w:r>
              <w:rPr>
                <w:rFonts w:hint="eastAsia" w:ascii="Times New Roman" w:hAnsi="Times New Roman" w:eastAsia="宋体" w:cs="Times New Roman"/>
                <w:color w:val="auto"/>
                <w:kern w:val="0"/>
                <w:sz w:val="24"/>
                <w:highlight w:val="none"/>
                <w:lang w:val="en-US" w:eastAsia="zh-CN"/>
              </w:rPr>
              <w:t>噪声满足《声环境质量标准》（GB3096-2002）中2类标准要求，不会对周围声环境及内部造成明显影响。</w:t>
            </w:r>
          </w:p>
          <w:p w14:paraId="0742703D">
            <w:pPr>
              <w:adjustRightInd w:val="0"/>
              <w:snapToGrid w:val="0"/>
              <w:spacing w:line="360" w:lineRule="auto"/>
              <w:ind w:firstLine="480" w:firstLineChars="200"/>
              <w:rPr>
                <w:rFonts w:ascii="Times New Roman" w:hAnsi="Times New Roman" w:eastAsia="宋体" w:cs="Times New Roman"/>
                <w:color w:val="auto"/>
                <w:kern w:val="0"/>
                <w:sz w:val="24"/>
              </w:rPr>
            </w:pPr>
            <w:r>
              <w:rPr>
                <w:rFonts w:ascii="Times New Roman" w:hAnsi="Times New Roman" w:eastAsia="宋体" w:cs="Times New Roman"/>
                <w:color w:val="auto"/>
                <w:kern w:val="0"/>
                <w:sz w:val="24"/>
                <w:highlight w:val="none"/>
              </w:rPr>
              <w:t>对外环境的影响不大。因此，本项目噪声源噪声值经厂房隔声和距离减震降噪措施后，可保证厂界噪声达标排放，对区域环境的影响较</w:t>
            </w:r>
            <w:r>
              <w:rPr>
                <w:rFonts w:ascii="Times New Roman" w:hAnsi="Times New Roman" w:eastAsia="宋体" w:cs="Times New Roman"/>
                <w:color w:val="auto"/>
                <w:kern w:val="0"/>
                <w:sz w:val="24"/>
              </w:rPr>
              <w:t>小。</w:t>
            </w:r>
          </w:p>
          <w:p w14:paraId="6F7B7143">
            <w:pPr>
              <w:adjustRightInd w:val="0"/>
              <w:snapToGrid w:val="0"/>
              <w:spacing w:line="360" w:lineRule="auto"/>
              <w:ind w:firstLine="482" w:firstLineChars="200"/>
              <w:rPr>
                <w:b/>
                <w:bCs/>
                <w:color w:val="auto"/>
                <w:kern w:val="0"/>
                <w:sz w:val="24"/>
              </w:rPr>
            </w:pPr>
            <w:r>
              <w:rPr>
                <w:b/>
                <w:bCs/>
                <w:color w:val="auto"/>
                <w:kern w:val="0"/>
                <w:sz w:val="24"/>
              </w:rPr>
              <w:t>监测计划</w:t>
            </w:r>
          </w:p>
          <w:p w14:paraId="48F2D2E8">
            <w:pPr>
              <w:adjustRightInd w:val="0"/>
              <w:snapToGrid w:val="0"/>
              <w:spacing w:line="360" w:lineRule="auto"/>
              <w:ind w:firstLine="480" w:firstLineChars="200"/>
              <w:rPr>
                <w:b/>
                <w:bCs/>
                <w:color w:val="auto"/>
                <w:kern w:val="0"/>
                <w:sz w:val="24"/>
              </w:rPr>
            </w:pPr>
            <w:r>
              <w:rPr>
                <w:color w:val="auto"/>
                <w:kern w:val="0"/>
                <w:sz w:val="24"/>
              </w:rPr>
              <w:t>根据</w:t>
            </w:r>
            <w:r>
              <w:rPr>
                <w:rFonts w:hint="eastAsia"/>
                <w:color w:val="auto"/>
                <w:kern w:val="0"/>
                <w:sz w:val="24"/>
                <w:lang w:val="en-US" w:eastAsia="zh-CN"/>
              </w:rPr>
              <w:t>《排污许可证申请与核发技术规范 工业噪声》（</w:t>
            </w:r>
            <w:r>
              <w:rPr>
                <w:rFonts w:hint="default"/>
                <w:color w:val="auto"/>
                <w:kern w:val="0"/>
                <w:sz w:val="24"/>
                <w:lang w:val="en-US" w:eastAsia="zh-CN"/>
              </w:rPr>
              <w:t>HJ1301-2023</w:t>
            </w:r>
            <w:r>
              <w:rPr>
                <w:rFonts w:hint="eastAsia"/>
                <w:color w:val="auto"/>
                <w:kern w:val="0"/>
                <w:sz w:val="24"/>
                <w:lang w:val="en-US" w:eastAsia="zh-CN"/>
              </w:rPr>
              <w:t>）</w:t>
            </w:r>
            <w:r>
              <w:rPr>
                <w:color w:val="auto"/>
                <w:kern w:val="0"/>
                <w:sz w:val="24"/>
              </w:rPr>
              <w:t>，制定本项目噪声监测计划如下：</w:t>
            </w:r>
          </w:p>
          <w:p w14:paraId="0CE32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表4.</w:t>
            </w:r>
            <w:r>
              <w:rPr>
                <w:rFonts w:hint="eastAsia" w:cs="Times New Roman"/>
                <w:b/>
                <w:bCs/>
                <w:color w:val="auto"/>
                <w:sz w:val="24"/>
                <w:lang w:val="en-US" w:eastAsia="zh-CN"/>
              </w:rPr>
              <w:t>8</w:t>
            </w:r>
            <w:r>
              <w:rPr>
                <w:rFonts w:hint="eastAsia" w:ascii="Times New Roman" w:hAnsi="Times New Roman" w:eastAsia="宋体" w:cs="Times New Roman"/>
                <w:b/>
                <w:bCs/>
                <w:color w:val="auto"/>
                <w:sz w:val="24"/>
              </w:rPr>
              <w:t xml:space="preserve"> </w:t>
            </w:r>
            <w:r>
              <w:rPr>
                <w:rFonts w:ascii="Times New Roman" w:hAnsi="Times New Roman" w:eastAsia="宋体" w:cs="Times New Roman"/>
                <w:b/>
                <w:bCs/>
                <w:color w:val="auto"/>
                <w:sz w:val="24"/>
              </w:rPr>
              <w:t xml:space="preserve"> 噪声监测一览表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520"/>
              <w:gridCol w:w="2573"/>
              <w:gridCol w:w="2775"/>
            </w:tblGrid>
            <w:tr w14:paraId="3BF6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14:paraId="46750DE7">
                  <w:pPr>
                    <w:adjustRightInd w:val="0"/>
                    <w:snapToGrid w:val="0"/>
                    <w:jc w:val="center"/>
                    <w:rPr>
                      <w:color w:val="auto"/>
                      <w:kern w:val="0"/>
                      <w:szCs w:val="21"/>
                    </w:rPr>
                  </w:pPr>
                  <w:r>
                    <w:rPr>
                      <w:color w:val="auto"/>
                      <w:kern w:val="0"/>
                      <w:szCs w:val="21"/>
                    </w:rPr>
                    <w:t>类别</w:t>
                  </w:r>
                </w:p>
              </w:tc>
              <w:tc>
                <w:tcPr>
                  <w:tcW w:w="913" w:type="pct"/>
                  <w:noWrap w:val="0"/>
                  <w:vAlign w:val="center"/>
                </w:tcPr>
                <w:p w14:paraId="72C35342">
                  <w:pPr>
                    <w:adjustRightInd w:val="0"/>
                    <w:snapToGrid w:val="0"/>
                    <w:jc w:val="center"/>
                    <w:rPr>
                      <w:color w:val="auto"/>
                      <w:kern w:val="0"/>
                      <w:szCs w:val="21"/>
                    </w:rPr>
                  </w:pPr>
                  <w:r>
                    <w:rPr>
                      <w:color w:val="auto"/>
                      <w:kern w:val="0"/>
                      <w:szCs w:val="21"/>
                    </w:rPr>
                    <w:t>监测点位</w:t>
                  </w:r>
                </w:p>
              </w:tc>
              <w:tc>
                <w:tcPr>
                  <w:tcW w:w="1546" w:type="pct"/>
                  <w:noWrap w:val="0"/>
                  <w:vAlign w:val="center"/>
                </w:tcPr>
                <w:p w14:paraId="58B9DF9A">
                  <w:pPr>
                    <w:adjustRightInd w:val="0"/>
                    <w:snapToGrid w:val="0"/>
                    <w:jc w:val="center"/>
                    <w:rPr>
                      <w:color w:val="auto"/>
                      <w:kern w:val="0"/>
                      <w:szCs w:val="21"/>
                    </w:rPr>
                  </w:pPr>
                  <w:r>
                    <w:rPr>
                      <w:color w:val="auto"/>
                      <w:kern w:val="0"/>
                      <w:szCs w:val="21"/>
                    </w:rPr>
                    <w:t>监测项目</w:t>
                  </w:r>
                </w:p>
              </w:tc>
              <w:tc>
                <w:tcPr>
                  <w:tcW w:w="1667" w:type="pct"/>
                  <w:noWrap w:val="0"/>
                  <w:vAlign w:val="center"/>
                </w:tcPr>
                <w:p w14:paraId="04EE2336">
                  <w:pPr>
                    <w:adjustRightInd w:val="0"/>
                    <w:snapToGrid w:val="0"/>
                    <w:jc w:val="center"/>
                    <w:rPr>
                      <w:color w:val="auto"/>
                      <w:kern w:val="0"/>
                      <w:szCs w:val="21"/>
                    </w:rPr>
                  </w:pPr>
                  <w:r>
                    <w:rPr>
                      <w:color w:val="auto"/>
                      <w:kern w:val="0"/>
                      <w:szCs w:val="21"/>
                    </w:rPr>
                    <w:t>监测频率</w:t>
                  </w:r>
                </w:p>
              </w:tc>
            </w:tr>
            <w:tr w14:paraId="7888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14:paraId="2769A439">
                  <w:pPr>
                    <w:adjustRightInd w:val="0"/>
                    <w:snapToGrid w:val="0"/>
                    <w:jc w:val="center"/>
                    <w:rPr>
                      <w:color w:val="auto"/>
                      <w:kern w:val="0"/>
                      <w:szCs w:val="21"/>
                    </w:rPr>
                  </w:pPr>
                  <w:r>
                    <w:rPr>
                      <w:color w:val="auto"/>
                      <w:kern w:val="0"/>
                      <w:szCs w:val="21"/>
                    </w:rPr>
                    <w:t>厂界噪声</w:t>
                  </w:r>
                </w:p>
              </w:tc>
              <w:tc>
                <w:tcPr>
                  <w:tcW w:w="913" w:type="pct"/>
                  <w:noWrap w:val="0"/>
                  <w:vAlign w:val="center"/>
                </w:tcPr>
                <w:p w14:paraId="00F777AC">
                  <w:pPr>
                    <w:adjustRightInd w:val="0"/>
                    <w:snapToGrid w:val="0"/>
                    <w:jc w:val="center"/>
                    <w:rPr>
                      <w:color w:val="auto"/>
                      <w:kern w:val="0"/>
                      <w:szCs w:val="21"/>
                    </w:rPr>
                  </w:pPr>
                  <w:r>
                    <w:rPr>
                      <w:color w:val="auto"/>
                      <w:kern w:val="0"/>
                      <w:szCs w:val="21"/>
                    </w:rPr>
                    <w:t>厂界</w:t>
                  </w:r>
                </w:p>
              </w:tc>
              <w:tc>
                <w:tcPr>
                  <w:tcW w:w="1546" w:type="pct"/>
                  <w:noWrap w:val="0"/>
                  <w:vAlign w:val="center"/>
                </w:tcPr>
                <w:p w14:paraId="2564489B">
                  <w:pPr>
                    <w:adjustRightInd w:val="0"/>
                    <w:snapToGrid w:val="0"/>
                    <w:jc w:val="center"/>
                    <w:rPr>
                      <w:color w:val="auto"/>
                      <w:kern w:val="0"/>
                      <w:szCs w:val="21"/>
                    </w:rPr>
                  </w:pPr>
                  <w:r>
                    <w:rPr>
                      <w:color w:val="auto"/>
                      <w:kern w:val="0"/>
                      <w:szCs w:val="21"/>
                    </w:rPr>
                    <w:t>等效连续A声级</w:t>
                  </w:r>
                </w:p>
              </w:tc>
              <w:tc>
                <w:tcPr>
                  <w:tcW w:w="1667" w:type="pct"/>
                  <w:noWrap w:val="0"/>
                  <w:vAlign w:val="center"/>
                </w:tcPr>
                <w:p w14:paraId="32BB6746">
                  <w:pPr>
                    <w:adjustRightInd w:val="0"/>
                    <w:snapToGrid w:val="0"/>
                    <w:jc w:val="center"/>
                    <w:rPr>
                      <w:color w:val="auto"/>
                      <w:kern w:val="0"/>
                      <w:szCs w:val="21"/>
                    </w:rPr>
                  </w:pPr>
                  <w:r>
                    <w:rPr>
                      <w:color w:val="auto"/>
                      <w:kern w:val="0"/>
                      <w:szCs w:val="21"/>
                    </w:rPr>
                    <w:t>1次/季度</w:t>
                  </w:r>
                </w:p>
              </w:tc>
            </w:tr>
          </w:tbl>
          <w:p w14:paraId="716F4596">
            <w:pPr>
              <w:spacing w:line="360" w:lineRule="auto"/>
              <w:ind w:firstLine="482" w:firstLineChars="200"/>
              <w:rPr>
                <w:b/>
                <w:bCs/>
                <w:sz w:val="24"/>
              </w:rPr>
            </w:pPr>
            <w:r>
              <w:rPr>
                <w:b/>
                <w:bCs/>
                <w:sz w:val="24"/>
              </w:rPr>
              <w:t>4、固体废物</w:t>
            </w:r>
          </w:p>
          <w:p w14:paraId="1D4B8AC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本项目运营期固体废物主要为废润滑油、废油桶、</w:t>
            </w:r>
            <w:r>
              <w:rPr>
                <w:rFonts w:hint="default" w:ascii="Times New Roman" w:hAnsi="Times New Roman" w:eastAsia="宋体" w:cs="Times New Roman"/>
                <w:sz w:val="24"/>
                <w:szCs w:val="24"/>
                <w:lang w:val="en-US" w:eastAsia="zh-CN"/>
              </w:rPr>
              <w:t>废活性炭</w:t>
            </w:r>
            <w:r>
              <w:rPr>
                <w:rFonts w:hint="default" w:ascii="Times New Roman" w:hAnsi="Times New Roman" w:eastAsia="宋体" w:cs="Times New Roman"/>
                <w:sz w:val="24"/>
                <w:szCs w:val="24"/>
              </w:rPr>
              <w:t>、废包装桶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胶桶、水性油墨桶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、一般废包装材料以及生活垃圾。</w:t>
            </w:r>
          </w:p>
          <w:p w14:paraId="0377BB5E">
            <w:pPr>
              <w:snapToGrid w:val="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（1）生活垃圾</w:t>
            </w:r>
          </w:p>
          <w:p w14:paraId="7CD1DF2C">
            <w:pPr>
              <w:pStyle w:val="83"/>
              <w:adjustRightInd w:val="0"/>
              <w:snapToGrid w:val="0"/>
              <w:ind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auto"/>
                <w:kern w:val="0"/>
                <w:sz w:val="24"/>
                <w:szCs w:val="24"/>
              </w:rPr>
              <w:t>本项目劳动定员</w:t>
            </w:r>
            <w:r>
              <w:rPr>
                <w:rFonts w:hint="default"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rPr>
              <w:t>人，按每人每日排放生活垃圾0.5kg计，年工作天数300天，则生活垃圾产生量约</w:t>
            </w:r>
            <w:r>
              <w:rPr>
                <w:rFonts w:hint="default"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rPr>
              <w:t>5t/a，集中收集后交由环卫部门清运处理。</w:t>
            </w:r>
          </w:p>
          <w:p w14:paraId="10225393">
            <w:pPr>
              <w:numPr>
                <w:ilvl w:val="0"/>
                <w:numId w:val="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一般废包装材料</w:t>
            </w:r>
          </w:p>
          <w:p w14:paraId="0125D555">
            <w:pPr>
              <w:numPr>
                <w:ilvl w:val="0"/>
                <w:numId w:val="0"/>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本项目包装过程中包装袋破损会产生一般废包装材料，为塑料等，根据估算产生量约为</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t/a。企业收集后外</w:t>
            </w:r>
            <w:r>
              <w:rPr>
                <w:rFonts w:hint="default" w:ascii="Times New Roman" w:hAnsi="Times New Roman" w:eastAsia="宋体" w:cs="Times New Roman"/>
                <w:sz w:val="24"/>
                <w:szCs w:val="24"/>
                <w:lang w:val="en-US" w:eastAsia="zh-CN"/>
              </w:rPr>
              <w:t>售</w:t>
            </w:r>
            <w:r>
              <w:rPr>
                <w:rFonts w:hint="default" w:ascii="Times New Roman" w:hAnsi="Times New Roman" w:eastAsia="宋体" w:cs="Times New Roman"/>
                <w:sz w:val="24"/>
                <w:szCs w:val="24"/>
              </w:rPr>
              <w:t>综合利用。</w:t>
            </w:r>
          </w:p>
          <w:p w14:paraId="0417B075">
            <w:pPr>
              <w:pStyle w:val="9"/>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（3）危险废物</w:t>
            </w:r>
          </w:p>
          <w:p w14:paraId="57FC4EA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①废润滑油：本项目设备定期维护产生废润滑油，根据估算产生量约为 0.25 t/a。</w:t>
            </w:r>
            <w:r>
              <w:rPr>
                <w:rFonts w:hint="default" w:ascii="Times New Roman" w:hAnsi="Times New Roman" w:eastAsia="宋体" w:cs="Times New Roman"/>
                <w:color w:val="auto"/>
                <w:kern w:val="0"/>
                <w:sz w:val="24"/>
                <w:szCs w:val="24"/>
              </w:rPr>
              <w:t>经对照《国家危险废物名录》（202</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版），属于危险废物</w:t>
            </w:r>
            <w:r>
              <w:rPr>
                <w:rFonts w:hint="default" w:ascii="Times New Roman" w:hAnsi="Times New Roman" w:eastAsia="宋体" w:cs="Times New Roman"/>
                <w:sz w:val="24"/>
                <w:szCs w:val="24"/>
              </w:rPr>
              <w:t>HW08</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900-217-08。要求企业将废润滑油暂存于危废仓库，委托有资质单位处置。</w:t>
            </w:r>
          </w:p>
          <w:p w14:paraId="195C07F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 w:val="0"/>
                <w:bCs w:val="0"/>
                <w:sz w:val="24"/>
                <w:szCs w:val="24"/>
              </w:rPr>
              <w:t>②</w:t>
            </w:r>
            <w:r>
              <w:rPr>
                <w:rFonts w:hint="default" w:ascii="Times New Roman" w:hAnsi="Times New Roman" w:eastAsia="宋体" w:cs="Times New Roman"/>
                <w:sz w:val="24"/>
                <w:szCs w:val="24"/>
              </w:rPr>
              <w:t>废油桶：本项目润滑油、液压油使用后产生废油桶，根据估算产生量约为 0.</w:t>
            </w:r>
            <w:r>
              <w:rPr>
                <w:rFonts w:hint="eastAsia" w:ascii="Times New Roman" w:hAnsi="Times New Roman" w:eastAsia="宋体" w:cs="Times New Roman"/>
                <w:sz w:val="24"/>
                <w:szCs w:val="24"/>
                <w:lang w:val="en-US" w:eastAsia="zh-CN"/>
              </w:rPr>
              <w:t>075</w:t>
            </w:r>
            <w:r>
              <w:rPr>
                <w:rFonts w:hint="default" w:ascii="Times New Roman" w:hAnsi="Times New Roman" w:eastAsia="宋体" w:cs="Times New Roman"/>
                <w:sz w:val="24"/>
                <w:szCs w:val="24"/>
              </w:rPr>
              <w:t>t/a。</w:t>
            </w:r>
            <w:r>
              <w:rPr>
                <w:rFonts w:hint="default" w:ascii="Times New Roman" w:hAnsi="Times New Roman" w:eastAsia="宋体" w:cs="Times New Roman"/>
                <w:color w:val="auto"/>
                <w:kern w:val="0"/>
                <w:sz w:val="24"/>
                <w:szCs w:val="24"/>
              </w:rPr>
              <w:t>经对照《国家危险废物名录》（202</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版）</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sz w:val="24"/>
                <w:szCs w:val="24"/>
              </w:rPr>
              <w:t>属于危险废物HW08:900-249-08。要求企业将废油桶暂存于危废仓库，委托有资质单位处置。</w:t>
            </w:r>
          </w:p>
          <w:p w14:paraId="0178590C">
            <w:pPr>
              <w:snapToGrid w:val="0"/>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sz w:val="24"/>
                <w:szCs w:val="24"/>
              </w:rPr>
              <w:t>③</w:t>
            </w:r>
            <w:r>
              <w:rPr>
                <w:rFonts w:hint="default" w:ascii="Times New Roman" w:hAnsi="Times New Roman" w:eastAsia="宋体" w:cs="Times New Roman"/>
                <w:color w:val="auto"/>
                <w:kern w:val="0"/>
                <w:sz w:val="24"/>
                <w:szCs w:val="24"/>
              </w:rPr>
              <w:t>废活性炭</w:t>
            </w:r>
          </w:p>
          <w:p w14:paraId="5FEA7ED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auto"/>
                <w:kern w:val="0"/>
                <w:sz w:val="24"/>
                <w:szCs w:val="24"/>
                <w:highlight w:val="none"/>
              </w:rPr>
              <w:t>废活性炭为</w:t>
            </w:r>
            <w:r>
              <w:rPr>
                <w:rFonts w:hint="default" w:ascii="Times New Roman" w:hAnsi="Times New Roman" w:eastAsia="宋体" w:cs="Times New Roman"/>
                <w:color w:val="auto"/>
                <w:kern w:val="0"/>
                <w:sz w:val="24"/>
                <w:szCs w:val="24"/>
                <w:highlight w:val="none"/>
                <w:lang w:val="en-US" w:eastAsia="zh-CN"/>
              </w:rPr>
              <w:t>喷码工序</w:t>
            </w:r>
            <w:r>
              <w:rPr>
                <w:rFonts w:hint="default" w:ascii="Times New Roman" w:hAnsi="Times New Roman" w:eastAsia="宋体" w:cs="Times New Roman"/>
                <w:color w:val="auto"/>
                <w:kern w:val="0"/>
                <w:sz w:val="24"/>
                <w:szCs w:val="24"/>
                <w:highlight w:val="none"/>
              </w:rPr>
              <w:t>中产生的有机废气而产生的固废，项目二级活性炭吸附装置的活性炭填装量为</w:t>
            </w:r>
            <w:r>
              <w:rPr>
                <w:rFonts w:hint="eastAsia" w:ascii="Times New Roman" w:hAnsi="Times New Roman" w:eastAsia="宋体" w:cs="Times New Roman"/>
                <w:color w:val="auto"/>
                <w:kern w:val="0"/>
                <w:sz w:val="24"/>
                <w:szCs w:val="24"/>
                <w:highlight w:val="none"/>
                <w:lang w:val="en-US" w:eastAsia="zh-CN"/>
              </w:rPr>
              <w:t>50</w:t>
            </w:r>
            <w:r>
              <w:rPr>
                <w:rFonts w:hint="default" w:ascii="Times New Roman" w:hAnsi="Times New Roman" w:eastAsia="宋体" w:cs="Times New Roman"/>
                <w:color w:val="auto"/>
                <w:kern w:val="0"/>
                <w:sz w:val="24"/>
                <w:szCs w:val="24"/>
                <w:highlight w:val="none"/>
              </w:rPr>
              <w:t>kg，更换周期为</w:t>
            </w:r>
            <w:r>
              <w:rPr>
                <w:rFonts w:hint="default" w:ascii="Times New Roman" w:hAnsi="Times New Roman" w:eastAsia="宋体" w:cs="Times New Roman"/>
                <w:color w:val="auto"/>
                <w:kern w:val="0"/>
                <w:sz w:val="24"/>
                <w:szCs w:val="24"/>
                <w:highlight w:val="none"/>
                <w:lang w:val="en-US" w:eastAsia="zh-CN"/>
              </w:rPr>
              <w:t>三</w:t>
            </w:r>
            <w:r>
              <w:rPr>
                <w:rFonts w:hint="default" w:ascii="Times New Roman" w:hAnsi="Times New Roman" w:eastAsia="宋体" w:cs="Times New Roman"/>
                <w:color w:val="auto"/>
                <w:kern w:val="0"/>
                <w:sz w:val="24"/>
                <w:szCs w:val="24"/>
                <w:highlight w:val="none"/>
              </w:rPr>
              <w:t>个月，项目选用碘值≥800毫克/克，活性炭有效吸附量：qe=0.</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g/g活性炭，根据前述分析，项目活性炭吸附的有机废气量</w:t>
            </w:r>
            <w:r>
              <w:rPr>
                <w:rFonts w:hint="default" w:ascii="Times New Roman" w:hAnsi="Times New Roman" w:eastAsia="宋体" w:cs="Times New Roman"/>
                <w:color w:val="auto"/>
                <w:kern w:val="0"/>
                <w:sz w:val="24"/>
                <w:szCs w:val="24"/>
                <w:highlight w:val="none"/>
                <w:lang w:val="en-US" w:eastAsia="zh-CN"/>
              </w:rPr>
              <w:t>为0.</w:t>
            </w:r>
            <w:r>
              <w:rPr>
                <w:rFonts w:hint="eastAsia" w:ascii="Times New Roman" w:hAnsi="Times New Roman" w:eastAsia="宋体" w:cs="Times New Roman"/>
                <w:color w:val="auto"/>
                <w:kern w:val="0"/>
                <w:sz w:val="24"/>
                <w:szCs w:val="24"/>
                <w:highlight w:val="none"/>
                <w:lang w:val="en-US" w:eastAsia="zh-CN"/>
              </w:rPr>
              <w:t>0583</w:t>
            </w:r>
            <w:r>
              <w:rPr>
                <w:rFonts w:hint="default" w:ascii="Times New Roman" w:hAnsi="Times New Roman" w:eastAsia="宋体" w:cs="Times New Roman"/>
                <w:color w:val="auto"/>
                <w:kern w:val="0"/>
                <w:sz w:val="24"/>
                <w:szCs w:val="24"/>
                <w:highlight w:val="none"/>
              </w:rPr>
              <w:t>t/a；因此</w:t>
            </w:r>
            <w:r>
              <w:rPr>
                <w:rFonts w:hint="default" w:ascii="Times New Roman" w:hAnsi="Times New Roman" w:eastAsia="宋体" w:cs="Times New Roman"/>
                <w:color w:val="auto"/>
                <w:kern w:val="0"/>
                <w:sz w:val="24"/>
                <w:szCs w:val="24"/>
                <w:highlight w:val="none"/>
                <w:lang w:val="en-US" w:eastAsia="zh-CN"/>
              </w:rPr>
              <w:t>项目需要</w:t>
            </w:r>
            <w:r>
              <w:rPr>
                <w:rFonts w:hint="default" w:ascii="Times New Roman" w:hAnsi="Times New Roman" w:eastAsia="宋体" w:cs="Times New Roman"/>
                <w:color w:val="auto"/>
                <w:kern w:val="0"/>
                <w:sz w:val="24"/>
                <w:szCs w:val="24"/>
                <w:highlight w:val="none"/>
              </w:rPr>
              <w:t>二级活性炭</w:t>
            </w:r>
            <w:r>
              <w:rPr>
                <w:rFonts w:hint="default" w:ascii="Times New Roman" w:hAnsi="Times New Roman" w:eastAsia="宋体" w:cs="Times New Roman"/>
                <w:color w:val="auto"/>
                <w:kern w:val="0"/>
                <w:sz w:val="24"/>
                <w:szCs w:val="24"/>
                <w:highlight w:val="none"/>
                <w:lang w:val="en-US" w:eastAsia="zh-CN"/>
              </w:rPr>
              <w:t>量为</w:t>
            </w:r>
            <w:r>
              <w:rPr>
                <w:rFonts w:hint="eastAsia" w:ascii="Times New Roman" w:hAnsi="Times New Roman" w:eastAsia="宋体" w:cs="Times New Roman"/>
                <w:color w:val="auto"/>
                <w:kern w:val="0"/>
                <w:sz w:val="24"/>
                <w:szCs w:val="24"/>
                <w:highlight w:val="none"/>
                <w:lang w:val="en-US" w:eastAsia="zh-CN"/>
              </w:rPr>
              <w:t>0.194</w:t>
            </w:r>
            <w:r>
              <w:rPr>
                <w:rFonts w:hint="default" w:ascii="Times New Roman" w:hAnsi="Times New Roman" w:eastAsia="宋体" w:cs="Times New Roman"/>
                <w:color w:val="auto"/>
                <w:kern w:val="0"/>
                <w:sz w:val="24"/>
                <w:szCs w:val="24"/>
                <w:highlight w:val="none"/>
                <w:lang w:val="en-US" w:eastAsia="zh-CN"/>
              </w:rPr>
              <w:t>t/a。根</w:t>
            </w:r>
            <w:r>
              <w:rPr>
                <w:rFonts w:hint="default" w:ascii="Times New Roman" w:hAnsi="Times New Roman" w:eastAsia="宋体" w:cs="Times New Roman"/>
                <w:color w:val="auto"/>
                <w:kern w:val="0"/>
                <w:sz w:val="24"/>
                <w:szCs w:val="24"/>
                <w:lang w:val="en-US" w:eastAsia="zh-CN"/>
              </w:rPr>
              <w:t>据设计二级活性炭年装填量为</w:t>
            </w:r>
            <w:r>
              <w:rPr>
                <w:rFonts w:hint="eastAsia" w:ascii="Times New Roman" w:hAnsi="Times New Roman" w:eastAsia="宋体" w:cs="Times New Roman"/>
                <w:color w:val="auto"/>
                <w:kern w:val="0"/>
                <w:sz w:val="24"/>
                <w:szCs w:val="24"/>
                <w:lang w:val="en-US" w:eastAsia="zh-CN"/>
              </w:rPr>
              <w:t>0.2</w:t>
            </w:r>
            <w:r>
              <w:rPr>
                <w:rFonts w:hint="default" w:ascii="Times New Roman" w:hAnsi="Times New Roman" w:eastAsia="宋体" w:cs="Times New Roman"/>
                <w:color w:val="auto"/>
                <w:kern w:val="0"/>
                <w:sz w:val="24"/>
                <w:szCs w:val="24"/>
                <w:lang w:val="en-US" w:eastAsia="zh-CN"/>
              </w:rPr>
              <w:t>t/a。则</w:t>
            </w:r>
            <w:r>
              <w:rPr>
                <w:rFonts w:hint="default" w:ascii="Times New Roman" w:hAnsi="Times New Roman" w:eastAsia="宋体" w:cs="Times New Roman"/>
                <w:color w:val="auto"/>
                <w:kern w:val="0"/>
                <w:sz w:val="24"/>
                <w:szCs w:val="24"/>
              </w:rPr>
              <w:t>项目产生废活性炭（含有机废气）约为</w:t>
            </w:r>
            <w:r>
              <w:rPr>
                <w:rFonts w:hint="eastAsia" w:ascii="Times New Roman" w:hAnsi="Times New Roman" w:eastAsia="宋体" w:cs="Times New Roman"/>
                <w:color w:val="auto"/>
                <w:kern w:val="0"/>
                <w:sz w:val="24"/>
                <w:szCs w:val="24"/>
                <w:lang w:val="en-US" w:eastAsia="zh-CN"/>
              </w:rPr>
              <w:t>0.2583</w:t>
            </w:r>
            <w:r>
              <w:rPr>
                <w:rFonts w:hint="default" w:ascii="Times New Roman" w:hAnsi="Times New Roman" w:eastAsia="宋体" w:cs="Times New Roman"/>
                <w:color w:val="auto"/>
                <w:kern w:val="0"/>
                <w:sz w:val="24"/>
                <w:szCs w:val="24"/>
              </w:rPr>
              <w:t>t/a，经对照《国家危险废物名录》（202</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 xml:space="preserve">版），属于危险废物HW49，危废代码为900-039-49。于厂内危废暂存场所暂存后委托有资质单位妥善处置。 </w:t>
            </w:r>
          </w:p>
          <w:p w14:paraId="542630C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rPr>
              <w:t>④</w:t>
            </w:r>
            <w:r>
              <w:rPr>
                <w:rFonts w:hint="default" w:ascii="Times New Roman" w:hAnsi="Times New Roman" w:eastAsia="宋体" w:cs="Times New Roman"/>
                <w:sz w:val="24"/>
                <w:szCs w:val="24"/>
              </w:rPr>
              <w:t>废包装桶：食品级水性胶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水性油墨</w:t>
            </w:r>
            <w:r>
              <w:rPr>
                <w:rFonts w:hint="default" w:ascii="Times New Roman" w:hAnsi="Times New Roman" w:eastAsia="宋体" w:cs="Times New Roman"/>
                <w:sz w:val="24"/>
                <w:szCs w:val="24"/>
              </w:rPr>
              <w:t>使用后产生废包装桶，根据估算产生量约为</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t/a。</w:t>
            </w:r>
            <w:r>
              <w:rPr>
                <w:rFonts w:hint="default" w:ascii="Times New Roman" w:hAnsi="Times New Roman" w:eastAsia="宋体" w:cs="Times New Roman"/>
                <w:color w:val="auto"/>
                <w:kern w:val="0"/>
                <w:sz w:val="24"/>
                <w:szCs w:val="24"/>
              </w:rPr>
              <w:t>经对照《国家危险废物名录》（202</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版），属于危险废物HW49，危废代码为900-0</w:t>
            </w:r>
            <w:r>
              <w:rPr>
                <w:rFonts w:hint="default" w:ascii="Times New Roman" w:hAnsi="Times New Roman" w:eastAsia="宋体" w:cs="Times New Roman"/>
                <w:color w:val="auto"/>
                <w:kern w:val="0"/>
                <w:sz w:val="24"/>
                <w:szCs w:val="24"/>
                <w:lang w:val="en-US" w:eastAsia="zh-CN"/>
              </w:rPr>
              <w:t>41</w:t>
            </w:r>
            <w:r>
              <w:rPr>
                <w:rFonts w:hint="default" w:ascii="Times New Roman" w:hAnsi="Times New Roman" w:eastAsia="宋体" w:cs="Times New Roman"/>
                <w:color w:val="auto"/>
                <w:kern w:val="0"/>
                <w:sz w:val="24"/>
                <w:szCs w:val="24"/>
              </w:rPr>
              <w:t xml:space="preserve">-49。于厂内危废暂存场所暂存后委托有资质单位妥善处置。 </w:t>
            </w:r>
          </w:p>
          <w:p w14:paraId="21EAA8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4.9</w:t>
            </w:r>
            <w:r>
              <w:rPr>
                <w:rFonts w:hint="default" w:ascii="Times New Roman" w:hAnsi="Times New Roman" w:eastAsia="宋体" w:cs="Times New Roman"/>
                <w:b/>
                <w:bCs/>
                <w:color w:val="auto"/>
                <w:sz w:val="24"/>
              </w:rPr>
              <w:t xml:space="preserve">  固废产生情况汇总表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714"/>
              <w:gridCol w:w="1664"/>
              <w:gridCol w:w="1383"/>
              <w:gridCol w:w="1388"/>
              <w:gridCol w:w="1395"/>
            </w:tblGrid>
            <w:tr w14:paraId="6251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dxa"/>
                  <w:vAlign w:val="center"/>
                </w:tcPr>
                <w:p w14:paraId="6CACDC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序号</w:t>
                  </w:r>
                </w:p>
              </w:tc>
              <w:tc>
                <w:tcPr>
                  <w:tcW w:w="1748" w:type="dxa"/>
                  <w:vAlign w:val="center"/>
                </w:tcPr>
                <w:p w14:paraId="4C2F66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固废</w:t>
                  </w:r>
                </w:p>
              </w:tc>
              <w:tc>
                <w:tcPr>
                  <w:tcW w:w="1691" w:type="dxa"/>
                  <w:vAlign w:val="center"/>
                </w:tcPr>
                <w:p w14:paraId="3319CE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产生工序</w:t>
                  </w:r>
                </w:p>
              </w:tc>
              <w:tc>
                <w:tcPr>
                  <w:tcW w:w="1408" w:type="dxa"/>
                  <w:vAlign w:val="center"/>
                </w:tcPr>
                <w:p w14:paraId="609C0B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形态</w:t>
                  </w:r>
                </w:p>
              </w:tc>
              <w:tc>
                <w:tcPr>
                  <w:tcW w:w="1408" w:type="dxa"/>
                  <w:vAlign w:val="center"/>
                </w:tcPr>
                <w:p w14:paraId="5BA507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主要成分</w:t>
                  </w:r>
                </w:p>
              </w:tc>
              <w:tc>
                <w:tcPr>
                  <w:tcW w:w="1410" w:type="dxa"/>
                  <w:vAlign w:val="center"/>
                </w:tcPr>
                <w:p w14:paraId="28831D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产生量（t/a）</w:t>
                  </w:r>
                </w:p>
              </w:tc>
            </w:tr>
            <w:tr w14:paraId="7E96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dxa"/>
                  <w:vAlign w:val="center"/>
                </w:tcPr>
                <w:p w14:paraId="0692F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748" w:type="dxa"/>
                  <w:vAlign w:val="center"/>
                </w:tcPr>
                <w:p w14:paraId="610E25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z w:val="21"/>
                      <w:szCs w:val="21"/>
                    </w:rPr>
                    <w:t>废润滑油</w:t>
                  </w:r>
                </w:p>
              </w:tc>
              <w:tc>
                <w:tcPr>
                  <w:tcW w:w="1691" w:type="dxa"/>
                  <w:vAlign w:val="center"/>
                </w:tcPr>
                <w:p w14:paraId="407611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设备维护</w:t>
                  </w:r>
                </w:p>
              </w:tc>
              <w:tc>
                <w:tcPr>
                  <w:tcW w:w="1408" w:type="dxa"/>
                  <w:vAlign w:val="center"/>
                </w:tcPr>
                <w:p w14:paraId="798801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1408" w:type="dxa"/>
                  <w:vAlign w:val="center"/>
                </w:tcPr>
                <w:p w14:paraId="287BB8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矿物油</w:t>
                  </w:r>
                </w:p>
              </w:tc>
              <w:tc>
                <w:tcPr>
                  <w:tcW w:w="1410" w:type="dxa"/>
                  <w:vAlign w:val="center"/>
                </w:tcPr>
                <w:p w14:paraId="23FB20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0.25</w:t>
                  </w:r>
                </w:p>
              </w:tc>
            </w:tr>
            <w:tr w14:paraId="79F6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dxa"/>
                  <w:vAlign w:val="center"/>
                </w:tcPr>
                <w:p w14:paraId="188D0D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1748" w:type="dxa"/>
                  <w:vAlign w:val="center"/>
                </w:tcPr>
                <w:p w14:paraId="68CEBC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z w:val="21"/>
                      <w:szCs w:val="21"/>
                    </w:rPr>
                    <w:t>废油桶</w:t>
                  </w:r>
                </w:p>
              </w:tc>
              <w:tc>
                <w:tcPr>
                  <w:tcW w:w="1691" w:type="dxa"/>
                  <w:vAlign w:val="center"/>
                </w:tcPr>
                <w:p w14:paraId="74CEA5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润滑油包装</w:t>
                  </w:r>
                </w:p>
              </w:tc>
              <w:tc>
                <w:tcPr>
                  <w:tcW w:w="1408" w:type="dxa"/>
                  <w:vAlign w:val="center"/>
                </w:tcPr>
                <w:p w14:paraId="4C659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1408" w:type="dxa"/>
                  <w:vAlign w:val="center"/>
                </w:tcPr>
                <w:p w14:paraId="6B50E2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z w:val="21"/>
                      <w:szCs w:val="21"/>
                      <w:vertAlign w:val="baseline"/>
                      <w:lang w:val="en-US" w:eastAsia="zh-CN"/>
                    </w:rPr>
                    <w:t>矿物油</w:t>
                  </w:r>
                </w:p>
              </w:tc>
              <w:tc>
                <w:tcPr>
                  <w:tcW w:w="1410" w:type="dxa"/>
                  <w:vAlign w:val="center"/>
                </w:tcPr>
                <w:p w14:paraId="491E6B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0.075</w:t>
                  </w:r>
                </w:p>
              </w:tc>
            </w:tr>
            <w:tr w14:paraId="37BC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dxa"/>
                  <w:vAlign w:val="center"/>
                </w:tcPr>
                <w:p w14:paraId="611470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1748" w:type="dxa"/>
                  <w:vAlign w:val="center"/>
                </w:tcPr>
                <w:p w14:paraId="6B2990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kern w:val="0"/>
                      <w:sz w:val="21"/>
                      <w:szCs w:val="21"/>
                    </w:rPr>
                    <w:t>废活性炭</w:t>
                  </w:r>
                </w:p>
              </w:tc>
              <w:tc>
                <w:tcPr>
                  <w:tcW w:w="1691" w:type="dxa"/>
                  <w:vAlign w:val="center"/>
                </w:tcPr>
                <w:p w14:paraId="325185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废气处理</w:t>
                  </w:r>
                </w:p>
              </w:tc>
              <w:tc>
                <w:tcPr>
                  <w:tcW w:w="1408" w:type="dxa"/>
                  <w:vAlign w:val="center"/>
                </w:tcPr>
                <w:p w14:paraId="72ED20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z w:val="21"/>
                      <w:szCs w:val="21"/>
                      <w:vertAlign w:val="baseline"/>
                      <w:lang w:val="en-US" w:eastAsia="zh-CN"/>
                    </w:rPr>
                    <w:t>固态</w:t>
                  </w:r>
                </w:p>
              </w:tc>
              <w:tc>
                <w:tcPr>
                  <w:tcW w:w="1408" w:type="dxa"/>
                  <w:vAlign w:val="center"/>
                </w:tcPr>
                <w:p w14:paraId="4FBAE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活性炭、有机废气</w:t>
                  </w:r>
                </w:p>
              </w:tc>
              <w:tc>
                <w:tcPr>
                  <w:tcW w:w="1410" w:type="dxa"/>
                  <w:vAlign w:val="center"/>
                </w:tcPr>
                <w:p w14:paraId="1AF1F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color w:val="auto"/>
                      <w:kern w:val="0"/>
                      <w:sz w:val="21"/>
                      <w:szCs w:val="21"/>
                      <w:lang w:val="en-US" w:eastAsia="zh-CN"/>
                    </w:rPr>
                    <w:t>0.2583</w:t>
                  </w:r>
                </w:p>
              </w:tc>
            </w:tr>
            <w:tr w14:paraId="4748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dxa"/>
                  <w:vAlign w:val="center"/>
                </w:tcPr>
                <w:p w14:paraId="09057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1748" w:type="dxa"/>
                  <w:vAlign w:val="center"/>
                </w:tcPr>
                <w:p w14:paraId="4F216E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z w:val="21"/>
                      <w:szCs w:val="21"/>
                    </w:rPr>
                    <w:t>废包装桶</w:t>
                  </w:r>
                </w:p>
              </w:tc>
              <w:tc>
                <w:tcPr>
                  <w:tcW w:w="1691" w:type="dxa"/>
                  <w:vAlign w:val="center"/>
                </w:tcPr>
                <w:p w14:paraId="46871C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水性胶、油墨桶</w:t>
                  </w:r>
                </w:p>
              </w:tc>
              <w:tc>
                <w:tcPr>
                  <w:tcW w:w="1408" w:type="dxa"/>
                  <w:vAlign w:val="center"/>
                </w:tcPr>
                <w:p w14:paraId="68EDB2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z w:val="21"/>
                      <w:szCs w:val="21"/>
                      <w:vertAlign w:val="baseline"/>
                      <w:lang w:val="en-US" w:eastAsia="zh-CN"/>
                    </w:rPr>
                    <w:t>固态</w:t>
                  </w:r>
                </w:p>
              </w:tc>
              <w:tc>
                <w:tcPr>
                  <w:tcW w:w="1408" w:type="dxa"/>
                  <w:vAlign w:val="center"/>
                </w:tcPr>
                <w:p w14:paraId="29905C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沾染有害成分</w:t>
                  </w:r>
                </w:p>
              </w:tc>
              <w:tc>
                <w:tcPr>
                  <w:tcW w:w="1410" w:type="dxa"/>
                  <w:vAlign w:val="center"/>
                </w:tcPr>
                <w:p w14:paraId="4E2FC8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w:t>
                  </w:r>
                </w:p>
              </w:tc>
            </w:tr>
            <w:tr w14:paraId="730A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dxa"/>
                  <w:vAlign w:val="center"/>
                </w:tcPr>
                <w:p w14:paraId="3FF7B7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1748" w:type="dxa"/>
                  <w:vAlign w:val="center"/>
                </w:tcPr>
                <w:p w14:paraId="5E7F14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一般废包装材料</w:t>
                  </w:r>
                </w:p>
              </w:tc>
              <w:tc>
                <w:tcPr>
                  <w:tcW w:w="1691" w:type="dxa"/>
                  <w:vAlign w:val="center"/>
                </w:tcPr>
                <w:p w14:paraId="2AB267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包装</w:t>
                  </w:r>
                </w:p>
              </w:tc>
              <w:tc>
                <w:tcPr>
                  <w:tcW w:w="1408" w:type="dxa"/>
                  <w:vAlign w:val="center"/>
                </w:tcPr>
                <w:p w14:paraId="451D6E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z w:val="21"/>
                      <w:szCs w:val="21"/>
                      <w:vertAlign w:val="baseline"/>
                      <w:lang w:val="en-US" w:eastAsia="zh-CN"/>
                    </w:rPr>
                    <w:t>固态</w:t>
                  </w:r>
                </w:p>
              </w:tc>
              <w:tc>
                <w:tcPr>
                  <w:tcW w:w="1408" w:type="dxa"/>
                  <w:vAlign w:val="center"/>
                </w:tcPr>
                <w:p w14:paraId="7663F2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w:t>
                  </w:r>
                </w:p>
              </w:tc>
              <w:tc>
                <w:tcPr>
                  <w:tcW w:w="1410" w:type="dxa"/>
                  <w:vAlign w:val="center"/>
                </w:tcPr>
                <w:p w14:paraId="0DDA99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w:t>
                  </w:r>
                </w:p>
              </w:tc>
            </w:tr>
            <w:tr w14:paraId="2CB6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 w:type="dxa"/>
                  <w:vAlign w:val="center"/>
                </w:tcPr>
                <w:p w14:paraId="6B2F0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p>
              </w:tc>
              <w:tc>
                <w:tcPr>
                  <w:tcW w:w="1748" w:type="dxa"/>
                  <w:vAlign w:val="center"/>
                </w:tcPr>
                <w:p w14:paraId="4BB330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1691" w:type="dxa"/>
                  <w:vAlign w:val="center"/>
                </w:tcPr>
                <w:p w14:paraId="1C5CA5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员工生活</w:t>
                  </w:r>
                </w:p>
              </w:tc>
              <w:tc>
                <w:tcPr>
                  <w:tcW w:w="1408" w:type="dxa"/>
                  <w:vAlign w:val="center"/>
                </w:tcPr>
                <w:p w14:paraId="1BA84F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rPr>
                  </w:pPr>
                  <w:r>
                    <w:rPr>
                      <w:rFonts w:hint="eastAsia" w:ascii="Times New Roman" w:hAnsi="Times New Roman" w:eastAsia="宋体" w:cs="Times New Roman"/>
                      <w:b w:val="0"/>
                      <w:bCs w:val="0"/>
                      <w:color w:val="auto"/>
                      <w:sz w:val="21"/>
                      <w:szCs w:val="21"/>
                      <w:vertAlign w:val="baseline"/>
                      <w:lang w:val="en-US" w:eastAsia="zh-CN"/>
                    </w:rPr>
                    <w:t>固态</w:t>
                  </w:r>
                </w:p>
              </w:tc>
              <w:tc>
                <w:tcPr>
                  <w:tcW w:w="1408" w:type="dxa"/>
                  <w:vAlign w:val="center"/>
                </w:tcPr>
                <w:p w14:paraId="307EF9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纸、塑料、瓜果等</w:t>
                  </w:r>
                </w:p>
              </w:tc>
              <w:tc>
                <w:tcPr>
                  <w:tcW w:w="1410" w:type="dxa"/>
                  <w:vAlign w:val="center"/>
                </w:tcPr>
                <w:p w14:paraId="77887F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w:t>
                  </w:r>
                </w:p>
              </w:tc>
            </w:tr>
          </w:tbl>
          <w:p w14:paraId="44CC498E">
            <w:pPr>
              <w:jc w:val="center"/>
              <w:rPr>
                <w:rFonts w:hint="default" w:ascii="Times New Roman" w:hAnsi="Times New Roman" w:eastAsia="宋体" w:cs="宋体"/>
                <w:b/>
                <w:bCs/>
                <w:color w:val="auto"/>
                <w:sz w:val="24"/>
              </w:rPr>
            </w:pPr>
            <w:r>
              <w:rPr>
                <w:rFonts w:hint="default" w:ascii="Times New Roman" w:hAnsi="Times New Roman" w:eastAsia="宋体" w:cs="宋体"/>
                <w:b/>
                <w:bCs/>
                <w:color w:val="auto"/>
                <w:sz w:val="24"/>
              </w:rPr>
              <w:t>表4</w:t>
            </w:r>
            <w:r>
              <w:rPr>
                <w:rFonts w:hint="default" w:ascii="Times New Roman" w:hAnsi="Times New Roman" w:eastAsia="宋体" w:cs="宋体"/>
                <w:b/>
                <w:bCs/>
                <w:color w:val="auto"/>
                <w:sz w:val="24"/>
                <w:lang w:val="en-US" w:eastAsia="zh-CN"/>
              </w:rPr>
              <w:t>.</w:t>
            </w:r>
            <w:r>
              <w:rPr>
                <w:rFonts w:hint="eastAsia" w:ascii="Times New Roman" w:hAnsi="Times New Roman" w:eastAsia="宋体" w:cs="宋体"/>
                <w:b/>
                <w:bCs/>
                <w:color w:val="auto"/>
                <w:sz w:val="24"/>
                <w:lang w:val="en-US" w:eastAsia="zh-CN"/>
              </w:rPr>
              <w:t>10</w:t>
            </w:r>
            <w:r>
              <w:rPr>
                <w:rFonts w:hint="default" w:ascii="Times New Roman" w:hAnsi="Times New Roman" w:eastAsia="宋体" w:cs="宋体"/>
                <w:b/>
                <w:bCs/>
                <w:color w:val="auto"/>
                <w:sz w:val="24"/>
                <w:lang w:val="en-US" w:eastAsia="zh-CN"/>
              </w:rPr>
              <w:t xml:space="preserve">  </w:t>
            </w:r>
            <w:r>
              <w:rPr>
                <w:rFonts w:hint="default" w:ascii="Times New Roman" w:hAnsi="Times New Roman" w:eastAsia="宋体" w:cs="宋体"/>
                <w:b/>
                <w:bCs/>
                <w:color w:val="auto"/>
                <w:sz w:val="24"/>
              </w:rPr>
              <w:t>固体废物属性判定表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162"/>
              <w:gridCol w:w="1320"/>
              <w:gridCol w:w="1958"/>
              <w:gridCol w:w="1597"/>
              <w:gridCol w:w="1635"/>
            </w:tblGrid>
            <w:tr w14:paraId="67DE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7" w:type="dxa"/>
                  <w:vAlign w:val="center"/>
                </w:tcPr>
                <w:p w14:paraId="22F45A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序号</w:t>
                  </w:r>
                </w:p>
              </w:tc>
              <w:tc>
                <w:tcPr>
                  <w:tcW w:w="1162" w:type="dxa"/>
                  <w:vAlign w:val="center"/>
                </w:tcPr>
                <w:p w14:paraId="326BDA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名称</w:t>
                  </w:r>
                </w:p>
              </w:tc>
              <w:tc>
                <w:tcPr>
                  <w:tcW w:w="1320" w:type="dxa"/>
                  <w:vAlign w:val="center"/>
                </w:tcPr>
                <w:p w14:paraId="526195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pacing w:val="-5"/>
                      <w:sz w:val="21"/>
                      <w:szCs w:val="21"/>
                    </w:rPr>
                    <w:t>是否属于固</w:t>
                  </w:r>
                  <w:r>
                    <w:rPr>
                      <w:rFonts w:hint="default" w:ascii="Times New Roman" w:hAnsi="Times New Roman" w:eastAsia="宋体" w:cs="Times New Roman"/>
                      <w:b w:val="0"/>
                      <w:bCs w:val="0"/>
                      <w:spacing w:val="-8"/>
                      <w:sz w:val="21"/>
                      <w:szCs w:val="21"/>
                    </w:rPr>
                    <w:t>体废物</w:t>
                  </w:r>
                </w:p>
              </w:tc>
              <w:tc>
                <w:tcPr>
                  <w:tcW w:w="1958" w:type="dxa"/>
                  <w:vAlign w:val="center"/>
                </w:tcPr>
                <w:p w14:paraId="196E6D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pacing w:val="-7"/>
                      <w:sz w:val="21"/>
                      <w:szCs w:val="21"/>
                    </w:rPr>
                    <w:t>判定依据</w:t>
                  </w:r>
                </w:p>
              </w:tc>
              <w:tc>
                <w:tcPr>
                  <w:tcW w:w="1597" w:type="dxa"/>
                  <w:vAlign w:val="center"/>
                </w:tcPr>
                <w:p w14:paraId="24D105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8"/>
                      <w:sz w:val="21"/>
                      <w:szCs w:val="21"/>
                    </w:rPr>
                    <w:t>是否属</w:t>
                  </w:r>
                </w:p>
                <w:p w14:paraId="52AB75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pacing w:val="-9"/>
                      <w:sz w:val="21"/>
                      <w:szCs w:val="21"/>
                    </w:rPr>
                    <w:t>于危险</w:t>
                  </w:r>
                  <w:r>
                    <w:rPr>
                      <w:rFonts w:hint="default" w:ascii="Times New Roman" w:hAnsi="Times New Roman" w:eastAsia="宋体" w:cs="Times New Roman"/>
                      <w:b w:val="0"/>
                      <w:bCs w:val="0"/>
                      <w:spacing w:val="-12"/>
                      <w:sz w:val="21"/>
                      <w:szCs w:val="21"/>
                    </w:rPr>
                    <w:t>废物</w:t>
                  </w:r>
                </w:p>
              </w:tc>
              <w:tc>
                <w:tcPr>
                  <w:tcW w:w="1635" w:type="dxa"/>
                  <w:vAlign w:val="center"/>
                </w:tcPr>
                <w:p w14:paraId="601CC2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pacing w:val="-7"/>
                      <w:sz w:val="21"/>
                      <w:szCs w:val="21"/>
                    </w:rPr>
                    <w:t>废物代码</w:t>
                  </w:r>
                </w:p>
              </w:tc>
            </w:tr>
            <w:tr w14:paraId="655B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7" w:type="dxa"/>
                  <w:vAlign w:val="center"/>
                </w:tcPr>
                <w:p w14:paraId="14484D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162" w:type="dxa"/>
                  <w:shd w:val="clear" w:color="auto" w:fill="auto"/>
                  <w:vAlign w:val="center"/>
                </w:tcPr>
                <w:p w14:paraId="5BABA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sz w:val="21"/>
                      <w:szCs w:val="21"/>
                    </w:rPr>
                    <w:t>废润滑油</w:t>
                  </w:r>
                </w:p>
              </w:tc>
              <w:tc>
                <w:tcPr>
                  <w:tcW w:w="1320" w:type="dxa"/>
                  <w:vAlign w:val="center"/>
                </w:tcPr>
                <w:p w14:paraId="47ECA4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z w:val="21"/>
                      <w:szCs w:val="21"/>
                    </w:rPr>
                    <w:t>是</w:t>
                  </w:r>
                </w:p>
              </w:tc>
              <w:tc>
                <w:tcPr>
                  <w:tcW w:w="1958" w:type="dxa"/>
                  <w:shd w:val="clear" w:color="auto" w:fill="auto"/>
                  <w:vAlign w:val="center"/>
                </w:tcPr>
                <w:p w14:paraId="4B9D54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pacing w:val="-2"/>
                      <w:sz w:val="21"/>
                      <w:szCs w:val="21"/>
                    </w:rPr>
                    <w:t>《固体废物鉴别标准通</w:t>
                  </w:r>
                  <w:r>
                    <w:rPr>
                      <w:rFonts w:hint="default" w:ascii="Times New Roman" w:hAnsi="Times New Roman" w:eastAsia="宋体" w:cs="Times New Roman"/>
                      <w:b w:val="0"/>
                      <w:bCs w:val="0"/>
                      <w:spacing w:val="-7"/>
                      <w:sz w:val="21"/>
                      <w:szCs w:val="21"/>
                    </w:rPr>
                    <w:t>则》4.</w:t>
                  </w:r>
                  <w:r>
                    <w:rPr>
                      <w:rFonts w:hint="default" w:ascii="Times New Roman" w:hAnsi="Times New Roman" w:eastAsia="宋体" w:cs="Times New Roman"/>
                      <w:b w:val="0"/>
                      <w:bCs w:val="0"/>
                      <w:spacing w:val="-31"/>
                      <w:sz w:val="21"/>
                      <w:szCs w:val="21"/>
                    </w:rPr>
                    <w:t xml:space="preserve"> </w:t>
                  </w:r>
                  <w:r>
                    <w:rPr>
                      <w:rFonts w:hint="default" w:ascii="Times New Roman" w:hAnsi="Times New Roman" w:eastAsia="宋体" w:cs="Times New Roman"/>
                      <w:b w:val="0"/>
                      <w:bCs w:val="0"/>
                      <w:spacing w:val="-7"/>
                      <w:sz w:val="21"/>
                      <w:szCs w:val="21"/>
                    </w:rPr>
                    <w:t>1-c</w:t>
                  </w:r>
                </w:p>
              </w:tc>
              <w:tc>
                <w:tcPr>
                  <w:tcW w:w="1597" w:type="dxa"/>
                  <w:shd w:val="clear" w:color="auto" w:fill="auto"/>
                  <w:vAlign w:val="center"/>
                </w:tcPr>
                <w:p w14:paraId="375AD1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是</w:t>
                  </w:r>
                </w:p>
              </w:tc>
              <w:tc>
                <w:tcPr>
                  <w:tcW w:w="1635" w:type="dxa"/>
                  <w:vAlign w:val="center"/>
                </w:tcPr>
                <w:p w14:paraId="2AEFB2C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2"/>
                      <w:sz w:val="21"/>
                      <w:szCs w:val="21"/>
                    </w:rPr>
                    <w:t>HW08:</w:t>
                  </w:r>
                </w:p>
                <w:p w14:paraId="157A74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pacing w:val="-2"/>
                      <w:sz w:val="21"/>
                      <w:szCs w:val="21"/>
                    </w:rPr>
                    <w:t>900-217-08</w:t>
                  </w:r>
                </w:p>
              </w:tc>
            </w:tr>
            <w:tr w14:paraId="2747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7" w:type="dxa"/>
                  <w:vAlign w:val="center"/>
                </w:tcPr>
                <w:p w14:paraId="6B1531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1162" w:type="dxa"/>
                  <w:shd w:val="clear" w:color="auto" w:fill="auto"/>
                  <w:vAlign w:val="center"/>
                </w:tcPr>
                <w:p w14:paraId="5C2590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sz w:val="21"/>
                      <w:szCs w:val="21"/>
                    </w:rPr>
                    <w:t>废油桶</w:t>
                  </w:r>
                </w:p>
              </w:tc>
              <w:tc>
                <w:tcPr>
                  <w:tcW w:w="1320" w:type="dxa"/>
                  <w:vAlign w:val="center"/>
                </w:tcPr>
                <w:p w14:paraId="5A4C62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z w:val="21"/>
                      <w:szCs w:val="21"/>
                    </w:rPr>
                    <w:t>是</w:t>
                  </w:r>
                </w:p>
              </w:tc>
              <w:tc>
                <w:tcPr>
                  <w:tcW w:w="1958" w:type="dxa"/>
                  <w:shd w:val="clear" w:color="auto" w:fill="auto"/>
                  <w:vAlign w:val="center"/>
                </w:tcPr>
                <w:p w14:paraId="500492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pacing w:val="-2"/>
                      <w:sz w:val="21"/>
                      <w:szCs w:val="21"/>
                    </w:rPr>
                    <w:t>《固体废物鉴别标准通</w:t>
                  </w:r>
                  <w:r>
                    <w:rPr>
                      <w:rFonts w:hint="default" w:ascii="Times New Roman" w:hAnsi="Times New Roman" w:eastAsia="宋体" w:cs="Times New Roman"/>
                      <w:b w:val="0"/>
                      <w:bCs w:val="0"/>
                      <w:spacing w:val="-7"/>
                      <w:sz w:val="21"/>
                      <w:szCs w:val="21"/>
                    </w:rPr>
                    <w:t>则》4.</w:t>
                  </w:r>
                  <w:r>
                    <w:rPr>
                      <w:rFonts w:hint="default" w:ascii="Times New Roman" w:hAnsi="Times New Roman" w:eastAsia="宋体" w:cs="Times New Roman"/>
                      <w:b w:val="0"/>
                      <w:bCs w:val="0"/>
                      <w:spacing w:val="-31"/>
                      <w:sz w:val="21"/>
                      <w:szCs w:val="21"/>
                    </w:rPr>
                    <w:t xml:space="preserve"> </w:t>
                  </w:r>
                  <w:r>
                    <w:rPr>
                      <w:rFonts w:hint="default" w:ascii="Times New Roman" w:hAnsi="Times New Roman" w:eastAsia="宋体" w:cs="Times New Roman"/>
                      <w:b w:val="0"/>
                      <w:bCs w:val="0"/>
                      <w:spacing w:val="-7"/>
                      <w:sz w:val="21"/>
                      <w:szCs w:val="21"/>
                    </w:rPr>
                    <w:t>1-c</w:t>
                  </w:r>
                </w:p>
              </w:tc>
              <w:tc>
                <w:tcPr>
                  <w:tcW w:w="1597" w:type="dxa"/>
                  <w:shd w:val="clear" w:color="auto" w:fill="auto"/>
                  <w:vAlign w:val="center"/>
                </w:tcPr>
                <w:p w14:paraId="51E1BE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是</w:t>
                  </w:r>
                </w:p>
              </w:tc>
              <w:tc>
                <w:tcPr>
                  <w:tcW w:w="1635" w:type="dxa"/>
                  <w:vAlign w:val="center"/>
                </w:tcPr>
                <w:p w14:paraId="1C21849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2"/>
                      <w:sz w:val="21"/>
                      <w:szCs w:val="21"/>
                    </w:rPr>
                    <w:t>HW08:</w:t>
                  </w:r>
                </w:p>
                <w:p w14:paraId="3D5AD8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pacing w:val="-2"/>
                      <w:sz w:val="21"/>
                      <w:szCs w:val="21"/>
                    </w:rPr>
                    <w:t>900-249-08</w:t>
                  </w:r>
                </w:p>
              </w:tc>
            </w:tr>
            <w:tr w14:paraId="2041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7" w:type="dxa"/>
                  <w:vAlign w:val="center"/>
                </w:tcPr>
                <w:p w14:paraId="56847F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1162" w:type="dxa"/>
                  <w:shd w:val="clear" w:color="auto" w:fill="auto"/>
                  <w:vAlign w:val="center"/>
                </w:tcPr>
                <w:p w14:paraId="3B139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0"/>
                      <w:sz w:val="21"/>
                      <w:szCs w:val="21"/>
                    </w:rPr>
                    <w:t>废活性炭</w:t>
                  </w:r>
                </w:p>
              </w:tc>
              <w:tc>
                <w:tcPr>
                  <w:tcW w:w="1320" w:type="dxa"/>
                  <w:vAlign w:val="center"/>
                </w:tcPr>
                <w:p w14:paraId="3969C4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z w:val="21"/>
                      <w:szCs w:val="21"/>
                    </w:rPr>
                    <w:t>是</w:t>
                  </w:r>
                </w:p>
              </w:tc>
              <w:tc>
                <w:tcPr>
                  <w:tcW w:w="1958" w:type="dxa"/>
                  <w:shd w:val="clear" w:color="auto" w:fill="auto"/>
                  <w:vAlign w:val="center"/>
                </w:tcPr>
                <w:p w14:paraId="469FE4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pacing w:val="-2"/>
                      <w:sz w:val="21"/>
                      <w:szCs w:val="21"/>
                    </w:rPr>
                    <w:t>《固体废物鉴别标准通</w:t>
                  </w:r>
                  <w:r>
                    <w:rPr>
                      <w:rFonts w:hint="default" w:ascii="Times New Roman" w:hAnsi="Times New Roman" w:eastAsia="宋体" w:cs="Times New Roman"/>
                      <w:b w:val="0"/>
                      <w:bCs w:val="0"/>
                      <w:spacing w:val="-7"/>
                      <w:sz w:val="21"/>
                      <w:szCs w:val="21"/>
                    </w:rPr>
                    <w:t>则》4.</w:t>
                  </w:r>
                  <w:r>
                    <w:rPr>
                      <w:rFonts w:hint="default" w:ascii="Times New Roman" w:hAnsi="Times New Roman" w:eastAsia="宋体" w:cs="Times New Roman"/>
                      <w:b w:val="0"/>
                      <w:bCs w:val="0"/>
                      <w:spacing w:val="-31"/>
                      <w:sz w:val="21"/>
                      <w:szCs w:val="21"/>
                    </w:rPr>
                    <w:t xml:space="preserve"> </w:t>
                  </w:r>
                  <w:r>
                    <w:rPr>
                      <w:rFonts w:hint="default" w:ascii="Times New Roman" w:hAnsi="Times New Roman" w:eastAsia="宋体" w:cs="Times New Roman"/>
                      <w:b w:val="0"/>
                      <w:bCs w:val="0"/>
                      <w:spacing w:val="-7"/>
                      <w:sz w:val="21"/>
                      <w:szCs w:val="21"/>
                    </w:rPr>
                    <w:t>1-h</w:t>
                  </w:r>
                </w:p>
              </w:tc>
              <w:tc>
                <w:tcPr>
                  <w:tcW w:w="1597" w:type="dxa"/>
                  <w:shd w:val="clear" w:color="auto" w:fill="auto"/>
                  <w:vAlign w:val="center"/>
                </w:tcPr>
                <w:p w14:paraId="386CA1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是</w:t>
                  </w:r>
                </w:p>
              </w:tc>
              <w:tc>
                <w:tcPr>
                  <w:tcW w:w="1635" w:type="dxa"/>
                  <w:vAlign w:val="center"/>
                </w:tcPr>
                <w:p w14:paraId="3DD38A4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2"/>
                      <w:sz w:val="21"/>
                      <w:szCs w:val="21"/>
                    </w:rPr>
                    <w:t>HW</w:t>
                  </w:r>
                  <w:r>
                    <w:rPr>
                      <w:rFonts w:hint="eastAsia" w:ascii="Times New Roman" w:hAnsi="Times New Roman" w:eastAsia="宋体" w:cs="Times New Roman"/>
                      <w:b w:val="0"/>
                      <w:bCs w:val="0"/>
                      <w:spacing w:val="-2"/>
                      <w:sz w:val="21"/>
                      <w:szCs w:val="21"/>
                      <w:lang w:val="en-US" w:eastAsia="zh-CN"/>
                    </w:rPr>
                    <w:t>49</w:t>
                  </w:r>
                  <w:r>
                    <w:rPr>
                      <w:rFonts w:hint="default" w:ascii="Times New Roman" w:hAnsi="Times New Roman" w:eastAsia="宋体" w:cs="Times New Roman"/>
                      <w:b w:val="0"/>
                      <w:bCs w:val="0"/>
                      <w:spacing w:val="-2"/>
                      <w:sz w:val="21"/>
                      <w:szCs w:val="21"/>
                    </w:rPr>
                    <w:t>:</w:t>
                  </w:r>
                </w:p>
                <w:p w14:paraId="4CF30A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kern w:val="0"/>
                      <w:sz w:val="21"/>
                      <w:szCs w:val="21"/>
                    </w:rPr>
                    <w:t>900-039-49</w:t>
                  </w:r>
                </w:p>
              </w:tc>
            </w:tr>
            <w:tr w14:paraId="773A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7" w:type="dxa"/>
                  <w:vAlign w:val="center"/>
                </w:tcPr>
                <w:p w14:paraId="35D0CA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1162" w:type="dxa"/>
                  <w:shd w:val="clear" w:color="auto" w:fill="auto"/>
                  <w:vAlign w:val="center"/>
                </w:tcPr>
                <w:p w14:paraId="029A2F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sz w:val="21"/>
                      <w:szCs w:val="21"/>
                    </w:rPr>
                    <w:t>废包装桶</w:t>
                  </w:r>
                </w:p>
              </w:tc>
              <w:tc>
                <w:tcPr>
                  <w:tcW w:w="1320" w:type="dxa"/>
                  <w:vAlign w:val="center"/>
                </w:tcPr>
                <w:p w14:paraId="34FE88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z w:val="21"/>
                      <w:szCs w:val="21"/>
                    </w:rPr>
                    <w:t>是</w:t>
                  </w:r>
                </w:p>
              </w:tc>
              <w:tc>
                <w:tcPr>
                  <w:tcW w:w="1958" w:type="dxa"/>
                  <w:shd w:val="clear" w:color="auto" w:fill="auto"/>
                  <w:vAlign w:val="center"/>
                </w:tcPr>
                <w:p w14:paraId="4B97BB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pacing w:val="-2"/>
                      <w:sz w:val="21"/>
                      <w:szCs w:val="21"/>
                    </w:rPr>
                    <w:t>《固体废物鉴别标准通</w:t>
                  </w:r>
                  <w:r>
                    <w:rPr>
                      <w:rFonts w:hint="default" w:ascii="Times New Roman" w:hAnsi="Times New Roman" w:eastAsia="宋体" w:cs="Times New Roman"/>
                      <w:b w:val="0"/>
                      <w:bCs w:val="0"/>
                      <w:spacing w:val="-7"/>
                      <w:sz w:val="21"/>
                      <w:szCs w:val="21"/>
                    </w:rPr>
                    <w:t>则》4.</w:t>
                  </w:r>
                  <w:r>
                    <w:rPr>
                      <w:rFonts w:hint="default" w:ascii="Times New Roman" w:hAnsi="Times New Roman" w:eastAsia="宋体" w:cs="Times New Roman"/>
                      <w:b w:val="0"/>
                      <w:bCs w:val="0"/>
                      <w:spacing w:val="-31"/>
                      <w:sz w:val="21"/>
                      <w:szCs w:val="21"/>
                    </w:rPr>
                    <w:t xml:space="preserve"> </w:t>
                  </w:r>
                  <w:r>
                    <w:rPr>
                      <w:rFonts w:hint="default" w:ascii="Times New Roman" w:hAnsi="Times New Roman" w:eastAsia="宋体" w:cs="Times New Roman"/>
                      <w:b w:val="0"/>
                      <w:bCs w:val="0"/>
                      <w:spacing w:val="-7"/>
                      <w:sz w:val="21"/>
                      <w:szCs w:val="21"/>
                    </w:rPr>
                    <w:t>1-c</w:t>
                  </w:r>
                </w:p>
              </w:tc>
              <w:tc>
                <w:tcPr>
                  <w:tcW w:w="1597" w:type="dxa"/>
                  <w:shd w:val="clear" w:color="auto" w:fill="auto"/>
                  <w:vAlign w:val="center"/>
                </w:tcPr>
                <w:p w14:paraId="6D5C97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是</w:t>
                  </w:r>
                </w:p>
              </w:tc>
              <w:tc>
                <w:tcPr>
                  <w:tcW w:w="1635" w:type="dxa"/>
                  <w:vAlign w:val="center"/>
                </w:tcPr>
                <w:p w14:paraId="49EEDA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2"/>
                      <w:sz w:val="21"/>
                      <w:szCs w:val="21"/>
                    </w:rPr>
                    <w:t>HW</w:t>
                  </w:r>
                  <w:r>
                    <w:rPr>
                      <w:rFonts w:hint="eastAsia" w:ascii="Times New Roman" w:hAnsi="Times New Roman" w:eastAsia="宋体" w:cs="Times New Roman"/>
                      <w:b w:val="0"/>
                      <w:bCs w:val="0"/>
                      <w:spacing w:val="-2"/>
                      <w:sz w:val="21"/>
                      <w:szCs w:val="21"/>
                      <w:lang w:val="en-US" w:eastAsia="zh-CN"/>
                    </w:rPr>
                    <w:t>49</w:t>
                  </w:r>
                  <w:r>
                    <w:rPr>
                      <w:rFonts w:hint="default" w:ascii="Times New Roman" w:hAnsi="Times New Roman" w:eastAsia="宋体" w:cs="Times New Roman"/>
                      <w:b w:val="0"/>
                      <w:bCs w:val="0"/>
                      <w:spacing w:val="-2"/>
                      <w:sz w:val="21"/>
                      <w:szCs w:val="21"/>
                    </w:rPr>
                    <w:t>:</w:t>
                  </w:r>
                </w:p>
                <w:p w14:paraId="652599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kern w:val="0"/>
                      <w:sz w:val="21"/>
                      <w:szCs w:val="21"/>
                    </w:rPr>
                    <w:t>900-0</w:t>
                  </w:r>
                  <w:r>
                    <w:rPr>
                      <w:rFonts w:hint="default" w:ascii="Times New Roman" w:hAnsi="Times New Roman" w:eastAsia="宋体" w:cs="Times New Roman"/>
                      <w:b w:val="0"/>
                      <w:bCs w:val="0"/>
                      <w:color w:val="auto"/>
                      <w:kern w:val="0"/>
                      <w:sz w:val="21"/>
                      <w:szCs w:val="21"/>
                      <w:lang w:val="en-US" w:eastAsia="zh-CN"/>
                    </w:rPr>
                    <w:t>41</w:t>
                  </w:r>
                  <w:r>
                    <w:rPr>
                      <w:rFonts w:hint="default" w:ascii="Times New Roman" w:hAnsi="Times New Roman" w:eastAsia="宋体" w:cs="Times New Roman"/>
                      <w:b w:val="0"/>
                      <w:bCs w:val="0"/>
                      <w:color w:val="auto"/>
                      <w:kern w:val="0"/>
                      <w:sz w:val="21"/>
                      <w:szCs w:val="21"/>
                    </w:rPr>
                    <w:t>-49</w:t>
                  </w:r>
                </w:p>
              </w:tc>
            </w:tr>
            <w:tr w14:paraId="008C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7" w:type="dxa"/>
                  <w:vAlign w:val="center"/>
                </w:tcPr>
                <w:p w14:paraId="430476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1162" w:type="dxa"/>
                  <w:shd w:val="clear" w:color="auto" w:fill="auto"/>
                  <w:vAlign w:val="center"/>
                </w:tcPr>
                <w:p w14:paraId="7FDC3E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rPr>
                    <w:t>一般废包装材料</w:t>
                  </w:r>
                </w:p>
              </w:tc>
              <w:tc>
                <w:tcPr>
                  <w:tcW w:w="1320" w:type="dxa"/>
                  <w:vAlign w:val="center"/>
                </w:tcPr>
                <w:p w14:paraId="67D078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z w:val="21"/>
                      <w:szCs w:val="21"/>
                    </w:rPr>
                    <w:t>是</w:t>
                  </w:r>
                </w:p>
              </w:tc>
              <w:tc>
                <w:tcPr>
                  <w:tcW w:w="1958" w:type="dxa"/>
                  <w:shd w:val="clear" w:color="auto" w:fill="auto"/>
                  <w:vAlign w:val="center"/>
                </w:tcPr>
                <w:p w14:paraId="1B448D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pacing w:val="-2"/>
                      <w:sz w:val="21"/>
                      <w:szCs w:val="21"/>
                    </w:rPr>
                    <w:t>《固体废物鉴别标准通</w:t>
                  </w:r>
                  <w:r>
                    <w:rPr>
                      <w:rFonts w:hint="default" w:ascii="Times New Roman" w:hAnsi="Times New Roman" w:eastAsia="宋体" w:cs="Times New Roman"/>
                      <w:b w:val="0"/>
                      <w:bCs w:val="0"/>
                      <w:spacing w:val="-7"/>
                      <w:sz w:val="21"/>
                      <w:szCs w:val="21"/>
                    </w:rPr>
                    <w:t>则》4.</w:t>
                  </w:r>
                  <w:r>
                    <w:rPr>
                      <w:rFonts w:hint="default" w:ascii="Times New Roman" w:hAnsi="Times New Roman" w:eastAsia="宋体" w:cs="Times New Roman"/>
                      <w:b w:val="0"/>
                      <w:bCs w:val="0"/>
                      <w:spacing w:val="-31"/>
                      <w:sz w:val="21"/>
                      <w:szCs w:val="21"/>
                    </w:rPr>
                    <w:t xml:space="preserve"> </w:t>
                  </w:r>
                  <w:r>
                    <w:rPr>
                      <w:rFonts w:hint="default" w:ascii="Times New Roman" w:hAnsi="Times New Roman" w:eastAsia="宋体" w:cs="Times New Roman"/>
                      <w:b w:val="0"/>
                      <w:bCs w:val="0"/>
                      <w:spacing w:val="-7"/>
                      <w:sz w:val="21"/>
                      <w:szCs w:val="21"/>
                    </w:rPr>
                    <w:t>1-c</w:t>
                  </w:r>
                </w:p>
              </w:tc>
              <w:tc>
                <w:tcPr>
                  <w:tcW w:w="1597" w:type="dxa"/>
                  <w:shd w:val="clear" w:color="auto" w:fill="auto"/>
                  <w:vAlign w:val="center"/>
                </w:tcPr>
                <w:p w14:paraId="5D695F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否</w:t>
                  </w:r>
                </w:p>
              </w:tc>
              <w:tc>
                <w:tcPr>
                  <w:tcW w:w="1635" w:type="dxa"/>
                  <w:shd w:val="clear" w:color="auto" w:fill="auto"/>
                  <w:vAlign w:val="center"/>
                </w:tcPr>
                <w:p w14:paraId="4A062B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pacing w:val="-1"/>
                      <w:sz w:val="21"/>
                      <w:szCs w:val="21"/>
                    </w:rPr>
                    <w:t>900-003-S17</w:t>
                  </w:r>
                </w:p>
              </w:tc>
            </w:tr>
            <w:tr w14:paraId="5451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7" w:type="dxa"/>
                  <w:vAlign w:val="center"/>
                </w:tcPr>
                <w:p w14:paraId="4B1E96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p>
              </w:tc>
              <w:tc>
                <w:tcPr>
                  <w:tcW w:w="1162" w:type="dxa"/>
                  <w:shd w:val="clear" w:color="auto" w:fill="auto"/>
                  <w:vAlign w:val="center"/>
                </w:tcPr>
                <w:p w14:paraId="552F4E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1320" w:type="dxa"/>
                  <w:vAlign w:val="center"/>
                </w:tcPr>
                <w:p w14:paraId="622562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sz w:val="21"/>
                      <w:szCs w:val="21"/>
                    </w:rPr>
                    <w:t>是</w:t>
                  </w:r>
                </w:p>
              </w:tc>
              <w:tc>
                <w:tcPr>
                  <w:tcW w:w="1958" w:type="dxa"/>
                  <w:shd w:val="clear" w:color="auto" w:fill="auto"/>
                  <w:vAlign w:val="center"/>
                </w:tcPr>
                <w:p w14:paraId="1B03D6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kern w:val="0"/>
                      <w:sz w:val="21"/>
                      <w:szCs w:val="21"/>
                      <w:lang w:val="en-US" w:eastAsia="en-US" w:bidi="ar-SA"/>
                    </w:rPr>
                  </w:pPr>
                  <w:r>
                    <w:rPr>
                      <w:rFonts w:hint="default" w:ascii="Times New Roman" w:hAnsi="Times New Roman" w:eastAsia="宋体" w:cs="Times New Roman"/>
                      <w:b w:val="0"/>
                      <w:bCs w:val="0"/>
                      <w:spacing w:val="-2"/>
                      <w:sz w:val="21"/>
                      <w:szCs w:val="21"/>
                    </w:rPr>
                    <w:t>《固体废物鉴别标准通</w:t>
                  </w:r>
                  <w:r>
                    <w:rPr>
                      <w:rFonts w:hint="default" w:ascii="Times New Roman" w:hAnsi="Times New Roman" w:eastAsia="宋体" w:cs="Times New Roman"/>
                      <w:b w:val="0"/>
                      <w:bCs w:val="0"/>
                      <w:spacing w:val="-7"/>
                      <w:sz w:val="21"/>
                      <w:szCs w:val="21"/>
                    </w:rPr>
                    <w:t>则》4.</w:t>
                  </w:r>
                  <w:r>
                    <w:rPr>
                      <w:rFonts w:hint="default" w:ascii="Times New Roman" w:hAnsi="Times New Roman" w:eastAsia="宋体" w:cs="Times New Roman"/>
                      <w:b w:val="0"/>
                      <w:bCs w:val="0"/>
                      <w:spacing w:val="-31"/>
                      <w:sz w:val="21"/>
                      <w:szCs w:val="21"/>
                    </w:rPr>
                    <w:t xml:space="preserve"> </w:t>
                  </w:r>
                  <w:r>
                    <w:rPr>
                      <w:rFonts w:hint="default" w:ascii="Times New Roman" w:hAnsi="Times New Roman" w:eastAsia="宋体" w:cs="Times New Roman"/>
                      <w:b w:val="0"/>
                      <w:bCs w:val="0"/>
                      <w:spacing w:val="-7"/>
                      <w:sz w:val="21"/>
                      <w:szCs w:val="21"/>
                    </w:rPr>
                    <w:t>1-i</w:t>
                  </w:r>
                </w:p>
              </w:tc>
              <w:tc>
                <w:tcPr>
                  <w:tcW w:w="1597" w:type="dxa"/>
                  <w:shd w:val="clear" w:color="auto" w:fill="auto"/>
                  <w:vAlign w:val="center"/>
                </w:tcPr>
                <w:p w14:paraId="67531A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kern w:val="0"/>
                      <w:sz w:val="21"/>
                      <w:szCs w:val="21"/>
                      <w:lang w:val="en-US" w:eastAsia="en-US" w:bidi="ar-SA"/>
                    </w:rPr>
                  </w:pPr>
                  <w:r>
                    <w:rPr>
                      <w:rFonts w:hint="default" w:ascii="Times New Roman" w:hAnsi="Times New Roman" w:eastAsia="宋体" w:cs="Times New Roman"/>
                      <w:b w:val="0"/>
                      <w:bCs w:val="0"/>
                      <w:sz w:val="21"/>
                      <w:szCs w:val="21"/>
                    </w:rPr>
                    <w:t>否</w:t>
                  </w:r>
                </w:p>
              </w:tc>
              <w:tc>
                <w:tcPr>
                  <w:tcW w:w="1635" w:type="dxa"/>
                  <w:shd w:val="clear" w:color="auto" w:fill="auto"/>
                  <w:vAlign w:val="center"/>
                </w:tcPr>
                <w:p w14:paraId="35A9AA8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1"/>
                      <w:sz w:val="21"/>
                      <w:szCs w:val="21"/>
                    </w:rPr>
                    <w:t>900-002-S61、</w:t>
                  </w:r>
                </w:p>
                <w:p w14:paraId="4D1A36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000000"/>
                      <w:kern w:val="0"/>
                      <w:sz w:val="21"/>
                      <w:szCs w:val="21"/>
                      <w:lang w:val="en-US" w:eastAsia="en-US" w:bidi="ar-SA"/>
                    </w:rPr>
                  </w:pPr>
                  <w:r>
                    <w:rPr>
                      <w:rFonts w:hint="default" w:ascii="Times New Roman" w:hAnsi="Times New Roman" w:eastAsia="宋体" w:cs="Times New Roman"/>
                      <w:b w:val="0"/>
                      <w:bCs w:val="0"/>
                      <w:spacing w:val="-1"/>
                      <w:sz w:val="21"/>
                      <w:szCs w:val="21"/>
                    </w:rPr>
                    <w:t>900-099-S64</w:t>
                  </w:r>
                </w:p>
              </w:tc>
            </w:tr>
          </w:tbl>
          <w:p w14:paraId="438A2873">
            <w:pPr>
              <w:jc w:val="center"/>
              <w:rPr>
                <w:rFonts w:hint="eastAsia"/>
                <w:b/>
                <w:bCs/>
                <w:color w:val="auto"/>
                <w:sz w:val="24"/>
              </w:rPr>
            </w:pPr>
            <w:r>
              <w:rPr>
                <w:rFonts w:hint="eastAsia"/>
                <w:b/>
                <w:bCs/>
                <w:color w:val="auto"/>
                <w:sz w:val="24"/>
              </w:rPr>
              <w:t>表</w:t>
            </w:r>
            <w:r>
              <w:rPr>
                <w:b/>
                <w:bCs/>
                <w:color w:val="auto"/>
                <w:sz w:val="24"/>
              </w:rPr>
              <w:t>4</w:t>
            </w:r>
            <w:r>
              <w:rPr>
                <w:rFonts w:hint="eastAsia"/>
                <w:b/>
                <w:bCs/>
                <w:color w:val="auto"/>
                <w:sz w:val="24"/>
                <w:lang w:val="en-US" w:eastAsia="zh-CN"/>
              </w:rPr>
              <w:t xml:space="preserve">.11  </w:t>
            </w:r>
            <w:r>
              <w:rPr>
                <w:rFonts w:hint="eastAsia"/>
                <w:b/>
                <w:bCs/>
                <w:color w:val="auto"/>
                <w:sz w:val="24"/>
              </w:rPr>
              <w:t>危险废物汇总表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020"/>
              <w:gridCol w:w="855"/>
              <w:gridCol w:w="772"/>
              <w:gridCol w:w="1135"/>
              <w:gridCol w:w="1196"/>
              <w:gridCol w:w="913"/>
              <w:gridCol w:w="883"/>
              <w:gridCol w:w="883"/>
            </w:tblGrid>
            <w:tr w14:paraId="237D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Align w:val="center"/>
                </w:tcPr>
                <w:p w14:paraId="5BD03B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序号</w:t>
                  </w:r>
                </w:p>
              </w:tc>
              <w:tc>
                <w:tcPr>
                  <w:tcW w:w="1020" w:type="dxa"/>
                  <w:vAlign w:val="center"/>
                </w:tcPr>
                <w:p w14:paraId="5C47D2A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危险废物名称</w:t>
                  </w:r>
                </w:p>
              </w:tc>
              <w:tc>
                <w:tcPr>
                  <w:tcW w:w="855" w:type="dxa"/>
                  <w:vAlign w:val="center"/>
                </w:tcPr>
                <w:p w14:paraId="16B6CB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产生工序</w:t>
                  </w:r>
                </w:p>
              </w:tc>
              <w:tc>
                <w:tcPr>
                  <w:tcW w:w="772" w:type="dxa"/>
                  <w:vAlign w:val="center"/>
                </w:tcPr>
                <w:p w14:paraId="357822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形态</w:t>
                  </w:r>
                </w:p>
              </w:tc>
              <w:tc>
                <w:tcPr>
                  <w:tcW w:w="1135" w:type="dxa"/>
                  <w:vAlign w:val="center"/>
                </w:tcPr>
                <w:p w14:paraId="2C1778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主要成分</w:t>
                  </w:r>
                </w:p>
              </w:tc>
              <w:tc>
                <w:tcPr>
                  <w:tcW w:w="1196" w:type="dxa"/>
                  <w:vAlign w:val="center"/>
                </w:tcPr>
                <w:p w14:paraId="7A5ED90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废物类别</w:t>
                  </w:r>
                </w:p>
              </w:tc>
              <w:tc>
                <w:tcPr>
                  <w:tcW w:w="913" w:type="dxa"/>
                  <w:vAlign w:val="center"/>
                </w:tcPr>
                <w:p w14:paraId="5BD039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危险特性</w:t>
                  </w:r>
                </w:p>
              </w:tc>
              <w:tc>
                <w:tcPr>
                  <w:tcW w:w="883" w:type="dxa"/>
                  <w:vAlign w:val="center"/>
                </w:tcPr>
                <w:p w14:paraId="63D42B6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产生量</w:t>
                  </w:r>
                </w:p>
              </w:tc>
              <w:tc>
                <w:tcPr>
                  <w:tcW w:w="883" w:type="dxa"/>
                  <w:vAlign w:val="center"/>
                </w:tcPr>
                <w:p w14:paraId="2C3FCE5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污染防治措施</w:t>
                  </w:r>
                </w:p>
              </w:tc>
            </w:tr>
            <w:tr w14:paraId="03EF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Align w:val="center"/>
                </w:tcPr>
                <w:p w14:paraId="589206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020" w:type="dxa"/>
                  <w:vAlign w:val="center"/>
                </w:tcPr>
                <w:p w14:paraId="0B7EE4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废润滑油</w:t>
                  </w:r>
                </w:p>
              </w:tc>
              <w:tc>
                <w:tcPr>
                  <w:tcW w:w="855" w:type="dxa"/>
                  <w:shd w:val="clear" w:color="auto" w:fill="auto"/>
                  <w:vAlign w:val="center"/>
                </w:tcPr>
                <w:p w14:paraId="0CDCA72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设备维护</w:t>
                  </w:r>
                </w:p>
              </w:tc>
              <w:tc>
                <w:tcPr>
                  <w:tcW w:w="772" w:type="dxa"/>
                  <w:shd w:val="clear" w:color="auto" w:fill="auto"/>
                  <w:vAlign w:val="center"/>
                </w:tcPr>
                <w:p w14:paraId="3A36D0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液态</w:t>
                  </w:r>
                </w:p>
              </w:tc>
              <w:tc>
                <w:tcPr>
                  <w:tcW w:w="1135" w:type="dxa"/>
                  <w:shd w:val="clear" w:color="auto" w:fill="auto"/>
                  <w:vAlign w:val="center"/>
                </w:tcPr>
                <w:p w14:paraId="19C5B43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矿物油</w:t>
                  </w:r>
                </w:p>
              </w:tc>
              <w:tc>
                <w:tcPr>
                  <w:tcW w:w="1196" w:type="dxa"/>
                  <w:shd w:val="clear" w:color="auto" w:fill="auto"/>
                  <w:vAlign w:val="center"/>
                </w:tcPr>
                <w:p w14:paraId="1CFF3F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2"/>
                      <w:sz w:val="21"/>
                      <w:szCs w:val="21"/>
                    </w:rPr>
                    <w:t>HW08:</w:t>
                  </w:r>
                </w:p>
                <w:p w14:paraId="472DECC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spacing w:val="-2"/>
                      <w:sz w:val="21"/>
                      <w:szCs w:val="21"/>
                    </w:rPr>
                    <w:t>900-217-08</w:t>
                  </w:r>
                </w:p>
              </w:tc>
              <w:tc>
                <w:tcPr>
                  <w:tcW w:w="913" w:type="dxa"/>
                  <w:shd w:val="clear" w:color="auto" w:fill="auto"/>
                  <w:vAlign w:val="center"/>
                </w:tcPr>
                <w:p w14:paraId="7929E31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p w14:paraId="23A19D5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
                      <w:sz w:val="21"/>
                      <w:szCs w:val="21"/>
                    </w:rPr>
                    <w:t>T,I</w:t>
                  </w:r>
                </w:p>
              </w:tc>
              <w:tc>
                <w:tcPr>
                  <w:tcW w:w="883" w:type="dxa"/>
                  <w:shd w:val="clear" w:color="auto" w:fill="auto"/>
                  <w:vAlign w:val="center"/>
                </w:tcPr>
                <w:p w14:paraId="6C5D238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0.25</w:t>
                  </w:r>
                </w:p>
              </w:tc>
              <w:tc>
                <w:tcPr>
                  <w:tcW w:w="883" w:type="dxa"/>
                  <w:vMerge w:val="restart"/>
                  <w:vAlign w:val="center"/>
                </w:tcPr>
                <w:p w14:paraId="3A282A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委托有资质单位处置</w:t>
                  </w:r>
                </w:p>
              </w:tc>
            </w:tr>
            <w:tr w14:paraId="50F9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Align w:val="center"/>
                </w:tcPr>
                <w:p w14:paraId="4FEC0AB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1020" w:type="dxa"/>
                  <w:vAlign w:val="center"/>
                </w:tcPr>
                <w:p w14:paraId="139C76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废油桶</w:t>
                  </w:r>
                </w:p>
              </w:tc>
              <w:tc>
                <w:tcPr>
                  <w:tcW w:w="855" w:type="dxa"/>
                  <w:shd w:val="clear" w:color="auto" w:fill="auto"/>
                  <w:vAlign w:val="center"/>
                </w:tcPr>
                <w:p w14:paraId="1B3C4F3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润滑油包装</w:t>
                  </w:r>
                </w:p>
              </w:tc>
              <w:tc>
                <w:tcPr>
                  <w:tcW w:w="772" w:type="dxa"/>
                  <w:shd w:val="clear" w:color="auto" w:fill="auto"/>
                  <w:vAlign w:val="center"/>
                </w:tcPr>
                <w:p w14:paraId="10C9EF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固态</w:t>
                  </w:r>
                </w:p>
              </w:tc>
              <w:tc>
                <w:tcPr>
                  <w:tcW w:w="1135" w:type="dxa"/>
                  <w:shd w:val="clear" w:color="auto" w:fill="auto"/>
                  <w:vAlign w:val="center"/>
                </w:tcPr>
                <w:p w14:paraId="3BDC61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矿物油</w:t>
                  </w:r>
                </w:p>
              </w:tc>
              <w:tc>
                <w:tcPr>
                  <w:tcW w:w="1196" w:type="dxa"/>
                  <w:shd w:val="clear" w:color="auto" w:fill="auto"/>
                  <w:vAlign w:val="center"/>
                </w:tcPr>
                <w:p w14:paraId="1F40B6A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2"/>
                      <w:sz w:val="21"/>
                      <w:szCs w:val="21"/>
                    </w:rPr>
                    <w:t>HW08:</w:t>
                  </w:r>
                </w:p>
                <w:p w14:paraId="782E4C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spacing w:val="-2"/>
                      <w:sz w:val="21"/>
                      <w:szCs w:val="21"/>
                    </w:rPr>
                    <w:t>900-249-08</w:t>
                  </w:r>
                </w:p>
              </w:tc>
              <w:tc>
                <w:tcPr>
                  <w:tcW w:w="913" w:type="dxa"/>
                  <w:shd w:val="clear" w:color="auto" w:fill="auto"/>
                  <w:vAlign w:val="center"/>
                </w:tcPr>
                <w:p w14:paraId="315EB5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p w14:paraId="24C7A3B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
                      <w:sz w:val="21"/>
                      <w:szCs w:val="21"/>
                    </w:rPr>
                    <w:t>T,I</w:t>
                  </w:r>
                </w:p>
              </w:tc>
              <w:tc>
                <w:tcPr>
                  <w:tcW w:w="883" w:type="dxa"/>
                  <w:shd w:val="clear" w:color="auto" w:fill="auto"/>
                  <w:vAlign w:val="center"/>
                </w:tcPr>
                <w:p w14:paraId="1670A0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0.075</w:t>
                  </w:r>
                </w:p>
              </w:tc>
              <w:tc>
                <w:tcPr>
                  <w:tcW w:w="883" w:type="dxa"/>
                  <w:vMerge w:val="continue"/>
                  <w:vAlign w:val="center"/>
                </w:tcPr>
                <w:p w14:paraId="013B4A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rPr>
                  </w:pPr>
                </w:p>
              </w:tc>
            </w:tr>
            <w:tr w14:paraId="2A41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Align w:val="center"/>
                </w:tcPr>
                <w:p w14:paraId="75CB51F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1020" w:type="dxa"/>
                  <w:shd w:val="clear" w:color="auto" w:fill="auto"/>
                  <w:vAlign w:val="center"/>
                </w:tcPr>
                <w:p w14:paraId="7B42FB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0"/>
                      <w:sz w:val="21"/>
                      <w:szCs w:val="21"/>
                    </w:rPr>
                    <w:t>废活性炭</w:t>
                  </w:r>
                </w:p>
              </w:tc>
              <w:tc>
                <w:tcPr>
                  <w:tcW w:w="855" w:type="dxa"/>
                  <w:shd w:val="clear" w:color="auto" w:fill="auto"/>
                  <w:vAlign w:val="center"/>
                </w:tcPr>
                <w:p w14:paraId="7C5ACC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废气处理</w:t>
                  </w:r>
                </w:p>
              </w:tc>
              <w:tc>
                <w:tcPr>
                  <w:tcW w:w="772" w:type="dxa"/>
                  <w:shd w:val="clear" w:color="auto" w:fill="auto"/>
                  <w:vAlign w:val="center"/>
                </w:tcPr>
                <w:p w14:paraId="408175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固态</w:t>
                  </w:r>
                </w:p>
              </w:tc>
              <w:tc>
                <w:tcPr>
                  <w:tcW w:w="1135" w:type="dxa"/>
                  <w:shd w:val="clear" w:color="auto" w:fill="auto"/>
                  <w:vAlign w:val="center"/>
                </w:tcPr>
                <w:p w14:paraId="75DA98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活性炭、有机废气</w:t>
                  </w:r>
                </w:p>
              </w:tc>
              <w:tc>
                <w:tcPr>
                  <w:tcW w:w="1196" w:type="dxa"/>
                  <w:shd w:val="clear" w:color="auto" w:fill="auto"/>
                  <w:vAlign w:val="center"/>
                </w:tcPr>
                <w:p w14:paraId="710F14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2"/>
                      <w:sz w:val="21"/>
                      <w:szCs w:val="21"/>
                    </w:rPr>
                    <w:t>HW</w:t>
                  </w:r>
                  <w:r>
                    <w:rPr>
                      <w:rFonts w:hint="default" w:ascii="Times New Roman" w:hAnsi="Times New Roman" w:eastAsia="宋体" w:cs="Times New Roman"/>
                      <w:b w:val="0"/>
                      <w:bCs w:val="0"/>
                      <w:spacing w:val="-2"/>
                      <w:sz w:val="21"/>
                      <w:szCs w:val="21"/>
                      <w:lang w:val="en-US" w:eastAsia="zh-CN"/>
                    </w:rPr>
                    <w:t>49</w:t>
                  </w:r>
                  <w:r>
                    <w:rPr>
                      <w:rFonts w:hint="default" w:ascii="Times New Roman" w:hAnsi="Times New Roman" w:eastAsia="宋体" w:cs="Times New Roman"/>
                      <w:b w:val="0"/>
                      <w:bCs w:val="0"/>
                      <w:spacing w:val="-2"/>
                      <w:sz w:val="21"/>
                      <w:szCs w:val="21"/>
                    </w:rPr>
                    <w:t>:</w:t>
                  </w:r>
                </w:p>
                <w:p w14:paraId="696A74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0"/>
                      <w:sz w:val="21"/>
                      <w:szCs w:val="21"/>
                    </w:rPr>
                    <w:t>900-039-49</w:t>
                  </w:r>
                </w:p>
              </w:tc>
              <w:tc>
                <w:tcPr>
                  <w:tcW w:w="913" w:type="dxa"/>
                  <w:vAlign w:val="center"/>
                </w:tcPr>
                <w:p w14:paraId="7110A0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w:t>
                  </w:r>
                </w:p>
              </w:tc>
              <w:tc>
                <w:tcPr>
                  <w:tcW w:w="883" w:type="dxa"/>
                  <w:shd w:val="clear" w:color="auto" w:fill="auto"/>
                  <w:vAlign w:val="center"/>
                </w:tcPr>
                <w:p w14:paraId="75E49B1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rPr>
                    <w:t>0.2583</w:t>
                  </w:r>
                </w:p>
              </w:tc>
              <w:tc>
                <w:tcPr>
                  <w:tcW w:w="883" w:type="dxa"/>
                  <w:vMerge w:val="continue"/>
                  <w:vAlign w:val="center"/>
                </w:tcPr>
                <w:p w14:paraId="0BA899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rPr>
                  </w:pPr>
                </w:p>
              </w:tc>
            </w:tr>
            <w:tr w14:paraId="6FE1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Align w:val="center"/>
                </w:tcPr>
                <w:p w14:paraId="3E6B9FF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1020" w:type="dxa"/>
                  <w:shd w:val="clear" w:color="auto" w:fill="auto"/>
                  <w:vAlign w:val="center"/>
                </w:tcPr>
                <w:p w14:paraId="186BE5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sz w:val="21"/>
                      <w:szCs w:val="21"/>
                    </w:rPr>
                    <w:t>废包装桶</w:t>
                  </w:r>
                </w:p>
              </w:tc>
              <w:tc>
                <w:tcPr>
                  <w:tcW w:w="855" w:type="dxa"/>
                  <w:shd w:val="clear" w:color="auto" w:fill="auto"/>
                  <w:vAlign w:val="center"/>
                </w:tcPr>
                <w:p w14:paraId="2B367D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水性胶、油墨桶</w:t>
                  </w:r>
                </w:p>
              </w:tc>
              <w:tc>
                <w:tcPr>
                  <w:tcW w:w="772" w:type="dxa"/>
                  <w:shd w:val="clear" w:color="auto" w:fill="auto"/>
                  <w:vAlign w:val="center"/>
                </w:tcPr>
                <w:p w14:paraId="488CEBF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固态</w:t>
                  </w:r>
                </w:p>
              </w:tc>
              <w:tc>
                <w:tcPr>
                  <w:tcW w:w="1135" w:type="dxa"/>
                  <w:shd w:val="clear" w:color="auto" w:fill="auto"/>
                  <w:vAlign w:val="center"/>
                </w:tcPr>
                <w:p w14:paraId="7562FD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沾染有害成分</w:t>
                  </w:r>
                </w:p>
              </w:tc>
              <w:tc>
                <w:tcPr>
                  <w:tcW w:w="1196" w:type="dxa"/>
                  <w:shd w:val="clear" w:color="auto" w:fill="auto"/>
                  <w:vAlign w:val="center"/>
                </w:tcPr>
                <w:p w14:paraId="14A6613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2"/>
                      <w:sz w:val="21"/>
                      <w:szCs w:val="21"/>
                    </w:rPr>
                    <w:t>HW</w:t>
                  </w:r>
                  <w:r>
                    <w:rPr>
                      <w:rFonts w:hint="default" w:ascii="Times New Roman" w:hAnsi="Times New Roman" w:eastAsia="宋体" w:cs="Times New Roman"/>
                      <w:b w:val="0"/>
                      <w:bCs w:val="0"/>
                      <w:spacing w:val="-2"/>
                      <w:sz w:val="21"/>
                      <w:szCs w:val="21"/>
                      <w:lang w:val="en-US" w:eastAsia="zh-CN"/>
                    </w:rPr>
                    <w:t>49</w:t>
                  </w:r>
                  <w:r>
                    <w:rPr>
                      <w:rFonts w:hint="default" w:ascii="Times New Roman" w:hAnsi="Times New Roman" w:eastAsia="宋体" w:cs="Times New Roman"/>
                      <w:b w:val="0"/>
                      <w:bCs w:val="0"/>
                      <w:spacing w:val="-2"/>
                      <w:sz w:val="21"/>
                      <w:szCs w:val="21"/>
                    </w:rPr>
                    <w:t>:</w:t>
                  </w:r>
                </w:p>
                <w:p w14:paraId="15535B3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0"/>
                      <w:sz w:val="21"/>
                      <w:szCs w:val="21"/>
                    </w:rPr>
                    <w:t>900-0</w:t>
                  </w:r>
                  <w:r>
                    <w:rPr>
                      <w:rFonts w:hint="default" w:ascii="Times New Roman" w:hAnsi="Times New Roman" w:eastAsia="宋体" w:cs="Times New Roman"/>
                      <w:b w:val="0"/>
                      <w:bCs w:val="0"/>
                      <w:color w:val="auto"/>
                      <w:kern w:val="0"/>
                      <w:sz w:val="21"/>
                      <w:szCs w:val="21"/>
                      <w:lang w:val="en-US" w:eastAsia="zh-CN"/>
                    </w:rPr>
                    <w:t>41</w:t>
                  </w:r>
                  <w:r>
                    <w:rPr>
                      <w:rFonts w:hint="default" w:ascii="Times New Roman" w:hAnsi="Times New Roman" w:eastAsia="宋体" w:cs="Times New Roman"/>
                      <w:b w:val="0"/>
                      <w:bCs w:val="0"/>
                      <w:color w:val="auto"/>
                      <w:kern w:val="0"/>
                      <w:sz w:val="21"/>
                      <w:szCs w:val="21"/>
                    </w:rPr>
                    <w:t>-49</w:t>
                  </w:r>
                </w:p>
              </w:tc>
              <w:tc>
                <w:tcPr>
                  <w:tcW w:w="913" w:type="dxa"/>
                  <w:vAlign w:val="center"/>
                </w:tcPr>
                <w:p w14:paraId="4854B88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pacing w:val="4"/>
                      <w:sz w:val="21"/>
                      <w:szCs w:val="21"/>
                    </w:rPr>
                    <w:t>T/</w:t>
                  </w:r>
                  <w:r>
                    <w:rPr>
                      <w:rFonts w:hint="default" w:ascii="Times New Roman" w:hAnsi="Times New Roman" w:eastAsia="宋体" w:cs="Times New Roman"/>
                      <w:sz w:val="21"/>
                      <w:szCs w:val="21"/>
                    </w:rPr>
                    <w:t>In</w:t>
                  </w:r>
                </w:p>
              </w:tc>
              <w:tc>
                <w:tcPr>
                  <w:tcW w:w="883" w:type="dxa"/>
                  <w:shd w:val="clear" w:color="auto" w:fill="auto"/>
                  <w:vAlign w:val="center"/>
                </w:tcPr>
                <w:p w14:paraId="557255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1.6</w:t>
                  </w:r>
                </w:p>
              </w:tc>
              <w:tc>
                <w:tcPr>
                  <w:tcW w:w="883" w:type="dxa"/>
                  <w:vMerge w:val="continue"/>
                  <w:vAlign w:val="center"/>
                </w:tcPr>
                <w:p w14:paraId="36C578A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vertAlign w:val="baseline"/>
                    </w:rPr>
                  </w:pPr>
                </w:p>
              </w:tc>
            </w:tr>
          </w:tbl>
          <w:p w14:paraId="4A64F7B8">
            <w:pPr>
              <w:spacing w:line="360" w:lineRule="auto"/>
              <w:ind w:firstLine="482" w:firstLineChars="200"/>
              <w:rPr>
                <w:b/>
                <w:bCs/>
                <w:color w:val="auto"/>
                <w:sz w:val="24"/>
              </w:rPr>
            </w:pPr>
            <w:r>
              <w:rPr>
                <w:rFonts w:hint="eastAsia" w:cs="宋体"/>
                <w:b/>
                <w:bCs/>
                <w:color w:val="auto"/>
                <w:sz w:val="24"/>
              </w:rPr>
              <w:t>固体废物防治措施和管理要求</w:t>
            </w:r>
          </w:p>
          <w:p w14:paraId="4F869DEF">
            <w:pPr>
              <w:spacing w:line="360" w:lineRule="auto"/>
              <w:ind w:firstLine="480" w:firstLineChars="200"/>
              <w:rPr>
                <w:sz w:val="24"/>
              </w:rPr>
            </w:pPr>
            <w:r>
              <w:rPr>
                <w:rFonts w:hint="eastAsia"/>
                <w:sz w:val="24"/>
                <w:lang w:eastAsia="zh-CN"/>
              </w:rPr>
              <w:t>（</w:t>
            </w:r>
            <w:r>
              <w:rPr>
                <w:rFonts w:hint="eastAsia"/>
                <w:sz w:val="24"/>
                <w:lang w:val="en-US" w:eastAsia="zh-CN"/>
              </w:rPr>
              <w:t>1）</w:t>
            </w:r>
            <w:r>
              <w:rPr>
                <w:sz w:val="24"/>
              </w:rPr>
              <w:t>一般固废贮存及管理</w:t>
            </w:r>
          </w:p>
          <w:p w14:paraId="718C76CB">
            <w:pPr>
              <w:spacing w:line="360" w:lineRule="auto"/>
              <w:ind w:firstLine="480" w:firstLineChars="200"/>
              <w:rPr>
                <w:rFonts w:hint="eastAsia"/>
                <w:sz w:val="24"/>
              </w:rPr>
            </w:pPr>
            <w:r>
              <w:rPr>
                <w:sz w:val="24"/>
              </w:rPr>
              <w:t>本项目一般固废主要为一般废包装材料和生活垃圾，企业拟在生产车间</w:t>
            </w:r>
            <w:r>
              <w:rPr>
                <w:rFonts w:hint="eastAsia"/>
                <w:sz w:val="24"/>
                <w:lang w:val="en-US" w:eastAsia="zh-CN"/>
              </w:rPr>
              <w:t>东南角位置设置一处一般固废贮存场所（面积约10m</w:t>
            </w:r>
            <w:r>
              <w:rPr>
                <w:rFonts w:hint="eastAsia"/>
                <w:sz w:val="24"/>
                <w:vertAlign w:val="superscript"/>
                <w:lang w:val="en-US" w:eastAsia="zh-CN"/>
              </w:rPr>
              <w:t>2</w:t>
            </w:r>
            <w:r>
              <w:rPr>
                <w:rFonts w:hint="eastAsia"/>
                <w:sz w:val="24"/>
                <w:lang w:val="en-US" w:eastAsia="zh-CN"/>
              </w:rPr>
              <w:t>）。企业应严格按照国家《一般工业固体废物储存与填埋污染控制标准》（GB18599-2020）的要求，建设必要的固废分类收集和临时贮存设施，具体要求如下：①一般工业固体废物应分类收集、储存，不能混存；②一般工业固体废物临时储存地点为水泥铺设地面，以防渗漏。须建有天棚，不允许露天堆放，以防雨水冲刷，雨水通过场地四周导流渠流向雨水沟；③储存场所应加强监督管理，按 GB15562.2 设置环境保护图形标志；④建立档案制度，将临时储存的一般工业固体废物的种类、数量和外运的一般工业固体废物的种类、数量详细记录在案，长期保存，供随时查阅。</w:t>
            </w:r>
          </w:p>
          <w:p w14:paraId="6BCF0B4A">
            <w:pPr>
              <w:spacing w:line="360" w:lineRule="auto"/>
              <w:ind w:firstLine="480" w:firstLineChars="200"/>
              <w:rPr>
                <w:sz w:val="24"/>
              </w:rPr>
            </w:pPr>
            <w:r>
              <w:rPr>
                <w:rFonts w:hint="eastAsia"/>
                <w:sz w:val="24"/>
              </w:rPr>
              <w:t>根据《排污许可证申请与核发技术规范工业固体废物（试行）》（HJ 1200-2021）要求，排污单位委托他人运输、利用、处置一般工业固体废物的，应落实</w:t>
            </w:r>
            <w:r>
              <w:rPr>
                <w:sz w:val="24"/>
              </w:rPr>
              <w:t>《中华人民共和国固体废物污染环境防治法》</w:t>
            </w:r>
            <w:r>
              <w:rPr>
                <w:rFonts w:hint="eastAsia"/>
                <w:sz w:val="24"/>
              </w:rPr>
              <w:t>等法律法规要求，对受托方的主体资格和技术能力进行核实，依法签订书面合同，在合同中约定污染防治要求等；采用库房、包装工具（罐、桶、包装袋等）贮存一般工业固体废物的，贮存过程应满足相应防渗漏、防雨淋、防扬尘等环境保护要求；危险废物和生活垃圾不得进入一般工业固体废物贮存场及填埋场；不相容的一般工业固体废物应设置不同的分区进行贮存和填埋作业；贮存场、填埋场应设置清晰、完整的一般工业固体废物标志牌等；排污单位生产运营期间一般工业固体废物自行贮存/利用/处置设施的环境管理和相关设施运行维护要求还应符合GB 155622、GB 1899、GB 30485和HJ 2035等相关标准规范要求。</w:t>
            </w:r>
          </w:p>
          <w:p w14:paraId="3AFF161A">
            <w:pPr>
              <w:spacing w:line="360" w:lineRule="auto"/>
              <w:ind w:firstLine="480" w:firstLineChars="200"/>
              <w:rPr>
                <w:sz w:val="24"/>
              </w:rPr>
            </w:pPr>
            <w:r>
              <w:rPr>
                <w:sz w:val="24"/>
              </w:rPr>
              <w:t>根据《一般工业固体废物贮存和填埋污染控制标准》（GB18599-2020）可知，一般固废暂存间可采用改性压实粘土类衬层或具有同等以上隔水效力的其他材料防渗衬层，其防渗性能应至少相当于渗透系数为1.0×10</w:t>
            </w:r>
            <w:r>
              <w:rPr>
                <w:sz w:val="24"/>
                <w:vertAlign w:val="superscript"/>
              </w:rPr>
              <w:t>-5</w:t>
            </w:r>
            <w:r>
              <w:rPr>
                <w:sz w:val="24"/>
              </w:rPr>
              <w:t>cm/s且厚度为0.75m的</w:t>
            </w:r>
            <w:r>
              <w:rPr>
                <w:rFonts w:hint="eastAsia"/>
                <w:sz w:val="24"/>
              </w:rPr>
              <w:t>天然</w:t>
            </w:r>
            <w:r>
              <w:rPr>
                <w:sz w:val="24"/>
              </w:rPr>
              <w:t>基础层。</w:t>
            </w:r>
          </w:p>
          <w:p w14:paraId="6AFFE157">
            <w:pPr>
              <w:spacing w:line="360" w:lineRule="auto"/>
              <w:ind w:firstLine="480" w:firstLineChars="200"/>
              <w:rPr>
                <w:sz w:val="24"/>
              </w:rPr>
            </w:pPr>
            <w:r>
              <w:rPr>
                <w:sz w:val="24"/>
              </w:rPr>
              <w:t>本评价要求本项目在</w:t>
            </w:r>
            <w:r>
              <w:rPr>
                <w:rFonts w:hint="eastAsia"/>
                <w:sz w:val="24"/>
              </w:rPr>
              <w:t>2#</w:t>
            </w:r>
            <w:r>
              <w:rPr>
                <w:sz w:val="24"/>
              </w:rPr>
              <w:t>厂房</w:t>
            </w:r>
            <w:r>
              <w:rPr>
                <w:rFonts w:hint="eastAsia"/>
                <w:sz w:val="24"/>
              </w:rPr>
              <w:t>外东</w:t>
            </w:r>
            <w:r>
              <w:rPr>
                <w:rFonts w:hint="eastAsia"/>
                <w:sz w:val="24"/>
                <w:lang w:val="en-US" w:eastAsia="zh-CN"/>
              </w:rPr>
              <w:t>南</w:t>
            </w:r>
            <w:r>
              <w:rPr>
                <w:rFonts w:hint="eastAsia"/>
                <w:sz w:val="24"/>
              </w:rPr>
              <w:t>角</w:t>
            </w:r>
            <w:r>
              <w:rPr>
                <w:sz w:val="24"/>
              </w:rPr>
              <w:t>，设置1间</w:t>
            </w:r>
            <w:r>
              <w:rPr>
                <w:rFonts w:hint="eastAsia"/>
                <w:sz w:val="24"/>
                <w:lang w:val="en-US" w:eastAsia="zh-CN"/>
              </w:rPr>
              <w:t>1</w:t>
            </w:r>
            <w:r>
              <w:rPr>
                <w:rFonts w:hint="eastAsia"/>
                <w:sz w:val="24"/>
              </w:rPr>
              <w:t>0</w:t>
            </w:r>
            <w:r>
              <w:rPr>
                <w:sz w:val="24"/>
              </w:rPr>
              <w:t>m</w:t>
            </w:r>
            <w:r>
              <w:rPr>
                <w:sz w:val="24"/>
                <w:vertAlign w:val="superscript"/>
              </w:rPr>
              <w:t>2</w:t>
            </w:r>
            <w:r>
              <w:rPr>
                <w:sz w:val="24"/>
              </w:rPr>
              <w:t>一般工业固废暂存</w:t>
            </w:r>
            <w:r>
              <w:rPr>
                <w:rFonts w:hint="eastAsia"/>
                <w:sz w:val="24"/>
              </w:rPr>
              <w:t>间</w:t>
            </w:r>
            <w:r>
              <w:rPr>
                <w:sz w:val="24"/>
              </w:rPr>
              <w:t>，并进行一般防渗处理。</w:t>
            </w:r>
          </w:p>
          <w:p w14:paraId="419C3602">
            <w:pPr>
              <w:spacing w:line="360" w:lineRule="auto"/>
              <w:ind w:firstLine="480" w:firstLineChars="200"/>
              <w:rPr>
                <w:sz w:val="24"/>
              </w:rPr>
            </w:pPr>
            <w:r>
              <w:rPr>
                <w:sz w:val="24"/>
              </w:rPr>
              <w:t>（</w:t>
            </w:r>
            <w:r>
              <w:rPr>
                <w:rFonts w:hint="eastAsia"/>
                <w:sz w:val="24"/>
                <w:lang w:val="en-US" w:eastAsia="zh-CN"/>
              </w:rPr>
              <w:t>2</w:t>
            </w:r>
            <w:r>
              <w:rPr>
                <w:sz w:val="24"/>
              </w:rPr>
              <w:t>）危险废物</w:t>
            </w:r>
          </w:p>
          <w:p w14:paraId="63D3CF71">
            <w:pPr>
              <w:pStyle w:val="11"/>
              <w:spacing w:after="0" w:line="360" w:lineRule="auto"/>
              <w:ind w:left="0" w:leftChars="0" w:firstLine="480" w:firstLineChars="200"/>
              <w:jc w:val="left"/>
              <w:rPr>
                <w:szCs w:val="24"/>
              </w:rPr>
            </w:pPr>
            <w:r>
              <w:rPr>
                <w:szCs w:val="24"/>
              </w:rPr>
              <w:t>①</w:t>
            </w:r>
            <w:r>
              <w:t>根据《排污许可证申请与核发技术规范工业固体废物（试行）》（HJ 1200-2021）要求，</w:t>
            </w:r>
            <w:r>
              <w:rPr>
                <w:szCs w:val="24"/>
              </w:rPr>
              <w:t>排污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包装容器应达到相应的强度要求并完好无损，禁止混合贮存性质不相容而未经安全性处置的危险废物；危险废物容器和包装物以及危险废物贮存设施、场所应按规定设置危险废物识别标志；仓库式贮存设施应分开存放不相容危险废物，按危险废物的种类和特性进行分区贮存，采用防腐、防渗地面和裙脚，设置防止泄露物质扩散至外环境的拦截、导流、收集设施；贮存堆场要防风、防雨、防晒；从事收集、贮存、利用、处置危险废物经营活动的单位，贮存危险废物不得超过一年（报经颁发危险废物经营许可证的生态环境主管部门批准或法律法规另有规定的除外）等；排污单位生产运营期间危险废物自行贮存设施的环境管理和相关设施运行维护还应符合GB15562.2、GB18484、GB18597、GB30485、HJ 2025和HJ 2042等相关标准规范要求。</w:t>
            </w:r>
          </w:p>
          <w:p w14:paraId="243498C1">
            <w:pPr>
              <w:pStyle w:val="11"/>
              <w:spacing w:after="0" w:line="360" w:lineRule="auto"/>
              <w:ind w:left="0" w:leftChars="0" w:firstLine="480" w:firstLineChars="200"/>
              <w:jc w:val="left"/>
              <w:rPr>
                <w:szCs w:val="24"/>
              </w:rPr>
            </w:pPr>
            <w:r>
              <w:rPr>
                <w:szCs w:val="24"/>
              </w:rPr>
              <w:t>②危废暂存间（</w:t>
            </w:r>
            <w:r>
              <w:rPr>
                <w:szCs w:val="21"/>
              </w:rPr>
              <w:t>位于</w:t>
            </w:r>
            <w:r>
              <w:t>2#厂房</w:t>
            </w:r>
            <w:r>
              <w:rPr>
                <w:rFonts w:hint="eastAsia"/>
              </w:rPr>
              <w:t>外</w:t>
            </w:r>
            <w:r>
              <w:t>东</w:t>
            </w:r>
            <w:r>
              <w:rPr>
                <w:rFonts w:hint="eastAsia"/>
                <w:lang w:val="en-US" w:eastAsia="zh-CN"/>
              </w:rPr>
              <w:t>南</w:t>
            </w:r>
            <w:r>
              <w:t>角</w:t>
            </w:r>
            <w:r>
              <w:rPr>
                <w:szCs w:val="21"/>
              </w:rPr>
              <w:t>，建筑面积</w:t>
            </w:r>
            <w:r>
              <w:rPr>
                <w:rFonts w:hint="eastAsia"/>
                <w:szCs w:val="21"/>
                <w:lang w:val="en-US" w:eastAsia="zh-CN"/>
              </w:rPr>
              <w:t>1</w:t>
            </w:r>
            <w:r>
              <w:rPr>
                <w:szCs w:val="21"/>
              </w:rPr>
              <w:t>0</w:t>
            </w:r>
            <w:r>
              <w:rPr>
                <w:bCs/>
                <w:szCs w:val="21"/>
              </w:rPr>
              <w:t>m</w:t>
            </w:r>
            <w:r>
              <w:rPr>
                <w:bCs/>
                <w:szCs w:val="21"/>
                <w:vertAlign w:val="superscript"/>
              </w:rPr>
              <w:t>2</w:t>
            </w:r>
            <w:r>
              <w:rPr>
                <w:szCs w:val="24"/>
              </w:rPr>
              <w:t>）须按照要求进行防风、防雨、防晒、防渗漏等处理，危废暂存间地面与裙脚要用坚固，防渗的材料建造，建筑材料必须与危险废物相容（耐酸性腐蚀）；必须有泄漏液体收集装置；存放半固体危险废物容器的地方，必须有耐腐的硬化地面，且表面无裂痕；危废暂存库基础必须防渗，防渗层为至少1m厚粘土层（渗透系数≤10</w:t>
            </w:r>
            <w:r>
              <w:rPr>
                <w:szCs w:val="24"/>
                <w:vertAlign w:val="superscript"/>
              </w:rPr>
              <w:t>-7</w:t>
            </w:r>
            <w:r>
              <w:rPr>
                <w:szCs w:val="24"/>
              </w:rPr>
              <w:t>cm/s），或2mm厚高密度聚乙烯，或至少2mm厚的其它人工材料，渗透系数≤10</w:t>
            </w:r>
            <w:r>
              <w:rPr>
                <w:szCs w:val="24"/>
                <w:vertAlign w:val="superscript"/>
              </w:rPr>
              <w:t>-10</w:t>
            </w:r>
            <w:r>
              <w:rPr>
                <w:szCs w:val="24"/>
              </w:rPr>
              <w:t>cm/s。</w:t>
            </w:r>
          </w:p>
          <w:p w14:paraId="56BF8BD5">
            <w:pPr>
              <w:pStyle w:val="11"/>
              <w:spacing w:after="0" w:line="360" w:lineRule="auto"/>
              <w:ind w:left="0" w:leftChars="0" w:firstLine="480" w:firstLineChars="200"/>
              <w:jc w:val="left"/>
              <w:rPr>
                <w:szCs w:val="24"/>
              </w:rPr>
            </w:pPr>
            <w:r>
              <w:rPr>
                <w:szCs w:val="24"/>
              </w:rPr>
              <w:t>③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该部分内容由建设单位与接收单位共同协作完成。</w:t>
            </w:r>
          </w:p>
          <w:p w14:paraId="319D71BA">
            <w:pPr>
              <w:pStyle w:val="11"/>
              <w:spacing w:after="0" w:line="360" w:lineRule="auto"/>
              <w:ind w:left="0" w:leftChars="0" w:firstLine="480" w:firstLineChars="200"/>
              <w:jc w:val="left"/>
              <w:rPr>
                <w:szCs w:val="24"/>
              </w:rPr>
            </w:pPr>
            <w:r>
              <w:rPr>
                <w:szCs w:val="24"/>
              </w:rPr>
              <w:t>④危废的转移执行国家环保总局第5号令《危险废物转移联单管理办法》，在日常管理中，应设置专人加强对危废暂存间的管理，出现问题及时解决，避免形成二次污染，对工作人员应进行专业培训，熟知各项固废知识。</w:t>
            </w:r>
          </w:p>
          <w:p w14:paraId="1DFE91A6">
            <w:pPr>
              <w:pStyle w:val="11"/>
              <w:spacing w:after="0" w:line="360" w:lineRule="auto"/>
              <w:ind w:left="0" w:leftChars="0" w:firstLine="480" w:firstLineChars="200"/>
              <w:jc w:val="left"/>
              <w:rPr>
                <w:szCs w:val="24"/>
              </w:rPr>
            </w:pPr>
            <w:r>
              <w:rPr>
                <w:szCs w:val="24"/>
              </w:rPr>
              <w:t>⑤据《危险废物贮存污染控制标准》</w:t>
            </w:r>
            <w:r>
              <w:rPr>
                <w:rFonts w:hint="eastAsia"/>
                <w:szCs w:val="24"/>
                <w:lang w:eastAsia="zh-CN"/>
              </w:rPr>
              <w:t>（</w:t>
            </w:r>
            <w:r>
              <w:rPr>
                <w:szCs w:val="24"/>
              </w:rPr>
              <w:t>GB18597-20</w:t>
            </w:r>
            <w:r>
              <w:rPr>
                <w:rFonts w:hint="eastAsia"/>
                <w:szCs w:val="24"/>
                <w:lang w:val="en-US" w:eastAsia="zh-CN"/>
              </w:rPr>
              <w:t>23）中内容</w:t>
            </w:r>
            <w:r>
              <w:rPr>
                <w:szCs w:val="24"/>
              </w:rPr>
              <w:t>，必须将危险废物装入容器内。危险废物贮存容器及设施要求：a.装载危险废物的容器及材质要满足相应的强度要求，应根据危险废物的不同特性而设计，不易破损、变形、老化，能有效地防止渗漏、扩散；b.装有危险废物的容器必须贴有符合《危险废物贮存污染控制标准》</w:t>
            </w:r>
            <w:r>
              <w:rPr>
                <w:rFonts w:hint="eastAsia"/>
                <w:szCs w:val="24"/>
                <w:lang w:eastAsia="zh-CN"/>
              </w:rPr>
              <w:t>（</w:t>
            </w:r>
            <w:r>
              <w:rPr>
                <w:szCs w:val="24"/>
              </w:rPr>
              <w:t>GB18597-20</w:t>
            </w:r>
            <w:r>
              <w:rPr>
                <w:rFonts w:hint="eastAsia"/>
                <w:szCs w:val="24"/>
                <w:lang w:val="en-US" w:eastAsia="zh-CN"/>
              </w:rPr>
              <w:t>23）</w:t>
            </w:r>
            <w:r>
              <w:rPr>
                <w:szCs w:val="24"/>
              </w:rPr>
              <w:t>中附录A所示的危废标签，在标签上详细标明危险废物的名称、重量、成分、特性以及发生泄漏、扩散污染事故时的应急措施和补救方法；c.装载危险废物的容器必须完好无损；d.必须定期对所贮存的危险废物包装容器及贮存设施进行检查，发现破损，应及时采取措施清理更换。</w:t>
            </w:r>
          </w:p>
          <w:p w14:paraId="06607811">
            <w:pPr>
              <w:pStyle w:val="11"/>
              <w:spacing w:after="0" w:line="360" w:lineRule="auto"/>
              <w:ind w:left="0" w:leftChars="0" w:firstLine="480" w:firstLineChars="200"/>
              <w:jc w:val="left"/>
              <w:rPr>
                <w:szCs w:val="24"/>
              </w:rPr>
            </w:pPr>
            <w:r>
              <w:rPr>
                <w:szCs w:val="24"/>
              </w:rPr>
              <w:t>⑥安全防护要求：危废的贮存场所须按《环境保护图形标志》的规定设置明显警示标志；危险废物贮存设施周围应设置围墙或其他防护栅栏；危废的贮存场所要有安全照明设施和观察窗口，并配有应急防护措施；贮存场所内禁止混放不相容危险废物，分开放置并设置隔断；危险废物贮存设施内清理出来的泄漏物，一律按危险废物处理；严禁露天堆放，避免风吹日晒和雨淋而造成危险废物中。</w:t>
            </w:r>
          </w:p>
          <w:p w14:paraId="7AFFF2C3">
            <w:pPr>
              <w:pStyle w:val="11"/>
              <w:spacing w:after="0" w:line="360" w:lineRule="auto"/>
              <w:ind w:left="0" w:leftChars="0" w:firstLine="480" w:firstLineChars="200"/>
              <w:jc w:val="left"/>
              <w:rPr>
                <w:szCs w:val="24"/>
              </w:rPr>
            </w:pPr>
            <w:r>
              <w:rPr>
                <w:szCs w:val="24"/>
              </w:rPr>
              <w:t>⑦危险废物的转移、处置要求：严格按照环发〔2001〕199号《危险废物污染防治技术政策》要求进行，要点如下：a.对已经产生的危险废物，必须按照国家有关规定申报登记，交出持有危险废物经营许可证的单位收集、运输、处理处置；b.危险废物的国内转移应遵从《危险废物转移联单管理办法》及其他有关规定的要求；c.各级环境保护行政主管部门应按照国家和地方制定的危险废物转移管理办法对危险废物的流向进行有效控制，禁止在转移过程中将危险废物排放至环境中；d.对于该项目危险固废在运输途中，应做到以下几点：危险废物的运输车辆须经主管单位检查，并持有有关单位签发的许可证，负责运输的司机应通过培训，持有证明文件；承载危险废物的车辆须有明显的标志或适当的危险符号，以引起注意；载有危险废物的车辆在公路上行驶时，需持有运输许可证，其上应注明废物来源、性质和运往地点，必要时须有专门单位人员负责押运；组织危险废物的运输单位，在事先需作出周密的运输计划和行驶路线，其中包括有效的废物泄露情况下的应急措施。</w:t>
            </w:r>
          </w:p>
          <w:p w14:paraId="2FF1BB7C">
            <w:pPr>
              <w:spacing w:line="360" w:lineRule="auto"/>
              <w:ind w:firstLine="480" w:firstLineChars="200"/>
              <w:rPr>
                <w:sz w:val="24"/>
              </w:rPr>
            </w:pPr>
            <w:r>
              <w:rPr>
                <w:sz w:val="24"/>
              </w:rPr>
              <w:t>本评价要求本项目在2#厂房</w:t>
            </w:r>
            <w:r>
              <w:rPr>
                <w:rFonts w:hint="eastAsia"/>
                <w:sz w:val="24"/>
              </w:rPr>
              <w:t>外</w:t>
            </w:r>
            <w:r>
              <w:rPr>
                <w:sz w:val="24"/>
              </w:rPr>
              <w:t>东</w:t>
            </w:r>
            <w:r>
              <w:rPr>
                <w:rFonts w:hint="eastAsia"/>
                <w:sz w:val="24"/>
                <w:lang w:val="en-US" w:eastAsia="zh-CN"/>
              </w:rPr>
              <w:t>南</w:t>
            </w:r>
            <w:r>
              <w:rPr>
                <w:sz w:val="24"/>
              </w:rPr>
              <w:t>角，设置1间</w:t>
            </w:r>
            <w:r>
              <w:rPr>
                <w:rFonts w:hint="eastAsia"/>
                <w:sz w:val="24"/>
                <w:lang w:val="en-US" w:eastAsia="zh-CN"/>
              </w:rPr>
              <w:t>1</w:t>
            </w:r>
            <w:r>
              <w:rPr>
                <w:sz w:val="24"/>
              </w:rPr>
              <w:t>0m</w:t>
            </w:r>
            <w:r>
              <w:rPr>
                <w:sz w:val="24"/>
                <w:vertAlign w:val="superscript"/>
              </w:rPr>
              <w:t>2</w:t>
            </w:r>
            <w:r>
              <w:rPr>
                <w:sz w:val="24"/>
              </w:rPr>
              <w:t>危废暂存间，并进行重点防渗处理。</w:t>
            </w:r>
          </w:p>
          <w:p w14:paraId="2BA8E4A5">
            <w:pPr>
              <w:spacing w:line="360" w:lineRule="auto"/>
              <w:ind w:firstLine="480" w:firstLineChars="200"/>
              <w:rPr>
                <w:sz w:val="24"/>
              </w:rPr>
            </w:pPr>
            <w:r>
              <w:rPr>
                <w:sz w:val="24"/>
              </w:rPr>
              <w:t>经采取上述措施后，本项目固体废弃物均得到妥善处理，对环境影响较小，措施可行。</w:t>
            </w:r>
          </w:p>
          <w:p w14:paraId="377B70C0">
            <w:pPr>
              <w:spacing w:line="360" w:lineRule="auto"/>
              <w:ind w:firstLine="482" w:firstLineChars="200"/>
              <w:rPr>
                <w:b/>
                <w:bCs/>
                <w:sz w:val="24"/>
              </w:rPr>
            </w:pPr>
            <w:r>
              <w:rPr>
                <w:b/>
                <w:bCs/>
                <w:sz w:val="24"/>
              </w:rPr>
              <w:t>5、土壤和地下水</w:t>
            </w:r>
          </w:p>
          <w:p w14:paraId="7E734963">
            <w:pPr>
              <w:pStyle w:val="11"/>
              <w:spacing w:after="0" w:line="360" w:lineRule="auto"/>
              <w:ind w:left="0" w:leftChars="0" w:firstLine="482" w:firstLineChars="200"/>
              <w:jc w:val="left"/>
              <w:rPr>
                <w:b/>
                <w:bCs/>
                <w:szCs w:val="24"/>
              </w:rPr>
            </w:pPr>
            <w:r>
              <w:rPr>
                <w:rFonts w:hint="eastAsia"/>
                <w:b/>
                <w:bCs/>
                <w:szCs w:val="24"/>
                <w:lang w:eastAsia="zh-CN"/>
              </w:rPr>
              <w:t>（</w:t>
            </w:r>
            <w:r>
              <w:rPr>
                <w:rFonts w:hint="eastAsia"/>
                <w:b/>
                <w:bCs/>
                <w:szCs w:val="24"/>
                <w:lang w:val="en-US" w:eastAsia="zh-CN"/>
              </w:rPr>
              <w:t>1）</w:t>
            </w:r>
            <w:r>
              <w:rPr>
                <w:b/>
                <w:bCs/>
                <w:szCs w:val="24"/>
              </w:rPr>
              <w:t>污染源及污染物类型</w:t>
            </w:r>
          </w:p>
          <w:p w14:paraId="47E1CB07">
            <w:pPr>
              <w:spacing w:line="360" w:lineRule="auto"/>
              <w:ind w:firstLine="480" w:firstLineChars="200"/>
              <w:rPr>
                <w:sz w:val="24"/>
              </w:rPr>
            </w:pPr>
            <w:r>
              <w:rPr>
                <w:sz w:val="24"/>
              </w:rPr>
              <w:t>本项目排放的大气污染物主要为</w:t>
            </w:r>
            <w:r>
              <w:rPr>
                <w:rFonts w:hint="eastAsia"/>
                <w:sz w:val="24"/>
              </w:rPr>
              <w:t>非甲烷总烃</w:t>
            </w:r>
            <w:r>
              <w:rPr>
                <w:sz w:val="24"/>
              </w:rPr>
              <w:t>；</w:t>
            </w:r>
            <w:r>
              <w:rPr>
                <w:rFonts w:hint="eastAsia" w:ascii="宋体" w:hAnsi="宋体" w:cs="宋体"/>
                <w:sz w:val="24"/>
              </w:rPr>
              <w:t>项目</w:t>
            </w:r>
            <w:r>
              <w:rPr>
                <w:rFonts w:hint="eastAsia" w:ascii="宋体" w:hAnsi="宋体" w:cs="宋体"/>
                <w:sz w:val="24"/>
                <w:lang w:val="en-US" w:eastAsia="zh-CN"/>
              </w:rPr>
              <w:t>生产用水</w:t>
            </w:r>
            <w:r>
              <w:rPr>
                <w:rFonts w:hint="eastAsia" w:ascii="宋体" w:hAnsi="宋体" w:cs="宋体"/>
                <w:sz w:val="24"/>
              </w:rPr>
              <w:t>循环利用，定期补充，不外排</w:t>
            </w:r>
            <w:r>
              <w:rPr>
                <w:rFonts w:ascii="宋体" w:hAnsi="宋体" w:cs="宋体"/>
                <w:sz w:val="24"/>
              </w:rPr>
              <w:t>；生活污水进入化粪池处理后，定期清掏，不外排</w:t>
            </w:r>
            <w:r>
              <w:rPr>
                <w:sz w:val="24"/>
              </w:rPr>
              <w:t>；产生的危险废物主要为废</w:t>
            </w:r>
            <w:r>
              <w:rPr>
                <w:rFonts w:hint="eastAsia"/>
                <w:sz w:val="24"/>
                <w:lang w:val="en-US" w:eastAsia="zh-CN"/>
              </w:rPr>
              <w:t>润滑油</w:t>
            </w:r>
            <w:r>
              <w:rPr>
                <w:sz w:val="24"/>
              </w:rPr>
              <w:t>、废</w:t>
            </w:r>
            <w:r>
              <w:rPr>
                <w:rFonts w:hint="eastAsia"/>
                <w:sz w:val="24"/>
                <w:lang w:val="en-US" w:eastAsia="zh-CN"/>
              </w:rPr>
              <w:t>油</w:t>
            </w:r>
            <w:r>
              <w:rPr>
                <w:sz w:val="24"/>
              </w:rPr>
              <w:t>桶</w:t>
            </w:r>
            <w:r>
              <w:rPr>
                <w:rFonts w:hint="eastAsia"/>
                <w:sz w:val="24"/>
              </w:rPr>
              <w:t>和废活性炭</w:t>
            </w:r>
            <w:r>
              <w:rPr>
                <w:rFonts w:hint="eastAsia"/>
                <w:sz w:val="24"/>
                <w:lang w:eastAsia="zh-CN"/>
              </w:rPr>
              <w:t>、</w:t>
            </w:r>
            <w:r>
              <w:rPr>
                <w:rFonts w:hint="eastAsia"/>
                <w:sz w:val="24"/>
                <w:lang w:val="en-US" w:eastAsia="zh-CN"/>
              </w:rPr>
              <w:t>废包装桶</w:t>
            </w:r>
            <w:r>
              <w:rPr>
                <w:sz w:val="24"/>
              </w:rPr>
              <w:t>。</w:t>
            </w:r>
          </w:p>
          <w:p w14:paraId="2E170907">
            <w:pPr>
              <w:pStyle w:val="11"/>
              <w:spacing w:after="0" w:line="360" w:lineRule="auto"/>
              <w:ind w:left="0" w:leftChars="0" w:firstLine="482" w:firstLineChars="200"/>
              <w:jc w:val="left"/>
              <w:rPr>
                <w:b/>
                <w:bCs/>
                <w:szCs w:val="24"/>
              </w:rPr>
            </w:pPr>
            <w:r>
              <w:rPr>
                <w:rFonts w:hint="eastAsia"/>
                <w:b/>
                <w:bCs/>
                <w:szCs w:val="24"/>
                <w:lang w:eastAsia="zh-CN"/>
              </w:rPr>
              <w:t>（</w:t>
            </w:r>
            <w:r>
              <w:rPr>
                <w:rFonts w:hint="eastAsia"/>
                <w:b/>
                <w:bCs/>
                <w:szCs w:val="24"/>
                <w:lang w:val="en-US" w:eastAsia="zh-CN"/>
              </w:rPr>
              <w:t>2）</w:t>
            </w:r>
            <w:r>
              <w:rPr>
                <w:b/>
                <w:bCs/>
                <w:szCs w:val="24"/>
              </w:rPr>
              <w:t>污染途径</w:t>
            </w:r>
          </w:p>
          <w:p w14:paraId="6F106EAE">
            <w:pPr>
              <w:pStyle w:val="11"/>
              <w:spacing w:after="0" w:line="360" w:lineRule="auto"/>
              <w:ind w:left="0" w:leftChars="0" w:firstLine="480" w:firstLineChars="200"/>
              <w:jc w:val="left"/>
              <w:rPr>
                <w:szCs w:val="24"/>
              </w:rPr>
            </w:pPr>
            <w:r>
              <w:rPr>
                <w:szCs w:val="24"/>
              </w:rPr>
              <w:t>本项目产生的废气主要为</w:t>
            </w:r>
            <w:r>
              <w:rPr>
                <w:rFonts w:hint="eastAsia"/>
                <w:szCs w:val="24"/>
              </w:rPr>
              <w:t>非甲烷总烃</w:t>
            </w:r>
            <w:r>
              <w:rPr>
                <w:szCs w:val="24"/>
              </w:rPr>
              <w:t>，可能通过大气沉淀的方式污染所在区域的地下水及土壤；本项目产生的废水主要为生活污水</w:t>
            </w:r>
            <w:r>
              <w:rPr>
                <w:rFonts w:hint="eastAsia"/>
                <w:szCs w:val="24"/>
              </w:rPr>
              <w:t>和</w:t>
            </w:r>
            <w:r>
              <w:rPr>
                <w:rFonts w:hint="eastAsia"/>
                <w:szCs w:val="24"/>
                <w:lang w:val="en-US" w:eastAsia="zh-CN"/>
              </w:rPr>
              <w:t>生产循环用水</w:t>
            </w:r>
            <w:r>
              <w:rPr>
                <w:szCs w:val="24"/>
              </w:rPr>
              <w:t>，可能由于化粪池以及输水管网发生破损而导致废水进入地表，影响地下水及土壤；本项目危废暂存间中贮存的废</w:t>
            </w:r>
            <w:r>
              <w:rPr>
                <w:rFonts w:hint="eastAsia"/>
                <w:szCs w:val="24"/>
                <w:lang w:val="en-US" w:eastAsia="zh-CN"/>
              </w:rPr>
              <w:t>润滑油</w:t>
            </w:r>
            <w:r>
              <w:rPr>
                <w:szCs w:val="24"/>
              </w:rPr>
              <w:t>、废</w:t>
            </w:r>
            <w:r>
              <w:rPr>
                <w:rFonts w:hint="eastAsia"/>
                <w:szCs w:val="24"/>
                <w:lang w:val="en-US" w:eastAsia="zh-CN"/>
              </w:rPr>
              <w:t>油</w:t>
            </w:r>
            <w:r>
              <w:rPr>
                <w:szCs w:val="24"/>
              </w:rPr>
              <w:t>桶</w:t>
            </w:r>
            <w:r>
              <w:rPr>
                <w:rFonts w:hint="eastAsia"/>
                <w:szCs w:val="24"/>
              </w:rPr>
              <w:t>和废活性炭</w:t>
            </w:r>
            <w:r>
              <w:rPr>
                <w:rFonts w:hint="eastAsia"/>
                <w:szCs w:val="24"/>
                <w:lang w:eastAsia="zh-CN"/>
              </w:rPr>
              <w:t>、</w:t>
            </w:r>
            <w:r>
              <w:rPr>
                <w:rFonts w:hint="eastAsia"/>
                <w:szCs w:val="24"/>
                <w:lang w:val="en-US" w:eastAsia="zh-CN"/>
              </w:rPr>
              <w:t>废包装桶</w:t>
            </w:r>
            <w:r>
              <w:rPr>
                <w:szCs w:val="24"/>
              </w:rPr>
              <w:t>等危险废物，若包装容器发生破损导致泄露，且防渗措施老化，易经过雨水淋溶、地表径流侵蚀而渗入土壤，进而对土壤环境和地下水水质产生影响。</w:t>
            </w:r>
          </w:p>
          <w:p w14:paraId="4502FB0B">
            <w:pPr>
              <w:spacing w:line="360" w:lineRule="auto"/>
              <w:ind w:firstLine="482" w:firstLineChars="200"/>
              <w:rPr>
                <w:b/>
                <w:bCs/>
                <w:sz w:val="24"/>
              </w:rPr>
            </w:pPr>
            <w:r>
              <w:rPr>
                <w:rFonts w:hint="eastAsia"/>
                <w:b/>
                <w:bCs/>
                <w:sz w:val="24"/>
                <w:lang w:eastAsia="zh-CN"/>
              </w:rPr>
              <w:t>（</w:t>
            </w:r>
            <w:r>
              <w:rPr>
                <w:rFonts w:hint="eastAsia"/>
                <w:b/>
                <w:bCs/>
                <w:sz w:val="24"/>
                <w:lang w:val="en-US" w:eastAsia="zh-CN"/>
              </w:rPr>
              <w:t>3）</w:t>
            </w:r>
            <w:r>
              <w:rPr>
                <w:b/>
                <w:bCs/>
                <w:sz w:val="24"/>
              </w:rPr>
              <w:t>防控措施</w:t>
            </w:r>
          </w:p>
          <w:p w14:paraId="39F937B6">
            <w:pPr>
              <w:pStyle w:val="66"/>
              <w:ind w:firstLine="482"/>
              <w:rPr>
                <w:b/>
                <w:sz w:val="24"/>
                <w:szCs w:val="24"/>
              </w:rPr>
            </w:pPr>
            <w:r>
              <w:rPr>
                <w:b/>
                <w:sz w:val="24"/>
                <w:szCs w:val="24"/>
              </w:rPr>
              <w:t>（1）源头控制措施</w:t>
            </w:r>
          </w:p>
          <w:p w14:paraId="2E55FBC7">
            <w:pPr>
              <w:adjustRightInd w:val="0"/>
              <w:snapToGrid w:val="0"/>
              <w:spacing w:line="360" w:lineRule="auto"/>
              <w:ind w:firstLine="480" w:firstLineChars="200"/>
              <w:rPr>
                <w:sz w:val="24"/>
              </w:rPr>
            </w:pPr>
            <w:r>
              <w:rPr>
                <w:sz w:val="24"/>
              </w:rPr>
              <w:t>①</w:t>
            </w:r>
            <w:r>
              <w:rPr>
                <w:bCs/>
                <w:kern w:val="28"/>
                <w:sz w:val="24"/>
              </w:rPr>
              <w:t>对车间产生的各污染物进行分类收集、处理，达标后排放。</w:t>
            </w:r>
            <w:r>
              <w:rPr>
                <w:sz w:val="24"/>
              </w:rPr>
              <w:t>本项目</w:t>
            </w:r>
            <w:r>
              <w:rPr>
                <w:kern w:val="0"/>
                <w:sz w:val="24"/>
              </w:rPr>
              <w:t>有机废气经集气罩收集、二级活性炭吸附装置处理后，达标排放。</w:t>
            </w:r>
          </w:p>
          <w:p w14:paraId="1545CAE3">
            <w:pPr>
              <w:pStyle w:val="66"/>
              <w:ind w:firstLine="480"/>
              <w:rPr>
                <w:sz w:val="24"/>
                <w:szCs w:val="24"/>
              </w:rPr>
            </w:pPr>
            <w:r>
              <w:rPr>
                <w:bCs w:val="0"/>
                <w:sz w:val="24"/>
                <w:szCs w:val="24"/>
              </w:rPr>
              <w:t>②</w:t>
            </w:r>
            <w:r>
              <w:rPr>
                <w:sz w:val="24"/>
                <w:szCs w:val="24"/>
              </w:rPr>
              <w:t>严格按照国家相关规范要求，对厂区内污水收集设施等采取相应措施，以防止和降低污染物的跑、冒、滴、漏，将污染物泄漏的环境风险事故降到最低程度。</w:t>
            </w:r>
          </w:p>
          <w:p w14:paraId="11F09369">
            <w:pPr>
              <w:pStyle w:val="66"/>
              <w:ind w:firstLine="480"/>
              <w:rPr>
                <w:sz w:val="24"/>
                <w:szCs w:val="24"/>
              </w:rPr>
            </w:pPr>
            <w:r>
              <w:rPr>
                <w:bCs w:val="0"/>
                <w:sz w:val="24"/>
                <w:szCs w:val="24"/>
              </w:rPr>
              <w:t>③</w:t>
            </w:r>
            <w:r>
              <w:rPr>
                <w:sz w:val="24"/>
                <w:szCs w:val="24"/>
              </w:rPr>
              <w:t>严格固体废物管理，不接触外界降水，使其不产生淋溶液，严防污染物泄漏到地下水及土壤中</w:t>
            </w:r>
          </w:p>
          <w:p w14:paraId="31FDF2D7">
            <w:pPr>
              <w:pStyle w:val="66"/>
              <w:ind w:firstLine="482"/>
              <w:rPr>
                <w:b/>
                <w:sz w:val="24"/>
                <w:szCs w:val="24"/>
              </w:rPr>
            </w:pPr>
            <w:r>
              <w:rPr>
                <w:b/>
                <w:sz w:val="24"/>
                <w:szCs w:val="24"/>
              </w:rPr>
              <w:t>（2）分区防控措施</w:t>
            </w:r>
          </w:p>
          <w:p w14:paraId="233FAD9E">
            <w:pPr>
              <w:spacing w:line="360" w:lineRule="auto"/>
              <w:ind w:firstLine="480" w:firstLineChars="200"/>
              <w:rPr>
                <w:sz w:val="24"/>
              </w:rPr>
            </w:pPr>
            <w:r>
              <w:rPr>
                <w:sz w:val="24"/>
              </w:rPr>
              <w:t>针对可能对地下水、土壤造成影响的各环节，项目厂内不同区域实施分区防治，污染区划分为重点防渗区、一般防渗区和简单防渗区。</w:t>
            </w:r>
          </w:p>
          <w:p w14:paraId="78D2CC87">
            <w:pPr>
              <w:spacing w:line="360" w:lineRule="auto"/>
              <w:ind w:firstLine="480" w:firstLineChars="200"/>
              <w:rPr>
                <w:sz w:val="24"/>
              </w:rPr>
            </w:pPr>
            <w:r>
              <w:rPr>
                <w:sz w:val="24"/>
              </w:rPr>
              <w:t>①重点防渗区：主要包括危废暂存间</w:t>
            </w:r>
            <w:r>
              <w:rPr>
                <w:rFonts w:hint="eastAsia"/>
                <w:sz w:val="24"/>
                <w:lang w:eastAsia="zh-CN"/>
              </w:rPr>
              <w:t>、</w:t>
            </w:r>
            <w:r>
              <w:rPr>
                <w:rFonts w:hint="eastAsia"/>
                <w:sz w:val="24"/>
                <w:lang w:val="en-US" w:eastAsia="zh-CN"/>
              </w:rPr>
              <w:t>沉淀池、喷码设备</w:t>
            </w:r>
            <w:r>
              <w:rPr>
                <w:sz w:val="24"/>
              </w:rPr>
              <w:t>等，要求防渗层为至少1m厚黏土层（渗透系数≤1.0×10</w:t>
            </w:r>
            <w:r>
              <w:rPr>
                <w:sz w:val="24"/>
                <w:vertAlign w:val="superscript"/>
              </w:rPr>
              <w:t>-7</w:t>
            </w:r>
            <w:r>
              <w:rPr>
                <w:sz w:val="24"/>
              </w:rPr>
              <w:t>cm/s），或者2mm厚高密度聚乙烯，或者至少2mm厚的其他人工材料，渗透系数≤1.0×10</w:t>
            </w:r>
            <w:r>
              <w:rPr>
                <w:sz w:val="24"/>
                <w:vertAlign w:val="superscript"/>
              </w:rPr>
              <w:t>-10</w:t>
            </w:r>
            <w:r>
              <w:rPr>
                <w:sz w:val="24"/>
              </w:rPr>
              <w:t>cm/s。</w:t>
            </w:r>
          </w:p>
          <w:p w14:paraId="790B5256">
            <w:pPr>
              <w:pStyle w:val="66"/>
              <w:ind w:firstLine="480"/>
              <w:rPr>
                <w:sz w:val="24"/>
                <w:szCs w:val="24"/>
              </w:rPr>
            </w:pPr>
            <w:r>
              <w:rPr>
                <w:sz w:val="24"/>
                <w:szCs w:val="24"/>
              </w:rPr>
              <w:t>②一般防渗区：主要包括成品仓库、原料仓库、办公区、一般固废暂存间等，</w:t>
            </w:r>
            <w:r>
              <w:rPr>
                <w:sz w:val="24"/>
              </w:rPr>
              <w:t>可采用改性压实粘土类衬层或具有同等以上隔水效力的其他材料防渗衬层，其防渗性能应至少相当于渗透系数为1.0×10</w:t>
            </w:r>
            <w:r>
              <w:rPr>
                <w:sz w:val="24"/>
                <w:vertAlign w:val="superscript"/>
              </w:rPr>
              <w:t>-5</w:t>
            </w:r>
            <w:r>
              <w:rPr>
                <w:sz w:val="24"/>
              </w:rPr>
              <w:t>cm/s且厚度为0.75m的天然基础层。</w:t>
            </w:r>
          </w:p>
          <w:p w14:paraId="7F00F527">
            <w:pPr>
              <w:pStyle w:val="66"/>
              <w:ind w:firstLine="480"/>
              <w:rPr>
                <w:sz w:val="24"/>
                <w:szCs w:val="24"/>
              </w:rPr>
            </w:pPr>
            <w:r>
              <w:rPr>
                <w:sz w:val="24"/>
                <w:szCs w:val="24"/>
              </w:rPr>
              <w:t>③简单防渗区：主要包括厂区道路等，混凝土硬化的方式进行防渗处理。</w:t>
            </w:r>
          </w:p>
          <w:p w14:paraId="5D356E8B">
            <w:pPr>
              <w:pStyle w:val="66"/>
              <w:ind w:firstLine="480"/>
              <w:rPr>
                <w:sz w:val="24"/>
                <w:szCs w:val="24"/>
              </w:rPr>
            </w:pPr>
            <w:r>
              <w:rPr>
                <w:sz w:val="24"/>
                <w:szCs w:val="24"/>
              </w:rPr>
              <w:t>在采取以上分区防渗措施后，可有效预防项目对地下水和土壤污染的发生。同时</w:t>
            </w:r>
            <w:r>
              <w:rPr>
                <w:bCs w:val="0"/>
                <w:kern w:val="28"/>
                <w:sz w:val="24"/>
              </w:rPr>
              <w:t>加强土壤和地下水环境保护队伍建设，由专人负责土壤和地下水污染防治的管理工作。</w:t>
            </w:r>
          </w:p>
          <w:p w14:paraId="0E1A9289">
            <w:pPr>
              <w:adjustRightInd w:val="0"/>
              <w:snapToGrid w:val="0"/>
              <w:spacing w:line="360" w:lineRule="auto"/>
              <w:ind w:firstLine="480" w:firstLineChars="200"/>
              <w:rPr>
                <w:sz w:val="24"/>
              </w:rPr>
            </w:pPr>
            <w:r>
              <w:rPr>
                <w:sz w:val="24"/>
              </w:rPr>
              <w:t>综上所述，</w:t>
            </w:r>
            <w:r>
              <w:rPr>
                <w:bCs/>
                <w:sz w:val="24"/>
              </w:rPr>
              <w:t>本项目各区域做好分区防渗措施；</w:t>
            </w:r>
            <w:r>
              <w:rPr>
                <w:bCs/>
                <w:kern w:val="28"/>
                <w:sz w:val="24"/>
              </w:rPr>
              <w:t>对厂房产生的各污染物进行集中收集处理，各污染物处理达标后排放。则项目</w:t>
            </w:r>
            <w:r>
              <w:rPr>
                <w:bCs/>
                <w:sz w:val="24"/>
              </w:rPr>
              <w:t>基本不会发生泄露导致土壤</w:t>
            </w:r>
            <w:r>
              <w:rPr>
                <w:bCs/>
                <w:kern w:val="28"/>
                <w:sz w:val="24"/>
              </w:rPr>
              <w:t>和地下水</w:t>
            </w:r>
            <w:r>
              <w:rPr>
                <w:bCs/>
                <w:sz w:val="24"/>
              </w:rPr>
              <w:t>污染，对土壤</w:t>
            </w:r>
            <w:r>
              <w:rPr>
                <w:bCs/>
                <w:kern w:val="28"/>
                <w:sz w:val="24"/>
              </w:rPr>
              <w:t>和地下水</w:t>
            </w:r>
            <w:r>
              <w:rPr>
                <w:bCs/>
                <w:sz w:val="24"/>
              </w:rPr>
              <w:t>环境影响较小。</w:t>
            </w:r>
          </w:p>
          <w:p w14:paraId="4B336B62">
            <w:pPr>
              <w:spacing w:line="360" w:lineRule="auto"/>
              <w:ind w:firstLine="482" w:firstLineChars="200"/>
              <w:rPr>
                <w:sz w:val="24"/>
              </w:rPr>
            </w:pPr>
            <w:r>
              <w:rPr>
                <w:b/>
                <w:bCs/>
                <w:sz w:val="24"/>
              </w:rPr>
              <w:t>6、风险评估</w:t>
            </w:r>
          </w:p>
          <w:p w14:paraId="11A344FB">
            <w:pPr>
              <w:spacing w:line="360" w:lineRule="auto"/>
              <w:ind w:firstLine="480" w:firstLineChars="200"/>
              <w:rPr>
                <w:sz w:val="24"/>
              </w:rPr>
            </w:pPr>
            <w:r>
              <w:rPr>
                <w:sz w:val="24"/>
              </w:rPr>
              <w:t>根据《关于进一步加强环境影响评价管理防范环境风险的通知》（环发〔2012〕77号）的要求，新、改、扩建相关建设项目环境影响评价应按照相应</w:t>
            </w:r>
          </w:p>
          <w:p w14:paraId="4FE1F540">
            <w:pPr>
              <w:spacing w:line="360" w:lineRule="auto"/>
              <w:rPr>
                <w:sz w:val="24"/>
              </w:rPr>
            </w:pPr>
            <w:r>
              <w:rPr>
                <w:sz w:val="24"/>
              </w:rPr>
              <w:t>技术导则要求，科学预测评价突发事件或事故可能引发的环境风险，提出环境</w:t>
            </w:r>
          </w:p>
          <w:p w14:paraId="2B0CC6E6">
            <w:pPr>
              <w:spacing w:line="360" w:lineRule="auto"/>
              <w:rPr>
                <w:sz w:val="24"/>
              </w:rPr>
            </w:pPr>
            <w:r>
              <w:rPr>
                <w:sz w:val="24"/>
              </w:rPr>
              <w:t>风险防范和应急措施。根据上述要求，按《建设项目环境风险评价技术导则》（HJ/T169-2018），对本项目进行环境风险评价。</w:t>
            </w:r>
          </w:p>
          <w:p w14:paraId="49715F55">
            <w:pPr>
              <w:spacing w:line="360" w:lineRule="auto"/>
              <w:ind w:firstLine="482" w:firstLineChars="200"/>
              <w:rPr>
                <w:b/>
                <w:bCs/>
                <w:sz w:val="24"/>
              </w:rPr>
            </w:pPr>
            <w:r>
              <w:rPr>
                <w:rFonts w:hint="eastAsia"/>
                <w:b/>
                <w:bCs/>
                <w:sz w:val="24"/>
                <w:lang w:eastAsia="zh-CN"/>
              </w:rPr>
              <w:t>（</w:t>
            </w:r>
            <w:r>
              <w:rPr>
                <w:rFonts w:hint="eastAsia"/>
                <w:b/>
                <w:bCs/>
                <w:sz w:val="24"/>
                <w:lang w:val="en-US" w:eastAsia="zh-CN"/>
              </w:rPr>
              <w:t>1）</w:t>
            </w:r>
            <w:r>
              <w:rPr>
                <w:b/>
                <w:bCs/>
                <w:sz w:val="24"/>
              </w:rPr>
              <w:t>危险物质和风险源分布情况</w:t>
            </w:r>
          </w:p>
          <w:p w14:paraId="16B347C3">
            <w:pPr>
              <w:pStyle w:val="20"/>
              <w:spacing w:before="0" w:beforeAutospacing="0" w:after="0" w:afterAutospacing="0" w:line="360" w:lineRule="auto"/>
              <w:ind w:firstLine="480" w:firstLineChars="200"/>
              <w:rPr>
                <w:rFonts w:ascii="Times New Roman" w:hAnsi="Times New Roman"/>
                <w:color w:val="FF0000"/>
              </w:rPr>
            </w:pPr>
            <w:r>
              <w:rPr>
                <w:rFonts w:ascii="Times New Roman" w:hAnsi="Times New Roman"/>
              </w:rPr>
              <w:t>本项目属于</w:t>
            </w:r>
            <w:r>
              <w:rPr>
                <w:rFonts w:hint="eastAsia" w:cs="宋体"/>
              </w:rPr>
              <w:t>“</w:t>
            </w:r>
            <w:r>
              <w:rPr>
                <w:rFonts w:hint="eastAsia" w:ascii="Times New Roman" w:hAnsi="Times New Roman"/>
                <w:szCs w:val="24"/>
                <w:lang w:val="en-US" w:eastAsia="zh-CN"/>
              </w:rPr>
              <w:t>纸制品制造 223*</w:t>
            </w:r>
            <w:r>
              <w:rPr>
                <w:rFonts w:hint="eastAsia" w:cs="宋体"/>
              </w:rPr>
              <w:t>”</w:t>
            </w:r>
            <w:r>
              <w:rPr>
                <w:rFonts w:ascii="Times New Roman" w:hAnsi="Times New Roman"/>
              </w:rPr>
              <w:t>，生产工艺较为简单，该项目涉及的危险物质主要为机油。</w:t>
            </w:r>
            <w:r>
              <w:rPr>
                <w:rFonts w:hint="eastAsia" w:ascii="Times New Roman" w:hAnsi="Times New Roman"/>
                <w:lang w:val="en-US" w:eastAsia="zh-CN"/>
              </w:rPr>
              <w:t>油墨、润滑油</w:t>
            </w:r>
            <w:r>
              <w:rPr>
                <w:rFonts w:ascii="Times New Roman" w:hAnsi="Times New Roman"/>
              </w:rPr>
              <w:t>及使后的废</w:t>
            </w:r>
            <w:r>
              <w:rPr>
                <w:rFonts w:hint="eastAsia" w:ascii="Times New Roman" w:hAnsi="Times New Roman"/>
                <w:lang w:val="en-US" w:eastAsia="zh-CN"/>
              </w:rPr>
              <w:t>润滑</w:t>
            </w:r>
            <w:r>
              <w:rPr>
                <w:rFonts w:ascii="Times New Roman" w:hAnsi="Times New Roman"/>
              </w:rPr>
              <w:t>油、废油桶主要储存在危废暂存间内（位于2#厂房</w:t>
            </w:r>
            <w:r>
              <w:rPr>
                <w:rFonts w:hint="eastAsia" w:ascii="Times New Roman" w:hAnsi="Times New Roman"/>
                <w:lang w:val="en-US" w:eastAsia="zh-CN"/>
              </w:rPr>
              <w:t>外东南角</w:t>
            </w:r>
            <w:r>
              <w:rPr>
                <w:rFonts w:ascii="Times New Roman" w:hAnsi="Times New Roman"/>
                <w:szCs w:val="24"/>
              </w:rPr>
              <w:t>，建筑面积为</w:t>
            </w:r>
            <w:r>
              <w:rPr>
                <w:rFonts w:hint="eastAsia" w:ascii="Times New Roman" w:hAnsi="Times New Roman"/>
                <w:szCs w:val="24"/>
                <w:lang w:val="en-US" w:eastAsia="zh-CN"/>
              </w:rPr>
              <w:t>1</w:t>
            </w:r>
            <w:r>
              <w:rPr>
                <w:rFonts w:ascii="Times New Roman" w:hAnsi="Times New Roman"/>
                <w:szCs w:val="24"/>
              </w:rPr>
              <w:t>0m</w:t>
            </w:r>
            <w:r>
              <w:rPr>
                <w:rFonts w:ascii="Times New Roman" w:hAnsi="Times New Roman"/>
                <w:szCs w:val="24"/>
                <w:vertAlign w:val="superscript"/>
              </w:rPr>
              <w:t>2</w:t>
            </w:r>
            <w:r>
              <w:rPr>
                <w:rFonts w:ascii="Times New Roman" w:hAnsi="Times New Roman"/>
                <w:szCs w:val="24"/>
              </w:rPr>
              <w:t>），</w:t>
            </w:r>
            <w:r>
              <w:rPr>
                <w:rFonts w:ascii="Times New Roman" w:hAnsi="Times New Roman"/>
              </w:rPr>
              <w:t>因此风险源位于危废暂存间。</w:t>
            </w:r>
          </w:p>
          <w:p w14:paraId="17CC0DEE">
            <w:pPr>
              <w:pStyle w:val="11"/>
              <w:ind w:left="0" w:leftChars="0" w:firstLine="482" w:firstLineChars="200"/>
              <w:rPr>
                <w:b/>
              </w:rPr>
            </w:pPr>
            <w:r>
              <w:rPr>
                <w:rFonts w:hint="eastAsia"/>
                <w:b/>
                <w:lang w:eastAsia="zh-CN"/>
              </w:rPr>
              <w:t>（</w:t>
            </w:r>
            <w:r>
              <w:rPr>
                <w:rFonts w:hint="eastAsia"/>
                <w:b/>
                <w:lang w:val="en-US" w:eastAsia="zh-CN"/>
              </w:rPr>
              <w:t>2）</w:t>
            </w:r>
            <w:r>
              <w:rPr>
                <w:b/>
              </w:rPr>
              <w:t>评价等级判定</w:t>
            </w:r>
          </w:p>
          <w:p w14:paraId="4FA6913C">
            <w:pPr>
              <w:spacing w:line="360" w:lineRule="auto"/>
              <w:ind w:firstLine="480" w:firstLineChars="200"/>
              <w:rPr>
                <w:sz w:val="24"/>
              </w:rPr>
            </w:pPr>
            <w:r>
              <w:rPr>
                <w:sz w:val="24"/>
              </w:rPr>
              <w:t>根据《建设项目环境风险评价技术导则》（HJ169-2018），进行环境风险评价工作等级的判定。</w:t>
            </w:r>
          </w:p>
          <w:p w14:paraId="10C76398">
            <w:pPr>
              <w:spacing w:line="360" w:lineRule="auto"/>
              <w:ind w:firstLine="480" w:firstLineChars="200"/>
              <w:rPr>
                <w:sz w:val="24"/>
              </w:rPr>
            </w:pPr>
            <w:r>
              <w:rPr>
                <w:sz w:val="24"/>
              </w:rPr>
              <w:t>1）危险物质数量及临界量比值（Q）</w:t>
            </w:r>
          </w:p>
          <w:p w14:paraId="11290544">
            <w:pPr>
              <w:spacing w:line="360" w:lineRule="auto"/>
              <w:ind w:firstLine="480" w:firstLineChars="200"/>
              <w:rPr>
                <w:sz w:val="24"/>
              </w:rPr>
            </w:pPr>
            <w:r>
              <w:rPr>
                <w:sz w:val="24"/>
              </w:rPr>
              <w:t>依据《建设项目环境风险评价技术导则》（HJ169-2018）计算所涉及的每种危险物质在厂界内的最大存在总量与其在附录B中对应临界量的比值Q。在不同厂区的同一种物质，按其在厂界内的最大存在总量计算。按照根据《建设项目环境风险评价技术导则》（HJ169-2018）附录C，当存在多种危险物质时，Q 按下式进行计算：</w:t>
            </w:r>
          </w:p>
          <w:p w14:paraId="700B0A27">
            <w:pPr>
              <w:spacing w:line="360" w:lineRule="auto"/>
              <w:jc w:val="center"/>
              <w:rPr>
                <w:sz w:val="24"/>
              </w:rPr>
            </w:pPr>
            <w:r>
              <w:rPr>
                <w:position w:val="-30"/>
                <w:sz w:val="24"/>
              </w:rPr>
              <w:object>
                <v:shape id="_x0000_i1027" o:spt="75" type="#_x0000_t75" style="height:33.75pt;width:97.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p>
          <w:p w14:paraId="78F3AC91">
            <w:pPr>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——每种危险物质的最大存在量，t；</w:t>
            </w:r>
          </w:p>
          <w:p w14:paraId="16D14FE1">
            <w:pPr>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14:paraId="6F919646">
            <w:pPr>
              <w:spacing w:line="360" w:lineRule="auto"/>
              <w:ind w:firstLine="480" w:firstLineChars="200"/>
              <w:rPr>
                <w:sz w:val="24"/>
              </w:rPr>
            </w:pPr>
            <w:r>
              <w:rPr>
                <w:sz w:val="24"/>
              </w:rPr>
              <w:t>当Q＜1时，该项目环境风险潜势为I。</w:t>
            </w:r>
          </w:p>
          <w:p w14:paraId="4A2AC63B">
            <w:pPr>
              <w:spacing w:line="360" w:lineRule="auto"/>
              <w:ind w:firstLine="480" w:firstLineChars="200"/>
              <w:rPr>
                <w:sz w:val="24"/>
              </w:rPr>
            </w:pPr>
            <w:r>
              <w:rPr>
                <w:sz w:val="24"/>
              </w:rPr>
              <w:t>当Q≥1时，将Q值划分为：(1)1≤Q＜10；(2)10≤Q＜100；(3)Q≥100。</w:t>
            </w:r>
          </w:p>
          <w:p w14:paraId="7C062B63">
            <w:pPr>
              <w:spacing w:line="360" w:lineRule="auto"/>
              <w:ind w:firstLine="480" w:firstLineChars="200"/>
              <w:rPr>
                <w:sz w:val="24"/>
              </w:rPr>
            </w:pPr>
            <w:r>
              <w:rPr>
                <w:sz w:val="24"/>
              </w:rPr>
              <w:t>本项目的涉及的风险物质为</w:t>
            </w:r>
            <w:r>
              <w:rPr>
                <w:rFonts w:hint="eastAsia"/>
                <w:sz w:val="24"/>
                <w:lang w:val="en-US" w:eastAsia="zh-CN"/>
              </w:rPr>
              <w:t>润滑油、油墨</w:t>
            </w:r>
            <w:r>
              <w:rPr>
                <w:sz w:val="24"/>
              </w:rPr>
              <w:t>。根据《建设项目环境风险评价技术导则》（HJ169-2018）附录B及附录C，本项目危险物质数量与临界量比值（Q）计算如下：</w:t>
            </w:r>
          </w:p>
          <w:p w14:paraId="0881D73F">
            <w:pPr>
              <w:ind w:firstLine="482" w:firstLineChars="200"/>
              <w:jc w:val="center"/>
              <w:rPr>
                <w:rFonts w:ascii="宋体" w:hAnsi="宋体" w:cs="宋体"/>
                <w:b/>
                <w:bCs/>
              </w:rPr>
            </w:pPr>
            <w:r>
              <w:rPr>
                <w:rFonts w:hint="eastAsia"/>
                <w:b/>
                <w:bCs/>
                <w:sz w:val="24"/>
              </w:rPr>
              <w:t>表</w:t>
            </w:r>
            <w:r>
              <w:rPr>
                <w:rFonts w:hint="eastAsia"/>
                <w:b/>
                <w:bCs/>
                <w:sz w:val="24"/>
                <w:lang w:val="en-US" w:eastAsia="zh-CN"/>
              </w:rPr>
              <w:t>4.12</w:t>
            </w:r>
            <w:r>
              <w:rPr>
                <w:rFonts w:hint="eastAsia"/>
                <w:b/>
                <w:bCs/>
                <w:sz w:val="24"/>
              </w:rPr>
              <w:t xml:space="preserve">  危险物质数量与临界量比值（Q）计算</w:t>
            </w:r>
          </w:p>
          <w:tbl>
            <w:tblPr>
              <w:tblStyle w:val="23"/>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142"/>
              <w:gridCol w:w="1557"/>
              <w:gridCol w:w="1920"/>
              <w:gridCol w:w="1365"/>
              <w:gridCol w:w="1170"/>
            </w:tblGrid>
            <w:tr w14:paraId="6909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57" w:type="pct"/>
                  <w:vAlign w:val="center"/>
                </w:tcPr>
                <w:p w14:paraId="79F6D258">
                  <w:pPr>
                    <w:pStyle w:val="11"/>
                    <w:spacing w:after="0"/>
                    <w:ind w:left="0" w:leftChars="0"/>
                    <w:jc w:val="center"/>
                    <w:rPr>
                      <w:sz w:val="21"/>
                      <w:szCs w:val="21"/>
                    </w:rPr>
                  </w:pPr>
                  <w:r>
                    <w:rPr>
                      <w:sz w:val="21"/>
                      <w:szCs w:val="21"/>
                    </w:rPr>
                    <w:t>序号</w:t>
                  </w:r>
                </w:p>
              </w:tc>
              <w:tc>
                <w:tcPr>
                  <w:tcW w:w="693" w:type="pct"/>
                  <w:vAlign w:val="center"/>
                </w:tcPr>
                <w:p w14:paraId="4A721EB5">
                  <w:pPr>
                    <w:pStyle w:val="11"/>
                    <w:spacing w:after="0"/>
                    <w:ind w:left="0" w:leftChars="0"/>
                    <w:jc w:val="center"/>
                    <w:rPr>
                      <w:sz w:val="21"/>
                      <w:szCs w:val="21"/>
                    </w:rPr>
                  </w:pPr>
                  <w:r>
                    <w:rPr>
                      <w:sz w:val="21"/>
                      <w:szCs w:val="21"/>
                    </w:rPr>
                    <w:t>物质名称</w:t>
                  </w:r>
                </w:p>
              </w:tc>
              <w:tc>
                <w:tcPr>
                  <w:tcW w:w="945" w:type="pct"/>
                  <w:vAlign w:val="center"/>
                </w:tcPr>
                <w:p w14:paraId="7D40386B">
                  <w:pPr>
                    <w:pStyle w:val="11"/>
                    <w:spacing w:after="0"/>
                    <w:ind w:left="0" w:leftChars="0"/>
                    <w:jc w:val="center"/>
                    <w:rPr>
                      <w:sz w:val="21"/>
                      <w:szCs w:val="21"/>
                    </w:rPr>
                  </w:pPr>
                  <w:r>
                    <w:rPr>
                      <w:sz w:val="21"/>
                      <w:szCs w:val="21"/>
                    </w:rPr>
                    <w:t>年用量（t/a）</w:t>
                  </w:r>
                </w:p>
              </w:tc>
              <w:tc>
                <w:tcPr>
                  <w:tcW w:w="1165" w:type="pct"/>
                  <w:vAlign w:val="center"/>
                </w:tcPr>
                <w:p w14:paraId="24BDCCBF">
                  <w:pPr>
                    <w:pStyle w:val="11"/>
                    <w:spacing w:after="0"/>
                    <w:ind w:left="0" w:leftChars="0"/>
                    <w:jc w:val="center"/>
                    <w:rPr>
                      <w:sz w:val="21"/>
                      <w:szCs w:val="21"/>
                    </w:rPr>
                  </w:pPr>
                  <w:r>
                    <w:rPr>
                      <w:sz w:val="21"/>
                      <w:szCs w:val="21"/>
                    </w:rPr>
                    <w:t>最大暂存量（t/a）</w:t>
                  </w:r>
                </w:p>
              </w:tc>
              <w:tc>
                <w:tcPr>
                  <w:tcW w:w="828" w:type="pct"/>
                  <w:vAlign w:val="center"/>
                </w:tcPr>
                <w:p w14:paraId="3155FD0B">
                  <w:pPr>
                    <w:pStyle w:val="11"/>
                    <w:spacing w:after="0"/>
                    <w:ind w:left="0" w:leftChars="0"/>
                    <w:jc w:val="center"/>
                    <w:rPr>
                      <w:sz w:val="21"/>
                      <w:szCs w:val="21"/>
                    </w:rPr>
                  </w:pPr>
                  <w:r>
                    <w:rPr>
                      <w:sz w:val="21"/>
                      <w:szCs w:val="21"/>
                    </w:rPr>
                    <w:t>临界量(t/a)</w:t>
                  </w:r>
                </w:p>
              </w:tc>
              <w:tc>
                <w:tcPr>
                  <w:tcW w:w="710" w:type="pct"/>
                  <w:vAlign w:val="center"/>
                </w:tcPr>
                <w:p w14:paraId="751D2035">
                  <w:pPr>
                    <w:pStyle w:val="11"/>
                    <w:spacing w:after="0"/>
                    <w:ind w:left="0" w:leftChars="0"/>
                    <w:jc w:val="center"/>
                    <w:rPr>
                      <w:sz w:val="21"/>
                      <w:szCs w:val="21"/>
                    </w:rPr>
                  </w:pPr>
                  <w:r>
                    <w:rPr>
                      <w:sz w:val="21"/>
                      <w:szCs w:val="21"/>
                    </w:rPr>
                    <w:t>Q值</w:t>
                  </w:r>
                </w:p>
              </w:tc>
            </w:tr>
            <w:tr w14:paraId="44E4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pct"/>
                  <w:vAlign w:val="center"/>
                </w:tcPr>
                <w:p w14:paraId="69DAEFE0">
                  <w:pPr>
                    <w:pStyle w:val="11"/>
                    <w:spacing w:after="0"/>
                    <w:ind w:left="0" w:leftChars="0"/>
                    <w:jc w:val="center"/>
                    <w:rPr>
                      <w:sz w:val="21"/>
                      <w:szCs w:val="21"/>
                    </w:rPr>
                  </w:pPr>
                  <w:r>
                    <w:rPr>
                      <w:sz w:val="21"/>
                      <w:szCs w:val="21"/>
                    </w:rPr>
                    <w:t>1</w:t>
                  </w:r>
                </w:p>
              </w:tc>
              <w:tc>
                <w:tcPr>
                  <w:tcW w:w="693" w:type="pct"/>
                  <w:vAlign w:val="center"/>
                </w:tcPr>
                <w:p w14:paraId="3E8F6E10">
                  <w:pPr>
                    <w:pStyle w:val="11"/>
                    <w:spacing w:after="0"/>
                    <w:ind w:left="0" w:leftChars="0"/>
                    <w:jc w:val="center"/>
                    <w:rPr>
                      <w:rFonts w:hint="eastAsia" w:eastAsia="宋体"/>
                      <w:sz w:val="21"/>
                      <w:szCs w:val="21"/>
                      <w:lang w:eastAsia="zh-CN"/>
                    </w:rPr>
                  </w:pPr>
                  <w:r>
                    <w:rPr>
                      <w:rFonts w:hint="eastAsia"/>
                      <w:sz w:val="21"/>
                      <w:szCs w:val="21"/>
                      <w:lang w:val="en-US" w:eastAsia="zh-CN"/>
                    </w:rPr>
                    <w:t>润滑油</w:t>
                  </w:r>
                </w:p>
              </w:tc>
              <w:tc>
                <w:tcPr>
                  <w:tcW w:w="945" w:type="pct"/>
                  <w:vAlign w:val="center"/>
                </w:tcPr>
                <w:p w14:paraId="7C9E5E29">
                  <w:pPr>
                    <w:pStyle w:val="11"/>
                    <w:spacing w:after="0"/>
                    <w:ind w:left="0" w:leftChars="0"/>
                    <w:jc w:val="center"/>
                    <w:rPr>
                      <w:rFonts w:hint="default" w:eastAsia="宋体"/>
                      <w:sz w:val="21"/>
                      <w:szCs w:val="21"/>
                      <w:lang w:val="en-US" w:eastAsia="zh-CN"/>
                    </w:rPr>
                  </w:pPr>
                  <w:r>
                    <w:rPr>
                      <w:rStyle w:val="28"/>
                      <w:rFonts w:hint="eastAsia"/>
                      <w:lang w:val="en-US" w:eastAsia="zh-CN"/>
                    </w:rPr>
                    <w:t>0.3</w:t>
                  </w:r>
                </w:p>
              </w:tc>
              <w:tc>
                <w:tcPr>
                  <w:tcW w:w="1165" w:type="pct"/>
                  <w:vAlign w:val="center"/>
                </w:tcPr>
                <w:p w14:paraId="28C27B5D">
                  <w:pPr>
                    <w:pStyle w:val="11"/>
                    <w:spacing w:after="0"/>
                    <w:ind w:left="0" w:leftChars="0"/>
                    <w:jc w:val="center"/>
                    <w:rPr>
                      <w:sz w:val="21"/>
                      <w:szCs w:val="21"/>
                    </w:rPr>
                  </w:pPr>
                  <w:r>
                    <w:rPr>
                      <w:rFonts w:hint="default"/>
                      <w:sz w:val="21"/>
                      <w:szCs w:val="21"/>
                    </w:rPr>
                    <w:t>0.04</w:t>
                  </w:r>
                </w:p>
              </w:tc>
              <w:tc>
                <w:tcPr>
                  <w:tcW w:w="828" w:type="pct"/>
                  <w:vAlign w:val="center"/>
                </w:tcPr>
                <w:p w14:paraId="4FD68A17">
                  <w:pPr>
                    <w:pStyle w:val="11"/>
                    <w:spacing w:after="0"/>
                    <w:ind w:left="0" w:leftChars="0"/>
                    <w:jc w:val="center"/>
                    <w:rPr>
                      <w:sz w:val="21"/>
                      <w:szCs w:val="21"/>
                    </w:rPr>
                  </w:pPr>
                  <w:r>
                    <w:rPr>
                      <w:sz w:val="21"/>
                      <w:szCs w:val="21"/>
                    </w:rPr>
                    <w:t>2500</w:t>
                  </w:r>
                </w:p>
              </w:tc>
              <w:tc>
                <w:tcPr>
                  <w:tcW w:w="710" w:type="pct"/>
                  <w:vAlign w:val="center"/>
                </w:tcPr>
                <w:p w14:paraId="3979AA57">
                  <w:pPr>
                    <w:pStyle w:val="11"/>
                    <w:spacing w:after="0"/>
                    <w:ind w:left="0" w:leftChars="0"/>
                    <w:jc w:val="center"/>
                    <w:rPr>
                      <w:rFonts w:hint="default" w:eastAsia="宋体"/>
                      <w:sz w:val="21"/>
                      <w:szCs w:val="21"/>
                      <w:lang w:val="en-US" w:eastAsia="zh-CN"/>
                    </w:rPr>
                  </w:pPr>
                  <w:r>
                    <w:rPr>
                      <w:sz w:val="21"/>
                      <w:szCs w:val="21"/>
                    </w:rPr>
                    <w:t>0.000</w:t>
                  </w:r>
                  <w:r>
                    <w:rPr>
                      <w:rFonts w:hint="eastAsia"/>
                      <w:sz w:val="21"/>
                      <w:szCs w:val="21"/>
                      <w:lang w:val="en-US" w:eastAsia="zh-CN"/>
                    </w:rPr>
                    <w:t>016</w:t>
                  </w:r>
                </w:p>
              </w:tc>
            </w:tr>
            <w:tr w14:paraId="32F5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pct"/>
                  <w:vAlign w:val="center"/>
                </w:tcPr>
                <w:p w14:paraId="51A3A1D1">
                  <w:pPr>
                    <w:pStyle w:val="11"/>
                    <w:spacing w:after="0"/>
                    <w:ind w:left="0" w:leftChars="0"/>
                    <w:jc w:val="center"/>
                    <w:rPr>
                      <w:rFonts w:hint="eastAsia" w:eastAsia="宋体"/>
                      <w:sz w:val="21"/>
                      <w:szCs w:val="21"/>
                      <w:lang w:val="en-US" w:eastAsia="zh-CN"/>
                    </w:rPr>
                  </w:pPr>
                  <w:r>
                    <w:rPr>
                      <w:rFonts w:hint="eastAsia"/>
                      <w:sz w:val="21"/>
                      <w:szCs w:val="21"/>
                      <w:lang w:val="en-US" w:eastAsia="zh-CN"/>
                    </w:rPr>
                    <w:t>2</w:t>
                  </w:r>
                </w:p>
              </w:tc>
              <w:tc>
                <w:tcPr>
                  <w:tcW w:w="693" w:type="pct"/>
                  <w:vAlign w:val="center"/>
                </w:tcPr>
                <w:p w14:paraId="3474DB2D">
                  <w:pPr>
                    <w:pStyle w:val="11"/>
                    <w:spacing w:after="0"/>
                    <w:ind w:left="0" w:leftChars="0"/>
                    <w:jc w:val="center"/>
                    <w:rPr>
                      <w:rFonts w:hint="default"/>
                      <w:sz w:val="21"/>
                      <w:szCs w:val="21"/>
                      <w:lang w:val="en-US" w:eastAsia="zh-CN"/>
                    </w:rPr>
                  </w:pPr>
                  <w:r>
                    <w:rPr>
                      <w:rFonts w:hint="eastAsia"/>
                      <w:sz w:val="21"/>
                      <w:szCs w:val="21"/>
                      <w:lang w:val="en-US" w:eastAsia="zh-CN"/>
                    </w:rPr>
                    <w:t>水性油墨</w:t>
                  </w:r>
                </w:p>
              </w:tc>
              <w:tc>
                <w:tcPr>
                  <w:tcW w:w="945" w:type="pct"/>
                  <w:vAlign w:val="center"/>
                </w:tcPr>
                <w:p w14:paraId="7EF3544E">
                  <w:pPr>
                    <w:pStyle w:val="11"/>
                    <w:spacing w:after="0"/>
                    <w:ind w:left="0" w:leftChars="0"/>
                    <w:jc w:val="center"/>
                    <w:rPr>
                      <w:rStyle w:val="28"/>
                      <w:rFonts w:hint="default"/>
                      <w:lang w:val="en-US" w:eastAsia="zh-CN"/>
                    </w:rPr>
                  </w:pPr>
                  <w:r>
                    <w:rPr>
                      <w:rStyle w:val="28"/>
                      <w:rFonts w:hint="eastAsia"/>
                      <w:lang w:val="en-US" w:eastAsia="zh-CN"/>
                    </w:rPr>
                    <w:t>8</w:t>
                  </w:r>
                </w:p>
              </w:tc>
              <w:tc>
                <w:tcPr>
                  <w:tcW w:w="1165" w:type="pct"/>
                  <w:vAlign w:val="center"/>
                </w:tcPr>
                <w:p w14:paraId="5D72DA35">
                  <w:pPr>
                    <w:pStyle w:val="11"/>
                    <w:spacing w:after="0"/>
                    <w:ind w:left="0" w:leftChars="0"/>
                    <w:jc w:val="center"/>
                    <w:rPr>
                      <w:rFonts w:hint="eastAsia" w:eastAsia="宋体"/>
                      <w:sz w:val="21"/>
                      <w:szCs w:val="21"/>
                      <w:lang w:val="en-US" w:eastAsia="zh-CN"/>
                    </w:rPr>
                  </w:pPr>
                  <w:r>
                    <w:rPr>
                      <w:rFonts w:hint="eastAsia"/>
                      <w:sz w:val="21"/>
                      <w:szCs w:val="21"/>
                      <w:lang w:val="en-US" w:eastAsia="zh-CN"/>
                    </w:rPr>
                    <w:t>1</w:t>
                  </w:r>
                </w:p>
              </w:tc>
              <w:tc>
                <w:tcPr>
                  <w:tcW w:w="828" w:type="pct"/>
                  <w:vAlign w:val="center"/>
                </w:tcPr>
                <w:p w14:paraId="341D7865">
                  <w:pPr>
                    <w:pStyle w:val="11"/>
                    <w:spacing w:after="0"/>
                    <w:ind w:left="0" w:leftChars="0"/>
                    <w:jc w:val="center"/>
                    <w:rPr>
                      <w:rFonts w:hint="default" w:eastAsia="宋体"/>
                      <w:sz w:val="21"/>
                      <w:szCs w:val="21"/>
                      <w:lang w:val="en-US" w:eastAsia="zh-CN"/>
                    </w:rPr>
                  </w:pPr>
                  <w:r>
                    <w:rPr>
                      <w:rFonts w:hint="eastAsia"/>
                      <w:sz w:val="21"/>
                      <w:szCs w:val="21"/>
                      <w:lang w:val="en-US" w:eastAsia="zh-CN"/>
                    </w:rPr>
                    <w:t>50</w:t>
                  </w:r>
                </w:p>
              </w:tc>
              <w:tc>
                <w:tcPr>
                  <w:tcW w:w="710" w:type="pct"/>
                  <w:vAlign w:val="center"/>
                </w:tcPr>
                <w:p w14:paraId="482B22DB">
                  <w:pPr>
                    <w:pStyle w:val="11"/>
                    <w:spacing w:after="0"/>
                    <w:ind w:left="0" w:leftChars="0"/>
                    <w:jc w:val="center"/>
                    <w:rPr>
                      <w:rFonts w:hint="default" w:eastAsia="宋体"/>
                      <w:sz w:val="21"/>
                      <w:szCs w:val="21"/>
                      <w:lang w:val="en-US" w:eastAsia="zh-CN"/>
                    </w:rPr>
                  </w:pPr>
                  <w:r>
                    <w:rPr>
                      <w:rFonts w:hint="eastAsia"/>
                      <w:sz w:val="21"/>
                      <w:szCs w:val="21"/>
                      <w:lang w:val="en-US" w:eastAsia="zh-CN"/>
                    </w:rPr>
                    <w:t>0.02</w:t>
                  </w:r>
                </w:p>
              </w:tc>
            </w:tr>
            <w:tr w14:paraId="68F9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pct"/>
                  <w:vAlign w:val="center"/>
                </w:tcPr>
                <w:p w14:paraId="6799CA99">
                  <w:pPr>
                    <w:pStyle w:val="11"/>
                    <w:spacing w:after="0"/>
                    <w:ind w:left="0" w:leftChars="0"/>
                    <w:jc w:val="center"/>
                    <w:rPr>
                      <w:rFonts w:hint="default"/>
                      <w:sz w:val="21"/>
                      <w:szCs w:val="21"/>
                      <w:lang w:val="en-US" w:eastAsia="zh-CN"/>
                    </w:rPr>
                  </w:pPr>
                  <w:r>
                    <w:rPr>
                      <w:rFonts w:hint="eastAsia"/>
                      <w:sz w:val="21"/>
                      <w:szCs w:val="21"/>
                      <w:lang w:val="en-US" w:eastAsia="zh-CN"/>
                    </w:rPr>
                    <w:t>3</w:t>
                  </w:r>
                </w:p>
              </w:tc>
              <w:tc>
                <w:tcPr>
                  <w:tcW w:w="693" w:type="pct"/>
                  <w:vAlign w:val="center"/>
                </w:tcPr>
                <w:p w14:paraId="120EE4A0">
                  <w:pPr>
                    <w:pStyle w:val="11"/>
                    <w:spacing w:after="0"/>
                    <w:ind w:left="0" w:leftChars="0"/>
                    <w:jc w:val="center"/>
                    <w:rPr>
                      <w:rFonts w:hint="eastAsia"/>
                      <w:sz w:val="21"/>
                      <w:szCs w:val="21"/>
                      <w:lang w:val="en-US" w:eastAsia="zh-CN"/>
                    </w:rPr>
                  </w:pPr>
                  <w:r>
                    <w:rPr>
                      <w:rFonts w:hint="eastAsia"/>
                      <w:sz w:val="21"/>
                      <w:szCs w:val="21"/>
                      <w:lang w:val="en-US" w:eastAsia="zh-CN"/>
                    </w:rPr>
                    <w:t>废润滑油</w:t>
                  </w:r>
                </w:p>
              </w:tc>
              <w:tc>
                <w:tcPr>
                  <w:tcW w:w="945" w:type="pct"/>
                  <w:vAlign w:val="center"/>
                </w:tcPr>
                <w:p w14:paraId="57A14DCE">
                  <w:pPr>
                    <w:pStyle w:val="11"/>
                    <w:spacing w:after="0"/>
                    <w:ind w:left="0" w:leftChars="0"/>
                    <w:jc w:val="center"/>
                    <w:rPr>
                      <w:rStyle w:val="28"/>
                      <w:rFonts w:hint="default"/>
                      <w:lang w:val="en-US" w:eastAsia="zh-CN"/>
                    </w:rPr>
                  </w:pPr>
                  <w:r>
                    <w:rPr>
                      <w:rStyle w:val="28"/>
                      <w:rFonts w:hint="eastAsia"/>
                      <w:lang w:val="en-US" w:eastAsia="zh-CN"/>
                    </w:rPr>
                    <w:t>/</w:t>
                  </w:r>
                </w:p>
              </w:tc>
              <w:tc>
                <w:tcPr>
                  <w:tcW w:w="1165" w:type="pct"/>
                  <w:vAlign w:val="center"/>
                </w:tcPr>
                <w:p w14:paraId="1E32CC40">
                  <w:pPr>
                    <w:pStyle w:val="11"/>
                    <w:spacing w:after="0"/>
                    <w:ind w:left="0" w:leftChars="0"/>
                    <w:jc w:val="center"/>
                    <w:rPr>
                      <w:rFonts w:hint="eastAsia"/>
                      <w:sz w:val="21"/>
                      <w:szCs w:val="21"/>
                      <w:lang w:val="en-US" w:eastAsia="zh-CN"/>
                    </w:rPr>
                  </w:pPr>
                  <w:r>
                    <w:rPr>
                      <w:rFonts w:hint="eastAsia" w:ascii="Times New Roman" w:hAnsi="Times New Roman" w:eastAsia="宋体" w:cs="Times New Roman"/>
                      <w:b w:val="0"/>
                      <w:bCs w:val="0"/>
                      <w:color w:val="auto"/>
                      <w:sz w:val="21"/>
                      <w:szCs w:val="21"/>
                      <w:vertAlign w:val="baseline"/>
                      <w:lang w:val="en-US" w:eastAsia="zh-CN"/>
                    </w:rPr>
                    <w:t>0.25</w:t>
                  </w:r>
                </w:p>
              </w:tc>
              <w:tc>
                <w:tcPr>
                  <w:tcW w:w="828" w:type="pct"/>
                  <w:vAlign w:val="center"/>
                </w:tcPr>
                <w:p w14:paraId="7F536EE2">
                  <w:pPr>
                    <w:pStyle w:val="11"/>
                    <w:spacing w:after="0"/>
                    <w:ind w:left="0" w:leftChars="0"/>
                    <w:jc w:val="center"/>
                    <w:rPr>
                      <w:rFonts w:hint="default"/>
                      <w:sz w:val="21"/>
                      <w:szCs w:val="21"/>
                      <w:lang w:val="en-US" w:eastAsia="zh-CN"/>
                    </w:rPr>
                  </w:pPr>
                  <w:r>
                    <w:rPr>
                      <w:rFonts w:hint="eastAsia"/>
                      <w:sz w:val="21"/>
                      <w:szCs w:val="21"/>
                      <w:lang w:val="en-US" w:eastAsia="zh-CN"/>
                    </w:rPr>
                    <w:t>50</w:t>
                  </w:r>
                </w:p>
              </w:tc>
              <w:tc>
                <w:tcPr>
                  <w:tcW w:w="710" w:type="pct"/>
                  <w:vAlign w:val="center"/>
                </w:tcPr>
                <w:p w14:paraId="762B5A23">
                  <w:pPr>
                    <w:pStyle w:val="11"/>
                    <w:spacing w:after="0"/>
                    <w:ind w:left="0" w:leftChars="0"/>
                    <w:jc w:val="center"/>
                    <w:rPr>
                      <w:rFonts w:hint="default"/>
                      <w:sz w:val="21"/>
                      <w:szCs w:val="21"/>
                      <w:lang w:val="en-US" w:eastAsia="zh-CN"/>
                    </w:rPr>
                  </w:pPr>
                  <w:r>
                    <w:rPr>
                      <w:rFonts w:hint="eastAsia"/>
                      <w:sz w:val="21"/>
                      <w:szCs w:val="21"/>
                      <w:lang w:val="en-US" w:eastAsia="zh-CN"/>
                    </w:rPr>
                    <w:t>0.005</w:t>
                  </w:r>
                </w:p>
              </w:tc>
            </w:tr>
          </w:tbl>
          <w:p w14:paraId="32753A21">
            <w:pPr>
              <w:pStyle w:val="20"/>
              <w:spacing w:before="0" w:beforeAutospacing="0" w:after="0" w:afterAutospacing="0" w:line="360" w:lineRule="auto"/>
              <w:ind w:firstLine="480" w:firstLineChars="200"/>
              <w:rPr>
                <w:rFonts w:ascii="Times New Roman" w:hAnsi="Times New Roman"/>
                <w:kern w:val="2"/>
                <w:szCs w:val="24"/>
              </w:rPr>
            </w:pPr>
            <w:r>
              <w:rPr>
                <w:rFonts w:ascii="Times New Roman" w:hAnsi="Times New Roman"/>
                <w:kern w:val="2"/>
                <w:szCs w:val="24"/>
              </w:rPr>
              <w:t>综上可知，本项目Q=0.0</w:t>
            </w:r>
            <w:r>
              <w:rPr>
                <w:rFonts w:hint="eastAsia" w:ascii="Times New Roman" w:hAnsi="Times New Roman"/>
                <w:kern w:val="2"/>
                <w:szCs w:val="24"/>
                <w:lang w:val="en-US" w:eastAsia="zh-CN"/>
              </w:rPr>
              <w:t>25</w:t>
            </w:r>
            <w:r>
              <w:rPr>
                <w:rFonts w:ascii="Times New Roman" w:hAnsi="Times New Roman"/>
                <w:kern w:val="2"/>
                <w:szCs w:val="24"/>
              </w:rPr>
              <w:t>&lt;1，该环节风险潜势为I，仅对环境风险进行简单分析。</w:t>
            </w:r>
          </w:p>
          <w:p w14:paraId="70664FA4">
            <w:pPr>
              <w:pStyle w:val="20"/>
              <w:spacing w:before="0" w:beforeAutospacing="0" w:after="0" w:afterAutospacing="0" w:line="360" w:lineRule="auto"/>
              <w:ind w:firstLine="482" w:firstLineChars="200"/>
              <w:rPr>
                <w:rFonts w:ascii="Times New Roman" w:hAnsi="Times New Roman"/>
                <w:b/>
                <w:kern w:val="2"/>
                <w:szCs w:val="24"/>
              </w:rPr>
            </w:pPr>
            <w:r>
              <w:rPr>
                <w:rFonts w:hint="eastAsia" w:ascii="Times New Roman" w:hAnsi="Times New Roman"/>
                <w:b/>
                <w:kern w:val="2"/>
                <w:szCs w:val="24"/>
                <w:lang w:eastAsia="zh-CN"/>
              </w:rPr>
              <w:t>（</w:t>
            </w:r>
            <w:r>
              <w:rPr>
                <w:rFonts w:hint="eastAsia" w:ascii="Times New Roman" w:hAnsi="Times New Roman"/>
                <w:b/>
                <w:kern w:val="2"/>
                <w:szCs w:val="24"/>
                <w:lang w:val="en-US" w:eastAsia="zh-CN"/>
              </w:rPr>
              <w:t>3）</w:t>
            </w:r>
            <w:r>
              <w:rPr>
                <w:rFonts w:ascii="Times New Roman" w:hAnsi="Times New Roman"/>
                <w:b/>
                <w:kern w:val="2"/>
                <w:szCs w:val="24"/>
              </w:rPr>
              <w:t>环境风险分析</w:t>
            </w:r>
          </w:p>
          <w:p w14:paraId="7FB1D822">
            <w:pPr>
              <w:pStyle w:val="20"/>
              <w:spacing w:before="0" w:beforeAutospacing="0" w:after="0" w:afterAutospacing="0" w:line="360" w:lineRule="auto"/>
              <w:ind w:firstLine="480" w:firstLineChars="200"/>
              <w:rPr>
                <w:rFonts w:ascii="Times New Roman" w:hAnsi="Times New Roman"/>
              </w:rPr>
            </w:pPr>
            <w:r>
              <w:rPr>
                <w:rFonts w:ascii="Times New Roman" w:hAnsi="Times New Roman"/>
              </w:rPr>
              <w:t>1）环境风险识别</w:t>
            </w:r>
          </w:p>
          <w:p w14:paraId="14CFE0B2">
            <w:pPr>
              <w:pStyle w:val="20"/>
              <w:spacing w:before="0" w:beforeAutospacing="0" w:after="0" w:afterAutospacing="0" w:line="360" w:lineRule="auto"/>
              <w:ind w:firstLine="480" w:firstLineChars="200"/>
              <w:rPr>
                <w:rFonts w:ascii="Times New Roman" w:hAnsi="Times New Roman"/>
              </w:rPr>
            </w:pPr>
            <w:r>
              <w:rPr>
                <w:rFonts w:ascii="Times New Roman" w:hAnsi="Times New Roman"/>
              </w:rPr>
              <w:t>本项目所使用的</w:t>
            </w:r>
            <w:r>
              <w:rPr>
                <w:rFonts w:hint="eastAsia" w:ascii="Times New Roman" w:hAnsi="Times New Roman"/>
                <w:lang w:val="en-US" w:eastAsia="zh-CN"/>
              </w:rPr>
              <w:t>润滑油</w:t>
            </w:r>
            <w:r>
              <w:rPr>
                <w:rFonts w:ascii="Times New Roman" w:hAnsi="Times New Roman"/>
              </w:rPr>
              <w:t>属</w:t>
            </w:r>
            <w:r>
              <w:rPr>
                <w:rFonts w:hint="eastAsia" w:ascii="Times New Roman" w:hAnsi="Times New Roman"/>
              </w:rPr>
              <w:t>于可燃</w:t>
            </w:r>
            <w:r>
              <w:rPr>
                <w:rFonts w:ascii="Times New Roman" w:hAnsi="Times New Roman"/>
              </w:rPr>
              <w:t>物质，遇明火或高热有发生燃烧或火灾的风险。</w:t>
            </w:r>
            <w:r>
              <w:rPr>
                <w:rFonts w:hint="eastAsia" w:ascii="Times New Roman" w:hAnsi="Times New Roman"/>
                <w:lang w:val="en-US" w:eastAsia="zh-CN"/>
              </w:rPr>
              <w:t>润滑油</w:t>
            </w:r>
            <w:r>
              <w:rPr>
                <w:rFonts w:ascii="Times New Roman" w:hAnsi="Times New Roman"/>
              </w:rPr>
              <w:t>及使用后的</w:t>
            </w:r>
            <w:r>
              <w:rPr>
                <w:rFonts w:hint="eastAsia" w:ascii="Times New Roman" w:hAnsi="Times New Roman"/>
                <w:lang w:val="en-US" w:eastAsia="zh-CN"/>
              </w:rPr>
              <w:t>废润滑油</w:t>
            </w:r>
            <w:r>
              <w:rPr>
                <w:rFonts w:ascii="Times New Roman" w:hAnsi="Times New Roman"/>
              </w:rPr>
              <w:t>、废油桶</w:t>
            </w:r>
            <w:r>
              <w:rPr>
                <w:rFonts w:hint="eastAsia" w:ascii="Times New Roman" w:hAnsi="Times New Roman"/>
                <w:lang w:eastAsia="zh-CN"/>
              </w:rPr>
              <w:t>、</w:t>
            </w:r>
            <w:r>
              <w:rPr>
                <w:rFonts w:hint="eastAsia" w:ascii="Times New Roman" w:hAnsi="Times New Roman"/>
                <w:lang w:val="en-US" w:eastAsia="zh-CN"/>
              </w:rPr>
              <w:t>废包装桶、废活性炭</w:t>
            </w:r>
            <w:r>
              <w:rPr>
                <w:rFonts w:ascii="Times New Roman" w:hAnsi="Times New Roman"/>
              </w:rPr>
              <w:t>需要集中收集暂存在危废暂存间内，在贮存、转运过程中可能会发生泄露，从而造成</w:t>
            </w:r>
            <w:r>
              <w:rPr>
                <w:rFonts w:hint="eastAsia" w:ascii="Times New Roman" w:hAnsi="Times New Roman"/>
              </w:rPr>
              <w:t>土壤和地下水</w:t>
            </w:r>
            <w:r>
              <w:rPr>
                <w:rFonts w:ascii="Times New Roman" w:hAnsi="Times New Roman"/>
              </w:rPr>
              <w:t>污染。</w:t>
            </w:r>
          </w:p>
          <w:p w14:paraId="58EA5BD3">
            <w:pPr>
              <w:pStyle w:val="20"/>
              <w:spacing w:before="0" w:beforeAutospacing="0" w:after="0" w:afterAutospacing="0" w:line="360" w:lineRule="auto"/>
              <w:ind w:firstLine="480" w:firstLineChars="200"/>
              <w:rPr>
                <w:rFonts w:ascii="Times New Roman" w:hAnsi="Times New Roman"/>
                <w:kern w:val="2"/>
                <w:szCs w:val="24"/>
              </w:rPr>
            </w:pPr>
            <w:r>
              <w:rPr>
                <w:rFonts w:ascii="Times New Roman" w:hAnsi="Times New Roman"/>
                <w:kern w:val="2"/>
                <w:szCs w:val="24"/>
              </w:rPr>
              <w:t>2）环境风险防范措施</w:t>
            </w:r>
          </w:p>
          <w:p w14:paraId="37910F18">
            <w:pPr>
              <w:pStyle w:val="20"/>
              <w:spacing w:before="0" w:beforeAutospacing="0" w:after="0" w:afterAutospacing="0" w:line="360" w:lineRule="auto"/>
              <w:ind w:firstLine="480" w:firstLineChars="200"/>
              <w:rPr>
                <w:rFonts w:ascii="Times New Roman" w:hAnsi="Times New Roman"/>
                <w:bCs/>
                <w:szCs w:val="24"/>
              </w:rPr>
            </w:pPr>
            <w:r>
              <w:rPr>
                <w:rFonts w:ascii="Times New Roman" w:hAnsi="Times New Roman"/>
                <w:kern w:val="2"/>
                <w:szCs w:val="24"/>
              </w:rPr>
              <w:t>①原料贮存过程风险防范：原料在贮存期间定期养护，控制好贮存场所的温度和湿度，做好防火措施；装卸、搬运时应轻装轻卸，注意自我的防护。要严格遵守有关贮存的安全规定，具体包括《仓库起火安全管理规则》、《建筑设计防火规范》、《易燃易爆化学物品消防安全监督管理办法》等。</w:t>
            </w:r>
          </w:p>
          <w:p w14:paraId="146FAFB0">
            <w:pPr>
              <w:pStyle w:val="20"/>
              <w:spacing w:before="0" w:beforeAutospacing="0" w:after="0" w:afterAutospacing="0" w:line="360" w:lineRule="auto"/>
              <w:ind w:firstLine="480" w:firstLineChars="200"/>
              <w:rPr>
                <w:rFonts w:ascii="Times New Roman" w:hAnsi="Times New Roman"/>
                <w:kern w:val="2"/>
                <w:szCs w:val="24"/>
              </w:rPr>
            </w:pPr>
            <w:r>
              <w:rPr>
                <w:rFonts w:ascii="Times New Roman" w:hAnsi="Times New Roman"/>
                <w:kern w:val="2"/>
                <w:szCs w:val="24"/>
              </w:rPr>
              <w:t>②消防、火灾报警系统：根据《建筑设计防火规范》，车间消防耐火等级不低于三级，生产车间的火灾危险性为丙类，凡禁火区均设置明显标志牌；安全出口及安全疏散距离应符合《建筑设计防火规范》（GB 50016-2014）2018修订版要求；各种易燃易爆物料均储存在阴凉、通风处，远离火源；安放易发生爆炸设备的房间，不允许任何人员随便入内，操作全部在控制室进行；安全出口及安全疏散距离应符合《建筑设计防火规范》（GB 50016-2014）2018修订版的要求；消防水是独立的稳高压消防水管网，消防水管道沿装置及辅助生产设施周围布置，在管道上按照规范要求配置消火栓；火灾报警系统：全厂采用电话报警，报警至消防局。</w:t>
            </w:r>
          </w:p>
          <w:p w14:paraId="5C5B5579">
            <w:pPr>
              <w:pStyle w:val="20"/>
              <w:spacing w:before="0" w:beforeAutospacing="0" w:after="0" w:afterAutospacing="0" w:line="360" w:lineRule="auto"/>
              <w:ind w:firstLine="480" w:firstLineChars="200"/>
              <w:rPr>
                <w:rFonts w:ascii="Times New Roman" w:hAnsi="Times New Roman"/>
                <w:kern w:val="2"/>
                <w:szCs w:val="24"/>
              </w:rPr>
            </w:pPr>
            <w:r>
              <w:rPr>
                <w:rFonts w:ascii="Times New Roman" w:hAnsi="Times New Roman"/>
                <w:kern w:val="2"/>
                <w:szCs w:val="24"/>
              </w:rPr>
              <w:t>③火灾和爆炸等防范措施：仓库、堆场、危废暂存间等区域配备防火器材，严禁易燃原料与易燃易爆品混存；厂房内加强通风换气，预留足够的安全距离，同时有利于火灾扑救和人员疏散；严禁吸烟、携带火种，需要提醒人员注意的地点均应按标准设置各种安全标志，车间与库房存放灭火器，一旦发生事故，随时取用灭火；宜用防爆型电气设备，不可接用临时电源；实行安全检查制度，进行各种日常的、定期的、专用的防火安全检查，便于及时发现问题并落实整改；对员工普及烧伤急救知识及防范急救知识，定期进行安全教育和安全生产培训，不断提高员工灭火操作技能和安全生产规程。</w:t>
            </w:r>
          </w:p>
          <w:p w14:paraId="2686A135">
            <w:pPr>
              <w:pStyle w:val="20"/>
              <w:spacing w:before="0" w:beforeAutospacing="0" w:after="0" w:afterAutospacing="0" w:line="360" w:lineRule="auto"/>
              <w:ind w:firstLine="480" w:firstLineChars="200"/>
              <w:rPr>
                <w:rFonts w:ascii="Times New Roman" w:hAnsi="Times New Roman"/>
                <w:kern w:val="2"/>
                <w:szCs w:val="24"/>
              </w:rPr>
            </w:pPr>
            <w:r>
              <w:rPr>
                <w:rFonts w:ascii="Times New Roman" w:hAnsi="Times New Roman"/>
                <w:kern w:val="2"/>
                <w:szCs w:val="24"/>
              </w:rPr>
              <w:t>④固体废物事故风险防范措施：在收集过程中要根据固体废物的性质进行收集和临时贮存；厂内应设置专门的一般固废暂存间，以便贮存不能及时送出处理的固废，避免在露天堆放中产生的泄漏、渗透、蒸发、雨水淋溶以及大风吹扬等产生二次污染。危险废物收集后暂存在危废暂存间，地面需进行防渗处理，防止废机油意外泄露对土壤及地下水造成影响；装载容器及容器的材质要满足相应强度要求，并必须完整无损；运输过程中要注意不同的危险废物要单独运输，固废的包装容器要注意密闭，以免在运输途中发生危险废物的泄漏，从而产生二次污染。</w:t>
            </w:r>
          </w:p>
          <w:p w14:paraId="7E0BF478">
            <w:pPr>
              <w:pStyle w:val="20"/>
              <w:spacing w:before="0" w:beforeAutospacing="0" w:after="0" w:afterAutospacing="0" w:line="360" w:lineRule="auto"/>
              <w:ind w:firstLine="480" w:firstLineChars="200"/>
              <w:rPr>
                <w:rFonts w:ascii="Times New Roman" w:hAnsi="Times New Roman"/>
                <w:kern w:val="2"/>
                <w:szCs w:val="24"/>
              </w:rPr>
            </w:pPr>
            <w:r>
              <w:rPr>
                <w:rFonts w:ascii="Times New Roman" w:hAnsi="Times New Roman"/>
                <w:kern w:val="2"/>
                <w:szCs w:val="24"/>
              </w:rPr>
              <w:t>⑤总图布置防范措施：在总平面布置中配套建设应急救援设施、救援通道、应急疏散避难所等防护设施。按《安全标志》规定设置有关的安全标志。</w:t>
            </w:r>
          </w:p>
          <w:p w14:paraId="05210C02">
            <w:pPr>
              <w:pStyle w:val="20"/>
              <w:spacing w:before="0" w:beforeAutospacing="0" w:after="0" w:afterAutospacing="0" w:line="360" w:lineRule="auto"/>
              <w:ind w:firstLine="480" w:firstLineChars="200"/>
              <w:rPr>
                <w:rFonts w:ascii="Times New Roman" w:hAnsi="Times New Roman"/>
                <w:kern w:val="2"/>
                <w:szCs w:val="24"/>
              </w:rPr>
            </w:pPr>
            <w:r>
              <w:rPr>
                <w:rFonts w:ascii="Times New Roman" w:hAnsi="Times New Roman"/>
                <w:kern w:val="2"/>
                <w:szCs w:val="24"/>
              </w:rPr>
              <w:t>⑥废气事故应急措施：在日常生产中，必须加强环保设备运作管理，对有机废气处理装置必须定期进行例行检查，以确保在生产过程中对有机废气的收集效率、吸附效率，一旦发生故障应立即停产排查整修后再行生产。此外，还应设置监测采样口，方</w:t>
            </w:r>
            <w:r>
              <w:rPr>
                <w:rFonts w:ascii="Times New Roman" w:hAnsi="Times New Roman"/>
                <w:szCs w:val="24"/>
              </w:rPr>
              <w:t>便抽样检测有机废气的产排情况，这样可以较快地发现废气的排放达标与否，一旦发现出现超标排放，即停机进行环保设备维护；根据《</w:t>
            </w:r>
            <w:r>
              <w:rPr>
                <w:rFonts w:hint="eastAsia" w:ascii="Times New Roman" w:hAnsi="Times New Roman"/>
                <w:szCs w:val="24"/>
              </w:rPr>
              <w:t>排污单位污染物排放口监测点位设置技术规范</w:t>
            </w:r>
            <w:r>
              <w:rPr>
                <w:rFonts w:ascii="Times New Roman" w:hAnsi="Times New Roman"/>
                <w:szCs w:val="24"/>
              </w:rPr>
              <w:t>》</w:t>
            </w:r>
            <w:r>
              <w:rPr>
                <w:rFonts w:hint="eastAsia" w:ascii="Times New Roman" w:hAnsi="Times New Roman"/>
                <w:szCs w:val="24"/>
                <w:lang w:eastAsia="zh-CN"/>
              </w:rPr>
              <w:t>（</w:t>
            </w:r>
            <w:r>
              <w:rPr>
                <w:rFonts w:ascii="Times New Roman" w:hAnsi="Times New Roman"/>
                <w:szCs w:val="24"/>
              </w:rPr>
              <w:t>HJ</w:t>
            </w:r>
            <w:r>
              <w:rPr>
                <w:rFonts w:hint="eastAsia" w:ascii="Times New Roman" w:hAnsi="Times New Roman"/>
                <w:szCs w:val="24"/>
                <w:lang w:val="en-US" w:eastAsia="zh-CN"/>
              </w:rPr>
              <w:t>1405</w:t>
            </w:r>
            <w:r>
              <w:rPr>
                <w:rFonts w:ascii="Times New Roman" w:hAnsi="Times New Roman"/>
                <w:szCs w:val="24"/>
              </w:rPr>
              <w:t>-20</w:t>
            </w:r>
            <w:r>
              <w:rPr>
                <w:rFonts w:hint="eastAsia" w:ascii="Times New Roman" w:hAnsi="Times New Roman"/>
                <w:szCs w:val="24"/>
                <w:lang w:val="en-US" w:eastAsia="zh-CN"/>
              </w:rPr>
              <w:t>24</w:t>
            </w:r>
            <w:r>
              <w:rPr>
                <w:rFonts w:ascii="Times New Roman" w:hAnsi="Times New Roman"/>
                <w:szCs w:val="24"/>
              </w:rPr>
              <w:t>）规定：采样位置应避开对测试人员操作有危险的场所；采样位置应优先选择在垂直管段，应避开烟道弯头和断面急剧变化的部位。，其按照气流方向的上游距离弯头、阀门、变径管 ≥4倍烟道直径，其下游距离上述部件≥2倍烟道直径；。排气筒出口处视为变径。对于矩形排气筒/烟 道，以当量直径计。</w:t>
            </w:r>
          </w:p>
          <w:p w14:paraId="2158A2C6">
            <w:pPr>
              <w:spacing w:line="360" w:lineRule="auto"/>
              <w:ind w:firstLine="480" w:firstLineChars="200"/>
              <w:rPr>
                <w:sz w:val="24"/>
              </w:rPr>
            </w:pPr>
            <w:r>
              <w:rPr>
                <w:sz w:val="24"/>
              </w:rPr>
              <w:t>⑦应急预案：根据《中华人民共和国环境保护法》、《中华人民共和国突发事件应对法》、《突发环境事件应急预案管理暂行办法》、《企业事业单位突发环境事件应急预案备案管理办法（试行）》、《安徽省人民政府办公厅关于印发安徽省突发环境事件应急预案的通知》（皖政办秘（2016）32号）等相关法律法规、标准规范的要求，结合《建设项目环境风险评价技术导则》（HJ169-2018）的相关要求，制定本项目突发环境事件应急预案，并报环境保护主管部门备案，组织定期演练。《建设项目环境风险评价技术导则》（HJ169-2018）中突发环境事件应急预案编制要求；按照国家、地方和相关部门要求，提出企业突发环境事件应急预案编制或完善的原则要求，包括预案适用范围、环境事件分类与分级、组织机构与职责、监控和预警、应急响应、应急保障、善后处置、预案管理与演练等内容；明确企业、园区/区域、地方政府环境风险应急体系；企业突发环境应急预案应体现分级响应、区域联动的原则、与地方政府突发环境事件应急预案相衔接，明确分级响应程序；按照环境应急预案，建设单位应定期组织不同类型的环境应急实战演练，提高防范和处置突发环境事件的能力；建设单位应加强环境保护科普宣传教育工作，普及环境污染事件预防常识，增加公众的防范意识；为保障环境应急体系始终处于良好的状态，建设单位应在环境应急能力评价体系中实行自上而下的监督、检查和考核机制。</w:t>
            </w:r>
          </w:p>
          <w:p w14:paraId="5F86223F">
            <w:pPr>
              <w:spacing w:line="360" w:lineRule="auto"/>
              <w:ind w:firstLine="482" w:firstLineChars="200"/>
              <w:rPr>
                <w:b/>
                <w:bCs/>
                <w:sz w:val="24"/>
              </w:rPr>
            </w:pPr>
            <w:r>
              <w:rPr>
                <w:b/>
                <w:bCs/>
                <w:sz w:val="24"/>
              </w:rPr>
              <w:t>7、环境管理</w:t>
            </w:r>
          </w:p>
          <w:p w14:paraId="286BD48F">
            <w:pPr>
              <w:spacing w:line="360" w:lineRule="auto"/>
              <w:ind w:firstLine="480" w:firstLineChars="200"/>
              <w:rPr>
                <w:sz w:val="24"/>
              </w:rPr>
            </w:pPr>
            <w:r>
              <w:rPr>
                <w:sz w:val="24"/>
              </w:rPr>
              <w:t>（1）环境管理</w:t>
            </w:r>
          </w:p>
          <w:p w14:paraId="5D09FE12">
            <w:pPr>
              <w:spacing w:line="360" w:lineRule="auto"/>
              <w:ind w:firstLine="480" w:firstLineChars="200"/>
              <w:rPr>
                <w:sz w:val="24"/>
              </w:rPr>
            </w:pPr>
            <w:r>
              <w:rPr>
                <w:sz w:val="24"/>
              </w:rPr>
              <w:t>①环境管理机构</w:t>
            </w:r>
          </w:p>
          <w:p w14:paraId="3768FC0F">
            <w:pPr>
              <w:spacing w:line="360" w:lineRule="auto"/>
              <w:ind w:firstLine="480" w:firstLineChars="200"/>
              <w:rPr>
                <w:sz w:val="24"/>
              </w:rPr>
            </w:pPr>
            <w:r>
              <w:rPr>
                <w:sz w:val="24"/>
              </w:rPr>
              <w:t>根据我国有关环保法规的规定，企业内应设置环境保护管理机构，配备专职人员和必要的监测仪器。其基本任务是负责企业的环境管理、环境监测和事故应急处理。并逐步完善环境管理制度，以便使环境管理工作走上正规化、科学化的轨道。专职管理人员的主要职责是：</w:t>
            </w:r>
          </w:p>
          <w:p w14:paraId="670A0090">
            <w:pPr>
              <w:spacing w:line="360" w:lineRule="auto"/>
              <w:ind w:firstLine="480" w:firstLineChars="200"/>
              <w:rPr>
                <w:sz w:val="24"/>
              </w:rPr>
            </w:pPr>
            <w:r>
              <w:rPr>
                <w:sz w:val="24"/>
              </w:rPr>
              <w:t>a.贯彻执行环境保护法规和标准；</w:t>
            </w:r>
          </w:p>
          <w:p w14:paraId="631D8109">
            <w:pPr>
              <w:spacing w:line="360" w:lineRule="auto"/>
              <w:ind w:firstLine="480" w:firstLineChars="200"/>
              <w:rPr>
                <w:sz w:val="24"/>
              </w:rPr>
            </w:pPr>
            <w:r>
              <w:rPr>
                <w:sz w:val="24"/>
              </w:rPr>
              <w:t>b.组织制定和修改企业的日常环境管理制度并负责监督执行；</w:t>
            </w:r>
          </w:p>
          <w:p w14:paraId="177B041C">
            <w:pPr>
              <w:spacing w:line="360" w:lineRule="auto"/>
              <w:ind w:firstLine="480" w:firstLineChars="200"/>
              <w:rPr>
                <w:sz w:val="24"/>
              </w:rPr>
            </w:pPr>
            <w:r>
              <w:rPr>
                <w:sz w:val="24"/>
              </w:rPr>
              <w:t>c.制定并组织实施企业环境保护规划和计划；</w:t>
            </w:r>
          </w:p>
          <w:p w14:paraId="23DB2520">
            <w:pPr>
              <w:spacing w:line="360" w:lineRule="auto"/>
              <w:ind w:firstLine="480" w:firstLineChars="200"/>
              <w:rPr>
                <w:sz w:val="24"/>
              </w:rPr>
            </w:pPr>
            <w:r>
              <w:rPr>
                <w:sz w:val="24"/>
              </w:rPr>
              <w:t>d.开展企业日常的环境监测工作、负责整理和统计企业污染源资料、日常监测资料，并及时上报地方生态环境部门；</w:t>
            </w:r>
          </w:p>
          <w:p w14:paraId="2B634891">
            <w:pPr>
              <w:spacing w:line="360" w:lineRule="auto"/>
              <w:ind w:firstLine="480" w:firstLineChars="200"/>
              <w:rPr>
                <w:sz w:val="24"/>
              </w:rPr>
            </w:pPr>
            <w:r>
              <w:rPr>
                <w:sz w:val="24"/>
              </w:rPr>
              <w:t>e.检查企业环境保护设施的运行情况；</w:t>
            </w:r>
          </w:p>
          <w:p w14:paraId="2F2AF20E">
            <w:pPr>
              <w:spacing w:line="360" w:lineRule="auto"/>
              <w:ind w:firstLine="480" w:firstLineChars="200"/>
              <w:rPr>
                <w:sz w:val="24"/>
              </w:rPr>
            </w:pPr>
            <w:r>
              <w:rPr>
                <w:sz w:val="24"/>
              </w:rPr>
              <w:t>f.做好污染物产排、环保设施运行等环境管理台账；</w:t>
            </w:r>
          </w:p>
          <w:p w14:paraId="06E6BBC7">
            <w:pPr>
              <w:spacing w:line="360" w:lineRule="auto"/>
              <w:ind w:firstLine="480" w:firstLineChars="200"/>
              <w:rPr>
                <w:sz w:val="24"/>
              </w:rPr>
            </w:pPr>
            <w:r>
              <w:rPr>
                <w:sz w:val="24"/>
              </w:rPr>
              <w:t>g.落实企业污染物排放许可。加强对污染治理设施、治理效果以及治理后的污染物排放状况的监测检查；</w:t>
            </w:r>
          </w:p>
          <w:p w14:paraId="4A5513AD">
            <w:pPr>
              <w:spacing w:line="360" w:lineRule="auto"/>
              <w:ind w:firstLine="480" w:firstLineChars="200"/>
              <w:rPr>
                <w:sz w:val="24"/>
              </w:rPr>
            </w:pPr>
            <w:r>
              <w:rPr>
                <w:sz w:val="24"/>
              </w:rPr>
              <w:t>h.组织开展企业的环保宣传工作及环保专业技术培训，用以提高全体员工环境保护意识及素质水平。</w:t>
            </w:r>
          </w:p>
          <w:p w14:paraId="3C67DC20">
            <w:pPr>
              <w:spacing w:line="360" w:lineRule="auto"/>
              <w:ind w:firstLine="480" w:firstLineChars="200"/>
              <w:rPr>
                <w:sz w:val="24"/>
              </w:rPr>
            </w:pPr>
            <w:r>
              <w:rPr>
                <w:sz w:val="24"/>
              </w:rPr>
              <w:t>②环保管理制度的建立</w:t>
            </w:r>
          </w:p>
          <w:p w14:paraId="02379600">
            <w:pPr>
              <w:spacing w:line="360" w:lineRule="auto"/>
              <w:ind w:firstLine="480" w:firstLineChars="200"/>
              <w:rPr>
                <w:sz w:val="24"/>
              </w:rPr>
            </w:pPr>
            <w:r>
              <w:rPr>
                <w:sz w:val="24"/>
              </w:rPr>
              <w:t>企业应建立健全环境管理制度体系，将环保纳入考核体系，确保在日常运行中将环保目标落实到实处。</w:t>
            </w:r>
          </w:p>
          <w:p w14:paraId="73B6C104">
            <w:pPr>
              <w:spacing w:line="360" w:lineRule="auto"/>
              <w:ind w:firstLine="480" w:firstLineChars="200"/>
              <w:rPr>
                <w:sz w:val="24"/>
              </w:rPr>
            </w:pPr>
            <w:r>
              <w:rPr>
                <w:sz w:val="24"/>
              </w:rPr>
              <w:t>a.</w:t>
            </w:r>
            <w:r>
              <w:rPr>
                <w:rFonts w:hint="eastAsia" w:ascii="宋体" w:hAnsi="宋体" w:cs="宋体"/>
                <w:sz w:val="24"/>
              </w:rPr>
              <w:t>“</w:t>
            </w:r>
            <w:r>
              <w:rPr>
                <w:sz w:val="24"/>
              </w:rPr>
              <w:t>三同时</w:t>
            </w:r>
            <w:r>
              <w:rPr>
                <w:rFonts w:hint="eastAsia" w:ascii="宋体" w:hAnsi="宋体" w:cs="宋体"/>
                <w:sz w:val="24"/>
              </w:rPr>
              <w:t>”</w:t>
            </w:r>
            <w:r>
              <w:rPr>
                <w:sz w:val="24"/>
              </w:rPr>
              <w:t>制度</w:t>
            </w:r>
          </w:p>
          <w:p w14:paraId="31599DA8">
            <w:pPr>
              <w:spacing w:line="360" w:lineRule="auto"/>
              <w:ind w:firstLine="480" w:firstLineChars="200"/>
              <w:rPr>
                <w:sz w:val="24"/>
              </w:rPr>
            </w:pPr>
            <w:r>
              <w:rPr>
                <w:sz w:val="24"/>
              </w:rPr>
              <w:t>根据《建设项目环境保护管理条例》，建设项目需要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本项目配套建设的环境保护设施经验收合格，方可投入生产或者使用。</w:t>
            </w:r>
          </w:p>
          <w:p w14:paraId="79C8EC91">
            <w:pPr>
              <w:spacing w:line="360" w:lineRule="auto"/>
              <w:ind w:firstLine="480" w:firstLineChars="200"/>
              <w:rPr>
                <w:sz w:val="24"/>
              </w:rPr>
            </w:pPr>
            <w:r>
              <w:rPr>
                <w:sz w:val="24"/>
              </w:rPr>
              <w:t>b.排污许可证制度</w:t>
            </w:r>
          </w:p>
          <w:p w14:paraId="47B6F8B0">
            <w:pPr>
              <w:spacing w:line="360" w:lineRule="auto"/>
              <w:ind w:firstLine="480" w:firstLineChars="200"/>
              <w:rPr>
                <w:sz w:val="24"/>
              </w:rPr>
            </w:pPr>
            <w:r>
              <w:rPr>
                <w:sz w:val="24"/>
              </w:rPr>
              <w:t>根据《排污许可管理办法（试行）》（环境保护部令48号）的要求，排污单位应当依法持有排污许可证，并按照排污许可证的规定排放污染物；纳入固定污染源排污许可分类管理名录的企业事业单位和其他生产经营者（以下简称排污单位）应当按照规定的时限申请并取得排污许可证；未纳入固定污染源排污许可分类管理名录的排污单位，暂不需申请排污许可证。</w:t>
            </w:r>
          </w:p>
          <w:p w14:paraId="552C5411">
            <w:pPr>
              <w:spacing w:line="360" w:lineRule="auto"/>
              <w:ind w:firstLine="480" w:firstLineChars="200"/>
              <w:rPr>
                <w:color w:val="FF0000"/>
                <w:sz w:val="24"/>
              </w:rPr>
            </w:pPr>
            <w:r>
              <w:rPr>
                <w:sz w:val="24"/>
              </w:rPr>
              <w:t>根据《固定污染源排污许可分类管理名录（2019年版）》，国家根据排放污染物的企业事业单位和其他生产经营者（以下简称排污单位）污染物产生量、排放量、对环境的影响程度等因素，实行排污许可重点管理、简化管理和登记管理。本项目属于</w:t>
            </w:r>
            <w:r>
              <w:rPr>
                <w:rFonts w:hint="eastAsia" w:ascii="宋体" w:hAnsi="宋体" w:cs="宋体"/>
                <w:kern w:val="0"/>
                <w:sz w:val="24"/>
              </w:rPr>
              <w:t>“</w:t>
            </w:r>
            <w:r>
              <w:rPr>
                <w:rFonts w:hint="eastAsia"/>
                <w:sz w:val="24"/>
              </w:rPr>
              <w:t>C292塑料制品业</w:t>
            </w:r>
            <w:r>
              <w:rPr>
                <w:rFonts w:hint="eastAsia" w:ascii="宋体" w:hAnsi="宋体" w:cs="宋体"/>
                <w:kern w:val="0"/>
                <w:sz w:val="24"/>
              </w:rPr>
              <w:t>”</w:t>
            </w:r>
            <w:r>
              <w:rPr>
                <w:sz w:val="24"/>
              </w:rPr>
              <w:t>，经查阅《固定污染源排污许可分类管理名录（2019年版）》可知，本项目属于</w:t>
            </w:r>
            <w:r>
              <w:rPr>
                <w:rFonts w:hint="eastAsia" w:ascii="宋体" w:hAnsi="宋体" w:cs="宋体"/>
                <w:sz w:val="24"/>
              </w:rPr>
              <w:t>“</w:t>
            </w:r>
            <w:r>
              <w:rPr>
                <w:sz w:val="24"/>
              </w:rPr>
              <w:t>简化管理</w:t>
            </w:r>
            <w:r>
              <w:rPr>
                <w:rFonts w:hint="eastAsia" w:ascii="宋体" w:hAnsi="宋体" w:cs="宋体"/>
                <w:sz w:val="24"/>
              </w:rPr>
              <w:t>”</w:t>
            </w:r>
            <w:r>
              <w:rPr>
                <w:sz w:val="24"/>
              </w:rPr>
              <w:t>。同时应当在启动生产设备或者发生实际排污之前按《排污许可证申请与核发技术规范 总则》（HJ942-2018）中的要求申请排污许可证。</w:t>
            </w:r>
          </w:p>
          <w:p w14:paraId="7D2B7DA0">
            <w:pPr>
              <w:spacing w:line="360" w:lineRule="auto"/>
              <w:ind w:firstLine="480" w:firstLineChars="200"/>
              <w:rPr>
                <w:sz w:val="24"/>
              </w:rPr>
            </w:pPr>
            <w:r>
              <w:rPr>
                <w:sz w:val="24"/>
              </w:rPr>
              <w:t>c.环保台账制度</w:t>
            </w:r>
          </w:p>
          <w:p w14:paraId="4627C224">
            <w:pPr>
              <w:spacing w:line="360" w:lineRule="auto"/>
              <w:ind w:firstLine="480" w:firstLineChars="200"/>
              <w:rPr>
                <w:sz w:val="24"/>
              </w:rPr>
            </w:pPr>
            <w:r>
              <w:rPr>
                <w:sz w:val="24"/>
              </w:rPr>
              <w:t>厂内需完善记录制度和档案保存制度，有利于环境管理质量的追踪和持续改进；记录和台帐包括设施运行和维护记录、危险废物进出台帐、废水、废气污染物监测台帐、突发性事件的处理、调查记录等，妥善保存所有记录、台帐及污染物排放监测资料、环境管理档案资料等。</w:t>
            </w:r>
          </w:p>
          <w:p w14:paraId="2FCB554E">
            <w:pPr>
              <w:spacing w:line="360" w:lineRule="auto"/>
              <w:ind w:firstLine="480" w:firstLineChars="200"/>
              <w:rPr>
                <w:sz w:val="24"/>
              </w:rPr>
            </w:pPr>
            <w:r>
              <w:rPr>
                <w:sz w:val="24"/>
              </w:rPr>
              <w:t>d.污染治理设施管理制度</w:t>
            </w:r>
          </w:p>
          <w:p w14:paraId="3D87A16C">
            <w:pPr>
              <w:spacing w:line="360" w:lineRule="auto"/>
              <w:ind w:firstLine="480" w:firstLineChars="200"/>
              <w:rPr>
                <w:sz w:val="24"/>
              </w:rPr>
            </w:pPr>
            <w:r>
              <w:rPr>
                <w:sz w:val="24"/>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剂和其他原辅材料。同时要建立岗位责任制、制定操作规程、建立管理台帐。</w:t>
            </w:r>
          </w:p>
          <w:p w14:paraId="72A5A682">
            <w:pPr>
              <w:spacing w:line="360" w:lineRule="auto"/>
              <w:ind w:firstLine="480" w:firstLineChars="200"/>
              <w:rPr>
                <w:sz w:val="24"/>
              </w:rPr>
            </w:pPr>
            <w:r>
              <w:rPr>
                <w:sz w:val="24"/>
              </w:rPr>
              <w:t>e.固体废物环境保护制度</w:t>
            </w:r>
          </w:p>
          <w:p w14:paraId="3372235C">
            <w:pPr>
              <w:spacing w:line="360" w:lineRule="auto"/>
              <w:ind w:firstLine="480" w:firstLineChars="200"/>
              <w:rPr>
                <w:sz w:val="24"/>
              </w:rPr>
            </w:pPr>
            <w:r>
              <w:rPr>
                <w:sz w:val="24"/>
              </w:rPr>
              <w:t>建设单位应通过</w:t>
            </w:r>
            <w:r>
              <w:rPr>
                <w:rFonts w:hint="eastAsia" w:ascii="宋体" w:hAnsi="宋体" w:cs="宋体"/>
                <w:sz w:val="24"/>
              </w:rPr>
              <w:t>“</w:t>
            </w:r>
            <w:r>
              <w:rPr>
                <w:sz w:val="24"/>
              </w:rPr>
              <w:t>安徽省危险废物动态管理信息系统</w:t>
            </w:r>
            <w:r>
              <w:rPr>
                <w:rFonts w:hint="eastAsia" w:ascii="宋体" w:hAnsi="宋体" w:cs="宋体"/>
                <w:sz w:val="24"/>
              </w:rPr>
              <w:t>”</w:t>
            </w:r>
            <w:r>
              <w:rPr>
                <w:sz w:val="24"/>
              </w:rPr>
              <w:t>进行危险废物申报登记。将危险废物的实际产生、贮存、利用、处置等情况纳入生产记录，建立危险废物管理台账和企业内部产生和收集、贮存、转移等部门危险废物交接制度。明确建设单位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07CC85D8">
            <w:pPr>
              <w:spacing w:line="360" w:lineRule="auto"/>
              <w:ind w:firstLine="480" w:firstLineChars="200"/>
              <w:rPr>
                <w:sz w:val="24"/>
              </w:rPr>
            </w:pPr>
            <w:r>
              <w:rPr>
                <w:sz w:val="24"/>
              </w:rPr>
              <w:t>f.报告制度</w:t>
            </w:r>
          </w:p>
          <w:p w14:paraId="6240DCD8">
            <w:pPr>
              <w:spacing w:line="360" w:lineRule="auto"/>
              <w:ind w:firstLine="480" w:firstLineChars="200"/>
              <w:rPr>
                <w:sz w:val="24"/>
              </w:rPr>
            </w:pPr>
            <w:r>
              <w:rPr>
                <w:sz w:val="24"/>
              </w:rPr>
              <w:t>执行月报制度。月报内容主要为污染治理设施的运行情况、污染物排放情况以及污染事故或污染纠纷等。厂内环境保护相关的所有记录、台帐及污染物排放监测资料、环境管理档案资料等应妥善保存并定期上报，发现污染因子超标，要在监测数据出来后以书面形式上报公司管理层，快速果断采取应对措施。建设单位应定期向当地政府生态环境部门报告污染治理设施运行情况、污染物排放情况以及污染事故、污染纠纷等情况，便于生态环境部门和企业管理人员及时了解企业污染动态，利于采取相应的对策措施。本项目的性质、规模、地点、生产工艺和环境保护措施等发生变动的，必须向生态环境部门报告，并履行相关手续，如发生重大变动并且可能导致环境影响显著变化（特别是不利环境影响加重）的，应当重新报批环评。</w:t>
            </w:r>
          </w:p>
          <w:p w14:paraId="037CA578">
            <w:pPr>
              <w:spacing w:line="360" w:lineRule="auto"/>
              <w:ind w:firstLine="480" w:firstLineChars="200"/>
              <w:rPr>
                <w:sz w:val="24"/>
              </w:rPr>
            </w:pPr>
            <w:r>
              <w:rPr>
                <w:sz w:val="24"/>
              </w:rPr>
              <w:t>按《建设项目环境保护管理条例》中第二十条和第二十三条规定，本项目在正式投产前，应向负责审批的生态环境部门提交</w:t>
            </w:r>
            <w:r>
              <w:rPr>
                <w:rFonts w:hint="eastAsia" w:ascii="宋体" w:hAnsi="宋体" w:cs="宋体"/>
                <w:sz w:val="24"/>
              </w:rPr>
              <w:t>“</w:t>
            </w:r>
            <w:r>
              <w:rPr>
                <w:sz w:val="24"/>
              </w:rPr>
              <w:t>环境保护设施竣工验收报告</w:t>
            </w:r>
            <w:r>
              <w:rPr>
                <w:rFonts w:hint="eastAsia" w:ascii="宋体" w:hAnsi="宋体" w:cs="宋体"/>
                <w:sz w:val="24"/>
              </w:rPr>
              <w:t>”</w:t>
            </w:r>
            <w:r>
              <w:rPr>
                <w:sz w:val="24"/>
              </w:rPr>
              <w:t>，经验收合格后方可投产。</w:t>
            </w:r>
          </w:p>
          <w:p w14:paraId="15DF5E3E">
            <w:pPr>
              <w:spacing w:line="360" w:lineRule="auto"/>
              <w:ind w:firstLine="480" w:firstLineChars="200"/>
              <w:rPr>
                <w:sz w:val="24"/>
              </w:rPr>
            </w:pPr>
            <w:r>
              <w:rPr>
                <w:sz w:val="24"/>
              </w:rPr>
              <w:t>g.环保奖惩制度</w:t>
            </w:r>
          </w:p>
          <w:p w14:paraId="3DF5A48A">
            <w:pPr>
              <w:spacing w:line="360" w:lineRule="auto"/>
              <w:ind w:firstLine="480" w:firstLineChars="200"/>
              <w:rPr>
                <w:sz w:val="24"/>
              </w:rPr>
            </w:pPr>
            <w:r>
              <w:rPr>
                <w:sz w:val="24"/>
              </w:rPr>
              <w:t>企业应加强宣传教育，提高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6F609253">
            <w:pPr>
              <w:spacing w:line="360" w:lineRule="auto"/>
              <w:ind w:firstLine="480" w:firstLineChars="200"/>
              <w:rPr>
                <w:sz w:val="24"/>
              </w:rPr>
            </w:pPr>
            <w:r>
              <w:rPr>
                <w:sz w:val="24"/>
              </w:rPr>
              <w:t>h.信息公开制度</w:t>
            </w:r>
          </w:p>
          <w:p w14:paraId="1AC513AA">
            <w:pPr>
              <w:spacing w:line="360" w:lineRule="auto"/>
              <w:ind w:firstLine="480" w:firstLineChars="200"/>
              <w:rPr>
                <w:sz w:val="24"/>
              </w:rPr>
            </w:pPr>
            <w:r>
              <w:rPr>
                <w:sz w:val="24"/>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3C715A57">
            <w:pPr>
              <w:spacing w:line="360" w:lineRule="auto"/>
              <w:ind w:firstLine="480" w:firstLineChars="200"/>
              <w:rPr>
                <w:sz w:val="24"/>
              </w:rPr>
            </w:pPr>
            <w:r>
              <w:rPr>
                <w:sz w:val="24"/>
              </w:rPr>
              <w:t>③营运期环境管理</w:t>
            </w:r>
          </w:p>
          <w:p w14:paraId="5FB2DAC3">
            <w:pPr>
              <w:spacing w:line="360" w:lineRule="auto"/>
              <w:ind w:firstLine="480" w:firstLineChars="200"/>
              <w:rPr>
                <w:sz w:val="24"/>
              </w:rPr>
            </w:pPr>
            <w:r>
              <w:rPr>
                <w:sz w:val="24"/>
              </w:rPr>
              <w:t>本项目建成后，将对周围环境产生一定的影响，因此建设单位应在加强环境管理的同时，定期进行环境监测，以便及时了解本项目对环境造成影响的情况，并采取相应措施，消除不利因素，减轻环境污染，使各项环保措施落到实处，以期达到预定的目标。</w:t>
            </w:r>
          </w:p>
          <w:p w14:paraId="5383B52C">
            <w:pPr>
              <w:spacing w:line="360" w:lineRule="auto"/>
              <w:ind w:firstLine="480" w:firstLineChars="200"/>
              <w:rPr>
                <w:sz w:val="24"/>
              </w:rPr>
            </w:pPr>
            <w:r>
              <w:rPr>
                <w:sz w:val="24"/>
              </w:rPr>
              <w:t>环境监测工作应包括污染源强（所有排污口）与环境质量状况（厂区、厂界敏感点）两部分内容，对水、气、声等几方面进行监控，本项目的重点为废气及噪声。</w:t>
            </w:r>
          </w:p>
          <w:p w14:paraId="3DE1A158">
            <w:pPr>
              <w:spacing w:line="360" w:lineRule="auto"/>
              <w:ind w:firstLine="480" w:firstLineChars="200"/>
              <w:rPr>
                <w:sz w:val="24"/>
              </w:rPr>
            </w:pPr>
            <w:r>
              <w:rPr>
                <w:sz w:val="24"/>
              </w:rPr>
              <w:t>应注重监测数据的完整性和准确性，建立环保档案，搞好数据积累工作，监测结果定期向有关部门上报，发现问题及时解决，将环境监测与节能降耗、产品质量、生产安全等职能部门的工作相结合，为企业决策提供依据。对环保治理工程设施的运行状态与处理效果进行管理与监控。发现不正常排放或事故泄漏时应立即向环境管理者代表报告，并加强不正常事故排放期间的噪声、大气监测。环境管理代表除应立即采取事故排放的应急措施外，还应立即向当地环保主管部门报告。</w:t>
            </w:r>
          </w:p>
          <w:p w14:paraId="716E29F5">
            <w:pPr>
              <w:spacing w:line="360" w:lineRule="auto"/>
              <w:ind w:firstLine="480" w:firstLineChars="200"/>
              <w:rPr>
                <w:sz w:val="24"/>
              </w:rPr>
            </w:pPr>
            <w:r>
              <w:rPr>
                <w:sz w:val="24"/>
              </w:rPr>
              <w:t>④环境管理建议</w:t>
            </w:r>
          </w:p>
          <w:p w14:paraId="02C39A02">
            <w:pPr>
              <w:spacing w:line="360" w:lineRule="auto"/>
              <w:ind w:firstLine="480" w:firstLineChars="200"/>
              <w:rPr>
                <w:sz w:val="24"/>
              </w:rPr>
            </w:pPr>
            <w:r>
              <w:rPr>
                <w:sz w:val="24"/>
              </w:rPr>
              <w:t>建设单位应加强项目的环境管理，按照本报告提出的污染防治措施和对策，制定出切实可行的环境污染防治办法和措施；做好环境教育和宣传工作，提高各级管理人员和操作人员的环境保护意识，加强员工对环境污染防治的责任性，自觉遵守和执行各项环境保护的规章制度；定期对环境保护设施进行维护和保养，确保环境保护设施的正常运行，防止污染事故的发生；加强与环境保护管理部门的沟通，主动接受环境保护主管部门的管理、指导和监督。</w:t>
            </w:r>
          </w:p>
          <w:p w14:paraId="36ABEE5F">
            <w:pPr>
              <w:spacing w:line="360" w:lineRule="auto"/>
              <w:ind w:firstLine="482" w:firstLineChars="200"/>
              <w:rPr>
                <w:b/>
                <w:bCs/>
                <w:sz w:val="24"/>
              </w:rPr>
            </w:pPr>
            <w:r>
              <w:rPr>
                <w:b/>
                <w:bCs/>
                <w:sz w:val="24"/>
              </w:rPr>
              <w:t>8、环保投资</w:t>
            </w:r>
          </w:p>
          <w:p w14:paraId="53AA48AF">
            <w:pPr>
              <w:spacing w:line="360" w:lineRule="auto"/>
              <w:ind w:firstLine="480" w:firstLineChars="200"/>
              <w:rPr>
                <w:b/>
                <w:bCs/>
                <w:sz w:val="24"/>
                <w:highlight w:val="none"/>
              </w:rPr>
            </w:pPr>
            <w:r>
              <w:rPr>
                <w:sz w:val="24"/>
                <w:highlight w:val="none"/>
              </w:rPr>
              <w:t>项目总投资</w:t>
            </w:r>
            <w:r>
              <w:rPr>
                <w:rFonts w:hint="eastAsia"/>
                <w:sz w:val="24"/>
                <w:highlight w:val="none"/>
                <w:lang w:val="en-US" w:eastAsia="zh-CN"/>
              </w:rPr>
              <w:t>200</w:t>
            </w:r>
            <w:r>
              <w:rPr>
                <w:sz w:val="24"/>
                <w:highlight w:val="none"/>
              </w:rPr>
              <w:t>0万元，其中环保投资</w:t>
            </w:r>
            <w:r>
              <w:rPr>
                <w:rFonts w:hint="eastAsia"/>
                <w:sz w:val="24"/>
                <w:highlight w:val="none"/>
                <w:lang w:val="en-US" w:eastAsia="zh-CN"/>
              </w:rPr>
              <w:t>68</w:t>
            </w:r>
            <w:r>
              <w:rPr>
                <w:sz w:val="24"/>
                <w:highlight w:val="none"/>
              </w:rPr>
              <w:t>万元，环保投资占总投资的比例为</w:t>
            </w:r>
            <w:r>
              <w:rPr>
                <w:rFonts w:hint="eastAsia"/>
                <w:sz w:val="24"/>
                <w:highlight w:val="none"/>
                <w:lang w:val="en-US" w:eastAsia="zh-CN"/>
              </w:rPr>
              <w:t>3.40</w:t>
            </w:r>
            <w:r>
              <w:rPr>
                <w:sz w:val="24"/>
                <w:highlight w:val="none"/>
              </w:rPr>
              <w:t>%；环境保护投资估算详见表</w:t>
            </w:r>
            <w:r>
              <w:rPr>
                <w:rFonts w:hint="eastAsia"/>
                <w:sz w:val="24"/>
                <w:highlight w:val="none"/>
                <w:lang w:val="en-US" w:eastAsia="zh-CN"/>
              </w:rPr>
              <w:t>4.13</w:t>
            </w:r>
            <w:r>
              <w:rPr>
                <w:sz w:val="24"/>
                <w:highlight w:val="none"/>
              </w:rPr>
              <w:t>。</w:t>
            </w:r>
          </w:p>
          <w:p w14:paraId="6A65F28B">
            <w:pPr>
              <w:jc w:val="center"/>
            </w:pPr>
            <w:r>
              <w:rPr>
                <w:b/>
                <w:bCs/>
                <w:sz w:val="24"/>
              </w:rPr>
              <w:t>表</w:t>
            </w:r>
            <w:r>
              <w:rPr>
                <w:rFonts w:hint="eastAsia"/>
                <w:b/>
                <w:bCs/>
                <w:sz w:val="24"/>
                <w:lang w:val="en-US" w:eastAsia="zh-CN"/>
              </w:rPr>
              <w:t xml:space="preserve">4.13  </w:t>
            </w:r>
            <w:r>
              <w:rPr>
                <w:b/>
                <w:bCs/>
                <w:sz w:val="24"/>
              </w:rPr>
              <w:t>环保设施及其估算一览表</w:t>
            </w:r>
          </w:p>
          <w:tbl>
            <w:tblPr>
              <w:tblStyle w:val="23"/>
              <w:tblW w:w="496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92"/>
              <w:gridCol w:w="1622"/>
              <w:gridCol w:w="1331"/>
              <w:gridCol w:w="3974"/>
              <w:gridCol w:w="647"/>
            </w:tblGrid>
            <w:tr w14:paraId="01F290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419" w:type="pct"/>
                  <w:vAlign w:val="center"/>
                </w:tcPr>
                <w:p w14:paraId="699CA848">
                  <w:pPr>
                    <w:jc w:val="center"/>
                    <w:rPr>
                      <w:b w:val="0"/>
                      <w:bCs w:val="0"/>
                      <w:szCs w:val="21"/>
                    </w:rPr>
                  </w:pPr>
                  <w:r>
                    <w:rPr>
                      <w:b w:val="0"/>
                      <w:bCs w:val="0"/>
                      <w:szCs w:val="21"/>
                    </w:rPr>
                    <w:t>类别</w:t>
                  </w:r>
                </w:p>
              </w:tc>
              <w:tc>
                <w:tcPr>
                  <w:tcW w:w="981" w:type="pct"/>
                  <w:vAlign w:val="center"/>
                </w:tcPr>
                <w:p w14:paraId="66DE3BF1">
                  <w:pPr>
                    <w:jc w:val="center"/>
                    <w:rPr>
                      <w:b w:val="0"/>
                      <w:bCs w:val="0"/>
                      <w:szCs w:val="21"/>
                    </w:rPr>
                  </w:pPr>
                  <w:r>
                    <w:rPr>
                      <w:b w:val="0"/>
                      <w:bCs w:val="0"/>
                      <w:szCs w:val="21"/>
                    </w:rPr>
                    <w:t>污染源</w:t>
                  </w:r>
                </w:p>
              </w:tc>
              <w:tc>
                <w:tcPr>
                  <w:tcW w:w="805" w:type="pct"/>
                  <w:vAlign w:val="center"/>
                </w:tcPr>
                <w:p w14:paraId="27FAB466">
                  <w:pPr>
                    <w:jc w:val="center"/>
                    <w:rPr>
                      <w:b w:val="0"/>
                      <w:bCs w:val="0"/>
                      <w:szCs w:val="21"/>
                    </w:rPr>
                  </w:pPr>
                  <w:r>
                    <w:rPr>
                      <w:b w:val="0"/>
                      <w:bCs w:val="0"/>
                      <w:szCs w:val="21"/>
                    </w:rPr>
                    <w:t>污染物</w:t>
                  </w:r>
                </w:p>
              </w:tc>
              <w:tc>
                <w:tcPr>
                  <w:tcW w:w="2402" w:type="pct"/>
                  <w:vAlign w:val="center"/>
                </w:tcPr>
                <w:p w14:paraId="40DF3A05">
                  <w:pPr>
                    <w:jc w:val="center"/>
                    <w:rPr>
                      <w:b w:val="0"/>
                      <w:bCs w:val="0"/>
                      <w:szCs w:val="21"/>
                    </w:rPr>
                  </w:pPr>
                  <w:r>
                    <w:rPr>
                      <w:b w:val="0"/>
                      <w:bCs w:val="0"/>
                      <w:szCs w:val="21"/>
                    </w:rPr>
                    <w:t>拟采取的治理措施</w:t>
                  </w:r>
                </w:p>
              </w:tc>
              <w:tc>
                <w:tcPr>
                  <w:tcW w:w="391" w:type="pct"/>
                  <w:vAlign w:val="center"/>
                </w:tcPr>
                <w:p w14:paraId="6D0DB455">
                  <w:pPr>
                    <w:jc w:val="center"/>
                    <w:rPr>
                      <w:b w:val="0"/>
                      <w:bCs w:val="0"/>
                      <w:szCs w:val="21"/>
                    </w:rPr>
                  </w:pPr>
                  <w:r>
                    <w:rPr>
                      <w:b w:val="0"/>
                      <w:bCs w:val="0"/>
                      <w:szCs w:val="21"/>
                    </w:rPr>
                    <w:t>投资</w:t>
                  </w:r>
                </w:p>
              </w:tc>
            </w:tr>
            <w:tr w14:paraId="5B72A1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Align w:val="center"/>
                </w:tcPr>
                <w:p w14:paraId="6CC21869">
                  <w:pPr>
                    <w:jc w:val="center"/>
                    <w:rPr>
                      <w:rFonts w:hint="default" w:eastAsia="宋体"/>
                      <w:szCs w:val="21"/>
                      <w:lang w:val="en-US" w:eastAsia="zh-CN"/>
                    </w:rPr>
                  </w:pPr>
                  <w:r>
                    <w:rPr>
                      <w:rFonts w:hint="eastAsia"/>
                      <w:szCs w:val="21"/>
                      <w:lang w:val="en-US" w:eastAsia="zh-CN"/>
                    </w:rPr>
                    <w:t>废气防治措施</w:t>
                  </w:r>
                </w:p>
              </w:tc>
              <w:tc>
                <w:tcPr>
                  <w:tcW w:w="981" w:type="pct"/>
                  <w:vAlign w:val="center"/>
                </w:tcPr>
                <w:p w14:paraId="1E9EA09B">
                  <w:pPr>
                    <w:jc w:val="center"/>
                    <w:rPr>
                      <w:szCs w:val="21"/>
                    </w:rPr>
                  </w:pPr>
                  <w:r>
                    <w:rPr>
                      <w:rFonts w:hint="eastAsia"/>
                      <w:szCs w:val="21"/>
                      <w:lang w:val="en-US" w:eastAsia="zh-CN"/>
                    </w:rPr>
                    <w:t>喷码</w:t>
                  </w:r>
                  <w:r>
                    <w:rPr>
                      <w:szCs w:val="21"/>
                    </w:rPr>
                    <w:t>废气</w:t>
                  </w:r>
                </w:p>
              </w:tc>
              <w:tc>
                <w:tcPr>
                  <w:tcW w:w="805" w:type="pct"/>
                  <w:vAlign w:val="center"/>
                </w:tcPr>
                <w:p w14:paraId="2CE00C70">
                  <w:pPr>
                    <w:jc w:val="center"/>
                    <w:rPr>
                      <w:szCs w:val="21"/>
                    </w:rPr>
                  </w:pPr>
                  <w:r>
                    <w:rPr>
                      <w:szCs w:val="21"/>
                    </w:rPr>
                    <w:t>非甲烷总烃</w:t>
                  </w:r>
                </w:p>
              </w:tc>
              <w:tc>
                <w:tcPr>
                  <w:tcW w:w="2402" w:type="pct"/>
                  <w:vAlign w:val="center"/>
                </w:tcPr>
                <w:p w14:paraId="1F7EA659">
                  <w:pPr>
                    <w:adjustRightInd w:val="0"/>
                    <w:snapToGrid w:val="0"/>
                    <w:jc w:val="center"/>
                    <w:rPr>
                      <w:kern w:val="0"/>
                      <w:szCs w:val="21"/>
                    </w:rPr>
                  </w:pPr>
                  <w:r>
                    <w:rPr>
                      <w:rFonts w:hint="eastAsia" w:cs="Times New Roman"/>
                      <w:color w:val="000000"/>
                      <w:sz w:val="21"/>
                      <w:szCs w:val="21"/>
                      <w:lang w:val="en-US" w:eastAsia="zh-CN"/>
                    </w:rPr>
                    <w:t>经集气罩收集+二级活性炭吸附装置+15m高排气筒（DA001）排放</w:t>
                  </w:r>
                </w:p>
              </w:tc>
              <w:tc>
                <w:tcPr>
                  <w:tcW w:w="391" w:type="pct"/>
                  <w:vAlign w:val="center"/>
                </w:tcPr>
                <w:p w14:paraId="0A942287">
                  <w:pPr>
                    <w:jc w:val="center"/>
                    <w:rPr>
                      <w:rFonts w:hint="default" w:eastAsia="宋体"/>
                      <w:szCs w:val="21"/>
                      <w:lang w:val="en-US" w:eastAsia="zh-CN"/>
                    </w:rPr>
                  </w:pPr>
                  <w:r>
                    <w:rPr>
                      <w:rFonts w:hint="eastAsia"/>
                      <w:szCs w:val="21"/>
                      <w:lang w:val="en-US" w:eastAsia="zh-CN"/>
                    </w:rPr>
                    <w:t>20</w:t>
                  </w:r>
                </w:p>
              </w:tc>
            </w:tr>
            <w:tr w14:paraId="38BD63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Align w:val="center"/>
                </w:tcPr>
                <w:p w14:paraId="3FC37416">
                  <w:pPr>
                    <w:jc w:val="center"/>
                    <w:rPr>
                      <w:szCs w:val="21"/>
                    </w:rPr>
                  </w:pPr>
                  <w:r>
                    <w:rPr>
                      <w:szCs w:val="21"/>
                    </w:rPr>
                    <w:t>噪声</w:t>
                  </w:r>
                </w:p>
                <w:p w14:paraId="0AF60102">
                  <w:pPr>
                    <w:jc w:val="center"/>
                    <w:rPr>
                      <w:szCs w:val="21"/>
                    </w:rPr>
                  </w:pPr>
                  <w:r>
                    <w:rPr>
                      <w:szCs w:val="21"/>
                    </w:rPr>
                    <w:t>防治</w:t>
                  </w:r>
                </w:p>
                <w:p w14:paraId="367A4BC1">
                  <w:pPr>
                    <w:jc w:val="center"/>
                    <w:rPr>
                      <w:szCs w:val="21"/>
                    </w:rPr>
                  </w:pPr>
                  <w:r>
                    <w:rPr>
                      <w:szCs w:val="21"/>
                    </w:rPr>
                    <w:t>措施</w:t>
                  </w:r>
                </w:p>
              </w:tc>
              <w:tc>
                <w:tcPr>
                  <w:tcW w:w="981" w:type="pct"/>
                  <w:vAlign w:val="center"/>
                </w:tcPr>
                <w:p w14:paraId="3269937D">
                  <w:pPr>
                    <w:jc w:val="center"/>
                    <w:rPr>
                      <w:szCs w:val="21"/>
                    </w:rPr>
                  </w:pPr>
                  <w:r>
                    <w:rPr>
                      <w:szCs w:val="21"/>
                    </w:rPr>
                    <w:t>生产</w:t>
                  </w:r>
                </w:p>
                <w:p w14:paraId="04ED6D7A">
                  <w:pPr>
                    <w:jc w:val="center"/>
                    <w:rPr>
                      <w:szCs w:val="21"/>
                    </w:rPr>
                  </w:pPr>
                  <w:r>
                    <w:rPr>
                      <w:szCs w:val="21"/>
                    </w:rPr>
                    <w:t>过程</w:t>
                  </w:r>
                </w:p>
              </w:tc>
              <w:tc>
                <w:tcPr>
                  <w:tcW w:w="805" w:type="pct"/>
                  <w:vAlign w:val="center"/>
                </w:tcPr>
                <w:p w14:paraId="3A934877">
                  <w:pPr>
                    <w:jc w:val="center"/>
                    <w:rPr>
                      <w:szCs w:val="21"/>
                    </w:rPr>
                  </w:pPr>
                  <w:r>
                    <w:rPr>
                      <w:szCs w:val="21"/>
                    </w:rPr>
                    <w:t>设备运行噪声</w:t>
                  </w:r>
                </w:p>
              </w:tc>
              <w:tc>
                <w:tcPr>
                  <w:tcW w:w="2402" w:type="pct"/>
                  <w:vAlign w:val="center"/>
                </w:tcPr>
                <w:p w14:paraId="3F9A51CD">
                  <w:pPr>
                    <w:jc w:val="center"/>
                    <w:rPr>
                      <w:szCs w:val="21"/>
                    </w:rPr>
                  </w:pPr>
                  <w:r>
                    <w:rPr>
                      <w:szCs w:val="21"/>
                    </w:rPr>
                    <w:t>合理布局，设备选型，减振、消声、墙体隔声，距离衰减，加强生产设备维护保养，采用柔性接头等措施</w:t>
                  </w:r>
                </w:p>
              </w:tc>
              <w:tc>
                <w:tcPr>
                  <w:tcW w:w="391" w:type="pct"/>
                  <w:vAlign w:val="center"/>
                </w:tcPr>
                <w:p w14:paraId="13FB27AC">
                  <w:pPr>
                    <w:jc w:val="center"/>
                    <w:rPr>
                      <w:rFonts w:hint="eastAsia" w:eastAsia="宋体"/>
                      <w:szCs w:val="21"/>
                      <w:lang w:eastAsia="zh-CN"/>
                    </w:rPr>
                  </w:pPr>
                  <w:r>
                    <w:rPr>
                      <w:rFonts w:hint="eastAsia"/>
                      <w:szCs w:val="21"/>
                      <w:lang w:val="en-US" w:eastAsia="zh-CN"/>
                    </w:rPr>
                    <w:t>8</w:t>
                  </w:r>
                </w:p>
              </w:tc>
            </w:tr>
            <w:tr w14:paraId="13640F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restart"/>
                  <w:vAlign w:val="center"/>
                </w:tcPr>
                <w:p w14:paraId="0A019A2B">
                  <w:pPr>
                    <w:jc w:val="center"/>
                    <w:rPr>
                      <w:szCs w:val="21"/>
                    </w:rPr>
                  </w:pPr>
                  <w:r>
                    <w:rPr>
                      <w:szCs w:val="21"/>
                    </w:rPr>
                    <w:t>固废</w:t>
                  </w:r>
                </w:p>
                <w:p w14:paraId="77D8187F">
                  <w:pPr>
                    <w:jc w:val="center"/>
                    <w:rPr>
                      <w:szCs w:val="21"/>
                    </w:rPr>
                  </w:pPr>
                  <w:r>
                    <w:rPr>
                      <w:szCs w:val="21"/>
                    </w:rPr>
                    <w:t>防治</w:t>
                  </w:r>
                </w:p>
                <w:p w14:paraId="5633103E">
                  <w:pPr>
                    <w:jc w:val="center"/>
                    <w:rPr>
                      <w:szCs w:val="21"/>
                    </w:rPr>
                  </w:pPr>
                  <w:r>
                    <w:rPr>
                      <w:szCs w:val="21"/>
                    </w:rPr>
                    <w:t>措施</w:t>
                  </w:r>
                </w:p>
              </w:tc>
              <w:tc>
                <w:tcPr>
                  <w:tcW w:w="981" w:type="pct"/>
                  <w:vAlign w:val="center"/>
                </w:tcPr>
                <w:p w14:paraId="253AFD3F">
                  <w:pPr>
                    <w:jc w:val="center"/>
                    <w:rPr>
                      <w:szCs w:val="21"/>
                    </w:rPr>
                  </w:pPr>
                  <w:r>
                    <w:rPr>
                      <w:szCs w:val="21"/>
                    </w:rPr>
                    <w:t>员工生活</w:t>
                  </w:r>
                </w:p>
              </w:tc>
              <w:tc>
                <w:tcPr>
                  <w:tcW w:w="805" w:type="pct"/>
                  <w:vAlign w:val="center"/>
                </w:tcPr>
                <w:p w14:paraId="3B860CFF">
                  <w:pPr>
                    <w:jc w:val="center"/>
                    <w:rPr>
                      <w:szCs w:val="21"/>
                    </w:rPr>
                  </w:pPr>
                  <w:r>
                    <w:rPr>
                      <w:szCs w:val="21"/>
                    </w:rPr>
                    <w:t>生活垃圾</w:t>
                  </w:r>
                </w:p>
              </w:tc>
              <w:tc>
                <w:tcPr>
                  <w:tcW w:w="2402" w:type="pct"/>
                  <w:vAlign w:val="center"/>
                </w:tcPr>
                <w:p w14:paraId="28DBC556">
                  <w:pPr>
                    <w:jc w:val="center"/>
                    <w:rPr>
                      <w:szCs w:val="21"/>
                    </w:rPr>
                  </w:pPr>
                  <w:r>
                    <w:rPr>
                      <w:szCs w:val="21"/>
                    </w:rPr>
                    <w:t>袋装或桶装分类收集，委托环卫部门统一处理</w:t>
                  </w:r>
                </w:p>
              </w:tc>
              <w:tc>
                <w:tcPr>
                  <w:tcW w:w="391" w:type="pct"/>
                  <w:vMerge w:val="restart"/>
                  <w:vAlign w:val="center"/>
                </w:tcPr>
                <w:p w14:paraId="00242C2D">
                  <w:pPr>
                    <w:jc w:val="center"/>
                    <w:rPr>
                      <w:szCs w:val="21"/>
                    </w:rPr>
                  </w:pPr>
                  <w:r>
                    <w:rPr>
                      <w:rFonts w:hint="eastAsia"/>
                      <w:szCs w:val="21"/>
                    </w:rPr>
                    <w:t>20</w:t>
                  </w:r>
                </w:p>
              </w:tc>
            </w:tr>
            <w:tr w14:paraId="10FCF5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continue"/>
                  <w:vAlign w:val="center"/>
                </w:tcPr>
                <w:p w14:paraId="65BA12B6">
                  <w:pPr>
                    <w:jc w:val="center"/>
                  </w:pPr>
                </w:p>
              </w:tc>
              <w:tc>
                <w:tcPr>
                  <w:tcW w:w="981" w:type="pct"/>
                  <w:vAlign w:val="center"/>
                </w:tcPr>
                <w:p w14:paraId="5FE60D65">
                  <w:pPr>
                    <w:jc w:val="center"/>
                    <w:rPr>
                      <w:szCs w:val="21"/>
                    </w:rPr>
                  </w:pPr>
                  <w:r>
                    <w:rPr>
                      <w:szCs w:val="21"/>
                    </w:rPr>
                    <w:t>生产过程</w:t>
                  </w:r>
                </w:p>
              </w:tc>
              <w:tc>
                <w:tcPr>
                  <w:tcW w:w="805" w:type="pct"/>
                  <w:vAlign w:val="center"/>
                </w:tcPr>
                <w:p w14:paraId="482F9C60">
                  <w:pPr>
                    <w:jc w:val="center"/>
                    <w:rPr>
                      <w:szCs w:val="21"/>
                    </w:rPr>
                  </w:pPr>
                  <w:r>
                    <w:rPr>
                      <w:szCs w:val="21"/>
                    </w:rPr>
                    <w:t>边角料、不合格产品</w:t>
                  </w:r>
                </w:p>
              </w:tc>
              <w:tc>
                <w:tcPr>
                  <w:tcW w:w="2402" w:type="pct"/>
                  <w:vAlign w:val="center"/>
                </w:tcPr>
                <w:p w14:paraId="1A109C41">
                  <w:pPr>
                    <w:jc w:val="center"/>
                    <w:rPr>
                      <w:szCs w:val="21"/>
                    </w:rPr>
                  </w:pPr>
                  <w:r>
                    <w:rPr>
                      <w:szCs w:val="21"/>
                    </w:rPr>
                    <w:t>分类收集后，经破碎机破碎，用于生产</w:t>
                  </w:r>
                </w:p>
              </w:tc>
              <w:tc>
                <w:tcPr>
                  <w:tcW w:w="391" w:type="pct"/>
                  <w:vMerge w:val="continue"/>
                  <w:vAlign w:val="center"/>
                </w:tcPr>
                <w:p w14:paraId="7F7BE2CF">
                  <w:pPr>
                    <w:jc w:val="center"/>
                    <w:rPr>
                      <w:szCs w:val="21"/>
                    </w:rPr>
                  </w:pPr>
                </w:p>
              </w:tc>
            </w:tr>
            <w:tr w14:paraId="2AA9E6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continue"/>
                  <w:vAlign w:val="center"/>
                </w:tcPr>
                <w:p w14:paraId="4FD4348F">
                  <w:pPr>
                    <w:jc w:val="center"/>
                  </w:pPr>
                </w:p>
              </w:tc>
              <w:tc>
                <w:tcPr>
                  <w:tcW w:w="981" w:type="pct"/>
                  <w:vAlign w:val="center"/>
                </w:tcPr>
                <w:p w14:paraId="2D3BE6C4">
                  <w:pPr>
                    <w:autoSpaceDE w:val="0"/>
                    <w:autoSpaceDN w:val="0"/>
                    <w:jc w:val="center"/>
                    <w:rPr>
                      <w:kern w:val="0"/>
                      <w:szCs w:val="21"/>
                    </w:rPr>
                  </w:pPr>
                  <w:r>
                    <w:rPr>
                      <w:kern w:val="0"/>
                      <w:szCs w:val="21"/>
                    </w:rPr>
                    <w:t>原料拆包、产品包装</w:t>
                  </w:r>
                </w:p>
              </w:tc>
              <w:tc>
                <w:tcPr>
                  <w:tcW w:w="805" w:type="pct"/>
                  <w:vAlign w:val="center"/>
                </w:tcPr>
                <w:p w14:paraId="4F17EBF9">
                  <w:pPr>
                    <w:jc w:val="center"/>
                    <w:rPr>
                      <w:szCs w:val="21"/>
                    </w:rPr>
                  </w:pPr>
                  <w:r>
                    <w:rPr>
                      <w:rFonts w:hint="default" w:ascii="Times New Roman" w:hAnsi="Times New Roman" w:eastAsia="宋体" w:cs="Times New Roman"/>
                      <w:b w:val="0"/>
                      <w:bCs w:val="0"/>
                      <w:color w:val="auto"/>
                      <w:sz w:val="21"/>
                      <w:szCs w:val="21"/>
                      <w:vertAlign w:val="baseline"/>
                    </w:rPr>
                    <w:t>一般废包装材料</w:t>
                  </w:r>
                </w:p>
              </w:tc>
              <w:tc>
                <w:tcPr>
                  <w:tcW w:w="2402" w:type="pct"/>
                  <w:vAlign w:val="center"/>
                </w:tcPr>
                <w:p w14:paraId="5A739FC2">
                  <w:pPr>
                    <w:jc w:val="center"/>
                    <w:rPr>
                      <w:szCs w:val="21"/>
                    </w:rPr>
                  </w:pPr>
                  <w:r>
                    <w:rPr>
                      <w:szCs w:val="21"/>
                    </w:rPr>
                    <w:t>暂存于一般固废间，之后外售处理</w:t>
                  </w:r>
                </w:p>
              </w:tc>
              <w:tc>
                <w:tcPr>
                  <w:tcW w:w="391" w:type="pct"/>
                  <w:vMerge w:val="continue"/>
                  <w:vAlign w:val="center"/>
                </w:tcPr>
                <w:p w14:paraId="0F9ACE04">
                  <w:pPr>
                    <w:jc w:val="center"/>
                    <w:rPr>
                      <w:szCs w:val="21"/>
                    </w:rPr>
                  </w:pPr>
                </w:p>
              </w:tc>
            </w:tr>
            <w:tr w14:paraId="6524D1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continue"/>
                  <w:vAlign w:val="center"/>
                </w:tcPr>
                <w:p w14:paraId="7C1E9392">
                  <w:pPr>
                    <w:jc w:val="center"/>
                  </w:pPr>
                </w:p>
              </w:tc>
              <w:tc>
                <w:tcPr>
                  <w:tcW w:w="981" w:type="pct"/>
                  <w:vAlign w:val="center"/>
                </w:tcPr>
                <w:p w14:paraId="1989C1E2">
                  <w:pPr>
                    <w:autoSpaceDE w:val="0"/>
                    <w:jc w:val="center"/>
                    <w:rPr>
                      <w:kern w:val="0"/>
                      <w:szCs w:val="21"/>
                    </w:rPr>
                  </w:pPr>
                  <w:r>
                    <w:rPr>
                      <w:rFonts w:hint="eastAsia" w:ascii="Times New Roman" w:hAnsi="Times New Roman" w:eastAsia="宋体" w:cs="Times New Roman"/>
                      <w:b w:val="0"/>
                      <w:bCs w:val="0"/>
                      <w:color w:val="auto"/>
                      <w:sz w:val="21"/>
                      <w:szCs w:val="21"/>
                      <w:vertAlign w:val="baseline"/>
                      <w:lang w:val="en-US" w:eastAsia="zh-CN"/>
                    </w:rPr>
                    <w:t>水性胶、油墨桶</w:t>
                  </w:r>
                </w:p>
              </w:tc>
              <w:tc>
                <w:tcPr>
                  <w:tcW w:w="805" w:type="pct"/>
                  <w:vAlign w:val="center"/>
                </w:tcPr>
                <w:p w14:paraId="3B3F4810">
                  <w:pPr>
                    <w:jc w:val="center"/>
                    <w:rPr>
                      <w:szCs w:val="21"/>
                    </w:rPr>
                  </w:pPr>
                  <w:r>
                    <w:rPr>
                      <w:rFonts w:hint="default" w:ascii="Times New Roman" w:hAnsi="Times New Roman" w:eastAsia="宋体" w:cs="Times New Roman"/>
                      <w:b w:val="0"/>
                      <w:bCs w:val="0"/>
                      <w:sz w:val="21"/>
                      <w:szCs w:val="21"/>
                    </w:rPr>
                    <w:t>废包装桶</w:t>
                  </w:r>
                </w:p>
              </w:tc>
              <w:tc>
                <w:tcPr>
                  <w:tcW w:w="2402" w:type="pct"/>
                  <w:vMerge w:val="restart"/>
                  <w:vAlign w:val="center"/>
                </w:tcPr>
                <w:p w14:paraId="3E603D10">
                  <w:pPr>
                    <w:jc w:val="center"/>
                    <w:rPr>
                      <w:szCs w:val="21"/>
                    </w:rPr>
                  </w:pPr>
                  <w:r>
                    <w:rPr>
                      <w:szCs w:val="21"/>
                    </w:rPr>
                    <w:t>经收集后暂存于危废暂存间内，委托有危废处理资质的单位妥善处理</w:t>
                  </w:r>
                </w:p>
              </w:tc>
              <w:tc>
                <w:tcPr>
                  <w:tcW w:w="391" w:type="pct"/>
                  <w:vMerge w:val="continue"/>
                  <w:vAlign w:val="center"/>
                </w:tcPr>
                <w:p w14:paraId="08D0BF27">
                  <w:pPr>
                    <w:jc w:val="center"/>
                    <w:rPr>
                      <w:szCs w:val="21"/>
                    </w:rPr>
                  </w:pPr>
                </w:p>
              </w:tc>
            </w:tr>
            <w:tr w14:paraId="600893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continue"/>
                  <w:vAlign w:val="center"/>
                </w:tcPr>
                <w:p w14:paraId="5026C25F">
                  <w:pPr>
                    <w:jc w:val="center"/>
                    <w:rPr>
                      <w:szCs w:val="21"/>
                    </w:rPr>
                  </w:pPr>
                </w:p>
              </w:tc>
              <w:tc>
                <w:tcPr>
                  <w:tcW w:w="981" w:type="pct"/>
                  <w:vAlign w:val="center"/>
                </w:tcPr>
                <w:p w14:paraId="58DE4B59">
                  <w:pPr>
                    <w:jc w:val="center"/>
                    <w:rPr>
                      <w:szCs w:val="21"/>
                    </w:rPr>
                  </w:pPr>
                  <w:r>
                    <w:rPr>
                      <w:szCs w:val="21"/>
                    </w:rPr>
                    <w:t>机械设备维修等</w:t>
                  </w:r>
                </w:p>
              </w:tc>
              <w:tc>
                <w:tcPr>
                  <w:tcW w:w="805" w:type="pct"/>
                  <w:vAlign w:val="center"/>
                </w:tcPr>
                <w:p w14:paraId="43F27142">
                  <w:pPr>
                    <w:pStyle w:val="30"/>
                    <w:jc w:val="center"/>
                    <w:rPr>
                      <w:rFonts w:hint="eastAsia" w:ascii="Times New Roman" w:hAnsi="Times New Roman" w:eastAsia="宋体"/>
                      <w:color w:val="auto"/>
                      <w:sz w:val="21"/>
                      <w:szCs w:val="21"/>
                      <w:lang w:eastAsia="zh-CN"/>
                    </w:rPr>
                  </w:pPr>
                  <w:r>
                    <w:rPr>
                      <w:rFonts w:ascii="Times New Roman" w:hAnsi="Times New Roman"/>
                      <w:sz w:val="21"/>
                      <w:szCs w:val="21"/>
                    </w:rPr>
                    <w:t>废</w:t>
                  </w:r>
                  <w:r>
                    <w:rPr>
                      <w:rFonts w:hint="eastAsia" w:ascii="Times New Roman" w:hAnsi="Times New Roman"/>
                      <w:sz w:val="21"/>
                      <w:szCs w:val="21"/>
                      <w:lang w:val="en-US" w:eastAsia="zh-CN"/>
                    </w:rPr>
                    <w:t>润滑油</w:t>
                  </w:r>
                </w:p>
              </w:tc>
              <w:tc>
                <w:tcPr>
                  <w:tcW w:w="2402" w:type="pct"/>
                  <w:vMerge w:val="continue"/>
                  <w:vAlign w:val="center"/>
                </w:tcPr>
                <w:p w14:paraId="40056008">
                  <w:pPr>
                    <w:jc w:val="center"/>
                    <w:rPr>
                      <w:szCs w:val="21"/>
                    </w:rPr>
                  </w:pPr>
                </w:p>
              </w:tc>
              <w:tc>
                <w:tcPr>
                  <w:tcW w:w="391" w:type="pct"/>
                  <w:vMerge w:val="continue"/>
                  <w:vAlign w:val="center"/>
                </w:tcPr>
                <w:p w14:paraId="7A4F0451">
                  <w:pPr>
                    <w:jc w:val="center"/>
                    <w:rPr>
                      <w:szCs w:val="21"/>
                    </w:rPr>
                  </w:pPr>
                </w:p>
              </w:tc>
            </w:tr>
            <w:tr w14:paraId="63790B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continue"/>
                  <w:vAlign w:val="center"/>
                </w:tcPr>
                <w:p w14:paraId="49730652">
                  <w:pPr>
                    <w:jc w:val="center"/>
                    <w:rPr>
                      <w:szCs w:val="21"/>
                    </w:rPr>
                  </w:pPr>
                </w:p>
              </w:tc>
              <w:tc>
                <w:tcPr>
                  <w:tcW w:w="981" w:type="pct"/>
                  <w:vAlign w:val="center"/>
                </w:tcPr>
                <w:p w14:paraId="6DCE5130">
                  <w:pPr>
                    <w:jc w:val="center"/>
                    <w:rPr>
                      <w:szCs w:val="21"/>
                    </w:rPr>
                  </w:pPr>
                  <w:r>
                    <w:rPr>
                      <w:szCs w:val="21"/>
                    </w:rPr>
                    <w:t>油盛装</w:t>
                  </w:r>
                </w:p>
              </w:tc>
              <w:tc>
                <w:tcPr>
                  <w:tcW w:w="805" w:type="pct"/>
                  <w:vAlign w:val="center"/>
                </w:tcPr>
                <w:p w14:paraId="7EE6435B">
                  <w:pPr>
                    <w:autoSpaceDE w:val="0"/>
                    <w:jc w:val="center"/>
                    <w:rPr>
                      <w:szCs w:val="21"/>
                    </w:rPr>
                  </w:pPr>
                  <w:r>
                    <w:rPr>
                      <w:szCs w:val="21"/>
                    </w:rPr>
                    <w:t>废油桶</w:t>
                  </w:r>
                </w:p>
              </w:tc>
              <w:tc>
                <w:tcPr>
                  <w:tcW w:w="2402" w:type="pct"/>
                  <w:vMerge w:val="continue"/>
                  <w:vAlign w:val="center"/>
                </w:tcPr>
                <w:p w14:paraId="04E69099">
                  <w:pPr>
                    <w:jc w:val="center"/>
                    <w:rPr>
                      <w:szCs w:val="21"/>
                    </w:rPr>
                  </w:pPr>
                </w:p>
              </w:tc>
              <w:tc>
                <w:tcPr>
                  <w:tcW w:w="391" w:type="pct"/>
                  <w:vMerge w:val="continue"/>
                  <w:vAlign w:val="center"/>
                </w:tcPr>
                <w:p w14:paraId="2C2AA1BF">
                  <w:pPr>
                    <w:jc w:val="center"/>
                    <w:rPr>
                      <w:szCs w:val="21"/>
                    </w:rPr>
                  </w:pPr>
                </w:p>
              </w:tc>
            </w:tr>
            <w:tr w14:paraId="2BA489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continue"/>
                  <w:vAlign w:val="center"/>
                </w:tcPr>
                <w:p w14:paraId="53C83749">
                  <w:pPr>
                    <w:jc w:val="center"/>
                    <w:rPr>
                      <w:szCs w:val="21"/>
                    </w:rPr>
                  </w:pPr>
                </w:p>
              </w:tc>
              <w:tc>
                <w:tcPr>
                  <w:tcW w:w="981" w:type="pct"/>
                  <w:vAlign w:val="center"/>
                </w:tcPr>
                <w:p w14:paraId="6F7DB385">
                  <w:pPr>
                    <w:jc w:val="center"/>
                    <w:rPr>
                      <w:szCs w:val="21"/>
                    </w:rPr>
                  </w:pPr>
                  <w:r>
                    <w:rPr>
                      <w:szCs w:val="21"/>
                    </w:rPr>
                    <w:t>有机废气处理过程</w:t>
                  </w:r>
                </w:p>
              </w:tc>
              <w:tc>
                <w:tcPr>
                  <w:tcW w:w="805" w:type="pct"/>
                  <w:vAlign w:val="center"/>
                </w:tcPr>
                <w:p w14:paraId="4C52AB53">
                  <w:pPr>
                    <w:autoSpaceDE w:val="0"/>
                    <w:jc w:val="center"/>
                    <w:rPr>
                      <w:szCs w:val="21"/>
                    </w:rPr>
                  </w:pPr>
                  <w:r>
                    <w:rPr>
                      <w:szCs w:val="21"/>
                    </w:rPr>
                    <w:t>废活性炭</w:t>
                  </w:r>
                </w:p>
              </w:tc>
              <w:tc>
                <w:tcPr>
                  <w:tcW w:w="2402" w:type="pct"/>
                  <w:vMerge w:val="continue"/>
                  <w:vAlign w:val="center"/>
                </w:tcPr>
                <w:p w14:paraId="5A740539">
                  <w:pPr>
                    <w:jc w:val="center"/>
                    <w:rPr>
                      <w:szCs w:val="21"/>
                    </w:rPr>
                  </w:pPr>
                </w:p>
              </w:tc>
              <w:tc>
                <w:tcPr>
                  <w:tcW w:w="391" w:type="pct"/>
                  <w:vMerge w:val="continue"/>
                  <w:vAlign w:val="center"/>
                </w:tcPr>
                <w:p w14:paraId="1A48241E">
                  <w:pPr>
                    <w:jc w:val="center"/>
                    <w:rPr>
                      <w:szCs w:val="21"/>
                    </w:rPr>
                  </w:pPr>
                </w:p>
              </w:tc>
            </w:tr>
            <w:tr w14:paraId="4F9C52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restart"/>
                  <w:vAlign w:val="center"/>
                </w:tcPr>
                <w:p w14:paraId="7AB3B4EE">
                  <w:pPr>
                    <w:jc w:val="center"/>
                    <w:rPr>
                      <w:szCs w:val="21"/>
                    </w:rPr>
                  </w:pPr>
                  <w:r>
                    <w:rPr>
                      <w:szCs w:val="21"/>
                    </w:rPr>
                    <w:t>防渗</w:t>
                  </w:r>
                </w:p>
                <w:p w14:paraId="2D7CB7FE">
                  <w:pPr>
                    <w:jc w:val="center"/>
                    <w:rPr>
                      <w:szCs w:val="21"/>
                    </w:rPr>
                  </w:pPr>
                  <w:r>
                    <w:rPr>
                      <w:szCs w:val="21"/>
                    </w:rPr>
                    <w:t>措施</w:t>
                  </w:r>
                </w:p>
              </w:tc>
              <w:tc>
                <w:tcPr>
                  <w:tcW w:w="981" w:type="pct"/>
                  <w:vAlign w:val="center"/>
                </w:tcPr>
                <w:p w14:paraId="008A714F">
                  <w:pPr>
                    <w:jc w:val="center"/>
                    <w:rPr>
                      <w:szCs w:val="21"/>
                    </w:rPr>
                  </w:pPr>
                  <w:r>
                    <w:rPr>
                      <w:szCs w:val="21"/>
                    </w:rPr>
                    <w:t>重点防渗区</w:t>
                  </w:r>
                </w:p>
              </w:tc>
              <w:tc>
                <w:tcPr>
                  <w:tcW w:w="3207" w:type="pct"/>
                  <w:gridSpan w:val="2"/>
                  <w:vAlign w:val="center"/>
                </w:tcPr>
                <w:p w14:paraId="08824CEB">
                  <w:pPr>
                    <w:jc w:val="center"/>
                    <w:rPr>
                      <w:szCs w:val="21"/>
                    </w:rPr>
                  </w:pPr>
                  <w:r>
                    <w:rPr>
                      <w:szCs w:val="21"/>
                    </w:rPr>
                    <w:t>危废暂存间；重点防渗区：等效黏土层Mb≥1.0m，渗透系数K≤1×10</w:t>
                  </w:r>
                  <w:r>
                    <w:rPr>
                      <w:szCs w:val="21"/>
                      <w:vertAlign w:val="superscript"/>
                    </w:rPr>
                    <w:t>-7</w:t>
                  </w:r>
                  <w:r>
                    <w:rPr>
                      <w:szCs w:val="21"/>
                    </w:rPr>
                    <w:t>cm/s</w:t>
                  </w:r>
                </w:p>
              </w:tc>
              <w:tc>
                <w:tcPr>
                  <w:tcW w:w="391" w:type="pct"/>
                  <w:vMerge w:val="restart"/>
                  <w:vAlign w:val="center"/>
                </w:tcPr>
                <w:p w14:paraId="19621FB1">
                  <w:pPr>
                    <w:jc w:val="center"/>
                    <w:rPr>
                      <w:szCs w:val="21"/>
                    </w:rPr>
                  </w:pPr>
                  <w:r>
                    <w:rPr>
                      <w:szCs w:val="21"/>
                    </w:rPr>
                    <w:t>20</w:t>
                  </w:r>
                </w:p>
              </w:tc>
            </w:tr>
            <w:tr w14:paraId="585104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continue"/>
                  <w:vAlign w:val="center"/>
                </w:tcPr>
                <w:p w14:paraId="1B7C6CF2">
                  <w:pPr>
                    <w:jc w:val="center"/>
                    <w:rPr>
                      <w:szCs w:val="21"/>
                    </w:rPr>
                  </w:pPr>
                </w:p>
              </w:tc>
              <w:tc>
                <w:tcPr>
                  <w:tcW w:w="981" w:type="pct"/>
                  <w:vAlign w:val="center"/>
                </w:tcPr>
                <w:p w14:paraId="4FA4BB1D">
                  <w:pPr>
                    <w:adjustRightInd w:val="0"/>
                    <w:snapToGrid w:val="0"/>
                    <w:jc w:val="center"/>
                    <w:rPr>
                      <w:szCs w:val="21"/>
                      <w:lang w:val="zh-CN"/>
                    </w:rPr>
                  </w:pPr>
                  <w:r>
                    <w:rPr>
                      <w:szCs w:val="21"/>
                    </w:rPr>
                    <w:t>一般防渗区</w:t>
                  </w:r>
                </w:p>
              </w:tc>
              <w:tc>
                <w:tcPr>
                  <w:tcW w:w="3207" w:type="pct"/>
                  <w:gridSpan w:val="2"/>
                  <w:vAlign w:val="center"/>
                </w:tcPr>
                <w:p w14:paraId="2C15E276">
                  <w:pPr>
                    <w:adjustRightInd w:val="0"/>
                    <w:snapToGrid w:val="0"/>
                    <w:jc w:val="center"/>
                    <w:rPr>
                      <w:szCs w:val="21"/>
                      <w:lang w:val="zh-CN"/>
                    </w:rPr>
                  </w:pPr>
                  <w:r>
                    <w:rPr>
                      <w:szCs w:val="21"/>
                    </w:rPr>
                    <w:t>成品仓库、原料仓库、片材生产区、一般固废暂存间等区域；一般防渗区防渗要求：可采用改性压实粘土类衬层或具有同等以上隔水效力的其他材料防渗衬层，其防渗性能应至少相当于渗透系数为1.0×10</w:t>
                  </w:r>
                  <w:r>
                    <w:rPr>
                      <w:szCs w:val="21"/>
                      <w:vertAlign w:val="superscript"/>
                    </w:rPr>
                    <w:t>-5</w:t>
                  </w:r>
                  <w:r>
                    <w:rPr>
                      <w:szCs w:val="21"/>
                    </w:rPr>
                    <w:t>cm/s且厚度为0.75m的天然基础层</w:t>
                  </w:r>
                </w:p>
              </w:tc>
              <w:tc>
                <w:tcPr>
                  <w:tcW w:w="391" w:type="pct"/>
                  <w:vMerge w:val="continue"/>
                  <w:vAlign w:val="center"/>
                </w:tcPr>
                <w:p w14:paraId="641B9E32">
                  <w:pPr>
                    <w:jc w:val="center"/>
                    <w:rPr>
                      <w:szCs w:val="21"/>
                    </w:rPr>
                  </w:pPr>
                </w:p>
              </w:tc>
            </w:tr>
            <w:tr w14:paraId="6AD6CB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Merge w:val="continue"/>
                  <w:vAlign w:val="center"/>
                </w:tcPr>
                <w:p w14:paraId="2DAAC5E0">
                  <w:pPr>
                    <w:jc w:val="center"/>
                    <w:rPr>
                      <w:szCs w:val="21"/>
                    </w:rPr>
                  </w:pPr>
                </w:p>
              </w:tc>
              <w:tc>
                <w:tcPr>
                  <w:tcW w:w="981" w:type="pct"/>
                  <w:vAlign w:val="center"/>
                </w:tcPr>
                <w:p w14:paraId="26026464">
                  <w:pPr>
                    <w:adjustRightInd w:val="0"/>
                    <w:snapToGrid w:val="0"/>
                    <w:jc w:val="center"/>
                    <w:rPr>
                      <w:szCs w:val="21"/>
                      <w:lang w:val="zh-CN"/>
                    </w:rPr>
                  </w:pPr>
                  <w:r>
                    <w:rPr>
                      <w:szCs w:val="21"/>
                    </w:rPr>
                    <w:t>简单防渗区</w:t>
                  </w:r>
                </w:p>
              </w:tc>
              <w:tc>
                <w:tcPr>
                  <w:tcW w:w="3207" w:type="pct"/>
                  <w:gridSpan w:val="2"/>
                  <w:vAlign w:val="center"/>
                </w:tcPr>
                <w:p w14:paraId="7EF4DF2D">
                  <w:pPr>
                    <w:adjustRightInd w:val="0"/>
                    <w:snapToGrid w:val="0"/>
                    <w:jc w:val="center"/>
                    <w:rPr>
                      <w:szCs w:val="21"/>
                      <w:lang w:val="zh-CN"/>
                    </w:rPr>
                  </w:pPr>
                  <w:r>
                    <w:rPr>
                      <w:szCs w:val="21"/>
                      <w:lang w:val="zh-CN"/>
                    </w:rPr>
                    <w:t>厂区道路等；</w:t>
                  </w:r>
                  <w:r>
                    <w:rPr>
                      <w:szCs w:val="21"/>
                    </w:rPr>
                    <w:t>简单防渗区要求：混凝土硬化处理</w:t>
                  </w:r>
                </w:p>
              </w:tc>
              <w:tc>
                <w:tcPr>
                  <w:tcW w:w="391" w:type="pct"/>
                  <w:vMerge w:val="continue"/>
                  <w:vAlign w:val="center"/>
                </w:tcPr>
                <w:p w14:paraId="2044618C">
                  <w:pPr>
                    <w:jc w:val="center"/>
                    <w:rPr>
                      <w:szCs w:val="21"/>
                    </w:rPr>
                  </w:pPr>
                </w:p>
              </w:tc>
            </w:tr>
            <w:tr w14:paraId="4B8DCE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9" w:type="pct"/>
                  <w:vAlign w:val="center"/>
                </w:tcPr>
                <w:p w14:paraId="15CE6BEC">
                  <w:pPr>
                    <w:jc w:val="center"/>
                    <w:rPr>
                      <w:szCs w:val="21"/>
                    </w:rPr>
                  </w:pPr>
                  <w:r>
                    <w:rPr>
                      <w:szCs w:val="21"/>
                    </w:rPr>
                    <w:t>风险</w:t>
                  </w:r>
                </w:p>
                <w:p w14:paraId="14E4D9C4">
                  <w:pPr>
                    <w:jc w:val="center"/>
                    <w:rPr>
                      <w:szCs w:val="21"/>
                    </w:rPr>
                  </w:pPr>
                  <w:r>
                    <w:rPr>
                      <w:szCs w:val="21"/>
                    </w:rPr>
                    <w:t>防范</w:t>
                  </w:r>
                </w:p>
              </w:tc>
              <w:tc>
                <w:tcPr>
                  <w:tcW w:w="4188" w:type="pct"/>
                  <w:gridSpan w:val="3"/>
                  <w:vAlign w:val="center"/>
                </w:tcPr>
                <w:p w14:paraId="6CC92918">
                  <w:pPr>
                    <w:jc w:val="center"/>
                    <w:rPr>
                      <w:szCs w:val="21"/>
                    </w:rPr>
                  </w:pPr>
                  <w:r>
                    <w:rPr>
                      <w:szCs w:val="21"/>
                    </w:rPr>
                    <w:t>①原料贮存过程风险防范；②消防、火灾报警系统；③火灾和爆炸等防范措施；④固体废物事故风险防范措施；⑤总图布置防范措施；⑥废气事故应急措施；⑦应急预案</w:t>
                  </w:r>
                </w:p>
              </w:tc>
              <w:tc>
                <w:tcPr>
                  <w:tcW w:w="391" w:type="pct"/>
                  <w:vMerge w:val="continue"/>
                  <w:vAlign w:val="center"/>
                </w:tcPr>
                <w:p w14:paraId="59E1043D">
                  <w:pPr>
                    <w:jc w:val="center"/>
                    <w:rPr>
                      <w:szCs w:val="21"/>
                    </w:rPr>
                  </w:pPr>
                </w:p>
              </w:tc>
            </w:tr>
            <w:tr w14:paraId="053D9A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608" w:type="pct"/>
                  <w:gridSpan w:val="4"/>
                  <w:vAlign w:val="center"/>
                </w:tcPr>
                <w:p w14:paraId="4088CB0A">
                  <w:pPr>
                    <w:jc w:val="center"/>
                    <w:rPr>
                      <w:szCs w:val="21"/>
                    </w:rPr>
                  </w:pPr>
                  <w:r>
                    <w:rPr>
                      <w:szCs w:val="21"/>
                    </w:rPr>
                    <w:t>总计</w:t>
                  </w:r>
                </w:p>
              </w:tc>
              <w:tc>
                <w:tcPr>
                  <w:tcW w:w="391" w:type="pct"/>
                  <w:vAlign w:val="center"/>
                </w:tcPr>
                <w:p w14:paraId="0688685A">
                  <w:pPr>
                    <w:jc w:val="center"/>
                    <w:rPr>
                      <w:rFonts w:hint="default" w:eastAsia="宋体"/>
                      <w:szCs w:val="21"/>
                      <w:lang w:val="en-US" w:eastAsia="zh-CN"/>
                    </w:rPr>
                  </w:pPr>
                  <w:r>
                    <w:rPr>
                      <w:rFonts w:hint="eastAsia"/>
                      <w:szCs w:val="21"/>
                      <w:lang w:val="en-US" w:eastAsia="zh-CN"/>
                    </w:rPr>
                    <w:t>68</w:t>
                  </w:r>
                </w:p>
              </w:tc>
            </w:tr>
          </w:tbl>
          <w:p w14:paraId="3A3E1EB4">
            <w:pPr>
              <w:rPr>
                <w:sz w:val="32"/>
                <w:szCs w:val="32"/>
              </w:rPr>
            </w:pPr>
          </w:p>
        </w:tc>
      </w:tr>
    </w:tbl>
    <w:p w14:paraId="4273347B">
      <w:pPr>
        <w:adjustRightInd w:val="0"/>
        <w:snapToGrid w:val="0"/>
        <w:spacing w:line="360" w:lineRule="auto"/>
        <w:rPr>
          <w:rFonts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7106E53">
      <w:pPr>
        <w:pStyle w:val="20"/>
        <w:widowControl/>
        <w:kinsoku/>
        <w:autoSpaceDE w:val="0"/>
        <w:autoSpaceDN w:val="0"/>
        <w:adjustRightInd w:val="0"/>
        <w:snapToGrid w:val="0"/>
        <w:spacing w:before="0" w:beforeAutospacing="0" w:after="0" w:afterAutospacing="0" w:line="360" w:lineRule="auto"/>
        <w:jc w:val="center"/>
        <w:textAlignment w:val="baseline"/>
        <w:outlineLvl w:val="0"/>
        <w:rPr>
          <w:rFonts w:hint="eastAsia" w:ascii="宋体" w:hAnsi="宋体" w:eastAsia="宋体" w:cs="宋体"/>
          <w:b/>
          <w:bCs/>
          <w:snapToGrid w:val="0"/>
          <w:color w:val="000000"/>
          <w:kern w:val="0"/>
          <w:sz w:val="30"/>
          <w:szCs w:val="30"/>
          <w:lang w:eastAsia="en-US"/>
        </w:rPr>
      </w:pPr>
      <w:r>
        <w:rPr>
          <w:rFonts w:hint="eastAsia" w:ascii="宋体" w:hAnsi="宋体" w:eastAsia="宋体" w:cs="宋体"/>
          <w:b/>
          <w:bCs/>
          <w:snapToGrid w:val="0"/>
          <w:color w:val="000000"/>
          <w:kern w:val="0"/>
          <w:sz w:val="30"/>
          <w:szCs w:val="30"/>
          <w:lang w:eastAsia="en-US"/>
        </w:rPr>
        <w:t>五、</w:t>
      </w:r>
      <w:bookmarkStart w:id="2" w:name="_Hlk54167917"/>
      <w:r>
        <w:rPr>
          <w:rFonts w:hint="eastAsia" w:ascii="宋体" w:hAnsi="宋体" w:eastAsia="宋体" w:cs="宋体"/>
          <w:b/>
          <w:bCs/>
          <w:snapToGrid w:val="0"/>
          <w:color w:val="000000"/>
          <w:kern w:val="0"/>
          <w:sz w:val="30"/>
          <w:szCs w:val="30"/>
          <w:lang w:eastAsia="en-US"/>
        </w:rPr>
        <w:t>环境保护措施监督检查清单</w:t>
      </w:r>
      <w:bookmarkEnd w:id="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969"/>
        <w:gridCol w:w="1241"/>
        <w:gridCol w:w="2159"/>
        <w:gridCol w:w="2241"/>
      </w:tblGrid>
      <w:tr w14:paraId="7F621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190" w:type="dxa"/>
            <w:tcBorders>
              <w:tl2br w:val="single" w:color="auto" w:sz="4" w:space="0"/>
            </w:tcBorders>
            <w:vAlign w:val="center"/>
          </w:tcPr>
          <w:p w14:paraId="247FF1AC">
            <w:pPr>
              <w:adjustRightInd w:val="0"/>
              <w:snapToGrid w:val="0"/>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内容</w:t>
            </w:r>
          </w:p>
          <w:p w14:paraId="49F2A1DD">
            <w:pPr>
              <w:adjustRightInd w:val="0"/>
              <w:snapToGrid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要素</w:t>
            </w:r>
          </w:p>
        </w:tc>
        <w:tc>
          <w:tcPr>
            <w:tcW w:w="1969" w:type="dxa"/>
            <w:vAlign w:val="center"/>
          </w:tcPr>
          <w:p w14:paraId="123C8880">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排放口(编号、</w:t>
            </w:r>
          </w:p>
          <w:p w14:paraId="6F01AAD0">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名称)/污染源</w:t>
            </w:r>
          </w:p>
        </w:tc>
        <w:tc>
          <w:tcPr>
            <w:tcW w:w="1241" w:type="dxa"/>
            <w:vAlign w:val="center"/>
          </w:tcPr>
          <w:p w14:paraId="179BD451">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污染物项目</w:t>
            </w:r>
          </w:p>
        </w:tc>
        <w:tc>
          <w:tcPr>
            <w:tcW w:w="2159" w:type="dxa"/>
            <w:vAlign w:val="center"/>
          </w:tcPr>
          <w:p w14:paraId="34508BF2">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环境保护措施</w:t>
            </w:r>
          </w:p>
        </w:tc>
        <w:tc>
          <w:tcPr>
            <w:tcW w:w="2241" w:type="dxa"/>
            <w:vAlign w:val="center"/>
          </w:tcPr>
          <w:p w14:paraId="7533FC3E">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执行标准</w:t>
            </w:r>
          </w:p>
        </w:tc>
      </w:tr>
      <w:tr w14:paraId="48298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1190" w:type="dxa"/>
            <w:vAlign w:val="center"/>
          </w:tcPr>
          <w:p w14:paraId="2D06C40E">
            <w:pPr>
              <w:adjustRightInd w:val="0"/>
              <w:snapToGrid w:val="0"/>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废气</w:t>
            </w:r>
          </w:p>
        </w:tc>
        <w:tc>
          <w:tcPr>
            <w:tcW w:w="1969" w:type="dxa"/>
            <w:vAlign w:val="center"/>
          </w:tcPr>
          <w:p w14:paraId="463B8DCE">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DA00</w:t>
            </w:r>
            <w:r>
              <w:rPr>
                <w:rFonts w:hint="eastAsia" w:cs="Times New Roman"/>
                <w:sz w:val="24"/>
                <w:szCs w:val="24"/>
                <w:lang w:val="en-US" w:eastAsia="zh-CN"/>
              </w:rPr>
              <w:t>1/</w:t>
            </w:r>
          </w:p>
          <w:p w14:paraId="7D0E77D7">
            <w:pPr>
              <w:jc w:val="center"/>
              <w:rPr>
                <w:rFonts w:hint="default" w:ascii="Times New Roman" w:hAnsi="Times New Roman" w:eastAsia="宋体" w:cs="Times New Roman"/>
                <w:sz w:val="24"/>
                <w:szCs w:val="24"/>
              </w:rPr>
            </w:pPr>
            <w:r>
              <w:rPr>
                <w:rFonts w:hint="eastAsia" w:cs="Times New Roman"/>
                <w:sz w:val="24"/>
                <w:szCs w:val="24"/>
                <w:lang w:val="en-US" w:eastAsia="zh-CN"/>
              </w:rPr>
              <w:t>喷码</w:t>
            </w:r>
            <w:r>
              <w:rPr>
                <w:rFonts w:hint="default" w:ascii="Times New Roman" w:hAnsi="Times New Roman" w:eastAsia="宋体" w:cs="Times New Roman"/>
                <w:sz w:val="24"/>
                <w:szCs w:val="24"/>
              </w:rPr>
              <w:t>有机废气</w:t>
            </w:r>
          </w:p>
        </w:tc>
        <w:tc>
          <w:tcPr>
            <w:tcW w:w="1241" w:type="dxa"/>
            <w:vAlign w:val="center"/>
          </w:tcPr>
          <w:p w14:paraId="31896A04">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非甲烷总烃</w:t>
            </w:r>
          </w:p>
        </w:tc>
        <w:tc>
          <w:tcPr>
            <w:tcW w:w="2159" w:type="dxa"/>
            <w:vAlign w:val="center"/>
          </w:tcPr>
          <w:p w14:paraId="3297B9D3">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经集气罩收集后，通过二级活性炭吸附装置处理，处理达标后通过1根15m高的排气筒（DA00</w:t>
            </w:r>
            <w:r>
              <w:rPr>
                <w:rFonts w:hint="eastAsia" w:cs="Times New Roman"/>
                <w:sz w:val="24"/>
                <w:szCs w:val="24"/>
                <w:lang w:val="en-US" w:eastAsia="zh-CN"/>
              </w:rPr>
              <w:t>1</w:t>
            </w:r>
            <w:r>
              <w:rPr>
                <w:rFonts w:hint="default" w:ascii="Times New Roman" w:hAnsi="Times New Roman" w:eastAsia="宋体" w:cs="Times New Roman"/>
                <w:sz w:val="24"/>
                <w:szCs w:val="24"/>
              </w:rPr>
              <w:t>）排放</w:t>
            </w:r>
          </w:p>
        </w:tc>
        <w:tc>
          <w:tcPr>
            <w:tcW w:w="2241" w:type="dxa"/>
            <w:vAlign w:val="center"/>
          </w:tcPr>
          <w:p w14:paraId="135D66AC">
            <w:pPr>
              <w:autoSpaceDN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参照执行《固定源挥发性有机物综合排放标准第 4部分：印刷工业》中表1挥发性有机物排放限值；厂区内非甲烷总烃无组织排放执行《固定源挥发性有机物综合排放标准第4部分：印刷工业》中的表3挥发性有机物排放限值；厂界非甲烷总烃执行</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大气污染物综合排放标准</w:t>
            </w:r>
            <w:r>
              <w:rPr>
                <w:rFonts w:hint="default" w:ascii="Times New Roman" w:hAnsi="Times New Roman" w:eastAsia="宋体" w:cs="Times New Roman"/>
                <w:sz w:val="24"/>
                <w:szCs w:val="24"/>
              </w:rPr>
              <w:t>》（GB</w:t>
            </w:r>
            <w:r>
              <w:rPr>
                <w:rFonts w:hint="default" w:ascii="Times New Roman" w:hAnsi="Times New Roman" w:eastAsia="宋体" w:cs="Times New Roman"/>
                <w:sz w:val="24"/>
                <w:szCs w:val="24"/>
                <w:lang w:val="en-US" w:eastAsia="zh-CN"/>
              </w:rPr>
              <w:t>16297</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1996</w:t>
            </w:r>
            <w:r>
              <w:rPr>
                <w:rFonts w:hint="default" w:ascii="Times New Roman" w:hAnsi="Times New Roman" w:eastAsia="宋体" w:cs="Times New Roman"/>
                <w:sz w:val="24"/>
                <w:szCs w:val="24"/>
              </w:rPr>
              <w:t>）表2新污染源大气污染物排放限值</w:t>
            </w:r>
          </w:p>
        </w:tc>
      </w:tr>
      <w:tr w14:paraId="4E4BF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190" w:type="dxa"/>
            <w:vMerge w:val="restart"/>
            <w:vAlign w:val="center"/>
          </w:tcPr>
          <w:p w14:paraId="15AE72CC">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地表水环境</w:t>
            </w:r>
          </w:p>
        </w:tc>
        <w:tc>
          <w:tcPr>
            <w:tcW w:w="1969" w:type="dxa"/>
            <w:vAlign w:val="center"/>
          </w:tcPr>
          <w:p w14:paraId="71E848A1">
            <w:pPr>
              <w:adjustRightIn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生活污水</w:t>
            </w:r>
          </w:p>
        </w:tc>
        <w:tc>
          <w:tcPr>
            <w:tcW w:w="1241" w:type="dxa"/>
            <w:vAlign w:val="center"/>
          </w:tcPr>
          <w:p w14:paraId="6B36B4CC">
            <w:pPr>
              <w:adjustRightIn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COD、BOD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-N、SS</w:t>
            </w:r>
          </w:p>
        </w:tc>
        <w:tc>
          <w:tcPr>
            <w:tcW w:w="2159" w:type="dxa"/>
            <w:vAlign w:val="center"/>
          </w:tcPr>
          <w:p w14:paraId="39D13757">
            <w:pPr>
              <w:adjustRightIn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经化粪池处理后，定期清掏，不外排</w:t>
            </w:r>
          </w:p>
        </w:tc>
        <w:tc>
          <w:tcPr>
            <w:tcW w:w="2241" w:type="dxa"/>
            <w:vMerge w:val="restart"/>
            <w:vAlign w:val="center"/>
          </w:tcPr>
          <w:p w14:paraId="0F4E5DA0">
            <w:pPr>
              <w:adjustRightIn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不外排</w:t>
            </w:r>
          </w:p>
        </w:tc>
      </w:tr>
      <w:tr w14:paraId="1E090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1190" w:type="dxa"/>
            <w:vMerge w:val="continue"/>
            <w:vAlign w:val="center"/>
          </w:tcPr>
          <w:p w14:paraId="715AAD5A">
            <w:pPr>
              <w:adjustRightInd w:val="0"/>
              <w:jc w:val="center"/>
              <w:rPr>
                <w:rFonts w:hint="default" w:ascii="Times New Roman" w:hAnsi="Times New Roman" w:eastAsia="宋体" w:cs="Times New Roman"/>
                <w:color w:val="000000"/>
                <w:sz w:val="24"/>
                <w:szCs w:val="24"/>
              </w:rPr>
            </w:pPr>
          </w:p>
        </w:tc>
        <w:tc>
          <w:tcPr>
            <w:tcW w:w="1969" w:type="dxa"/>
            <w:vAlign w:val="center"/>
          </w:tcPr>
          <w:p w14:paraId="04695969">
            <w:pPr>
              <w:adjustRightIn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生产用水</w:t>
            </w:r>
          </w:p>
        </w:tc>
        <w:tc>
          <w:tcPr>
            <w:tcW w:w="1241" w:type="dxa"/>
            <w:vAlign w:val="center"/>
          </w:tcPr>
          <w:p w14:paraId="13A07053">
            <w:pPr>
              <w:adjustRightIn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COD、SS</w:t>
            </w:r>
          </w:p>
        </w:tc>
        <w:tc>
          <w:tcPr>
            <w:tcW w:w="2159" w:type="dxa"/>
            <w:vAlign w:val="center"/>
          </w:tcPr>
          <w:p w14:paraId="3E45F298">
            <w:pPr>
              <w:adjustRightIn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cs="Times New Roman"/>
                <w:sz w:val="24"/>
                <w:szCs w:val="24"/>
                <w:lang w:val="en-US" w:eastAsia="zh-CN"/>
              </w:rPr>
              <w:t>生产用水</w:t>
            </w:r>
            <w:r>
              <w:rPr>
                <w:rFonts w:hint="default" w:ascii="Times New Roman" w:hAnsi="Times New Roman" w:eastAsia="宋体" w:cs="Times New Roman"/>
                <w:sz w:val="24"/>
                <w:szCs w:val="24"/>
              </w:rPr>
              <w:t>循环利用，定期补充，不外排</w:t>
            </w:r>
          </w:p>
        </w:tc>
        <w:tc>
          <w:tcPr>
            <w:tcW w:w="2241" w:type="dxa"/>
            <w:vMerge w:val="continue"/>
            <w:vAlign w:val="center"/>
          </w:tcPr>
          <w:p w14:paraId="30FB52C5">
            <w:pPr>
              <w:adjustRightInd w:val="0"/>
              <w:jc w:val="center"/>
              <w:rPr>
                <w:rFonts w:hint="default" w:ascii="Times New Roman" w:hAnsi="Times New Roman" w:eastAsia="宋体" w:cs="Times New Roman"/>
                <w:color w:val="000000"/>
                <w:sz w:val="24"/>
                <w:szCs w:val="24"/>
              </w:rPr>
            </w:pPr>
          </w:p>
        </w:tc>
      </w:tr>
      <w:tr w14:paraId="03533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190" w:type="dxa"/>
            <w:vAlign w:val="center"/>
          </w:tcPr>
          <w:p w14:paraId="48BE121E">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w:t>
            </w:r>
          </w:p>
        </w:tc>
        <w:tc>
          <w:tcPr>
            <w:tcW w:w="1969" w:type="dxa"/>
            <w:vAlign w:val="center"/>
          </w:tcPr>
          <w:p w14:paraId="68C931CB">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设备运行噪声</w:t>
            </w:r>
          </w:p>
        </w:tc>
        <w:tc>
          <w:tcPr>
            <w:tcW w:w="1241" w:type="dxa"/>
            <w:vAlign w:val="center"/>
          </w:tcPr>
          <w:p w14:paraId="4CD02C48">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w:t>
            </w:r>
          </w:p>
        </w:tc>
        <w:tc>
          <w:tcPr>
            <w:tcW w:w="2159" w:type="dxa"/>
            <w:vAlign w:val="center"/>
          </w:tcPr>
          <w:p w14:paraId="1673887D">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合理布局，设备选型，减振、消声、墙体隔声，距离衰减，加强生产设备维护保养，采用柔性接头等措施</w:t>
            </w:r>
          </w:p>
        </w:tc>
        <w:tc>
          <w:tcPr>
            <w:tcW w:w="2241" w:type="dxa"/>
            <w:vAlign w:val="center"/>
          </w:tcPr>
          <w:p w14:paraId="6C871DD9">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《工业企业厂界环境噪声排放标准》（GB12348-2008）中的2类标准</w:t>
            </w:r>
          </w:p>
        </w:tc>
      </w:tr>
      <w:tr w14:paraId="1A6CB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90" w:type="dxa"/>
            <w:vAlign w:val="center"/>
          </w:tcPr>
          <w:p w14:paraId="3B132A34">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电磁辐射</w:t>
            </w:r>
          </w:p>
        </w:tc>
        <w:tc>
          <w:tcPr>
            <w:tcW w:w="1969" w:type="dxa"/>
            <w:vAlign w:val="center"/>
          </w:tcPr>
          <w:p w14:paraId="4DC8EDA7">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1241" w:type="dxa"/>
            <w:vAlign w:val="center"/>
          </w:tcPr>
          <w:p w14:paraId="7C56251F">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159" w:type="dxa"/>
            <w:vAlign w:val="center"/>
          </w:tcPr>
          <w:p w14:paraId="683941A0">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241" w:type="dxa"/>
            <w:vAlign w:val="center"/>
          </w:tcPr>
          <w:p w14:paraId="54A31868">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14:paraId="38CFE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1190" w:type="dxa"/>
            <w:vAlign w:val="center"/>
          </w:tcPr>
          <w:p w14:paraId="0D51767C">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7610" w:type="dxa"/>
            <w:gridSpan w:val="4"/>
            <w:vAlign w:val="center"/>
          </w:tcPr>
          <w:p w14:paraId="6AAF16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生活垃圾经袋装或桶装分类收集后，委托环卫部门统一处理；一般废包装材料，暂存于一般固废间，企业收集后外</w:t>
            </w:r>
            <w:r>
              <w:rPr>
                <w:rFonts w:hint="default" w:ascii="Times New Roman" w:hAnsi="Times New Roman" w:eastAsia="宋体" w:cs="Times New Roman"/>
                <w:sz w:val="24"/>
                <w:szCs w:val="24"/>
                <w:lang w:val="en-US" w:eastAsia="zh-CN"/>
              </w:rPr>
              <w:t>售</w:t>
            </w:r>
            <w:r>
              <w:rPr>
                <w:rFonts w:hint="default" w:ascii="Times New Roman" w:hAnsi="Times New Roman" w:eastAsia="宋体" w:cs="Times New Roman"/>
                <w:sz w:val="24"/>
                <w:szCs w:val="24"/>
              </w:rPr>
              <w:t>综合利用；废润滑油、废油桶、</w:t>
            </w:r>
            <w:r>
              <w:rPr>
                <w:rFonts w:hint="default" w:ascii="Times New Roman" w:hAnsi="Times New Roman" w:eastAsia="宋体" w:cs="Times New Roman"/>
                <w:sz w:val="24"/>
                <w:szCs w:val="24"/>
                <w:lang w:val="en-US" w:eastAsia="zh-CN"/>
              </w:rPr>
              <w:t>废活性炭</w:t>
            </w:r>
            <w:r>
              <w:rPr>
                <w:rFonts w:hint="default" w:ascii="Times New Roman" w:hAnsi="Times New Roman" w:eastAsia="宋体" w:cs="Times New Roman"/>
                <w:sz w:val="24"/>
                <w:szCs w:val="24"/>
              </w:rPr>
              <w:t>、废包装桶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胶桶、水性油墨桶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分类收集后暂存于危废暂存间内，委托有危废处理资质的单位妥善处理</w:t>
            </w:r>
            <w:r>
              <w:rPr>
                <w:rFonts w:hint="eastAsia" w:ascii="Times New Roman" w:hAnsi="Times New Roman" w:cs="Times New Roman"/>
                <w:sz w:val="24"/>
                <w:szCs w:val="24"/>
                <w:lang w:eastAsia="zh-CN"/>
              </w:rPr>
              <w:t>。</w:t>
            </w:r>
          </w:p>
        </w:tc>
      </w:tr>
      <w:tr w14:paraId="53D16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190" w:type="dxa"/>
            <w:vAlign w:val="center"/>
          </w:tcPr>
          <w:p w14:paraId="3C76D658">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土壤及地下水污染防治措施</w:t>
            </w:r>
          </w:p>
        </w:tc>
        <w:tc>
          <w:tcPr>
            <w:tcW w:w="7610" w:type="dxa"/>
            <w:gridSpan w:val="4"/>
            <w:vAlign w:val="center"/>
          </w:tcPr>
          <w:p w14:paraId="25BA80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本项目各区做好分区防渗措施，对项目产生的各种污染物分类收集处理，经处理达标后排放</w:t>
            </w:r>
            <w:r>
              <w:rPr>
                <w:rFonts w:hint="eastAsia" w:ascii="Times New Roman" w:hAnsi="Times New Roman" w:eastAsia="宋体" w:cs="Times New Roman"/>
                <w:sz w:val="24"/>
                <w:szCs w:val="24"/>
                <w:lang w:eastAsia="zh-CN"/>
              </w:rPr>
              <w:t>。</w:t>
            </w:r>
          </w:p>
        </w:tc>
      </w:tr>
      <w:tr w14:paraId="5ECEA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1190" w:type="dxa"/>
            <w:vAlign w:val="center"/>
          </w:tcPr>
          <w:p w14:paraId="6C6B3170">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生态保护措施</w:t>
            </w:r>
          </w:p>
        </w:tc>
        <w:tc>
          <w:tcPr>
            <w:tcW w:w="7610" w:type="dxa"/>
            <w:gridSpan w:val="4"/>
            <w:vAlign w:val="center"/>
          </w:tcPr>
          <w:p w14:paraId="216A32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不涉及</w:t>
            </w:r>
            <w:r>
              <w:rPr>
                <w:rFonts w:hint="eastAsia" w:ascii="Times New Roman" w:hAnsi="Times New Roman" w:eastAsia="宋体" w:cs="Times New Roman"/>
                <w:sz w:val="24"/>
                <w:szCs w:val="24"/>
                <w:lang w:eastAsia="zh-CN"/>
              </w:rPr>
              <w:t>。</w:t>
            </w:r>
          </w:p>
        </w:tc>
      </w:tr>
      <w:tr w14:paraId="505A9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1190" w:type="dxa"/>
            <w:vAlign w:val="center"/>
          </w:tcPr>
          <w:p w14:paraId="7468CCF8">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环境风险</w:t>
            </w:r>
          </w:p>
          <w:p w14:paraId="374C4469">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防范措施</w:t>
            </w:r>
          </w:p>
        </w:tc>
        <w:tc>
          <w:tcPr>
            <w:tcW w:w="7610" w:type="dxa"/>
            <w:gridSpan w:val="4"/>
            <w:vAlign w:val="center"/>
          </w:tcPr>
          <w:p w14:paraId="764A11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①原料贮存过程风险防范；②消防、火灾报警系统；③火灾和爆炸等防范措施；④固体废物事故风险防范措施；⑤总图布置防范措施；⑥废气事故应急措施；⑦应急预案</w:t>
            </w:r>
          </w:p>
        </w:tc>
      </w:tr>
      <w:tr w14:paraId="508CF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1" w:hRule="atLeast"/>
          <w:jc w:val="center"/>
        </w:trPr>
        <w:tc>
          <w:tcPr>
            <w:tcW w:w="1190" w:type="dxa"/>
            <w:vAlign w:val="center"/>
          </w:tcPr>
          <w:p w14:paraId="21CB69C8">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其他环境</w:t>
            </w:r>
          </w:p>
          <w:p w14:paraId="5F61082F">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管理要求</w:t>
            </w:r>
          </w:p>
        </w:tc>
        <w:tc>
          <w:tcPr>
            <w:tcW w:w="7610" w:type="dxa"/>
            <w:gridSpan w:val="4"/>
            <w:vAlign w:val="center"/>
          </w:tcPr>
          <w:p w14:paraId="646C56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a.“三同时”制度；b.排污许可证制度；c.环保台账制度；d.污染治理设施管理制度；e.固体废物环境保护制度；f.报告制度；g.环保奖惩制度；h.信息公开制度</w:t>
            </w:r>
          </w:p>
        </w:tc>
      </w:tr>
    </w:tbl>
    <w:p w14:paraId="0F4494EB">
      <w:pPr>
        <w:pStyle w:val="20"/>
        <w:widowControl/>
        <w:kinsoku/>
        <w:autoSpaceDE w:val="0"/>
        <w:autoSpaceDN w:val="0"/>
        <w:adjustRightInd w:val="0"/>
        <w:snapToGrid w:val="0"/>
        <w:spacing w:before="0" w:beforeAutospacing="0" w:after="0" w:afterAutospacing="0" w:line="360" w:lineRule="auto"/>
        <w:jc w:val="center"/>
        <w:textAlignment w:val="baseline"/>
        <w:outlineLvl w:val="0"/>
        <w:rPr>
          <w:rFonts w:ascii="黑体" w:hAnsi="黑体" w:eastAsia="黑体"/>
          <w:snapToGrid w:val="0"/>
          <w:sz w:val="30"/>
          <w:szCs w:val="30"/>
        </w:rPr>
      </w:pPr>
      <w:r>
        <w:rPr>
          <w:snapToGrid w:val="0"/>
        </w:rPr>
        <w:br w:type="page"/>
      </w:r>
      <w:r>
        <w:rPr>
          <w:rFonts w:hint="eastAsia" w:ascii="宋体" w:hAnsi="宋体" w:eastAsia="宋体" w:cs="宋体"/>
          <w:b/>
          <w:bCs/>
          <w:snapToGrid w:val="0"/>
          <w:color w:val="000000"/>
          <w:kern w:val="0"/>
          <w:sz w:val="30"/>
          <w:szCs w:val="30"/>
          <w:lang w:eastAsia="en-US"/>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052E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81" w:hRule="atLeast"/>
          <w:jc w:val="center"/>
        </w:trPr>
        <w:tc>
          <w:tcPr>
            <w:tcW w:w="8865" w:type="dxa"/>
          </w:tcPr>
          <w:p w14:paraId="617C89D6">
            <w:pPr>
              <w:spacing w:line="360" w:lineRule="auto"/>
              <w:ind w:firstLine="480" w:firstLineChars="200"/>
              <w:rPr>
                <w:bCs/>
                <w:sz w:val="24"/>
                <w:szCs w:val="21"/>
              </w:rPr>
            </w:pPr>
          </w:p>
          <w:p w14:paraId="414E7C9A">
            <w:pPr>
              <w:spacing w:line="360" w:lineRule="auto"/>
              <w:ind w:firstLine="480" w:firstLineChars="200"/>
              <w:rPr>
                <w:bCs/>
                <w:sz w:val="24"/>
                <w:szCs w:val="21"/>
              </w:rPr>
            </w:pPr>
          </w:p>
          <w:p w14:paraId="389E41AC">
            <w:pPr>
              <w:spacing w:line="360" w:lineRule="auto"/>
              <w:ind w:firstLine="480" w:firstLineChars="200"/>
              <w:rPr>
                <w:bCs/>
                <w:sz w:val="24"/>
                <w:szCs w:val="21"/>
              </w:rPr>
            </w:pPr>
          </w:p>
          <w:p w14:paraId="7AD39E62">
            <w:pPr>
              <w:spacing w:line="360" w:lineRule="auto"/>
              <w:ind w:firstLine="480" w:firstLineChars="200"/>
              <w:rPr>
                <w:bCs/>
                <w:sz w:val="24"/>
                <w:szCs w:val="21"/>
              </w:rPr>
            </w:pPr>
          </w:p>
          <w:p w14:paraId="2565701A">
            <w:pPr>
              <w:spacing w:line="360" w:lineRule="auto"/>
              <w:ind w:firstLine="480" w:firstLineChars="200"/>
              <w:rPr>
                <w:bCs/>
                <w:sz w:val="24"/>
                <w:szCs w:val="21"/>
              </w:rPr>
            </w:pPr>
          </w:p>
          <w:p w14:paraId="64AFE945">
            <w:pPr>
              <w:spacing w:line="360" w:lineRule="auto"/>
              <w:ind w:firstLine="480" w:firstLineChars="200"/>
              <w:rPr>
                <w:bCs/>
                <w:sz w:val="24"/>
                <w:szCs w:val="21"/>
              </w:rPr>
            </w:pPr>
          </w:p>
          <w:p w14:paraId="23E9594B">
            <w:pPr>
              <w:spacing w:line="360" w:lineRule="auto"/>
              <w:ind w:firstLine="480" w:firstLineChars="200"/>
              <w:rPr>
                <w:bCs/>
                <w:sz w:val="24"/>
                <w:szCs w:val="21"/>
              </w:rPr>
            </w:pPr>
          </w:p>
          <w:p w14:paraId="1B75E7DC">
            <w:pPr>
              <w:spacing w:line="360" w:lineRule="auto"/>
              <w:ind w:firstLine="480" w:firstLineChars="200"/>
              <w:rPr>
                <w:bCs/>
                <w:sz w:val="24"/>
                <w:szCs w:val="21"/>
              </w:rPr>
            </w:pPr>
          </w:p>
          <w:p w14:paraId="2B73E144">
            <w:pPr>
              <w:spacing w:line="360" w:lineRule="auto"/>
              <w:ind w:firstLine="480" w:firstLineChars="200"/>
              <w:rPr>
                <w:bCs/>
                <w:sz w:val="24"/>
                <w:szCs w:val="21"/>
              </w:rPr>
            </w:pPr>
          </w:p>
          <w:p w14:paraId="4243151C">
            <w:pPr>
              <w:spacing w:line="360" w:lineRule="auto"/>
              <w:ind w:firstLine="480" w:firstLineChars="200"/>
              <w:rPr>
                <w:bCs/>
                <w:sz w:val="24"/>
                <w:szCs w:val="21"/>
              </w:rPr>
            </w:pPr>
          </w:p>
          <w:p w14:paraId="064E645D">
            <w:pPr>
              <w:spacing w:line="360" w:lineRule="auto"/>
              <w:ind w:firstLine="480" w:firstLineChars="200"/>
              <w:rPr>
                <w:bCs/>
                <w:sz w:val="24"/>
                <w:szCs w:val="21"/>
              </w:rPr>
            </w:pPr>
          </w:p>
          <w:p w14:paraId="055F1188">
            <w:pPr>
              <w:spacing w:line="360" w:lineRule="auto"/>
              <w:ind w:firstLine="480" w:firstLineChars="200"/>
              <w:rPr>
                <w:bCs/>
                <w:sz w:val="24"/>
                <w:szCs w:val="21"/>
              </w:rPr>
            </w:pPr>
          </w:p>
          <w:p w14:paraId="6797FE1A">
            <w:pPr>
              <w:spacing w:line="360" w:lineRule="auto"/>
              <w:ind w:firstLine="480" w:firstLineChars="200"/>
              <w:rPr>
                <w:rFonts w:ascii="宋体" w:cs="宋体"/>
                <w:sz w:val="24"/>
              </w:rPr>
            </w:pPr>
            <w:r>
              <w:rPr>
                <w:bCs/>
                <w:sz w:val="24"/>
                <w:szCs w:val="21"/>
              </w:rPr>
              <w:t>综上所述，</w:t>
            </w:r>
            <w:r>
              <w:rPr>
                <w:rFonts w:hint="eastAsia"/>
                <w:kern w:val="0"/>
                <w:sz w:val="24"/>
                <w:szCs w:val="21"/>
              </w:rPr>
              <w:t>安徽云泽环保材料有限公司</w:t>
            </w:r>
            <w:r>
              <w:rPr>
                <w:rFonts w:hint="eastAsia"/>
                <w:kern w:val="0"/>
                <w:sz w:val="24"/>
                <w:szCs w:val="21"/>
                <w:lang w:eastAsia="zh-CN"/>
              </w:rPr>
              <w:t>年产</w:t>
            </w:r>
            <w:r>
              <w:rPr>
                <w:rFonts w:hint="eastAsia"/>
                <w:kern w:val="0"/>
                <w:sz w:val="24"/>
                <w:szCs w:val="21"/>
                <w:lang w:val="en-US" w:eastAsia="zh-CN"/>
              </w:rPr>
              <w:t>1万吨纸托技改项目</w:t>
            </w:r>
            <w:r>
              <w:rPr>
                <w:bCs/>
                <w:sz w:val="24"/>
                <w:szCs w:val="21"/>
              </w:rPr>
              <w:t>的建设符合国家产业政策及地方产业政策，项目选址合理，符合当地发展规划</w:t>
            </w:r>
            <w:r>
              <w:rPr>
                <w:rFonts w:hint="eastAsia"/>
                <w:bCs/>
                <w:sz w:val="24"/>
                <w:szCs w:val="21"/>
              </w:rPr>
              <w:t>。</w:t>
            </w:r>
            <w:r>
              <w:rPr>
                <w:spacing w:val="2"/>
                <w:sz w:val="24"/>
                <w:szCs w:val="21"/>
              </w:rPr>
              <w:t>本项目</w:t>
            </w:r>
            <w:r>
              <w:rPr>
                <w:rFonts w:hint="eastAsia"/>
                <w:spacing w:val="2"/>
                <w:sz w:val="24"/>
                <w:szCs w:val="21"/>
              </w:rPr>
              <w:t>建成后落实本环评</w:t>
            </w:r>
            <w:r>
              <w:rPr>
                <w:kern w:val="0"/>
                <w:sz w:val="24"/>
                <w:szCs w:val="21"/>
              </w:rPr>
              <w:t>所提出的各项污染防治措施，</w:t>
            </w:r>
            <w:r>
              <w:rPr>
                <w:rFonts w:hint="eastAsia"/>
                <w:kern w:val="0"/>
                <w:sz w:val="24"/>
                <w:szCs w:val="21"/>
              </w:rPr>
              <w:t>在</w:t>
            </w:r>
            <w:r>
              <w:rPr>
                <w:kern w:val="0"/>
                <w:sz w:val="24"/>
                <w:szCs w:val="21"/>
              </w:rPr>
              <w:t>各项污染防治措施</w:t>
            </w:r>
            <w:r>
              <w:rPr>
                <w:rFonts w:hint="eastAsia"/>
                <w:kern w:val="0"/>
                <w:sz w:val="24"/>
                <w:szCs w:val="21"/>
              </w:rPr>
              <w:t>正常运行后，</w:t>
            </w:r>
            <w:r>
              <w:rPr>
                <w:kern w:val="0"/>
                <w:sz w:val="24"/>
                <w:szCs w:val="21"/>
              </w:rPr>
              <w:t>各项污染物均</w:t>
            </w:r>
            <w:r>
              <w:rPr>
                <w:rFonts w:hint="eastAsia"/>
                <w:kern w:val="0"/>
                <w:sz w:val="24"/>
                <w:szCs w:val="21"/>
              </w:rPr>
              <w:t>可</w:t>
            </w:r>
            <w:r>
              <w:rPr>
                <w:kern w:val="0"/>
                <w:sz w:val="24"/>
                <w:szCs w:val="21"/>
              </w:rPr>
              <w:t>达标排放，</w:t>
            </w:r>
            <w:r>
              <w:rPr>
                <w:rFonts w:hint="eastAsia"/>
                <w:kern w:val="0"/>
                <w:sz w:val="24"/>
                <w:szCs w:val="21"/>
              </w:rPr>
              <w:t>对周围环境影响较小，</w:t>
            </w:r>
            <w:r>
              <w:rPr>
                <w:kern w:val="0"/>
                <w:sz w:val="24"/>
                <w:szCs w:val="21"/>
              </w:rPr>
              <w:t>从环境影响角度</w:t>
            </w:r>
            <w:r>
              <w:rPr>
                <w:rFonts w:hint="eastAsia"/>
                <w:kern w:val="0"/>
                <w:sz w:val="24"/>
                <w:szCs w:val="21"/>
              </w:rPr>
              <w:t>分析</w:t>
            </w:r>
            <w:r>
              <w:rPr>
                <w:kern w:val="0"/>
                <w:sz w:val="24"/>
                <w:szCs w:val="21"/>
              </w:rPr>
              <w:t>，项目建设可行</w:t>
            </w:r>
            <w:r>
              <w:rPr>
                <w:rFonts w:hint="eastAsia"/>
                <w:kern w:val="0"/>
                <w:sz w:val="24"/>
                <w:szCs w:val="21"/>
              </w:rPr>
              <w:t>。</w:t>
            </w:r>
          </w:p>
        </w:tc>
      </w:tr>
    </w:tbl>
    <w:p w14:paraId="74B23A61">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D2B676E">
      <w:pPr>
        <w:pStyle w:val="20"/>
        <w:adjustRightInd w:val="0"/>
        <w:snapToGrid w:val="0"/>
        <w:spacing w:before="0" w:beforeAutospacing="0" w:after="0" w:afterAutospacing="0" w:line="36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3A032266">
      <w:pPr>
        <w:pStyle w:val="20"/>
        <w:adjustRightInd w:val="0"/>
        <w:snapToGrid w:val="0"/>
        <w:spacing w:before="0" w:beforeAutospacing="0" w:after="0" w:afterAutospacing="0" w:line="360" w:lineRule="auto"/>
        <w:jc w:val="center"/>
        <w:outlineLvl w:val="0"/>
        <w:rPr>
          <w:rFonts w:hint="default" w:ascii="Times New Roman" w:hAnsi="Times New Roman" w:eastAsia="宋体" w:cs="Times New Roman"/>
          <w:snapToGrid w:val="0"/>
          <w:sz w:val="38"/>
          <w:szCs w:val="38"/>
          <w:lang w:val="en-US" w:eastAsia="zh-CN"/>
        </w:rPr>
      </w:pPr>
      <w:r>
        <w:rPr>
          <w:rFonts w:hint="default" w:ascii="Times New Roman" w:hAnsi="Times New Roman" w:eastAsia="宋体" w:cs="Times New Roman"/>
          <w:snapToGrid w:val="0"/>
          <w:sz w:val="38"/>
          <w:szCs w:val="38"/>
        </w:rPr>
        <w:t>建设项目污染物排放量汇总表</w:t>
      </w:r>
      <w:r>
        <w:rPr>
          <w:rFonts w:hint="default" w:ascii="Times New Roman" w:hAnsi="Times New Roman" w:eastAsia="宋体" w:cs="Times New Roman"/>
          <w:snapToGrid w:val="0"/>
          <w:sz w:val="38"/>
          <w:szCs w:val="38"/>
          <w:lang w:val="en-US" w:eastAsia="zh-CN"/>
        </w:rPr>
        <w:t xml:space="preserve">  单位：t/a</w:t>
      </w:r>
    </w:p>
    <w:tbl>
      <w:tblPr>
        <w:tblStyle w:val="2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5"/>
        <w:gridCol w:w="1701"/>
        <w:gridCol w:w="1276"/>
        <w:gridCol w:w="1701"/>
        <w:gridCol w:w="1559"/>
        <w:gridCol w:w="1621"/>
        <w:gridCol w:w="1695"/>
        <w:gridCol w:w="1230"/>
      </w:tblGrid>
      <w:tr w14:paraId="228A8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500" w:type="dxa"/>
            <w:tcBorders>
              <w:tl2br w:val="single" w:color="auto" w:sz="4" w:space="0"/>
            </w:tcBorders>
            <w:tcMar>
              <w:left w:w="28" w:type="dxa"/>
              <w:right w:w="28" w:type="dxa"/>
            </w:tcMar>
            <w:vAlign w:val="center"/>
          </w:tcPr>
          <w:p w14:paraId="00E4E2F4">
            <w:pPr>
              <w:pStyle w:val="46"/>
              <w:spacing w:beforeLines="0" w:afterLines="0" w:line="240" w:lineRule="auto"/>
              <w:jc w:val="right"/>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项目</w:t>
            </w:r>
          </w:p>
          <w:p w14:paraId="3466C01C">
            <w:pPr>
              <w:pStyle w:val="46"/>
              <w:spacing w:beforeLines="0" w:afterLines="0" w:line="240" w:lineRule="auto"/>
              <w:jc w:val="left"/>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分类</w:t>
            </w:r>
          </w:p>
        </w:tc>
        <w:tc>
          <w:tcPr>
            <w:tcW w:w="1505" w:type="dxa"/>
            <w:tcMar>
              <w:left w:w="28" w:type="dxa"/>
              <w:right w:w="28" w:type="dxa"/>
            </w:tcMar>
            <w:vAlign w:val="center"/>
          </w:tcPr>
          <w:p w14:paraId="0CAB6688">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污染物名称</w:t>
            </w:r>
          </w:p>
        </w:tc>
        <w:tc>
          <w:tcPr>
            <w:tcW w:w="1701" w:type="dxa"/>
            <w:tcMar>
              <w:left w:w="28" w:type="dxa"/>
              <w:right w:w="28" w:type="dxa"/>
            </w:tcMar>
            <w:vAlign w:val="center"/>
          </w:tcPr>
          <w:p w14:paraId="42FF0F5A">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现有工程</w:t>
            </w:r>
          </w:p>
          <w:p w14:paraId="553C3339">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1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①</w:t>
            </w:r>
            <w:r>
              <w:rPr>
                <w:rFonts w:hint="default" w:ascii="Times New Roman" w:hAnsi="Times New Roman" w:eastAsia="宋体" w:cs="Times New Roman"/>
                <w:snapToGrid w:val="0"/>
                <w:color w:val="000000"/>
                <w:spacing w:val="-6"/>
                <w:kern w:val="21"/>
                <w:sz w:val="24"/>
                <w:szCs w:val="24"/>
              </w:rPr>
              <w:fldChar w:fldCharType="end"/>
            </w:r>
          </w:p>
        </w:tc>
        <w:tc>
          <w:tcPr>
            <w:tcW w:w="1276" w:type="dxa"/>
            <w:tcMar>
              <w:left w:w="28" w:type="dxa"/>
              <w:right w:w="28" w:type="dxa"/>
            </w:tcMar>
            <w:vAlign w:val="center"/>
          </w:tcPr>
          <w:p w14:paraId="1CF077F0">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现有工程</w:t>
            </w:r>
          </w:p>
          <w:p w14:paraId="4859A55B">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许可排放量</w:t>
            </w:r>
          </w:p>
          <w:p w14:paraId="733BA958">
            <w:pPr>
              <w:pStyle w:val="46"/>
              <w:spacing w:beforeLines="0" w:afterLines="0"/>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2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snapToGrid w:val="0"/>
                <w:color w:val="000000"/>
                <w:spacing w:val="-6"/>
                <w:kern w:val="21"/>
                <w:sz w:val="24"/>
                <w:szCs w:val="24"/>
              </w:rPr>
              <w:t>②</w:t>
            </w:r>
            <w:r>
              <w:rPr>
                <w:rFonts w:hint="default" w:ascii="Times New Roman" w:hAnsi="Times New Roman" w:eastAsia="宋体" w:cs="Times New Roman"/>
                <w:snapToGrid w:val="0"/>
                <w:color w:val="000000"/>
                <w:spacing w:val="-6"/>
                <w:kern w:val="21"/>
                <w:sz w:val="24"/>
                <w:szCs w:val="24"/>
              </w:rPr>
              <w:fldChar w:fldCharType="end"/>
            </w:r>
          </w:p>
        </w:tc>
        <w:tc>
          <w:tcPr>
            <w:tcW w:w="1701" w:type="dxa"/>
            <w:tcMar>
              <w:left w:w="28" w:type="dxa"/>
              <w:right w:w="28" w:type="dxa"/>
            </w:tcMar>
            <w:vAlign w:val="center"/>
          </w:tcPr>
          <w:p w14:paraId="57EA4808">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在建工程</w:t>
            </w:r>
          </w:p>
          <w:p w14:paraId="0BCF7580">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3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③</w:t>
            </w:r>
            <w:r>
              <w:rPr>
                <w:rFonts w:hint="default" w:ascii="Times New Roman" w:hAnsi="Times New Roman" w:eastAsia="宋体" w:cs="Times New Roman"/>
                <w:snapToGrid w:val="0"/>
                <w:color w:val="000000"/>
                <w:spacing w:val="-6"/>
                <w:kern w:val="21"/>
                <w:sz w:val="24"/>
                <w:szCs w:val="24"/>
              </w:rPr>
              <w:fldChar w:fldCharType="end"/>
            </w:r>
          </w:p>
        </w:tc>
        <w:tc>
          <w:tcPr>
            <w:tcW w:w="1559" w:type="dxa"/>
            <w:tcMar>
              <w:left w:w="28" w:type="dxa"/>
              <w:right w:w="28" w:type="dxa"/>
            </w:tcMar>
            <w:vAlign w:val="center"/>
          </w:tcPr>
          <w:p w14:paraId="7F10308A">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本项目</w:t>
            </w:r>
          </w:p>
          <w:p w14:paraId="07DA453A">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4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④</w:t>
            </w:r>
            <w:r>
              <w:rPr>
                <w:rFonts w:hint="default" w:ascii="Times New Roman" w:hAnsi="Times New Roman" w:eastAsia="宋体" w:cs="Times New Roman"/>
                <w:snapToGrid w:val="0"/>
                <w:color w:val="000000"/>
                <w:spacing w:val="-6"/>
                <w:kern w:val="21"/>
                <w:sz w:val="24"/>
                <w:szCs w:val="24"/>
              </w:rPr>
              <w:fldChar w:fldCharType="end"/>
            </w:r>
          </w:p>
        </w:tc>
        <w:tc>
          <w:tcPr>
            <w:tcW w:w="1621" w:type="dxa"/>
            <w:tcMar>
              <w:left w:w="28" w:type="dxa"/>
              <w:right w:w="28" w:type="dxa"/>
            </w:tcMar>
            <w:vAlign w:val="center"/>
          </w:tcPr>
          <w:p w14:paraId="176B48F6">
            <w:pPr>
              <w:pStyle w:val="46"/>
              <w:spacing w:beforeLines="0" w:afterLines="0" w:line="240" w:lineRule="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以新带老削减量</w:t>
            </w:r>
          </w:p>
          <w:p w14:paraId="0EE03F1C">
            <w:pPr>
              <w:pStyle w:val="46"/>
              <w:spacing w:beforeLines="0" w:afterLines="0" w:line="240" w:lineRule="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（新建项目不填）</w:t>
            </w:r>
            <w:r>
              <w:rPr>
                <w:rFonts w:hint="default" w:ascii="Times New Roman" w:hAnsi="Times New Roman" w:eastAsia="宋体" w:cs="Times New Roman"/>
                <w:snapToGrid w:val="0"/>
                <w:color w:val="000000"/>
                <w:spacing w:val="-16"/>
                <w:kern w:val="21"/>
                <w:sz w:val="24"/>
                <w:szCs w:val="24"/>
              </w:rPr>
              <w:fldChar w:fldCharType="begin"/>
            </w:r>
            <w:r>
              <w:rPr>
                <w:rFonts w:hint="default" w:ascii="Times New Roman" w:hAnsi="Times New Roman" w:eastAsia="宋体" w:cs="Times New Roman"/>
                <w:snapToGrid w:val="0"/>
                <w:color w:val="000000"/>
                <w:spacing w:val="-16"/>
                <w:kern w:val="21"/>
                <w:sz w:val="24"/>
                <w:szCs w:val="24"/>
              </w:rPr>
              <w:instrText xml:space="preserve"> = 5 \* GB3 \* MERGEFORMAT </w:instrText>
            </w:r>
            <w:r>
              <w:rPr>
                <w:rFonts w:hint="default" w:ascii="Times New Roman" w:hAnsi="Times New Roman" w:eastAsia="宋体" w:cs="Times New Roman"/>
                <w:snapToGrid w:val="0"/>
                <w:color w:val="000000"/>
                <w:spacing w:val="-16"/>
                <w:kern w:val="21"/>
                <w:sz w:val="24"/>
                <w:szCs w:val="24"/>
              </w:rPr>
              <w:fldChar w:fldCharType="separate"/>
            </w:r>
            <w:r>
              <w:rPr>
                <w:rFonts w:hint="default" w:ascii="Times New Roman" w:hAnsi="Times New Roman" w:eastAsia="宋体" w:cs="Times New Roman"/>
                <w:kern w:val="2"/>
                <w:sz w:val="24"/>
                <w:szCs w:val="24"/>
              </w:rPr>
              <w:t>⑤</w:t>
            </w:r>
            <w:r>
              <w:rPr>
                <w:rFonts w:hint="default" w:ascii="Times New Roman" w:hAnsi="Times New Roman" w:eastAsia="宋体" w:cs="Times New Roman"/>
                <w:snapToGrid w:val="0"/>
                <w:color w:val="000000"/>
                <w:spacing w:val="-16"/>
                <w:kern w:val="21"/>
                <w:sz w:val="24"/>
                <w:szCs w:val="24"/>
              </w:rPr>
              <w:fldChar w:fldCharType="end"/>
            </w:r>
          </w:p>
        </w:tc>
        <w:tc>
          <w:tcPr>
            <w:tcW w:w="1695" w:type="dxa"/>
            <w:tcMar>
              <w:left w:w="28" w:type="dxa"/>
              <w:right w:w="28" w:type="dxa"/>
            </w:tcMar>
            <w:vAlign w:val="center"/>
          </w:tcPr>
          <w:p w14:paraId="38CAC72F">
            <w:pPr>
              <w:pStyle w:val="46"/>
              <w:spacing w:beforeLines="0" w:afterLines="0" w:line="240" w:lineRule="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本项目建成后</w:t>
            </w:r>
          </w:p>
          <w:p w14:paraId="3C6AC4CF">
            <w:pPr>
              <w:pStyle w:val="46"/>
              <w:spacing w:beforeLines="0" w:afterLines="0" w:line="240" w:lineRule="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全厂排放量（固体废物产生量）</w:t>
            </w:r>
            <w:r>
              <w:rPr>
                <w:rFonts w:hint="default" w:ascii="Times New Roman" w:hAnsi="Times New Roman" w:eastAsia="宋体" w:cs="Times New Roman"/>
                <w:snapToGrid w:val="0"/>
                <w:color w:val="000000"/>
                <w:spacing w:val="-16"/>
                <w:kern w:val="21"/>
                <w:sz w:val="24"/>
                <w:szCs w:val="24"/>
              </w:rPr>
              <w:fldChar w:fldCharType="begin"/>
            </w:r>
            <w:r>
              <w:rPr>
                <w:rFonts w:hint="default" w:ascii="Times New Roman" w:hAnsi="Times New Roman" w:eastAsia="宋体" w:cs="Times New Roman"/>
                <w:snapToGrid w:val="0"/>
                <w:color w:val="000000"/>
                <w:spacing w:val="-16"/>
                <w:kern w:val="21"/>
                <w:sz w:val="24"/>
                <w:szCs w:val="24"/>
              </w:rPr>
              <w:instrText xml:space="preserve"> = 6 \* GB3 \* MERGEFORMAT </w:instrText>
            </w:r>
            <w:r>
              <w:rPr>
                <w:rFonts w:hint="default" w:ascii="Times New Roman" w:hAnsi="Times New Roman" w:eastAsia="宋体" w:cs="Times New Roman"/>
                <w:snapToGrid w:val="0"/>
                <w:color w:val="000000"/>
                <w:spacing w:val="-16"/>
                <w:kern w:val="21"/>
                <w:sz w:val="24"/>
                <w:szCs w:val="24"/>
              </w:rPr>
              <w:fldChar w:fldCharType="separate"/>
            </w:r>
            <w:r>
              <w:rPr>
                <w:rFonts w:hint="default" w:ascii="Times New Roman" w:hAnsi="Times New Roman" w:eastAsia="宋体" w:cs="Times New Roman"/>
                <w:kern w:val="2"/>
                <w:sz w:val="24"/>
                <w:szCs w:val="24"/>
              </w:rPr>
              <w:t>⑥</w:t>
            </w:r>
            <w:r>
              <w:rPr>
                <w:rFonts w:hint="default" w:ascii="Times New Roman" w:hAnsi="Times New Roman" w:eastAsia="宋体" w:cs="Times New Roman"/>
                <w:snapToGrid w:val="0"/>
                <w:color w:val="000000"/>
                <w:spacing w:val="-16"/>
                <w:kern w:val="21"/>
                <w:sz w:val="24"/>
                <w:szCs w:val="24"/>
              </w:rPr>
              <w:fldChar w:fldCharType="end"/>
            </w:r>
          </w:p>
        </w:tc>
        <w:tc>
          <w:tcPr>
            <w:tcW w:w="1230" w:type="dxa"/>
            <w:tcMar>
              <w:left w:w="28" w:type="dxa"/>
              <w:right w:w="28" w:type="dxa"/>
            </w:tcMar>
            <w:vAlign w:val="center"/>
          </w:tcPr>
          <w:p w14:paraId="31901973">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变化量</w:t>
            </w:r>
          </w:p>
          <w:p w14:paraId="786D622B">
            <w:pPr>
              <w:pStyle w:val="46"/>
              <w:spacing w:beforeLines="0" w:afterLines="0" w:line="240" w:lineRule="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7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⑦</w:t>
            </w:r>
            <w:r>
              <w:rPr>
                <w:rFonts w:hint="default" w:ascii="Times New Roman" w:hAnsi="Times New Roman" w:eastAsia="宋体" w:cs="Times New Roman"/>
                <w:snapToGrid w:val="0"/>
                <w:color w:val="000000"/>
                <w:spacing w:val="-6"/>
                <w:kern w:val="21"/>
                <w:sz w:val="24"/>
                <w:szCs w:val="24"/>
              </w:rPr>
              <w:fldChar w:fldCharType="end"/>
            </w:r>
          </w:p>
        </w:tc>
      </w:tr>
      <w:tr w14:paraId="14091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500" w:type="dxa"/>
            <w:vAlign w:val="center"/>
          </w:tcPr>
          <w:p w14:paraId="3ECB4D13">
            <w:pPr>
              <w:pStyle w:val="46"/>
              <w:spacing w:beforeLines="0" w:afterLines="0" w:line="240" w:lineRule="auto"/>
              <w:rPr>
                <w:rFonts w:hint="eastAsia" w:ascii="Times New Roman" w:hAnsi="Times New Roman" w:eastAsia="宋体" w:cs="Times New Roman"/>
                <w:snapToGrid w:val="0"/>
                <w:color w:val="000000"/>
                <w:kern w:val="21"/>
                <w:sz w:val="24"/>
                <w:szCs w:val="24"/>
                <w:lang w:val="en-US" w:eastAsia="zh-CN"/>
              </w:rPr>
            </w:pPr>
            <w:r>
              <w:rPr>
                <w:rFonts w:hint="eastAsia" w:ascii="Times New Roman" w:cs="Times New Roman"/>
                <w:snapToGrid w:val="0"/>
                <w:color w:val="000000"/>
                <w:kern w:val="21"/>
                <w:sz w:val="24"/>
                <w:szCs w:val="24"/>
                <w:lang w:val="en-US" w:eastAsia="zh-CN"/>
              </w:rPr>
              <w:t>废气</w:t>
            </w:r>
          </w:p>
        </w:tc>
        <w:tc>
          <w:tcPr>
            <w:tcW w:w="1505" w:type="dxa"/>
            <w:vAlign w:val="center"/>
          </w:tcPr>
          <w:p w14:paraId="42A64A2D">
            <w:pPr>
              <w:spacing w:line="276"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非甲烷总烃</w:t>
            </w:r>
          </w:p>
        </w:tc>
        <w:tc>
          <w:tcPr>
            <w:tcW w:w="1701" w:type="dxa"/>
            <w:vAlign w:val="center"/>
          </w:tcPr>
          <w:p w14:paraId="5653015B">
            <w:pPr>
              <w:pStyle w:val="46"/>
              <w:spacing w:beforeLines="0" w:afterLines="0" w:line="240" w:lineRule="auto"/>
              <w:rPr>
                <w:rFonts w:hint="default" w:ascii="Times New Roman" w:hAnsi="Times New Roman" w:eastAsia="宋体" w:cs="Times New Roman"/>
                <w:snapToGrid w:val="0"/>
                <w:kern w:val="21"/>
                <w:sz w:val="24"/>
                <w:szCs w:val="24"/>
              </w:rPr>
            </w:pPr>
            <w:r>
              <w:rPr>
                <w:rFonts w:hint="default" w:ascii="Times New Roman" w:hAnsi="Times New Roman" w:eastAsia="宋体" w:cs="Times New Roman"/>
                <w:snapToGrid w:val="0"/>
                <w:kern w:val="21"/>
                <w:sz w:val="24"/>
                <w:szCs w:val="24"/>
              </w:rPr>
              <w:t>/</w:t>
            </w:r>
          </w:p>
        </w:tc>
        <w:tc>
          <w:tcPr>
            <w:tcW w:w="1276" w:type="dxa"/>
            <w:vAlign w:val="center"/>
          </w:tcPr>
          <w:p w14:paraId="3AAE1A26">
            <w:pPr>
              <w:pStyle w:val="46"/>
              <w:spacing w:beforeLines="0" w:afterLines="0" w:line="240" w:lineRule="auto"/>
              <w:rPr>
                <w:rFonts w:hint="default" w:ascii="Times New Roman" w:hAnsi="Times New Roman" w:eastAsia="宋体" w:cs="Times New Roman"/>
                <w:snapToGrid w:val="0"/>
                <w:kern w:val="21"/>
                <w:sz w:val="24"/>
                <w:szCs w:val="24"/>
              </w:rPr>
            </w:pPr>
            <w:r>
              <w:rPr>
                <w:rFonts w:hint="default" w:ascii="Times New Roman" w:hAnsi="Times New Roman" w:eastAsia="宋体" w:cs="Times New Roman"/>
                <w:snapToGrid w:val="0"/>
                <w:kern w:val="21"/>
                <w:sz w:val="24"/>
                <w:szCs w:val="24"/>
              </w:rPr>
              <w:t>/</w:t>
            </w:r>
          </w:p>
        </w:tc>
        <w:tc>
          <w:tcPr>
            <w:tcW w:w="1701" w:type="dxa"/>
            <w:vAlign w:val="center"/>
          </w:tcPr>
          <w:p w14:paraId="303A593C">
            <w:pPr>
              <w:pStyle w:val="46"/>
              <w:spacing w:beforeLines="0" w:afterLines="0" w:line="240" w:lineRule="auto"/>
              <w:rPr>
                <w:rFonts w:hint="default" w:ascii="Times New Roman" w:hAnsi="Times New Roman" w:eastAsia="宋体" w:cs="Times New Roman"/>
                <w:snapToGrid w:val="0"/>
                <w:kern w:val="21"/>
                <w:sz w:val="24"/>
                <w:szCs w:val="24"/>
              </w:rPr>
            </w:pPr>
            <w:r>
              <w:rPr>
                <w:rFonts w:hint="default" w:ascii="Times New Roman" w:hAnsi="Times New Roman" w:eastAsia="宋体" w:cs="Times New Roman"/>
                <w:snapToGrid w:val="0"/>
                <w:kern w:val="21"/>
                <w:sz w:val="24"/>
                <w:szCs w:val="24"/>
              </w:rPr>
              <w:t>/</w:t>
            </w:r>
          </w:p>
        </w:tc>
        <w:tc>
          <w:tcPr>
            <w:tcW w:w="1559" w:type="dxa"/>
            <w:vAlign w:val="center"/>
          </w:tcPr>
          <w:p w14:paraId="0D14043C">
            <w:pPr>
              <w:autoSpaceDN w:val="0"/>
              <w:jc w:val="center"/>
              <w:rPr>
                <w:rFonts w:hint="default" w:ascii="Times New Roman" w:hAnsi="Times New Roman" w:eastAsia="宋体" w:cs="Times New Roman"/>
                <w:sz w:val="24"/>
                <w:szCs w:val="24"/>
              </w:rPr>
            </w:pPr>
            <w:r>
              <w:rPr>
                <w:rFonts w:hint="eastAsia" w:cs="Times New Roman"/>
                <w:sz w:val="24"/>
                <w:szCs w:val="24"/>
                <w:lang w:val="en-US" w:eastAsia="zh-CN"/>
              </w:rPr>
              <w:t>0.0065</w:t>
            </w:r>
          </w:p>
        </w:tc>
        <w:tc>
          <w:tcPr>
            <w:tcW w:w="1621" w:type="dxa"/>
            <w:vAlign w:val="center"/>
          </w:tcPr>
          <w:p w14:paraId="57C524B3">
            <w:pPr>
              <w:pStyle w:val="46"/>
              <w:spacing w:beforeLines="0" w:afterLines="0" w:line="240" w:lineRule="auto"/>
              <w:rPr>
                <w:rFonts w:hint="default" w:ascii="Times New Roman" w:hAnsi="Times New Roman" w:eastAsia="宋体" w:cs="Times New Roman"/>
                <w:snapToGrid w:val="0"/>
                <w:kern w:val="21"/>
                <w:sz w:val="24"/>
                <w:szCs w:val="24"/>
              </w:rPr>
            </w:pPr>
            <w:r>
              <w:rPr>
                <w:rFonts w:hint="default" w:ascii="Times New Roman" w:hAnsi="Times New Roman" w:eastAsia="宋体" w:cs="Times New Roman"/>
                <w:snapToGrid w:val="0"/>
                <w:kern w:val="21"/>
                <w:sz w:val="24"/>
                <w:szCs w:val="24"/>
              </w:rPr>
              <w:t>/</w:t>
            </w:r>
          </w:p>
        </w:tc>
        <w:tc>
          <w:tcPr>
            <w:tcW w:w="1695" w:type="dxa"/>
            <w:vAlign w:val="center"/>
          </w:tcPr>
          <w:p w14:paraId="3591498B">
            <w:pPr>
              <w:autoSpaceDN w:val="0"/>
              <w:jc w:val="center"/>
              <w:rPr>
                <w:rFonts w:hint="default" w:ascii="Times New Roman" w:hAnsi="Times New Roman" w:eastAsia="宋体" w:cs="Times New Roman"/>
                <w:sz w:val="24"/>
                <w:szCs w:val="24"/>
              </w:rPr>
            </w:pPr>
            <w:r>
              <w:rPr>
                <w:rFonts w:hint="eastAsia" w:cs="Times New Roman"/>
                <w:sz w:val="24"/>
                <w:szCs w:val="24"/>
                <w:lang w:val="en-US" w:eastAsia="zh-CN"/>
              </w:rPr>
              <w:t>0.0065</w:t>
            </w:r>
          </w:p>
        </w:tc>
        <w:tc>
          <w:tcPr>
            <w:tcW w:w="1230" w:type="dxa"/>
            <w:vAlign w:val="center"/>
          </w:tcPr>
          <w:p w14:paraId="620B45E8">
            <w:pPr>
              <w:autoSpaceDN w:val="0"/>
              <w:jc w:val="center"/>
              <w:rPr>
                <w:rFonts w:hint="default" w:ascii="Times New Roman" w:hAnsi="Times New Roman" w:eastAsia="宋体" w:cs="Times New Roman"/>
                <w:sz w:val="24"/>
                <w:szCs w:val="24"/>
              </w:rPr>
            </w:pPr>
            <w:r>
              <w:rPr>
                <w:rFonts w:hint="eastAsia" w:cs="Times New Roman"/>
                <w:sz w:val="24"/>
                <w:szCs w:val="24"/>
                <w:lang w:val="en-US" w:eastAsia="zh-CN"/>
              </w:rPr>
              <w:t>+0.0065</w:t>
            </w:r>
          </w:p>
        </w:tc>
      </w:tr>
      <w:tr w14:paraId="765F0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500" w:type="dxa"/>
            <w:vMerge w:val="restart"/>
            <w:vAlign w:val="center"/>
          </w:tcPr>
          <w:p w14:paraId="68E8135D">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废水</w:t>
            </w:r>
          </w:p>
        </w:tc>
        <w:tc>
          <w:tcPr>
            <w:tcW w:w="1505" w:type="dxa"/>
            <w:vAlign w:val="center"/>
          </w:tcPr>
          <w:p w14:paraId="549973AA">
            <w:pPr>
              <w:pStyle w:val="46"/>
              <w:spacing w:beforeLines="0" w:afterLines="0" w:line="240" w:lineRule="auto"/>
              <w:rPr>
                <w:rFonts w:hint="default" w:ascii="Times New Roman" w:hAnsi="Times New Roman" w:eastAsia="宋体" w:cs="Times New Roman"/>
                <w:snapToGrid w:val="0"/>
                <w:kern w:val="21"/>
                <w:sz w:val="24"/>
                <w:szCs w:val="24"/>
              </w:rPr>
            </w:pPr>
            <w:r>
              <w:rPr>
                <w:rFonts w:hint="default" w:ascii="Times New Roman" w:hAnsi="Times New Roman" w:eastAsia="宋体" w:cs="Times New Roman"/>
                <w:snapToGrid w:val="0"/>
                <w:kern w:val="21"/>
                <w:sz w:val="24"/>
                <w:szCs w:val="24"/>
              </w:rPr>
              <w:t>废水量</w:t>
            </w:r>
          </w:p>
        </w:tc>
        <w:tc>
          <w:tcPr>
            <w:tcW w:w="1701" w:type="dxa"/>
            <w:vAlign w:val="center"/>
          </w:tcPr>
          <w:p w14:paraId="4FB4AE05">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276" w:type="dxa"/>
            <w:vAlign w:val="center"/>
          </w:tcPr>
          <w:p w14:paraId="530D3CCB">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701" w:type="dxa"/>
            <w:vAlign w:val="center"/>
          </w:tcPr>
          <w:p w14:paraId="28D515A1">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559" w:type="dxa"/>
            <w:vAlign w:val="center"/>
          </w:tcPr>
          <w:p w14:paraId="623AEEF1">
            <w:pPr>
              <w:adjustRightInd w:val="0"/>
              <w:snapToGrid w:val="0"/>
              <w:spacing w:line="276"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w:t>
            </w:r>
          </w:p>
        </w:tc>
        <w:tc>
          <w:tcPr>
            <w:tcW w:w="1621" w:type="dxa"/>
            <w:vAlign w:val="center"/>
          </w:tcPr>
          <w:p w14:paraId="76FFBA5B">
            <w:pPr>
              <w:pStyle w:val="46"/>
              <w:spacing w:beforeLines="0" w:afterLines="0" w:line="240" w:lineRule="auto"/>
              <w:rPr>
                <w:rFonts w:hint="default" w:ascii="Times New Roman" w:hAnsi="Times New Roman" w:eastAsia="宋体" w:cs="Times New Roman"/>
                <w:snapToGrid w:val="0"/>
                <w:kern w:val="21"/>
                <w:sz w:val="24"/>
                <w:szCs w:val="24"/>
              </w:rPr>
            </w:pPr>
            <w:r>
              <w:rPr>
                <w:rFonts w:hint="default" w:ascii="Times New Roman" w:hAnsi="Times New Roman" w:eastAsia="宋体" w:cs="Times New Roman"/>
                <w:snapToGrid w:val="0"/>
                <w:kern w:val="21"/>
                <w:sz w:val="24"/>
                <w:szCs w:val="24"/>
              </w:rPr>
              <w:t>/</w:t>
            </w:r>
          </w:p>
        </w:tc>
        <w:tc>
          <w:tcPr>
            <w:tcW w:w="1695" w:type="dxa"/>
            <w:vAlign w:val="center"/>
          </w:tcPr>
          <w:p w14:paraId="1220DD38">
            <w:pPr>
              <w:adjustRightInd w:val="0"/>
              <w:snapToGrid w:val="0"/>
              <w:spacing w:line="276"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w:t>
            </w:r>
          </w:p>
        </w:tc>
        <w:tc>
          <w:tcPr>
            <w:tcW w:w="1230" w:type="dxa"/>
            <w:vAlign w:val="center"/>
          </w:tcPr>
          <w:p w14:paraId="3E77AAE4">
            <w:pPr>
              <w:adjustRightInd w:val="0"/>
              <w:snapToGrid w:val="0"/>
              <w:spacing w:line="276"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w:t>
            </w:r>
          </w:p>
        </w:tc>
      </w:tr>
      <w:tr w14:paraId="08E6E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00" w:type="dxa"/>
            <w:vMerge w:val="restart"/>
            <w:vAlign w:val="center"/>
          </w:tcPr>
          <w:p w14:paraId="3602DB33">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一般工业</w:t>
            </w:r>
          </w:p>
          <w:p w14:paraId="680E48CE">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固体废物</w:t>
            </w:r>
          </w:p>
        </w:tc>
        <w:tc>
          <w:tcPr>
            <w:tcW w:w="1505" w:type="dxa"/>
            <w:vAlign w:val="center"/>
          </w:tcPr>
          <w:p w14:paraId="7A6CB040">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生活垃圾</w:t>
            </w:r>
          </w:p>
        </w:tc>
        <w:tc>
          <w:tcPr>
            <w:tcW w:w="1701" w:type="dxa"/>
            <w:vAlign w:val="center"/>
          </w:tcPr>
          <w:p w14:paraId="38862972">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276" w:type="dxa"/>
            <w:vAlign w:val="center"/>
          </w:tcPr>
          <w:p w14:paraId="3F24BF9C">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701" w:type="dxa"/>
            <w:vAlign w:val="center"/>
          </w:tcPr>
          <w:p w14:paraId="62E24489">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559" w:type="dxa"/>
            <w:vAlign w:val="center"/>
          </w:tcPr>
          <w:p w14:paraId="15C595EC">
            <w:pPr>
              <w:autoSpaceDE w:val="0"/>
              <w:autoSpaceDN w:val="0"/>
              <w:adjustRightInd w:val="0"/>
              <w:spacing w:line="276" w:lineRule="auto"/>
              <w:jc w:val="center"/>
              <w:rPr>
                <w:rFonts w:hint="default" w:ascii="Times New Roman" w:hAnsi="Times New Roman" w:eastAsia="宋体" w:cs="Times New Roman"/>
                <w:color w:val="000000"/>
                <w:sz w:val="24"/>
                <w:szCs w:val="24"/>
              </w:rPr>
            </w:pPr>
            <w:r>
              <w:rPr>
                <w:rFonts w:hint="eastAsia" w:cs="Times New Roman"/>
                <w:color w:val="000000"/>
                <w:sz w:val="24"/>
                <w:szCs w:val="24"/>
                <w:lang w:val="en-US" w:eastAsia="zh-CN"/>
              </w:rPr>
              <w:t>7</w:t>
            </w:r>
            <w:r>
              <w:rPr>
                <w:rFonts w:hint="default" w:ascii="Times New Roman" w:hAnsi="Times New Roman" w:eastAsia="宋体" w:cs="Times New Roman"/>
                <w:color w:val="000000"/>
                <w:sz w:val="24"/>
                <w:szCs w:val="24"/>
              </w:rPr>
              <w:t>.5</w:t>
            </w:r>
          </w:p>
        </w:tc>
        <w:tc>
          <w:tcPr>
            <w:tcW w:w="1621" w:type="dxa"/>
            <w:vAlign w:val="center"/>
          </w:tcPr>
          <w:p w14:paraId="68D6956B">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695" w:type="dxa"/>
            <w:vAlign w:val="center"/>
          </w:tcPr>
          <w:p w14:paraId="48A88B0B">
            <w:pPr>
              <w:autoSpaceDE w:val="0"/>
              <w:autoSpaceDN w:val="0"/>
              <w:adjustRightInd w:val="0"/>
              <w:spacing w:line="276" w:lineRule="auto"/>
              <w:jc w:val="center"/>
              <w:rPr>
                <w:rFonts w:hint="default" w:ascii="Times New Roman" w:hAnsi="Times New Roman" w:eastAsia="宋体" w:cs="Times New Roman"/>
                <w:color w:val="000000"/>
                <w:sz w:val="24"/>
                <w:szCs w:val="24"/>
              </w:rPr>
            </w:pPr>
            <w:r>
              <w:rPr>
                <w:rFonts w:hint="eastAsia" w:cs="Times New Roman"/>
                <w:color w:val="000000"/>
                <w:sz w:val="24"/>
                <w:szCs w:val="24"/>
                <w:lang w:val="en-US" w:eastAsia="zh-CN"/>
              </w:rPr>
              <w:t>7</w:t>
            </w:r>
            <w:r>
              <w:rPr>
                <w:rFonts w:hint="default" w:ascii="Times New Roman" w:hAnsi="Times New Roman" w:eastAsia="宋体" w:cs="Times New Roman"/>
                <w:color w:val="000000"/>
                <w:sz w:val="24"/>
                <w:szCs w:val="24"/>
              </w:rPr>
              <w:t>.5</w:t>
            </w:r>
          </w:p>
        </w:tc>
        <w:tc>
          <w:tcPr>
            <w:tcW w:w="1230" w:type="dxa"/>
            <w:vAlign w:val="center"/>
          </w:tcPr>
          <w:p w14:paraId="19DD73D0">
            <w:pPr>
              <w:autoSpaceDE w:val="0"/>
              <w:autoSpaceDN w:val="0"/>
              <w:adjustRightInd w:val="0"/>
              <w:spacing w:line="276"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cs="Times New Roman"/>
                <w:color w:val="000000"/>
                <w:sz w:val="24"/>
                <w:szCs w:val="24"/>
                <w:lang w:val="en-US" w:eastAsia="zh-CN"/>
              </w:rPr>
              <w:t>7</w:t>
            </w:r>
            <w:r>
              <w:rPr>
                <w:rFonts w:hint="default" w:ascii="Times New Roman" w:hAnsi="Times New Roman" w:eastAsia="宋体" w:cs="Times New Roman"/>
                <w:color w:val="000000"/>
                <w:sz w:val="24"/>
                <w:szCs w:val="24"/>
              </w:rPr>
              <w:t>.5</w:t>
            </w:r>
          </w:p>
        </w:tc>
      </w:tr>
      <w:tr w14:paraId="076DF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00" w:type="dxa"/>
            <w:vMerge w:val="continue"/>
            <w:vAlign w:val="center"/>
          </w:tcPr>
          <w:p w14:paraId="34C8526A">
            <w:pPr>
              <w:pStyle w:val="46"/>
              <w:spacing w:beforeLines="0" w:afterLines="0" w:line="240" w:lineRule="auto"/>
              <w:rPr>
                <w:rFonts w:hint="default" w:ascii="Times New Roman" w:hAnsi="Times New Roman" w:eastAsia="宋体" w:cs="Times New Roman"/>
                <w:snapToGrid w:val="0"/>
                <w:color w:val="000000"/>
                <w:kern w:val="21"/>
                <w:sz w:val="24"/>
                <w:szCs w:val="24"/>
              </w:rPr>
            </w:pPr>
          </w:p>
        </w:tc>
        <w:tc>
          <w:tcPr>
            <w:tcW w:w="1505" w:type="dxa"/>
            <w:vAlign w:val="center"/>
          </w:tcPr>
          <w:p w14:paraId="12EE54B5">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一般废包装材料</w:t>
            </w:r>
          </w:p>
        </w:tc>
        <w:tc>
          <w:tcPr>
            <w:tcW w:w="1701" w:type="dxa"/>
            <w:vAlign w:val="center"/>
          </w:tcPr>
          <w:p w14:paraId="65F49541">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276" w:type="dxa"/>
            <w:vAlign w:val="center"/>
          </w:tcPr>
          <w:p w14:paraId="59308BCF">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701" w:type="dxa"/>
            <w:vAlign w:val="center"/>
          </w:tcPr>
          <w:p w14:paraId="4C87737D">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559" w:type="dxa"/>
            <w:vAlign w:val="center"/>
          </w:tcPr>
          <w:p w14:paraId="61A39322">
            <w:pPr>
              <w:autoSpaceDE w:val="0"/>
              <w:autoSpaceDN w:val="0"/>
              <w:adjustRightInd w:val="0"/>
              <w:spacing w:line="276"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621" w:type="dxa"/>
            <w:vAlign w:val="center"/>
          </w:tcPr>
          <w:p w14:paraId="4BD7303A">
            <w:pPr>
              <w:pStyle w:val="46"/>
              <w:spacing w:beforeLines="0" w:afterLines="0" w:line="240" w:lineRule="auto"/>
              <w:rPr>
                <w:rFonts w:hint="default" w:ascii="Times New Roman" w:hAnsi="Times New Roman" w:eastAsia="宋体" w:cs="Times New Roman"/>
                <w:snapToGrid w:val="0"/>
                <w:kern w:val="21"/>
                <w:sz w:val="24"/>
                <w:szCs w:val="24"/>
              </w:rPr>
            </w:pPr>
            <w:r>
              <w:rPr>
                <w:rFonts w:hint="default" w:ascii="Times New Roman" w:hAnsi="Times New Roman" w:eastAsia="宋体" w:cs="Times New Roman"/>
                <w:snapToGrid w:val="0"/>
                <w:kern w:val="21"/>
                <w:sz w:val="24"/>
                <w:szCs w:val="24"/>
              </w:rPr>
              <w:t>/</w:t>
            </w:r>
          </w:p>
        </w:tc>
        <w:tc>
          <w:tcPr>
            <w:tcW w:w="1695" w:type="dxa"/>
            <w:vAlign w:val="center"/>
          </w:tcPr>
          <w:p w14:paraId="13D48D11">
            <w:pPr>
              <w:autoSpaceDE w:val="0"/>
              <w:autoSpaceDN w:val="0"/>
              <w:adjustRightInd w:val="0"/>
              <w:spacing w:line="276"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230" w:type="dxa"/>
            <w:vAlign w:val="center"/>
          </w:tcPr>
          <w:p w14:paraId="179B5176">
            <w:pPr>
              <w:autoSpaceDE w:val="0"/>
              <w:autoSpaceDN w:val="0"/>
              <w:adjustRightInd w:val="0"/>
              <w:spacing w:line="276"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r>
      <w:tr w14:paraId="4757C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00" w:type="dxa"/>
            <w:vMerge w:val="restart"/>
            <w:vAlign w:val="center"/>
          </w:tcPr>
          <w:p w14:paraId="5173038E">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危险废物</w:t>
            </w:r>
          </w:p>
        </w:tc>
        <w:tc>
          <w:tcPr>
            <w:tcW w:w="1505" w:type="dxa"/>
            <w:shd w:val="clear" w:color="auto" w:fill="auto"/>
            <w:vAlign w:val="center"/>
          </w:tcPr>
          <w:p w14:paraId="74772FDF">
            <w:pPr>
              <w:pStyle w:val="46"/>
              <w:spacing w:beforeLines="0" w:afterLines="0" w:line="240" w:lineRule="auto"/>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eastAsia="宋体" w:cs="Times New Roman"/>
                <w:snapToGrid w:val="0"/>
                <w:color w:val="000000"/>
                <w:kern w:val="21"/>
                <w:sz w:val="24"/>
                <w:szCs w:val="24"/>
              </w:rPr>
              <w:t>废润滑油</w:t>
            </w:r>
          </w:p>
        </w:tc>
        <w:tc>
          <w:tcPr>
            <w:tcW w:w="1701" w:type="dxa"/>
            <w:vAlign w:val="center"/>
          </w:tcPr>
          <w:p w14:paraId="6E216E27">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276" w:type="dxa"/>
            <w:vAlign w:val="center"/>
          </w:tcPr>
          <w:p w14:paraId="1AD00CCA">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701" w:type="dxa"/>
            <w:vAlign w:val="center"/>
          </w:tcPr>
          <w:p w14:paraId="6D91A1C8">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559" w:type="dxa"/>
            <w:shd w:val="clear" w:color="auto" w:fill="auto"/>
            <w:vAlign w:val="center"/>
          </w:tcPr>
          <w:p w14:paraId="5BC5D324">
            <w:pPr>
              <w:pStyle w:val="46"/>
              <w:spacing w:beforeLines="0" w:afterLines="0" w:line="240" w:lineRule="auto"/>
              <w:rPr>
                <w:rFonts w:hint="default" w:ascii="Times New Roman" w:hAnsi="Times New Roman" w:eastAsia="宋体" w:cs="Times New Roman"/>
                <w:snapToGrid w:val="0"/>
                <w:color w:val="000000"/>
                <w:kern w:val="21"/>
                <w:sz w:val="24"/>
                <w:szCs w:val="24"/>
                <w:lang w:val="en-US" w:eastAsia="zh-CN"/>
              </w:rPr>
            </w:pPr>
            <w:r>
              <w:rPr>
                <w:rFonts w:hint="eastAsia" w:ascii="Times New Roman" w:hAnsi="Times New Roman" w:eastAsia="宋体" w:cs="Times New Roman"/>
                <w:snapToGrid w:val="0"/>
                <w:color w:val="000000"/>
                <w:kern w:val="21"/>
                <w:sz w:val="24"/>
                <w:szCs w:val="24"/>
                <w:lang w:val="en-US" w:eastAsia="zh-CN"/>
              </w:rPr>
              <w:t>0.25</w:t>
            </w:r>
          </w:p>
        </w:tc>
        <w:tc>
          <w:tcPr>
            <w:tcW w:w="1621" w:type="dxa"/>
            <w:vAlign w:val="center"/>
          </w:tcPr>
          <w:p w14:paraId="0FDCA3B9">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695" w:type="dxa"/>
            <w:vAlign w:val="center"/>
          </w:tcPr>
          <w:p w14:paraId="2DA25D2C">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eastAsia" w:ascii="Times New Roman" w:hAnsi="Times New Roman" w:eastAsia="宋体" w:cs="Times New Roman"/>
                <w:snapToGrid w:val="0"/>
                <w:color w:val="000000"/>
                <w:kern w:val="21"/>
                <w:sz w:val="24"/>
                <w:szCs w:val="24"/>
                <w:lang w:val="en-US" w:eastAsia="zh-CN"/>
              </w:rPr>
              <w:t>0.25</w:t>
            </w:r>
          </w:p>
        </w:tc>
        <w:tc>
          <w:tcPr>
            <w:tcW w:w="1230" w:type="dxa"/>
            <w:vAlign w:val="center"/>
          </w:tcPr>
          <w:p w14:paraId="09A43617">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r>
              <w:rPr>
                <w:rFonts w:hint="eastAsia" w:ascii="Times New Roman" w:hAnsi="Times New Roman" w:eastAsia="宋体" w:cs="Times New Roman"/>
                <w:snapToGrid w:val="0"/>
                <w:color w:val="000000"/>
                <w:kern w:val="21"/>
                <w:sz w:val="24"/>
                <w:szCs w:val="24"/>
                <w:lang w:val="en-US" w:eastAsia="zh-CN"/>
              </w:rPr>
              <w:t>0.25</w:t>
            </w:r>
          </w:p>
        </w:tc>
      </w:tr>
      <w:tr w14:paraId="7752B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00" w:type="dxa"/>
            <w:vMerge w:val="continue"/>
            <w:vAlign w:val="center"/>
          </w:tcPr>
          <w:p w14:paraId="13DB6EB0">
            <w:pPr>
              <w:pStyle w:val="46"/>
              <w:spacing w:beforeLines="0" w:afterLines="0" w:line="240" w:lineRule="auto"/>
              <w:rPr>
                <w:rFonts w:hint="default" w:ascii="Times New Roman" w:hAnsi="Times New Roman" w:eastAsia="宋体" w:cs="Times New Roman"/>
                <w:snapToGrid w:val="0"/>
                <w:color w:val="000000"/>
                <w:kern w:val="21"/>
                <w:sz w:val="24"/>
                <w:szCs w:val="24"/>
              </w:rPr>
            </w:pPr>
          </w:p>
        </w:tc>
        <w:tc>
          <w:tcPr>
            <w:tcW w:w="1505" w:type="dxa"/>
            <w:shd w:val="clear" w:color="auto" w:fill="auto"/>
            <w:vAlign w:val="center"/>
          </w:tcPr>
          <w:p w14:paraId="3AA5BADD">
            <w:pPr>
              <w:pStyle w:val="46"/>
              <w:spacing w:beforeLines="0" w:afterLines="0" w:line="240" w:lineRule="auto"/>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eastAsia="宋体" w:cs="Times New Roman"/>
                <w:snapToGrid w:val="0"/>
                <w:color w:val="000000"/>
                <w:kern w:val="21"/>
                <w:sz w:val="24"/>
                <w:szCs w:val="24"/>
              </w:rPr>
              <w:t>废油桶</w:t>
            </w:r>
          </w:p>
        </w:tc>
        <w:tc>
          <w:tcPr>
            <w:tcW w:w="1701" w:type="dxa"/>
            <w:vAlign w:val="center"/>
          </w:tcPr>
          <w:p w14:paraId="3B3FCDA4">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276" w:type="dxa"/>
            <w:vAlign w:val="center"/>
          </w:tcPr>
          <w:p w14:paraId="53198BE2">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701" w:type="dxa"/>
            <w:vAlign w:val="center"/>
          </w:tcPr>
          <w:p w14:paraId="0ECBDB14">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559" w:type="dxa"/>
            <w:shd w:val="clear" w:color="auto" w:fill="auto"/>
            <w:vAlign w:val="center"/>
          </w:tcPr>
          <w:p w14:paraId="0906F13C">
            <w:pPr>
              <w:pStyle w:val="46"/>
              <w:spacing w:beforeLines="0" w:afterLines="0" w:line="240" w:lineRule="auto"/>
              <w:rPr>
                <w:rFonts w:hint="default" w:ascii="Times New Roman" w:hAnsi="Times New Roman" w:eastAsia="宋体" w:cs="Times New Roman"/>
                <w:snapToGrid w:val="0"/>
                <w:color w:val="000000"/>
                <w:kern w:val="21"/>
                <w:sz w:val="24"/>
                <w:szCs w:val="24"/>
                <w:lang w:val="en-US" w:eastAsia="zh-CN"/>
              </w:rPr>
            </w:pPr>
            <w:r>
              <w:rPr>
                <w:rFonts w:hint="eastAsia" w:ascii="Times New Roman" w:hAnsi="Times New Roman" w:eastAsia="宋体" w:cs="Times New Roman"/>
                <w:snapToGrid w:val="0"/>
                <w:color w:val="000000"/>
                <w:kern w:val="21"/>
                <w:sz w:val="24"/>
                <w:szCs w:val="24"/>
                <w:lang w:val="en-US" w:eastAsia="zh-CN"/>
              </w:rPr>
              <w:t>0.075</w:t>
            </w:r>
          </w:p>
        </w:tc>
        <w:tc>
          <w:tcPr>
            <w:tcW w:w="1621" w:type="dxa"/>
            <w:vAlign w:val="center"/>
          </w:tcPr>
          <w:p w14:paraId="012B93E8">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695" w:type="dxa"/>
            <w:vAlign w:val="center"/>
          </w:tcPr>
          <w:p w14:paraId="62EAA2E2">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eastAsia" w:ascii="Times New Roman" w:hAnsi="Times New Roman" w:eastAsia="宋体" w:cs="Times New Roman"/>
                <w:snapToGrid w:val="0"/>
                <w:color w:val="000000"/>
                <w:kern w:val="21"/>
                <w:sz w:val="24"/>
                <w:szCs w:val="24"/>
                <w:lang w:val="en-US" w:eastAsia="zh-CN"/>
              </w:rPr>
              <w:t>0.075</w:t>
            </w:r>
          </w:p>
        </w:tc>
        <w:tc>
          <w:tcPr>
            <w:tcW w:w="1230" w:type="dxa"/>
            <w:vAlign w:val="center"/>
          </w:tcPr>
          <w:p w14:paraId="0E2E3847">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r>
              <w:rPr>
                <w:rFonts w:hint="eastAsia" w:ascii="Times New Roman" w:hAnsi="Times New Roman" w:eastAsia="宋体" w:cs="Times New Roman"/>
                <w:snapToGrid w:val="0"/>
                <w:color w:val="000000"/>
                <w:kern w:val="21"/>
                <w:sz w:val="24"/>
                <w:szCs w:val="24"/>
                <w:lang w:val="en-US" w:eastAsia="zh-CN"/>
              </w:rPr>
              <w:t>0.075</w:t>
            </w:r>
          </w:p>
        </w:tc>
      </w:tr>
      <w:tr w14:paraId="7B7CD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00" w:type="dxa"/>
            <w:vMerge w:val="continue"/>
            <w:vAlign w:val="center"/>
          </w:tcPr>
          <w:p w14:paraId="600F65CF">
            <w:pPr>
              <w:pStyle w:val="46"/>
              <w:spacing w:beforeLines="0" w:afterLines="0" w:line="240" w:lineRule="auto"/>
              <w:rPr>
                <w:rFonts w:hint="default" w:ascii="Times New Roman" w:hAnsi="Times New Roman" w:eastAsia="宋体" w:cs="Times New Roman"/>
                <w:snapToGrid w:val="0"/>
                <w:color w:val="000000"/>
                <w:kern w:val="21"/>
                <w:sz w:val="24"/>
                <w:szCs w:val="24"/>
              </w:rPr>
            </w:pPr>
          </w:p>
        </w:tc>
        <w:tc>
          <w:tcPr>
            <w:tcW w:w="1505" w:type="dxa"/>
            <w:shd w:val="clear" w:color="auto" w:fill="auto"/>
            <w:vAlign w:val="center"/>
          </w:tcPr>
          <w:p w14:paraId="4B310402">
            <w:pPr>
              <w:pStyle w:val="46"/>
              <w:spacing w:beforeLines="0" w:afterLines="0" w:line="240" w:lineRule="auto"/>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eastAsia="宋体" w:cs="Times New Roman"/>
                <w:snapToGrid w:val="0"/>
                <w:color w:val="000000"/>
                <w:kern w:val="21"/>
                <w:sz w:val="24"/>
                <w:szCs w:val="24"/>
              </w:rPr>
              <w:t>废活性炭</w:t>
            </w:r>
          </w:p>
        </w:tc>
        <w:tc>
          <w:tcPr>
            <w:tcW w:w="1701" w:type="dxa"/>
            <w:vAlign w:val="center"/>
          </w:tcPr>
          <w:p w14:paraId="1BA5EB32">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276" w:type="dxa"/>
            <w:vAlign w:val="center"/>
          </w:tcPr>
          <w:p w14:paraId="2F7B7C9C">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701" w:type="dxa"/>
            <w:vAlign w:val="center"/>
          </w:tcPr>
          <w:p w14:paraId="57BCD32F">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559" w:type="dxa"/>
            <w:shd w:val="clear" w:color="auto" w:fill="auto"/>
            <w:vAlign w:val="center"/>
          </w:tcPr>
          <w:p w14:paraId="79EF174C">
            <w:pPr>
              <w:pStyle w:val="46"/>
              <w:spacing w:beforeLines="0" w:afterLines="0" w:line="240" w:lineRule="auto"/>
              <w:rPr>
                <w:rFonts w:hint="default" w:ascii="Times New Roman" w:hAnsi="Times New Roman" w:eastAsia="宋体" w:cs="Times New Roman"/>
                <w:snapToGrid w:val="0"/>
                <w:color w:val="000000"/>
                <w:kern w:val="21"/>
                <w:sz w:val="24"/>
                <w:szCs w:val="24"/>
                <w:lang w:val="en-US" w:eastAsia="zh-CN"/>
              </w:rPr>
            </w:pPr>
            <w:r>
              <w:rPr>
                <w:rFonts w:hint="eastAsia" w:ascii="Times New Roman" w:hAnsi="Times New Roman" w:eastAsia="宋体" w:cs="Times New Roman"/>
                <w:snapToGrid w:val="0"/>
                <w:color w:val="000000"/>
                <w:kern w:val="21"/>
                <w:sz w:val="24"/>
                <w:szCs w:val="24"/>
                <w:lang w:val="en-US" w:eastAsia="zh-CN"/>
              </w:rPr>
              <w:t>0.2583</w:t>
            </w:r>
          </w:p>
        </w:tc>
        <w:tc>
          <w:tcPr>
            <w:tcW w:w="1621" w:type="dxa"/>
            <w:vAlign w:val="center"/>
          </w:tcPr>
          <w:p w14:paraId="66EDB604">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p>
        </w:tc>
        <w:tc>
          <w:tcPr>
            <w:tcW w:w="1695" w:type="dxa"/>
            <w:vAlign w:val="center"/>
          </w:tcPr>
          <w:p w14:paraId="28D9510C">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eastAsia" w:ascii="Times New Roman" w:hAnsi="Times New Roman" w:eastAsia="宋体" w:cs="Times New Roman"/>
                <w:snapToGrid w:val="0"/>
                <w:color w:val="000000"/>
                <w:kern w:val="21"/>
                <w:sz w:val="24"/>
                <w:szCs w:val="24"/>
                <w:lang w:val="en-US" w:eastAsia="zh-CN"/>
              </w:rPr>
              <w:t>0.2583</w:t>
            </w:r>
          </w:p>
        </w:tc>
        <w:tc>
          <w:tcPr>
            <w:tcW w:w="1230" w:type="dxa"/>
            <w:vAlign w:val="center"/>
          </w:tcPr>
          <w:p w14:paraId="2470B98A">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r>
              <w:rPr>
                <w:rFonts w:hint="eastAsia" w:ascii="Times New Roman" w:hAnsi="Times New Roman" w:eastAsia="宋体" w:cs="Times New Roman"/>
                <w:snapToGrid w:val="0"/>
                <w:color w:val="000000"/>
                <w:kern w:val="21"/>
                <w:sz w:val="24"/>
                <w:szCs w:val="24"/>
                <w:lang w:val="en-US" w:eastAsia="zh-CN"/>
              </w:rPr>
              <w:t>0.2583</w:t>
            </w:r>
          </w:p>
        </w:tc>
      </w:tr>
      <w:tr w14:paraId="6A247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00" w:type="dxa"/>
            <w:vMerge w:val="continue"/>
            <w:vAlign w:val="center"/>
          </w:tcPr>
          <w:p w14:paraId="4F4D3862">
            <w:pPr>
              <w:pStyle w:val="46"/>
              <w:spacing w:beforeLines="0" w:afterLines="0" w:line="240" w:lineRule="auto"/>
              <w:rPr>
                <w:rFonts w:hint="default" w:ascii="Times New Roman" w:hAnsi="Times New Roman" w:eastAsia="宋体" w:cs="Times New Roman"/>
                <w:snapToGrid w:val="0"/>
                <w:color w:val="000000"/>
                <w:kern w:val="21"/>
                <w:sz w:val="24"/>
                <w:szCs w:val="24"/>
              </w:rPr>
            </w:pPr>
          </w:p>
        </w:tc>
        <w:tc>
          <w:tcPr>
            <w:tcW w:w="1505" w:type="dxa"/>
            <w:shd w:val="clear" w:color="auto" w:fill="auto"/>
            <w:vAlign w:val="center"/>
          </w:tcPr>
          <w:p w14:paraId="460EF6A8">
            <w:pPr>
              <w:pStyle w:val="46"/>
              <w:spacing w:beforeLines="0" w:afterLines="0" w:line="240" w:lineRule="auto"/>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eastAsia="宋体" w:cs="Times New Roman"/>
                <w:snapToGrid w:val="0"/>
                <w:color w:val="000000"/>
                <w:kern w:val="21"/>
                <w:sz w:val="24"/>
                <w:szCs w:val="24"/>
              </w:rPr>
              <w:t>废包装桶</w:t>
            </w:r>
          </w:p>
        </w:tc>
        <w:tc>
          <w:tcPr>
            <w:tcW w:w="1701" w:type="dxa"/>
            <w:vAlign w:val="center"/>
          </w:tcPr>
          <w:p w14:paraId="28B61644">
            <w:pPr>
              <w:pStyle w:val="46"/>
              <w:spacing w:beforeLines="0" w:afterLines="0" w:line="240" w:lineRule="auto"/>
              <w:rPr>
                <w:rFonts w:hint="eastAsia" w:ascii="Times New Roman" w:hAnsi="Times New Roman" w:eastAsia="宋体" w:cs="Times New Roman"/>
                <w:snapToGrid w:val="0"/>
                <w:color w:val="000000"/>
                <w:kern w:val="21"/>
                <w:sz w:val="24"/>
                <w:szCs w:val="24"/>
                <w:lang w:val="en-US" w:eastAsia="zh-CN"/>
              </w:rPr>
            </w:pPr>
            <w:r>
              <w:rPr>
                <w:rFonts w:hint="eastAsia" w:ascii="Times New Roman" w:hAnsi="Times New Roman" w:eastAsia="宋体" w:cs="Times New Roman"/>
                <w:snapToGrid w:val="0"/>
                <w:color w:val="000000"/>
                <w:kern w:val="21"/>
                <w:sz w:val="24"/>
                <w:szCs w:val="24"/>
                <w:lang w:val="en-US" w:eastAsia="zh-CN"/>
              </w:rPr>
              <w:t>/</w:t>
            </w:r>
          </w:p>
        </w:tc>
        <w:tc>
          <w:tcPr>
            <w:tcW w:w="1276" w:type="dxa"/>
            <w:vAlign w:val="center"/>
          </w:tcPr>
          <w:p w14:paraId="2A65919E">
            <w:pPr>
              <w:pStyle w:val="46"/>
              <w:spacing w:beforeLines="0" w:afterLines="0" w:line="240" w:lineRule="auto"/>
              <w:rPr>
                <w:rFonts w:hint="eastAsia" w:ascii="Times New Roman" w:hAnsi="Times New Roman" w:eastAsia="宋体" w:cs="Times New Roman"/>
                <w:snapToGrid w:val="0"/>
                <w:color w:val="000000"/>
                <w:kern w:val="21"/>
                <w:sz w:val="24"/>
                <w:szCs w:val="24"/>
                <w:lang w:val="en-US" w:eastAsia="zh-CN"/>
              </w:rPr>
            </w:pPr>
            <w:r>
              <w:rPr>
                <w:rFonts w:hint="eastAsia" w:ascii="Times New Roman" w:hAnsi="Times New Roman" w:eastAsia="宋体" w:cs="Times New Roman"/>
                <w:snapToGrid w:val="0"/>
                <w:color w:val="000000"/>
                <w:kern w:val="21"/>
                <w:sz w:val="24"/>
                <w:szCs w:val="24"/>
                <w:lang w:val="en-US" w:eastAsia="zh-CN"/>
              </w:rPr>
              <w:t>/</w:t>
            </w:r>
          </w:p>
        </w:tc>
        <w:tc>
          <w:tcPr>
            <w:tcW w:w="1701" w:type="dxa"/>
            <w:vAlign w:val="center"/>
          </w:tcPr>
          <w:p w14:paraId="240EEBD7">
            <w:pPr>
              <w:pStyle w:val="46"/>
              <w:spacing w:beforeLines="0" w:afterLines="0" w:line="240" w:lineRule="auto"/>
              <w:rPr>
                <w:rFonts w:hint="eastAsia" w:ascii="Times New Roman" w:hAnsi="Times New Roman" w:eastAsia="宋体" w:cs="Times New Roman"/>
                <w:snapToGrid w:val="0"/>
                <w:color w:val="000000"/>
                <w:kern w:val="21"/>
                <w:sz w:val="24"/>
                <w:szCs w:val="24"/>
                <w:lang w:val="en-US" w:eastAsia="zh-CN"/>
              </w:rPr>
            </w:pPr>
            <w:r>
              <w:rPr>
                <w:rFonts w:hint="eastAsia" w:ascii="Times New Roman" w:hAnsi="Times New Roman" w:eastAsia="宋体" w:cs="Times New Roman"/>
                <w:snapToGrid w:val="0"/>
                <w:color w:val="000000"/>
                <w:kern w:val="21"/>
                <w:sz w:val="24"/>
                <w:szCs w:val="24"/>
                <w:lang w:val="en-US" w:eastAsia="zh-CN"/>
              </w:rPr>
              <w:t>/</w:t>
            </w:r>
          </w:p>
        </w:tc>
        <w:tc>
          <w:tcPr>
            <w:tcW w:w="1559" w:type="dxa"/>
            <w:shd w:val="clear" w:color="auto" w:fill="auto"/>
            <w:vAlign w:val="center"/>
          </w:tcPr>
          <w:p w14:paraId="580A89AC">
            <w:pPr>
              <w:pStyle w:val="46"/>
              <w:spacing w:beforeLines="0" w:afterLines="0" w:line="240" w:lineRule="auto"/>
              <w:rPr>
                <w:rFonts w:hint="default" w:ascii="Times New Roman" w:hAnsi="Times New Roman" w:eastAsia="宋体" w:cs="Times New Roman"/>
                <w:snapToGrid w:val="0"/>
                <w:color w:val="000000"/>
                <w:kern w:val="21"/>
                <w:sz w:val="24"/>
                <w:szCs w:val="24"/>
                <w:lang w:val="en-US" w:eastAsia="zh-CN"/>
              </w:rPr>
            </w:pPr>
            <w:r>
              <w:rPr>
                <w:rFonts w:hint="eastAsia" w:ascii="Times New Roman" w:hAnsi="Times New Roman" w:eastAsia="宋体" w:cs="Times New Roman"/>
                <w:snapToGrid w:val="0"/>
                <w:color w:val="000000"/>
                <w:kern w:val="21"/>
                <w:sz w:val="24"/>
                <w:szCs w:val="24"/>
                <w:lang w:val="en-US" w:eastAsia="zh-CN"/>
              </w:rPr>
              <w:t>1.6</w:t>
            </w:r>
          </w:p>
        </w:tc>
        <w:tc>
          <w:tcPr>
            <w:tcW w:w="1621" w:type="dxa"/>
            <w:vAlign w:val="center"/>
          </w:tcPr>
          <w:p w14:paraId="0E7EF274">
            <w:pPr>
              <w:pStyle w:val="46"/>
              <w:spacing w:beforeLines="0" w:afterLines="0" w:line="240" w:lineRule="auto"/>
              <w:rPr>
                <w:rFonts w:hint="eastAsia" w:ascii="Times New Roman" w:hAnsi="Times New Roman" w:eastAsia="宋体" w:cs="Times New Roman"/>
                <w:snapToGrid w:val="0"/>
                <w:color w:val="000000"/>
                <w:kern w:val="21"/>
                <w:sz w:val="24"/>
                <w:szCs w:val="24"/>
                <w:lang w:val="en-US" w:eastAsia="zh-CN"/>
              </w:rPr>
            </w:pPr>
            <w:r>
              <w:rPr>
                <w:rFonts w:hint="eastAsia" w:ascii="Times New Roman" w:hAnsi="Times New Roman" w:eastAsia="宋体" w:cs="Times New Roman"/>
                <w:snapToGrid w:val="0"/>
                <w:color w:val="000000"/>
                <w:kern w:val="21"/>
                <w:sz w:val="24"/>
                <w:szCs w:val="24"/>
                <w:lang w:val="en-US" w:eastAsia="zh-CN"/>
              </w:rPr>
              <w:t>/</w:t>
            </w:r>
          </w:p>
        </w:tc>
        <w:tc>
          <w:tcPr>
            <w:tcW w:w="1695" w:type="dxa"/>
            <w:vAlign w:val="center"/>
          </w:tcPr>
          <w:p w14:paraId="327607B3">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eastAsia" w:ascii="Times New Roman" w:hAnsi="Times New Roman" w:eastAsia="宋体" w:cs="Times New Roman"/>
                <w:snapToGrid w:val="0"/>
                <w:color w:val="000000"/>
                <w:kern w:val="21"/>
                <w:sz w:val="24"/>
                <w:szCs w:val="24"/>
                <w:lang w:val="en-US" w:eastAsia="zh-CN"/>
              </w:rPr>
              <w:t>1.6</w:t>
            </w:r>
          </w:p>
        </w:tc>
        <w:tc>
          <w:tcPr>
            <w:tcW w:w="1230" w:type="dxa"/>
            <w:vAlign w:val="center"/>
          </w:tcPr>
          <w:p w14:paraId="1BC3E74F">
            <w:pPr>
              <w:pStyle w:val="46"/>
              <w:spacing w:beforeLines="0" w:afterLines="0" w:line="240" w:lineRule="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w:t>
            </w:r>
            <w:r>
              <w:rPr>
                <w:rFonts w:hint="eastAsia" w:ascii="Times New Roman" w:hAnsi="Times New Roman" w:eastAsia="宋体" w:cs="Times New Roman"/>
                <w:snapToGrid w:val="0"/>
                <w:color w:val="000000"/>
                <w:kern w:val="21"/>
                <w:sz w:val="24"/>
                <w:szCs w:val="24"/>
                <w:lang w:val="en-US" w:eastAsia="zh-CN"/>
              </w:rPr>
              <w:t>1.6</w:t>
            </w:r>
          </w:p>
        </w:tc>
      </w:tr>
    </w:tbl>
    <w:p w14:paraId="22BB6398">
      <w:pPr>
        <w:pStyle w:val="46"/>
        <w:spacing w:before="192" w:beforeLines="80" w:after="24"/>
        <w:jc w:val="left"/>
        <w:rPr>
          <w:rFonts w:ascii="Times New Roman"/>
          <w:snapToGrid w:val="0"/>
          <w:color w:val="000000"/>
          <w:spacing w:val="-6"/>
          <w:kern w:val="21"/>
          <w:szCs w:val="21"/>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ascii="Times New Roman"/>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ascii="Times New Roman"/>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ascii="Times New Roman"/>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ascii="Times New Roman"/>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szCs w:val="21"/>
        </w:rPr>
        <w:t>①</w:t>
      </w:r>
      <w:r>
        <w:rPr>
          <w:rFonts w:ascii="Times New Roman"/>
          <w:snapToGrid w:val="0"/>
          <w:color w:val="000000"/>
          <w:spacing w:val="-6"/>
          <w:kern w:val="21"/>
          <w:szCs w:val="21"/>
        </w:rPr>
        <w:fldChar w:fldCharType="end"/>
      </w:r>
    </w:p>
    <w:sectPr>
      <w:footerReference r:id="rId5"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C13DB">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7088B">
    <w:pPr>
      <w:pStyle w:val="16"/>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C8E7B7">
                          <w:pPr>
                            <w:pStyle w:val="16"/>
                            <w:rPr>
                              <w:rStyle w:val="26"/>
                              <w:rFonts w:ascii="宋体" w:hAnsi="宋体"/>
                              <w:sz w:val="28"/>
                              <w:szCs w:val="28"/>
                            </w:rPr>
                          </w:pPr>
                          <w:r>
                            <w:rPr>
                              <w:rStyle w:val="26"/>
                              <w:rFonts w:hint="eastAsia" w:ascii="宋体" w:hAnsi="宋体"/>
                              <w:sz w:val="28"/>
                              <w:szCs w:val="28"/>
                            </w:rPr>
                            <w:t>—</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28</w:t>
                          </w:r>
                          <w:r>
                            <w:rPr>
                              <w:rStyle w:val="26"/>
                              <w:rFonts w:ascii="宋体" w:hAnsi="宋体"/>
                              <w:sz w:val="26"/>
                              <w:szCs w:val="26"/>
                            </w:rPr>
                            <w:fldChar w:fldCharType="end"/>
                          </w:r>
                          <w:r>
                            <w:rPr>
                              <w:rStyle w:val="2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0C8E7B7">
                    <w:pPr>
                      <w:pStyle w:val="16"/>
                      <w:rPr>
                        <w:rStyle w:val="26"/>
                        <w:rFonts w:ascii="宋体" w:hAnsi="宋体"/>
                        <w:sz w:val="28"/>
                        <w:szCs w:val="28"/>
                      </w:rPr>
                    </w:pPr>
                    <w:r>
                      <w:rPr>
                        <w:rStyle w:val="26"/>
                        <w:rFonts w:hint="eastAsia" w:ascii="宋体" w:hAnsi="宋体"/>
                        <w:sz w:val="28"/>
                        <w:szCs w:val="28"/>
                      </w:rPr>
                      <w:t>—</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28</w:t>
                    </w:r>
                    <w:r>
                      <w:rPr>
                        <w:rStyle w:val="26"/>
                        <w:rFonts w:ascii="宋体" w:hAnsi="宋体"/>
                        <w:sz w:val="26"/>
                        <w:szCs w:val="26"/>
                      </w:rPr>
                      <w:fldChar w:fldCharType="end"/>
                    </w:r>
                    <w:r>
                      <w:rPr>
                        <w:rStyle w:val="26"/>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E2F49">
    <w:pPr>
      <w:pStyle w:val="1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CA1456">
                          <w:pPr>
                            <w:pStyle w:val="16"/>
                            <w:rPr>
                              <w:rStyle w:val="26"/>
                              <w:rFonts w:ascii="宋体" w:hAnsi="宋体"/>
                              <w:sz w:val="28"/>
                              <w:szCs w:val="28"/>
                            </w:rPr>
                          </w:pPr>
                          <w:r>
                            <w:rPr>
                              <w:rStyle w:val="26"/>
                              <w:rFonts w:hint="eastAsia" w:ascii="宋体" w:hAnsi="宋体"/>
                              <w:sz w:val="28"/>
                              <w:szCs w:val="28"/>
                            </w:rPr>
                            <w:t>—</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66</w:t>
                          </w:r>
                          <w:r>
                            <w:rPr>
                              <w:rStyle w:val="26"/>
                              <w:rFonts w:ascii="宋体" w:hAnsi="宋体"/>
                              <w:sz w:val="26"/>
                              <w:szCs w:val="26"/>
                            </w:rPr>
                            <w:fldChar w:fldCharType="end"/>
                          </w:r>
                          <w:r>
                            <w:rPr>
                              <w:rStyle w:val="2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Dpv4zAgAAZ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TDpv4zAgAAZwQAAA4AAAAAAAAAAQAgAAAAHwEAAGRycy9lMm9Eb2MueG1sUEsF&#10;BgAAAAAGAAYAWQEAAMQFAAAAAA==&#10;">
              <v:fill on="f" focussize="0,0"/>
              <v:stroke on="f" weight="0.5pt"/>
              <v:imagedata o:title=""/>
              <o:lock v:ext="edit" aspectratio="f"/>
              <v:textbox inset="0mm,0mm,0mm,0mm" style="mso-fit-shape-to-text:t;">
                <w:txbxContent>
                  <w:p w14:paraId="64CA1456">
                    <w:pPr>
                      <w:pStyle w:val="16"/>
                      <w:rPr>
                        <w:rStyle w:val="26"/>
                        <w:rFonts w:ascii="宋体" w:hAnsi="宋体"/>
                        <w:sz w:val="28"/>
                        <w:szCs w:val="28"/>
                      </w:rPr>
                    </w:pPr>
                    <w:r>
                      <w:rPr>
                        <w:rStyle w:val="26"/>
                        <w:rFonts w:hint="eastAsia" w:ascii="宋体" w:hAnsi="宋体"/>
                        <w:sz w:val="28"/>
                        <w:szCs w:val="28"/>
                      </w:rPr>
                      <w:t>—</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66</w:t>
                    </w:r>
                    <w:r>
                      <w:rPr>
                        <w:rStyle w:val="26"/>
                        <w:rFonts w:ascii="宋体" w:hAnsi="宋体"/>
                        <w:sz w:val="26"/>
                        <w:szCs w:val="26"/>
                      </w:rPr>
                      <w:fldChar w:fldCharType="end"/>
                    </w:r>
                    <w:r>
                      <w:rPr>
                        <w:rStyle w:val="26"/>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28A839"/>
    <w:multiLevelType w:val="singleLevel"/>
    <w:tmpl w:val="B828A839"/>
    <w:lvl w:ilvl="0" w:tentative="0">
      <w:start w:val="2"/>
      <w:numFmt w:val="decimal"/>
      <w:suff w:val="nothing"/>
      <w:lvlText w:val="（%1）"/>
      <w:lvlJc w:val="left"/>
    </w:lvl>
  </w:abstractNum>
  <w:abstractNum w:abstractNumId="1">
    <w:nsid w:val="BC399031"/>
    <w:multiLevelType w:val="singleLevel"/>
    <w:tmpl w:val="BC399031"/>
    <w:lvl w:ilvl="0" w:tentative="0">
      <w:start w:val="2"/>
      <w:numFmt w:val="chineseCounting"/>
      <w:suff w:val="nothing"/>
      <w:lvlText w:val="（%1）"/>
      <w:lvlJc w:val="left"/>
      <w:rPr>
        <w:rFonts w:hint="eastAsia"/>
      </w:rPr>
    </w:lvl>
  </w:abstractNum>
  <w:abstractNum w:abstractNumId="2">
    <w:nsid w:val="267D4F94"/>
    <w:multiLevelType w:val="multilevel"/>
    <w:tmpl w:val="267D4F94"/>
    <w:lvl w:ilvl="0" w:tentative="0">
      <w:start w:val="1"/>
      <w:numFmt w:val="decimal"/>
      <w:pStyle w:val="58"/>
      <w:suff w:val="nothing"/>
      <w:lvlText w:val="(%1)、"/>
      <w:lvlJc w:val="left"/>
      <w:pPr>
        <w:ind w:left="568" w:firstLine="0"/>
      </w:pPr>
      <w:rPr>
        <w:rFonts w:hint="default"/>
      </w:rPr>
    </w:lvl>
    <w:lvl w:ilvl="1" w:tentative="0">
      <w:start w:val="1"/>
      <w:numFmt w:val="lowerLetter"/>
      <w:lvlText w:val="%2)"/>
      <w:lvlJc w:val="left"/>
      <w:pPr>
        <w:ind w:left="2248" w:hanging="420"/>
      </w:pPr>
    </w:lvl>
    <w:lvl w:ilvl="2" w:tentative="0">
      <w:start w:val="1"/>
      <w:numFmt w:val="lowerRoman"/>
      <w:lvlText w:val="%3."/>
      <w:lvlJc w:val="right"/>
      <w:pPr>
        <w:ind w:left="2668" w:hanging="420"/>
      </w:pPr>
    </w:lvl>
    <w:lvl w:ilvl="3" w:tentative="0">
      <w:start w:val="1"/>
      <w:numFmt w:val="decimal"/>
      <w:lvlText w:val="%4."/>
      <w:lvlJc w:val="left"/>
      <w:pPr>
        <w:ind w:left="3088" w:hanging="420"/>
      </w:pPr>
    </w:lvl>
    <w:lvl w:ilvl="4" w:tentative="0">
      <w:start w:val="1"/>
      <w:numFmt w:val="lowerLetter"/>
      <w:lvlText w:val="%5)"/>
      <w:lvlJc w:val="left"/>
      <w:pPr>
        <w:ind w:left="3508" w:hanging="420"/>
      </w:pPr>
    </w:lvl>
    <w:lvl w:ilvl="5" w:tentative="0">
      <w:start w:val="1"/>
      <w:numFmt w:val="lowerRoman"/>
      <w:lvlText w:val="%6."/>
      <w:lvlJc w:val="right"/>
      <w:pPr>
        <w:ind w:left="3928" w:hanging="420"/>
      </w:pPr>
    </w:lvl>
    <w:lvl w:ilvl="6" w:tentative="0">
      <w:start w:val="1"/>
      <w:numFmt w:val="decimal"/>
      <w:lvlText w:val="%7."/>
      <w:lvlJc w:val="left"/>
      <w:pPr>
        <w:ind w:left="4348" w:hanging="420"/>
      </w:pPr>
    </w:lvl>
    <w:lvl w:ilvl="7" w:tentative="0">
      <w:start w:val="1"/>
      <w:numFmt w:val="lowerLetter"/>
      <w:lvlText w:val="%8)"/>
      <w:lvlJc w:val="left"/>
      <w:pPr>
        <w:ind w:left="4768" w:hanging="420"/>
      </w:pPr>
    </w:lvl>
    <w:lvl w:ilvl="8" w:tentative="0">
      <w:start w:val="1"/>
      <w:numFmt w:val="lowerRoman"/>
      <w:lvlText w:val="%9."/>
      <w:lvlJc w:val="right"/>
      <w:pPr>
        <w:ind w:left="5188" w:hanging="420"/>
      </w:pPr>
    </w:lvl>
  </w:abstractNum>
  <w:abstractNum w:abstractNumId="3">
    <w:nsid w:val="2E98561F"/>
    <w:multiLevelType w:val="singleLevel"/>
    <w:tmpl w:val="2E98561F"/>
    <w:lvl w:ilvl="0" w:tentative="0">
      <w:start w:val="5"/>
      <w:numFmt w:val="chineseCounting"/>
      <w:suff w:val="nothing"/>
      <w:lvlText w:val="（%1）"/>
      <w:lvlJc w:val="left"/>
      <w:rPr>
        <w:rFonts w:hint="eastAsi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hideSpellingErrors/>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2YWY0Mzg0NTliOWM0NWQ4YWE3YWJmODZlZTZmZmMifQ=="/>
  </w:docVars>
  <w:rsids>
    <w:rsidRoot w:val="00A14947"/>
    <w:rsid w:val="000035A1"/>
    <w:rsid w:val="000060B3"/>
    <w:rsid w:val="0004364B"/>
    <w:rsid w:val="00046CA0"/>
    <w:rsid w:val="000606C6"/>
    <w:rsid w:val="00061B1F"/>
    <w:rsid w:val="000733C4"/>
    <w:rsid w:val="00074783"/>
    <w:rsid w:val="00076791"/>
    <w:rsid w:val="0008070B"/>
    <w:rsid w:val="000810AC"/>
    <w:rsid w:val="00081A02"/>
    <w:rsid w:val="00082231"/>
    <w:rsid w:val="00087845"/>
    <w:rsid w:val="00092D38"/>
    <w:rsid w:val="0009377B"/>
    <w:rsid w:val="000A002F"/>
    <w:rsid w:val="000A20C9"/>
    <w:rsid w:val="000B058F"/>
    <w:rsid w:val="000B4467"/>
    <w:rsid w:val="000B4DB9"/>
    <w:rsid w:val="000C09AC"/>
    <w:rsid w:val="000C1FF9"/>
    <w:rsid w:val="000C767F"/>
    <w:rsid w:val="000D5A44"/>
    <w:rsid w:val="000E3ED2"/>
    <w:rsid w:val="000F76A0"/>
    <w:rsid w:val="001113BD"/>
    <w:rsid w:val="00115A0C"/>
    <w:rsid w:val="00125861"/>
    <w:rsid w:val="00131F42"/>
    <w:rsid w:val="00133E46"/>
    <w:rsid w:val="001357F1"/>
    <w:rsid w:val="00135DFD"/>
    <w:rsid w:val="00136850"/>
    <w:rsid w:val="00140FA8"/>
    <w:rsid w:val="0014299E"/>
    <w:rsid w:val="00142FEB"/>
    <w:rsid w:val="00143A2D"/>
    <w:rsid w:val="00145A41"/>
    <w:rsid w:val="00151675"/>
    <w:rsid w:val="00157435"/>
    <w:rsid w:val="00171191"/>
    <w:rsid w:val="0017357C"/>
    <w:rsid w:val="0017504D"/>
    <w:rsid w:val="0017671A"/>
    <w:rsid w:val="00177422"/>
    <w:rsid w:val="00180112"/>
    <w:rsid w:val="00184590"/>
    <w:rsid w:val="001870D1"/>
    <w:rsid w:val="0018781E"/>
    <w:rsid w:val="0019262D"/>
    <w:rsid w:val="001A1B35"/>
    <w:rsid w:val="001A48A2"/>
    <w:rsid w:val="001A6F61"/>
    <w:rsid w:val="001B266D"/>
    <w:rsid w:val="001B72B8"/>
    <w:rsid w:val="001C60D1"/>
    <w:rsid w:val="001C69B3"/>
    <w:rsid w:val="001D1141"/>
    <w:rsid w:val="001D5595"/>
    <w:rsid w:val="001D6958"/>
    <w:rsid w:val="001D7874"/>
    <w:rsid w:val="001D7F22"/>
    <w:rsid w:val="001E4FC3"/>
    <w:rsid w:val="001F0F17"/>
    <w:rsid w:val="001F3347"/>
    <w:rsid w:val="001F69E4"/>
    <w:rsid w:val="00206637"/>
    <w:rsid w:val="00207852"/>
    <w:rsid w:val="00211AE6"/>
    <w:rsid w:val="002125B4"/>
    <w:rsid w:val="00213CF6"/>
    <w:rsid w:val="002155B8"/>
    <w:rsid w:val="00224839"/>
    <w:rsid w:val="002249B2"/>
    <w:rsid w:val="002255B8"/>
    <w:rsid w:val="00226574"/>
    <w:rsid w:val="002278EC"/>
    <w:rsid w:val="00227D63"/>
    <w:rsid w:val="0023280E"/>
    <w:rsid w:val="002377D1"/>
    <w:rsid w:val="002506BC"/>
    <w:rsid w:val="00254345"/>
    <w:rsid w:val="002568E9"/>
    <w:rsid w:val="00264557"/>
    <w:rsid w:val="002679CB"/>
    <w:rsid w:val="0027292C"/>
    <w:rsid w:val="002805AB"/>
    <w:rsid w:val="00284204"/>
    <w:rsid w:val="00291773"/>
    <w:rsid w:val="00293F19"/>
    <w:rsid w:val="00294959"/>
    <w:rsid w:val="002A168C"/>
    <w:rsid w:val="002A3DC7"/>
    <w:rsid w:val="002B49E2"/>
    <w:rsid w:val="002B7B00"/>
    <w:rsid w:val="002B7C44"/>
    <w:rsid w:val="002C2B17"/>
    <w:rsid w:val="002C61F7"/>
    <w:rsid w:val="002D3DD0"/>
    <w:rsid w:val="002E1F3A"/>
    <w:rsid w:val="002E298A"/>
    <w:rsid w:val="002E443A"/>
    <w:rsid w:val="002E6413"/>
    <w:rsid w:val="00301978"/>
    <w:rsid w:val="0030332C"/>
    <w:rsid w:val="003051C2"/>
    <w:rsid w:val="00312296"/>
    <w:rsid w:val="00314F0E"/>
    <w:rsid w:val="00320921"/>
    <w:rsid w:val="00321266"/>
    <w:rsid w:val="00321D8E"/>
    <w:rsid w:val="00325928"/>
    <w:rsid w:val="00327CB1"/>
    <w:rsid w:val="00331208"/>
    <w:rsid w:val="00332863"/>
    <w:rsid w:val="0033684D"/>
    <w:rsid w:val="00337B42"/>
    <w:rsid w:val="00341B42"/>
    <w:rsid w:val="0034348F"/>
    <w:rsid w:val="003449CD"/>
    <w:rsid w:val="00351550"/>
    <w:rsid w:val="00356653"/>
    <w:rsid w:val="0035743F"/>
    <w:rsid w:val="00357BE2"/>
    <w:rsid w:val="0036170C"/>
    <w:rsid w:val="00366E0F"/>
    <w:rsid w:val="00381A72"/>
    <w:rsid w:val="00384676"/>
    <w:rsid w:val="00390857"/>
    <w:rsid w:val="003A4BF3"/>
    <w:rsid w:val="003B420D"/>
    <w:rsid w:val="003C4FAD"/>
    <w:rsid w:val="003C6C16"/>
    <w:rsid w:val="003D6656"/>
    <w:rsid w:val="003D794D"/>
    <w:rsid w:val="003E3058"/>
    <w:rsid w:val="003E76A9"/>
    <w:rsid w:val="003F0809"/>
    <w:rsid w:val="003F65E9"/>
    <w:rsid w:val="003F6A8C"/>
    <w:rsid w:val="003F755C"/>
    <w:rsid w:val="00406F01"/>
    <w:rsid w:val="004139C1"/>
    <w:rsid w:val="00416D50"/>
    <w:rsid w:val="00416FD5"/>
    <w:rsid w:val="00417772"/>
    <w:rsid w:val="00420E6A"/>
    <w:rsid w:val="00425A9E"/>
    <w:rsid w:val="00426D6B"/>
    <w:rsid w:val="004278DC"/>
    <w:rsid w:val="00431E6C"/>
    <w:rsid w:val="00433CE7"/>
    <w:rsid w:val="004427F6"/>
    <w:rsid w:val="00452738"/>
    <w:rsid w:val="00456091"/>
    <w:rsid w:val="004570A4"/>
    <w:rsid w:val="0046175E"/>
    <w:rsid w:val="00466321"/>
    <w:rsid w:val="00472515"/>
    <w:rsid w:val="00484B9B"/>
    <w:rsid w:val="004855F6"/>
    <w:rsid w:val="0048661E"/>
    <w:rsid w:val="00494670"/>
    <w:rsid w:val="004968D7"/>
    <w:rsid w:val="004A0F99"/>
    <w:rsid w:val="004A3823"/>
    <w:rsid w:val="004B0D73"/>
    <w:rsid w:val="004C6EA4"/>
    <w:rsid w:val="004E6946"/>
    <w:rsid w:val="004F1AD8"/>
    <w:rsid w:val="005039CB"/>
    <w:rsid w:val="0050558F"/>
    <w:rsid w:val="00506286"/>
    <w:rsid w:val="00510813"/>
    <w:rsid w:val="0051198E"/>
    <w:rsid w:val="00511990"/>
    <w:rsid w:val="00511DE0"/>
    <w:rsid w:val="00514870"/>
    <w:rsid w:val="00514B9B"/>
    <w:rsid w:val="00514BB4"/>
    <w:rsid w:val="00517F02"/>
    <w:rsid w:val="00524303"/>
    <w:rsid w:val="005247A4"/>
    <w:rsid w:val="005258A2"/>
    <w:rsid w:val="00535E7A"/>
    <w:rsid w:val="005401AE"/>
    <w:rsid w:val="005427F9"/>
    <w:rsid w:val="00542E07"/>
    <w:rsid w:val="00544D30"/>
    <w:rsid w:val="00545424"/>
    <w:rsid w:val="005474E5"/>
    <w:rsid w:val="005526AF"/>
    <w:rsid w:val="005527B9"/>
    <w:rsid w:val="00554A7B"/>
    <w:rsid w:val="0055572C"/>
    <w:rsid w:val="005570C7"/>
    <w:rsid w:val="0056106A"/>
    <w:rsid w:val="005720AE"/>
    <w:rsid w:val="005728BA"/>
    <w:rsid w:val="00572FD1"/>
    <w:rsid w:val="00587271"/>
    <w:rsid w:val="00594D77"/>
    <w:rsid w:val="005969E4"/>
    <w:rsid w:val="005A06B7"/>
    <w:rsid w:val="005A1759"/>
    <w:rsid w:val="005A68A7"/>
    <w:rsid w:val="005B4416"/>
    <w:rsid w:val="005C0AD1"/>
    <w:rsid w:val="005C2910"/>
    <w:rsid w:val="005D36AB"/>
    <w:rsid w:val="005E0930"/>
    <w:rsid w:val="005E0AA6"/>
    <w:rsid w:val="005E1F5E"/>
    <w:rsid w:val="005E4DD5"/>
    <w:rsid w:val="006012FD"/>
    <w:rsid w:val="00617221"/>
    <w:rsid w:val="00617CC3"/>
    <w:rsid w:val="0062225F"/>
    <w:rsid w:val="0062490A"/>
    <w:rsid w:val="006360BD"/>
    <w:rsid w:val="00636E63"/>
    <w:rsid w:val="006377A6"/>
    <w:rsid w:val="00637A3D"/>
    <w:rsid w:val="006411EF"/>
    <w:rsid w:val="0067398D"/>
    <w:rsid w:val="006748B8"/>
    <w:rsid w:val="006775C3"/>
    <w:rsid w:val="0069290A"/>
    <w:rsid w:val="006947A4"/>
    <w:rsid w:val="0069775A"/>
    <w:rsid w:val="00697813"/>
    <w:rsid w:val="006A3EE8"/>
    <w:rsid w:val="006A72BF"/>
    <w:rsid w:val="006B03F2"/>
    <w:rsid w:val="006B1E81"/>
    <w:rsid w:val="006B37DC"/>
    <w:rsid w:val="006B4F68"/>
    <w:rsid w:val="006C0592"/>
    <w:rsid w:val="006C272E"/>
    <w:rsid w:val="006C5479"/>
    <w:rsid w:val="006D13B5"/>
    <w:rsid w:val="006D6DF0"/>
    <w:rsid w:val="006E12FF"/>
    <w:rsid w:val="006E5CD1"/>
    <w:rsid w:val="006E607E"/>
    <w:rsid w:val="007047E1"/>
    <w:rsid w:val="00706C5D"/>
    <w:rsid w:val="007200AE"/>
    <w:rsid w:val="00727C86"/>
    <w:rsid w:val="00732922"/>
    <w:rsid w:val="0075162E"/>
    <w:rsid w:val="00754034"/>
    <w:rsid w:val="00756556"/>
    <w:rsid w:val="00760971"/>
    <w:rsid w:val="007618C4"/>
    <w:rsid w:val="00767980"/>
    <w:rsid w:val="00770AFB"/>
    <w:rsid w:val="00770B19"/>
    <w:rsid w:val="0077463F"/>
    <w:rsid w:val="00775BEE"/>
    <w:rsid w:val="007836EA"/>
    <w:rsid w:val="00784CDA"/>
    <w:rsid w:val="007906C4"/>
    <w:rsid w:val="007940EA"/>
    <w:rsid w:val="00795CA1"/>
    <w:rsid w:val="007967E8"/>
    <w:rsid w:val="007A1658"/>
    <w:rsid w:val="007A2170"/>
    <w:rsid w:val="007A22BF"/>
    <w:rsid w:val="007A3323"/>
    <w:rsid w:val="007A409C"/>
    <w:rsid w:val="007B72B8"/>
    <w:rsid w:val="007B7A58"/>
    <w:rsid w:val="007C0F2D"/>
    <w:rsid w:val="007C21B5"/>
    <w:rsid w:val="007C5393"/>
    <w:rsid w:val="007D0FEB"/>
    <w:rsid w:val="007D6E67"/>
    <w:rsid w:val="007D7E78"/>
    <w:rsid w:val="007E4BD2"/>
    <w:rsid w:val="007F7B5C"/>
    <w:rsid w:val="00801393"/>
    <w:rsid w:val="00802F88"/>
    <w:rsid w:val="0081293E"/>
    <w:rsid w:val="00814364"/>
    <w:rsid w:val="00815465"/>
    <w:rsid w:val="00817E9A"/>
    <w:rsid w:val="00820DA4"/>
    <w:rsid w:val="00823080"/>
    <w:rsid w:val="00824E8A"/>
    <w:rsid w:val="00827FBC"/>
    <w:rsid w:val="0083050D"/>
    <w:rsid w:val="008306BD"/>
    <w:rsid w:val="00831A80"/>
    <w:rsid w:val="00833743"/>
    <w:rsid w:val="008340A4"/>
    <w:rsid w:val="00861211"/>
    <w:rsid w:val="0086767A"/>
    <w:rsid w:val="00867FFD"/>
    <w:rsid w:val="0087135F"/>
    <w:rsid w:val="00872D94"/>
    <w:rsid w:val="0087620C"/>
    <w:rsid w:val="00880364"/>
    <w:rsid w:val="008861BB"/>
    <w:rsid w:val="00891592"/>
    <w:rsid w:val="00891E9E"/>
    <w:rsid w:val="008953F8"/>
    <w:rsid w:val="008A2F68"/>
    <w:rsid w:val="008B2287"/>
    <w:rsid w:val="008B4FA6"/>
    <w:rsid w:val="008B5282"/>
    <w:rsid w:val="008B58C8"/>
    <w:rsid w:val="008B7C17"/>
    <w:rsid w:val="008C2D01"/>
    <w:rsid w:val="008C40E6"/>
    <w:rsid w:val="008C7DF0"/>
    <w:rsid w:val="008D0F7A"/>
    <w:rsid w:val="008D34A3"/>
    <w:rsid w:val="008D68E4"/>
    <w:rsid w:val="008E0506"/>
    <w:rsid w:val="008E0CFF"/>
    <w:rsid w:val="008E4E55"/>
    <w:rsid w:val="008E5D6B"/>
    <w:rsid w:val="008E76F0"/>
    <w:rsid w:val="008F15FE"/>
    <w:rsid w:val="008F2D29"/>
    <w:rsid w:val="008F5187"/>
    <w:rsid w:val="008F60D8"/>
    <w:rsid w:val="009004C9"/>
    <w:rsid w:val="00901197"/>
    <w:rsid w:val="00902727"/>
    <w:rsid w:val="00902820"/>
    <w:rsid w:val="0090312B"/>
    <w:rsid w:val="009106B9"/>
    <w:rsid w:val="0091736D"/>
    <w:rsid w:val="00925EDA"/>
    <w:rsid w:val="00930024"/>
    <w:rsid w:val="0093037A"/>
    <w:rsid w:val="0094154D"/>
    <w:rsid w:val="009444C8"/>
    <w:rsid w:val="0095016E"/>
    <w:rsid w:val="0095155F"/>
    <w:rsid w:val="0095300F"/>
    <w:rsid w:val="00954429"/>
    <w:rsid w:val="009563CE"/>
    <w:rsid w:val="009577A0"/>
    <w:rsid w:val="00974347"/>
    <w:rsid w:val="00976328"/>
    <w:rsid w:val="0097680D"/>
    <w:rsid w:val="00982438"/>
    <w:rsid w:val="0098404C"/>
    <w:rsid w:val="00985283"/>
    <w:rsid w:val="00995992"/>
    <w:rsid w:val="009A03E5"/>
    <w:rsid w:val="009A0F3B"/>
    <w:rsid w:val="009A1BB4"/>
    <w:rsid w:val="009A2628"/>
    <w:rsid w:val="009A3200"/>
    <w:rsid w:val="009A6EED"/>
    <w:rsid w:val="009B0897"/>
    <w:rsid w:val="009B7BD9"/>
    <w:rsid w:val="009C7DD5"/>
    <w:rsid w:val="009E227D"/>
    <w:rsid w:val="009E5019"/>
    <w:rsid w:val="009F1582"/>
    <w:rsid w:val="009F7216"/>
    <w:rsid w:val="00A02C2E"/>
    <w:rsid w:val="00A04F1B"/>
    <w:rsid w:val="00A0501B"/>
    <w:rsid w:val="00A14947"/>
    <w:rsid w:val="00A15AC9"/>
    <w:rsid w:val="00A24C7D"/>
    <w:rsid w:val="00A32A83"/>
    <w:rsid w:val="00A3470B"/>
    <w:rsid w:val="00A368DB"/>
    <w:rsid w:val="00A41FAA"/>
    <w:rsid w:val="00A423AA"/>
    <w:rsid w:val="00A53EC6"/>
    <w:rsid w:val="00A55C0F"/>
    <w:rsid w:val="00A72CB3"/>
    <w:rsid w:val="00A74BA8"/>
    <w:rsid w:val="00A81C9D"/>
    <w:rsid w:val="00A8713F"/>
    <w:rsid w:val="00A905B1"/>
    <w:rsid w:val="00A90BA1"/>
    <w:rsid w:val="00A97A9A"/>
    <w:rsid w:val="00AA0671"/>
    <w:rsid w:val="00AA2531"/>
    <w:rsid w:val="00AA25A0"/>
    <w:rsid w:val="00AB0AF4"/>
    <w:rsid w:val="00AB164D"/>
    <w:rsid w:val="00AB1E09"/>
    <w:rsid w:val="00AB5330"/>
    <w:rsid w:val="00AB68A7"/>
    <w:rsid w:val="00AB7747"/>
    <w:rsid w:val="00AC14CE"/>
    <w:rsid w:val="00AC2A56"/>
    <w:rsid w:val="00AD055E"/>
    <w:rsid w:val="00AD47A7"/>
    <w:rsid w:val="00AD5800"/>
    <w:rsid w:val="00AE5191"/>
    <w:rsid w:val="00AE711E"/>
    <w:rsid w:val="00AF0145"/>
    <w:rsid w:val="00AF0CBF"/>
    <w:rsid w:val="00AF20F6"/>
    <w:rsid w:val="00AF257F"/>
    <w:rsid w:val="00AF33CF"/>
    <w:rsid w:val="00AF4D50"/>
    <w:rsid w:val="00AF6179"/>
    <w:rsid w:val="00AF6FA4"/>
    <w:rsid w:val="00AF7202"/>
    <w:rsid w:val="00B052A9"/>
    <w:rsid w:val="00B1295A"/>
    <w:rsid w:val="00B16E7B"/>
    <w:rsid w:val="00B20A45"/>
    <w:rsid w:val="00B22C5C"/>
    <w:rsid w:val="00B2348C"/>
    <w:rsid w:val="00B24F30"/>
    <w:rsid w:val="00B31ABF"/>
    <w:rsid w:val="00B33BE3"/>
    <w:rsid w:val="00B35DC1"/>
    <w:rsid w:val="00B37DBE"/>
    <w:rsid w:val="00B42E4A"/>
    <w:rsid w:val="00B4445E"/>
    <w:rsid w:val="00B53B5D"/>
    <w:rsid w:val="00B6055E"/>
    <w:rsid w:val="00B6317D"/>
    <w:rsid w:val="00B71F65"/>
    <w:rsid w:val="00B7723F"/>
    <w:rsid w:val="00B80534"/>
    <w:rsid w:val="00B83BB3"/>
    <w:rsid w:val="00B8433C"/>
    <w:rsid w:val="00B87491"/>
    <w:rsid w:val="00B94C08"/>
    <w:rsid w:val="00B962F2"/>
    <w:rsid w:val="00BA29E9"/>
    <w:rsid w:val="00BA4DA1"/>
    <w:rsid w:val="00BA7142"/>
    <w:rsid w:val="00BB237C"/>
    <w:rsid w:val="00BB41A3"/>
    <w:rsid w:val="00BC2D89"/>
    <w:rsid w:val="00BC32DC"/>
    <w:rsid w:val="00BC35B6"/>
    <w:rsid w:val="00BD1B51"/>
    <w:rsid w:val="00BD4596"/>
    <w:rsid w:val="00BD4AC9"/>
    <w:rsid w:val="00BE1405"/>
    <w:rsid w:val="00BE1545"/>
    <w:rsid w:val="00BE312D"/>
    <w:rsid w:val="00BF1C11"/>
    <w:rsid w:val="00BF1C20"/>
    <w:rsid w:val="00BF52BD"/>
    <w:rsid w:val="00BF59F4"/>
    <w:rsid w:val="00BF7B0F"/>
    <w:rsid w:val="00C10578"/>
    <w:rsid w:val="00C135BC"/>
    <w:rsid w:val="00C15C95"/>
    <w:rsid w:val="00C164B2"/>
    <w:rsid w:val="00C2271F"/>
    <w:rsid w:val="00C2596A"/>
    <w:rsid w:val="00C27537"/>
    <w:rsid w:val="00C328FE"/>
    <w:rsid w:val="00C33319"/>
    <w:rsid w:val="00C33507"/>
    <w:rsid w:val="00C4409D"/>
    <w:rsid w:val="00C44682"/>
    <w:rsid w:val="00C44A0B"/>
    <w:rsid w:val="00C44E72"/>
    <w:rsid w:val="00C45A06"/>
    <w:rsid w:val="00C47E5B"/>
    <w:rsid w:val="00C61E4B"/>
    <w:rsid w:val="00C64BFF"/>
    <w:rsid w:val="00C704E9"/>
    <w:rsid w:val="00C763C9"/>
    <w:rsid w:val="00C80057"/>
    <w:rsid w:val="00C82232"/>
    <w:rsid w:val="00C82913"/>
    <w:rsid w:val="00C91C98"/>
    <w:rsid w:val="00C91E55"/>
    <w:rsid w:val="00C972B1"/>
    <w:rsid w:val="00CA2CCE"/>
    <w:rsid w:val="00CA43FD"/>
    <w:rsid w:val="00CA613C"/>
    <w:rsid w:val="00CA7EF8"/>
    <w:rsid w:val="00CB3520"/>
    <w:rsid w:val="00CB77F1"/>
    <w:rsid w:val="00CC489B"/>
    <w:rsid w:val="00CD2BCD"/>
    <w:rsid w:val="00CD3A4C"/>
    <w:rsid w:val="00CE10E9"/>
    <w:rsid w:val="00CE2910"/>
    <w:rsid w:val="00CE5393"/>
    <w:rsid w:val="00CF36BE"/>
    <w:rsid w:val="00CF3B3E"/>
    <w:rsid w:val="00CF412D"/>
    <w:rsid w:val="00CF4366"/>
    <w:rsid w:val="00CF5500"/>
    <w:rsid w:val="00CF5D27"/>
    <w:rsid w:val="00CF6000"/>
    <w:rsid w:val="00CF7E1D"/>
    <w:rsid w:val="00D003F3"/>
    <w:rsid w:val="00D0364F"/>
    <w:rsid w:val="00D05EFC"/>
    <w:rsid w:val="00D06834"/>
    <w:rsid w:val="00D17C25"/>
    <w:rsid w:val="00D308ED"/>
    <w:rsid w:val="00D31471"/>
    <w:rsid w:val="00D36D86"/>
    <w:rsid w:val="00D40D69"/>
    <w:rsid w:val="00D428AA"/>
    <w:rsid w:val="00D43CA3"/>
    <w:rsid w:val="00D4644A"/>
    <w:rsid w:val="00D50A34"/>
    <w:rsid w:val="00D53EFA"/>
    <w:rsid w:val="00D63127"/>
    <w:rsid w:val="00D94A7C"/>
    <w:rsid w:val="00D95896"/>
    <w:rsid w:val="00DA238B"/>
    <w:rsid w:val="00DA5C53"/>
    <w:rsid w:val="00DB0355"/>
    <w:rsid w:val="00DB0695"/>
    <w:rsid w:val="00DB2983"/>
    <w:rsid w:val="00DC1257"/>
    <w:rsid w:val="00DC3DC0"/>
    <w:rsid w:val="00DC5B2B"/>
    <w:rsid w:val="00DC7506"/>
    <w:rsid w:val="00DD318D"/>
    <w:rsid w:val="00DD7BA7"/>
    <w:rsid w:val="00DF2E12"/>
    <w:rsid w:val="00DF514A"/>
    <w:rsid w:val="00DF6690"/>
    <w:rsid w:val="00DF6804"/>
    <w:rsid w:val="00DF7003"/>
    <w:rsid w:val="00E0358D"/>
    <w:rsid w:val="00E04323"/>
    <w:rsid w:val="00E070A2"/>
    <w:rsid w:val="00E14F81"/>
    <w:rsid w:val="00E2656A"/>
    <w:rsid w:val="00E32AAB"/>
    <w:rsid w:val="00E371FE"/>
    <w:rsid w:val="00E4002A"/>
    <w:rsid w:val="00E412D0"/>
    <w:rsid w:val="00E414EB"/>
    <w:rsid w:val="00E432D1"/>
    <w:rsid w:val="00E4660A"/>
    <w:rsid w:val="00E56322"/>
    <w:rsid w:val="00E60982"/>
    <w:rsid w:val="00E62C62"/>
    <w:rsid w:val="00E645F8"/>
    <w:rsid w:val="00E654C1"/>
    <w:rsid w:val="00E65D97"/>
    <w:rsid w:val="00E72A5A"/>
    <w:rsid w:val="00E73354"/>
    <w:rsid w:val="00E84814"/>
    <w:rsid w:val="00E9242D"/>
    <w:rsid w:val="00E95A81"/>
    <w:rsid w:val="00EA0FFA"/>
    <w:rsid w:val="00EB0449"/>
    <w:rsid w:val="00EB5255"/>
    <w:rsid w:val="00EB5C47"/>
    <w:rsid w:val="00EB60B2"/>
    <w:rsid w:val="00EB7E60"/>
    <w:rsid w:val="00EC0862"/>
    <w:rsid w:val="00ED0639"/>
    <w:rsid w:val="00ED6239"/>
    <w:rsid w:val="00ED6BA8"/>
    <w:rsid w:val="00EE2466"/>
    <w:rsid w:val="00EF4755"/>
    <w:rsid w:val="00EF7135"/>
    <w:rsid w:val="00F00BC0"/>
    <w:rsid w:val="00F027DB"/>
    <w:rsid w:val="00F05CDF"/>
    <w:rsid w:val="00F14A7A"/>
    <w:rsid w:val="00F22985"/>
    <w:rsid w:val="00F3383E"/>
    <w:rsid w:val="00F42D18"/>
    <w:rsid w:val="00F465A7"/>
    <w:rsid w:val="00F50B7C"/>
    <w:rsid w:val="00F5411B"/>
    <w:rsid w:val="00F550E6"/>
    <w:rsid w:val="00F74345"/>
    <w:rsid w:val="00F80A0A"/>
    <w:rsid w:val="00F82B19"/>
    <w:rsid w:val="00F903B8"/>
    <w:rsid w:val="00F90DC2"/>
    <w:rsid w:val="00F9212D"/>
    <w:rsid w:val="00F965DA"/>
    <w:rsid w:val="00FA3240"/>
    <w:rsid w:val="00FA406A"/>
    <w:rsid w:val="00FB503A"/>
    <w:rsid w:val="00FB516C"/>
    <w:rsid w:val="00FB62F5"/>
    <w:rsid w:val="00FC3E1B"/>
    <w:rsid w:val="00FD0236"/>
    <w:rsid w:val="00FD18F4"/>
    <w:rsid w:val="00FD2129"/>
    <w:rsid w:val="00FD54DB"/>
    <w:rsid w:val="00FD619F"/>
    <w:rsid w:val="00FE1C17"/>
    <w:rsid w:val="00FE436A"/>
    <w:rsid w:val="00FF61DA"/>
    <w:rsid w:val="00FF6355"/>
    <w:rsid w:val="00FF6A4D"/>
    <w:rsid w:val="01017684"/>
    <w:rsid w:val="010376A3"/>
    <w:rsid w:val="01062F0C"/>
    <w:rsid w:val="010C00F5"/>
    <w:rsid w:val="010C49A1"/>
    <w:rsid w:val="010F1AE5"/>
    <w:rsid w:val="010F4D74"/>
    <w:rsid w:val="0112142E"/>
    <w:rsid w:val="011253ED"/>
    <w:rsid w:val="01144B53"/>
    <w:rsid w:val="01145609"/>
    <w:rsid w:val="011473B7"/>
    <w:rsid w:val="0115416D"/>
    <w:rsid w:val="01161381"/>
    <w:rsid w:val="011B11CB"/>
    <w:rsid w:val="011C26B5"/>
    <w:rsid w:val="011E1FE4"/>
    <w:rsid w:val="012252E7"/>
    <w:rsid w:val="012356EE"/>
    <w:rsid w:val="01250550"/>
    <w:rsid w:val="012706AB"/>
    <w:rsid w:val="01290F7E"/>
    <w:rsid w:val="012A0604"/>
    <w:rsid w:val="012F7E28"/>
    <w:rsid w:val="01323889"/>
    <w:rsid w:val="01323CF1"/>
    <w:rsid w:val="0134409B"/>
    <w:rsid w:val="01350FC0"/>
    <w:rsid w:val="01374E54"/>
    <w:rsid w:val="01390BCC"/>
    <w:rsid w:val="013B0DE8"/>
    <w:rsid w:val="013F2CF2"/>
    <w:rsid w:val="014337F8"/>
    <w:rsid w:val="01437C9C"/>
    <w:rsid w:val="01437EC0"/>
    <w:rsid w:val="014557C2"/>
    <w:rsid w:val="014632E9"/>
    <w:rsid w:val="01527973"/>
    <w:rsid w:val="01565C22"/>
    <w:rsid w:val="015864D0"/>
    <w:rsid w:val="0159602B"/>
    <w:rsid w:val="015A2604"/>
    <w:rsid w:val="015D1E09"/>
    <w:rsid w:val="015E63F0"/>
    <w:rsid w:val="016043AA"/>
    <w:rsid w:val="016646EA"/>
    <w:rsid w:val="01687703"/>
    <w:rsid w:val="016A5229"/>
    <w:rsid w:val="016C71F3"/>
    <w:rsid w:val="016D4D19"/>
    <w:rsid w:val="016E748C"/>
    <w:rsid w:val="01722330"/>
    <w:rsid w:val="01730582"/>
    <w:rsid w:val="01742AFB"/>
    <w:rsid w:val="01773441"/>
    <w:rsid w:val="01784E03"/>
    <w:rsid w:val="0179286C"/>
    <w:rsid w:val="017D1672"/>
    <w:rsid w:val="017E2A82"/>
    <w:rsid w:val="017F53E0"/>
    <w:rsid w:val="01814321"/>
    <w:rsid w:val="01853E11"/>
    <w:rsid w:val="01860E1D"/>
    <w:rsid w:val="0186749F"/>
    <w:rsid w:val="018C1643"/>
    <w:rsid w:val="018E53BB"/>
    <w:rsid w:val="018F2EE2"/>
    <w:rsid w:val="01906DE3"/>
    <w:rsid w:val="0192652E"/>
    <w:rsid w:val="01944054"/>
    <w:rsid w:val="019477DB"/>
    <w:rsid w:val="01987636"/>
    <w:rsid w:val="01992322"/>
    <w:rsid w:val="01995B0E"/>
    <w:rsid w:val="019B2921"/>
    <w:rsid w:val="019D6B21"/>
    <w:rsid w:val="019E4ED3"/>
    <w:rsid w:val="01A0175D"/>
    <w:rsid w:val="01A050EF"/>
    <w:rsid w:val="01A17AD0"/>
    <w:rsid w:val="01A3035F"/>
    <w:rsid w:val="01A56261"/>
    <w:rsid w:val="01A7647D"/>
    <w:rsid w:val="01A93EB1"/>
    <w:rsid w:val="01AD1A25"/>
    <w:rsid w:val="01AD5AAF"/>
    <w:rsid w:val="01AE2DB6"/>
    <w:rsid w:val="01AF2CFC"/>
    <w:rsid w:val="01B446F6"/>
    <w:rsid w:val="01B64BAF"/>
    <w:rsid w:val="01B85F94"/>
    <w:rsid w:val="01BE6E35"/>
    <w:rsid w:val="01BF2A2C"/>
    <w:rsid w:val="01BF37C7"/>
    <w:rsid w:val="01C13D29"/>
    <w:rsid w:val="01C25065"/>
    <w:rsid w:val="01C32CF3"/>
    <w:rsid w:val="01C506B1"/>
    <w:rsid w:val="01C54B55"/>
    <w:rsid w:val="01D34B7C"/>
    <w:rsid w:val="01D662F4"/>
    <w:rsid w:val="01D822F8"/>
    <w:rsid w:val="01DB0719"/>
    <w:rsid w:val="01DC1D5D"/>
    <w:rsid w:val="01DE069E"/>
    <w:rsid w:val="01DE1773"/>
    <w:rsid w:val="01DE4303"/>
    <w:rsid w:val="01E03666"/>
    <w:rsid w:val="01E23011"/>
    <w:rsid w:val="01E24004"/>
    <w:rsid w:val="01E274B5"/>
    <w:rsid w:val="01E4322D"/>
    <w:rsid w:val="01E52B01"/>
    <w:rsid w:val="01E61FE3"/>
    <w:rsid w:val="01EE6D0A"/>
    <w:rsid w:val="01EF4C1D"/>
    <w:rsid w:val="01F40521"/>
    <w:rsid w:val="01F4246C"/>
    <w:rsid w:val="01F435CE"/>
    <w:rsid w:val="01F5610F"/>
    <w:rsid w:val="01F675C8"/>
    <w:rsid w:val="01F90AE9"/>
    <w:rsid w:val="01FB0577"/>
    <w:rsid w:val="01FC5EC8"/>
    <w:rsid w:val="01FD7209"/>
    <w:rsid w:val="01FD7E4B"/>
    <w:rsid w:val="0202333F"/>
    <w:rsid w:val="02025461"/>
    <w:rsid w:val="0204507D"/>
    <w:rsid w:val="0205269F"/>
    <w:rsid w:val="02082AF6"/>
    <w:rsid w:val="020A77F7"/>
    <w:rsid w:val="020B07BA"/>
    <w:rsid w:val="020C394D"/>
    <w:rsid w:val="02111B48"/>
    <w:rsid w:val="021358C1"/>
    <w:rsid w:val="02186A33"/>
    <w:rsid w:val="021B073C"/>
    <w:rsid w:val="021B6523"/>
    <w:rsid w:val="021C188F"/>
    <w:rsid w:val="021C4A2B"/>
    <w:rsid w:val="021C7141"/>
    <w:rsid w:val="021E0B68"/>
    <w:rsid w:val="02214BF9"/>
    <w:rsid w:val="02227B4F"/>
    <w:rsid w:val="02291994"/>
    <w:rsid w:val="022B4355"/>
    <w:rsid w:val="022C24DE"/>
    <w:rsid w:val="022E6257"/>
    <w:rsid w:val="022F63C7"/>
    <w:rsid w:val="023479BA"/>
    <w:rsid w:val="023532B6"/>
    <w:rsid w:val="02354D60"/>
    <w:rsid w:val="02375428"/>
    <w:rsid w:val="02380D6A"/>
    <w:rsid w:val="02381749"/>
    <w:rsid w:val="023A777F"/>
    <w:rsid w:val="023B0973"/>
    <w:rsid w:val="023B76B8"/>
    <w:rsid w:val="02401EB4"/>
    <w:rsid w:val="0241242E"/>
    <w:rsid w:val="024261A6"/>
    <w:rsid w:val="02453F1A"/>
    <w:rsid w:val="024910D6"/>
    <w:rsid w:val="024B6B2E"/>
    <w:rsid w:val="024C65F5"/>
    <w:rsid w:val="02555363"/>
    <w:rsid w:val="02575E62"/>
    <w:rsid w:val="025F0B06"/>
    <w:rsid w:val="026003DA"/>
    <w:rsid w:val="02623CC6"/>
    <w:rsid w:val="02632E0E"/>
    <w:rsid w:val="026900C4"/>
    <w:rsid w:val="02693733"/>
    <w:rsid w:val="02697903"/>
    <w:rsid w:val="026E0D49"/>
    <w:rsid w:val="0270686F"/>
    <w:rsid w:val="02742DE0"/>
    <w:rsid w:val="02755518"/>
    <w:rsid w:val="02784A56"/>
    <w:rsid w:val="027A149C"/>
    <w:rsid w:val="027A5940"/>
    <w:rsid w:val="027B5F82"/>
    <w:rsid w:val="027C16B8"/>
    <w:rsid w:val="027E5DC0"/>
    <w:rsid w:val="027F6AB2"/>
    <w:rsid w:val="02807EB9"/>
    <w:rsid w:val="02861DCC"/>
    <w:rsid w:val="02870B73"/>
    <w:rsid w:val="02883D06"/>
    <w:rsid w:val="028B76C7"/>
    <w:rsid w:val="028E13EB"/>
    <w:rsid w:val="028E4F47"/>
    <w:rsid w:val="02944793"/>
    <w:rsid w:val="02981FC7"/>
    <w:rsid w:val="029B7E3A"/>
    <w:rsid w:val="029D7BC6"/>
    <w:rsid w:val="02A41B50"/>
    <w:rsid w:val="02A46128"/>
    <w:rsid w:val="02AB3D4B"/>
    <w:rsid w:val="02AE017F"/>
    <w:rsid w:val="02AF383B"/>
    <w:rsid w:val="02AF3E19"/>
    <w:rsid w:val="02B0310F"/>
    <w:rsid w:val="02B06C5B"/>
    <w:rsid w:val="02B077FB"/>
    <w:rsid w:val="02B5741C"/>
    <w:rsid w:val="02B7449E"/>
    <w:rsid w:val="02BA2A25"/>
    <w:rsid w:val="02BC5F63"/>
    <w:rsid w:val="02BC6F49"/>
    <w:rsid w:val="02BC7D06"/>
    <w:rsid w:val="02BD754E"/>
    <w:rsid w:val="02C40969"/>
    <w:rsid w:val="02C60B85"/>
    <w:rsid w:val="02C73EEA"/>
    <w:rsid w:val="02C74BB4"/>
    <w:rsid w:val="02C77D5D"/>
    <w:rsid w:val="02C81C04"/>
    <w:rsid w:val="02CA21FF"/>
    <w:rsid w:val="02CB1CF7"/>
    <w:rsid w:val="02CB3144"/>
    <w:rsid w:val="02CC32F6"/>
    <w:rsid w:val="02CD73A2"/>
    <w:rsid w:val="02CE57FC"/>
    <w:rsid w:val="02D0730E"/>
    <w:rsid w:val="02D168D3"/>
    <w:rsid w:val="02D2621A"/>
    <w:rsid w:val="02D2752A"/>
    <w:rsid w:val="02D36083"/>
    <w:rsid w:val="02D74B40"/>
    <w:rsid w:val="02D8318D"/>
    <w:rsid w:val="02DC3F04"/>
    <w:rsid w:val="02DF39F5"/>
    <w:rsid w:val="02E102D4"/>
    <w:rsid w:val="02E132C9"/>
    <w:rsid w:val="02E31CA5"/>
    <w:rsid w:val="02E334E5"/>
    <w:rsid w:val="02E376C0"/>
    <w:rsid w:val="02E6473E"/>
    <w:rsid w:val="02E81B31"/>
    <w:rsid w:val="02E903CF"/>
    <w:rsid w:val="02EA06AE"/>
    <w:rsid w:val="02EA4873"/>
    <w:rsid w:val="02EF5EA2"/>
    <w:rsid w:val="02F17932"/>
    <w:rsid w:val="02F339C4"/>
    <w:rsid w:val="02F96569"/>
    <w:rsid w:val="02FA38F1"/>
    <w:rsid w:val="02FA438B"/>
    <w:rsid w:val="02FC0103"/>
    <w:rsid w:val="02FE031F"/>
    <w:rsid w:val="02FE3E7B"/>
    <w:rsid w:val="02FF0DA1"/>
    <w:rsid w:val="02FF231B"/>
    <w:rsid w:val="02FF590C"/>
    <w:rsid w:val="03002F22"/>
    <w:rsid w:val="0301396B"/>
    <w:rsid w:val="03016459"/>
    <w:rsid w:val="03084DBF"/>
    <w:rsid w:val="030876A8"/>
    <w:rsid w:val="030A0737"/>
    <w:rsid w:val="030B47EA"/>
    <w:rsid w:val="030D2310"/>
    <w:rsid w:val="030F6088"/>
    <w:rsid w:val="03101E00"/>
    <w:rsid w:val="03141C34"/>
    <w:rsid w:val="03165668"/>
    <w:rsid w:val="0317649A"/>
    <w:rsid w:val="031C09B2"/>
    <w:rsid w:val="031F2B1F"/>
    <w:rsid w:val="03242072"/>
    <w:rsid w:val="032A7F2D"/>
    <w:rsid w:val="032B00F8"/>
    <w:rsid w:val="032C137C"/>
    <w:rsid w:val="0331105F"/>
    <w:rsid w:val="03324ACE"/>
    <w:rsid w:val="0336359B"/>
    <w:rsid w:val="03373CA1"/>
    <w:rsid w:val="03375EB6"/>
    <w:rsid w:val="033835B9"/>
    <w:rsid w:val="033A5D89"/>
    <w:rsid w:val="033C12B3"/>
    <w:rsid w:val="0342549B"/>
    <w:rsid w:val="03446662"/>
    <w:rsid w:val="034559DE"/>
    <w:rsid w:val="03457C30"/>
    <w:rsid w:val="03457CFC"/>
    <w:rsid w:val="03461FC3"/>
    <w:rsid w:val="03483348"/>
    <w:rsid w:val="0348701F"/>
    <w:rsid w:val="034D3EC7"/>
    <w:rsid w:val="034F46D6"/>
    <w:rsid w:val="03501B9C"/>
    <w:rsid w:val="03547F3F"/>
    <w:rsid w:val="03561F09"/>
    <w:rsid w:val="03577A2F"/>
    <w:rsid w:val="03597303"/>
    <w:rsid w:val="035B12CD"/>
    <w:rsid w:val="035B6E9D"/>
    <w:rsid w:val="035C5045"/>
    <w:rsid w:val="035D3297"/>
    <w:rsid w:val="035E0DBD"/>
    <w:rsid w:val="036113B1"/>
    <w:rsid w:val="036A7871"/>
    <w:rsid w:val="037000F2"/>
    <w:rsid w:val="03727102"/>
    <w:rsid w:val="03771E7F"/>
    <w:rsid w:val="037759DB"/>
    <w:rsid w:val="037800D1"/>
    <w:rsid w:val="037979A5"/>
    <w:rsid w:val="037A0E7B"/>
    <w:rsid w:val="037A3275"/>
    <w:rsid w:val="037C1244"/>
    <w:rsid w:val="037D56E7"/>
    <w:rsid w:val="03800BEC"/>
    <w:rsid w:val="03804511"/>
    <w:rsid w:val="038250B6"/>
    <w:rsid w:val="03844FD7"/>
    <w:rsid w:val="03867ADC"/>
    <w:rsid w:val="038720C2"/>
    <w:rsid w:val="03885E3A"/>
    <w:rsid w:val="038B3602"/>
    <w:rsid w:val="038C1CC6"/>
    <w:rsid w:val="038F71C9"/>
    <w:rsid w:val="03914CEF"/>
    <w:rsid w:val="0397518F"/>
    <w:rsid w:val="03977E3B"/>
    <w:rsid w:val="039912FD"/>
    <w:rsid w:val="039C1C7C"/>
    <w:rsid w:val="03A21464"/>
    <w:rsid w:val="03A23846"/>
    <w:rsid w:val="03A27F4A"/>
    <w:rsid w:val="03A367D0"/>
    <w:rsid w:val="03A404F7"/>
    <w:rsid w:val="03A5079A"/>
    <w:rsid w:val="03A60918"/>
    <w:rsid w:val="03A857EB"/>
    <w:rsid w:val="03AA209B"/>
    <w:rsid w:val="03AA2568"/>
    <w:rsid w:val="03AE23CD"/>
    <w:rsid w:val="03B24C65"/>
    <w:rsid w:val="03B31109"/>
    <w:rsid w:val="03B33169"/>
    <w:rsid w:val="03B35066"/>
    <w:rsid w:val="03B46C2F"/>
    <w:rsid w:val="03B70559"/>
    <w:rsid w:val="03B95FF4"/>
    <w:rsid w:val="03BC41CA"/>
    <w:rsid w:val="03BE185C"/>
    <w:rsid w:val="03BE360A"/>
    <w:rsid w:val="03BF56E2"/>
    <w:rsid w:val="03C025C6"/>
    <w:rsid w:val="03C06A6D"/>
    <w:rsid w:val="03C2134C"/>
    <w:rsid w:val="03C350C4"/>
    <w:rsid w:val="03C52BEB"/>
    <w:rsid w:val="03C54999"/>
    <w:rsid w:val="03C814FD"/>
    <w:rsid w:val="03C84489"/>
    <w:rsid w:val="03C84D87"/>
    <w:rsid w:val="03CC420D"/>
    <w:rsid w:val="03D1333D"/>
    <w:rsid w:val="03D215B4"/>
    <w:rsid w:val="03D250FF"/>
    <w:rsid w:val="03D54F9F"/>
    <w:rsid w:val="03D756A0"/>
    <w:rsid w:val="03D81AF1"/>
    <w:rsid w:val="03D8291E"/>
    <w:rsid w:val="03D93D64"/>
    <w:rsid w:val="03D95A61"/>
    <w:rsid w:val="03DA48E8"/>
    <w:rsid w:val="03DD7F34"/>
    <w:rsid w:val="03DE197F"/>
    <w:rsid w:val="03E36BE1"/>
    <w:rsid w:val="03E43920"/>
    <w:rsid w:val="03E46BCB"/>
    <w:rsid w:val="03E572EA"/>
    <w:rsid w:val="03E756B4"/>
    <w:rsid w:val="03E76C6E"/>
    <w:rsid w:val="03E80687"/>
    <w:rsid w:val="03EA46A4"/>
    <w:rsid w:val="03EA7B21"/>
    <w:rsid w:val="03EB016F"/>
    <w:rsid w:val="03EB585B"/>
    <w:rsid w:val="03EC1006"/>
    <w:rsid w:val="03EF0E5E"/>
    <w:rsid w:val="03EF1A15"/>
    <w:rsid w:val="03F11F47"/>
    <w:rsid w:val="03F406F8"/>
    <w:rsid w:val="03F51722"/>
    <w:rsid w:val="03F52BB0"/>
    <w:rsid w:val="03F727FE"/>
    <w:rsid w:val="03FB660C"/>
    <w:rsid w:val="03FD05D6"/>
    <w:rsid w:val="04027137"/>
    <w:rsid w:val="0405396E"/>
    <w:rsid w:val="040A2791"/>
    <w:rsid w:val="040C5211"/>
    <w:rsid w:val="040C6574"/>
    <w:rsid w:val="040D0D36"/>
    <w:rsid w:val="040F0D5A"/>
    <w:rsid w:val="04104F0A"/>
    <w:rsid w:val="04126045"/>
    <w:rsid w:val="04137DFA"/>
    <w:rsid w:val="04145CF6"/>
    <w:rsid w:val="04161698"/>
    <w:rsid w:val="04172CB4"/>
    <w:rsid w:val="0417562A"/>
    <w:rsid w:val="041B09A4"/>
    <w:rsid w:val="041B6CAE"/>
    <w:rsid w:val="041D20A4"/>
    <w:rsid w:val="041F054D"/>
    <w:rsid w:val="04207EF6"/>
    <w:rsid w:val="04212517"/>
    <w:rsid w:val="04223B99"/>
    <w:rsid w:val="04253689"/>
    <w:rsid w:val="0429237D"/>
    <w:rsid w:val="04293179"/>
    <w:rsid w:val="042C1292"/>
    <w:rsid w:val="042E0790"/>
    <w:rsid w:val="043079EB"/>
    <w:rsid w:val="043433F8"/>
    <w:rsid w:val="04367644"/>
    <w:rsid w:val="0438160E"/>
    <w:rsid w:val="043833BC"/>
    <w:rsid w:val="043E76DE"/>
    <w:rsid w:val="043F299D"/>
    <w:rsid w:val="04417F3B"/>
    <w:rsid w:val="04441D61"/>
    <w:rsid w:val="044429AB"/>
    <w:rsid w:val="044505DE"/>
    <w:rsid w:val="04455AD9"/>
    <w:rsid w:val="04463D2B"/>
    <w:rsid w:val="04477AA3"/>
    <w:rsid w:val="04485977"/>
    <w:rsid w:val="044C50BA"/>
    <w:rsid w:val="044D085A"/>
    <w:rsid w:val="044D7899"/>
    <w:rsid w:val="044E4DA2"/>
    <w:rsid w:val="044E51ED"/>
    <w:rsid w:val="04504BAA"/>
    <w:rsid w:val="045126D0"/>
    <w:rsid w:val="045161BE"/>
    <w:rsid w:val="04544E72"/>
    <w:rsid w:val="045628C6"/>
    <w:rsid w:val="045E2AF7"/>
    <w:rsid w:val="045F3F9A"/>
    <w:rsid w:val="04602913"/>
    <w:rsid w:val="04610B65"/>
    <w:rsid w:val="04620439"/>
    <w:rsid w:val="0462668B"/>
    <w:rsid w:val="04644FC6"/>
    <w:rsid w:val="04673CA2"/>
    <w:rsid w:val="04693E49"/>
    <w:rsid w:val="046D4704"/>
    <w:rsid w:val="046F2C08"/>
    <w:rsid w:val="046F3928"/>
    <w:rsid w:val="04714AC9"/>
    <w:rsid w:val="04714B35"/>
    <w:rsid w:val="04723118"/>
    <w:rsid w:val="04730898"/>
    <w:rsid w:val="0475016D"/>
    <w:rsid w:val="047A50FC"/>
    <w:rsid w:val="047D5273"/>
    <w:rsid w:val="047F0FEB"/>
    <w:rsid w:val="047F20F5"/>
    <w:rsid w:val="047F2D99"/>
    <w:rsid w:val="0480002D"/>
    <w:rsid w:val="04811EEE"/>
    <w:rsid w:val="04846602"/>
    <w:rsid w:val="04861265"/>
    <w:rsid w:val="04865CC4"/>
    <w:rsid w:val="04877EA0"/>
    <w:rsid w:val="0489022C"/>
    <w:rsid w:val="048F1441"/>
    <w:rsid w:val="048F3105"/>
    <w:rsid w:val="04912AB2"/>
    <w:rsid w:val="04926F71"/>
    <w:rsid w:val="04934A97"/>
    <w:rsid w:val="049727D9"/>
    <w:rsid w:val="04976EAA"/>
    <w:rsid w:val="049802FF"/>
    <w:rsid w:val="04993115"/>
    <w:rsid w:val="049A281D"/>
    <w:rsid w:val="049B238E"/>
    <w:rsid w:val="04A1386B"/>
    <w:rsid w:val="04A171B4"/>
    <w:rsid w:val="04A479AC"/>
    <w:rsid w:val="04A47B4C"/>
    <w:rsid w:val="04AD7D0D"/>
    <w:rsid w:val="04AF0D4B"/>
    <w:rsid w:val="04B30C95"/>
    <w:rsid w:val="04B31DE1"/>
    <w:rsid w:val="04B33E6C"/>
    <w:rsid w:val="04B43650"/>
    <w:rsid w:val="04B50EB1"/>
    <w:rsid w:val="04B74A42"/>
    <w:rsid w:val="04B74C29"/>
    <w:rsid w:val="04B84AB0"/>
    <w:rsid w:val="04BA053A"/>
    <w:rsid w:val="04BA3A86"/>
    <w:rsid w:val="04BA6E49"/>
    <w:rsid w:val="04BD3D02"/>
    <w:rsid w:val="04BF588C"/>
    <w:rsid w:val="04C14761"/>
    <w:rsid w:val="04C23F72"/>
    <w:rsid w:val="04C3537C"/>
    <w:rsid w:val="04C73885"/>
    <w:rsid w:val="04CC1D57"/>
    <w:rsid w:val="04D035F5"/>
    <w:rsid w:val="04D255BF"/>
    <w:rsid w:val="04D3468D"/>
    <w:rsid w:val="04D56E5D"/>
    <w:rsid w:val="04D94B9F"/>
    <w:rsid w:val="04DB3B6B"/>
    <w:rsid w:val="04DC64B5"/>
    <w:rsid w:val="04DF45FC"/>
    <w:rsid w:val="04DF4B7F"/>
    <w:rsid w:val="04DF7087"/>
    <w:rsid w:val="04E141CF"/>
    <w:rsid w:val="04E4144A"/>
    <w:rsid w:val="04E62E18"/>
    <w:rsid w:val="04E90B5B"/>
    <w:rsid w:val="04ED41A7"/>
    <w:rsid w:val="04F2168B"/>
    <w:rsid w:val="04F47409"/>
    <w:rsid w:val="04F80D9E"/>
    <w:rsid w:val="04FC01E8"/>
    <w:rsid w:val="04FC48F2"/>
    <w:rsid w:val="04FF6BDA"/>
    <w:rsid w:val="05053A3E"/>
    <w:rsid w:val="05070BB8"/>
    <w:rsid w:val="050D28B2"/>
    <w:rsid w:val="051359F0"/>
    <w:rsid w:val="05137986"/>
    <w:rsid w:val="05145BD8"/>
    <w:rsid w:val="05157C0B"/>
    <w:rsid w:val="051949B2"/>
    <w:rsid w:val="051D60A4"/>
    <w:rsid w:val="051F6714"/>
    <w:rsid w:val="052129D1"/>
    <w:rsid w:val="05250A7A"/>
    <w:rsid w:val="052534F4"/>
    <w:rsid w:val="05263CE6"/>
    <w:rsid w:val="052878D5"/>
    <w:rsid w:val="052C38D8"/>
    <w:rsid w:val="052D0A47"/>
    <w:rsid w:val="052E656D"/>
    <w:rsid w:val="053022E6"/>
    <w:rsid w:val="05330DF1"/>
    <w:rsid w:val="05341DD6"/>
    <w:rsid w:val="05353DA0"/>
    <w:rsid w:val="05363E96"/>
    <w:rsid w:val="053A478C"/>
    <w:rsid w:val="053B7608"/>
    <w:rsid w:val="053F3560"/>
    <w:rsid w:val="05432019"/>
    <w:rsid w:val="05443B15"/>
    <w:rsid w:val="05462B8A"/>
    <w:rsid w:val="05485881"/>
    <w:rsid w:val="054933A7"/>
    <w:rsid w:val="054C6A90"/>
    <w:rsid w:val="054F0850"/>
    <w:rsid w:val="054F4E62"/>
    <w:rsid w:val="05511132"/>
    <w:rsid w:val="0551430E"/>
    <w:rsid w:val="0555686E"/>
    <w:rsid w:val="05587C2F"/>
    <w:rsid w:val="05593A0D"/>
    <w:rsid w:val="055B625C"/>
    <w:rsid w:val="055C348C"/>
    <w:rsid w:val="0560748E"/>
    <w:rsid w:val="056C50BF"/>
    <w:rsid w:val="056C596B"/>
    <w:rsid w:val="056C6DC3"/>
    <w:rsid w:val="05702B91"/>
    <w:rsid w:val="05706B86"/>
    <w:rsid w:val="0571055A"/>
    <w:rsid w:val="057156EB"/>
    <w:rsid w:val="0573122A"/>
    <w:rsid w:val="057523EE"/>
    <w:rsid w:val="0575419C"/>
    <w:rsid w:val="057743B8"/>
    <w:rsid w:val="057E3FDF"/>
    <w:rsid w:val="05816327"/>
    <w:rsid w:val="05816FE5"/>
    <w:rsid w:val="05820CC3"/>
    <w:rsid w:val="05856B90"/>
    <w:rsid w:val="05866233"/>
    <w:rsid w:val="05885425"/>
    <w:rsid w:val="058867C4"/>
    <w:rsid w:val="058B08CF"/>
    <w:rsid w:val="058D23BB"/>
    <w:rsid w:val="058D6DA2"/>
    <w:rsid w:val="058E5B5A"/>
    <w:rsid w:val="058F34B0"/>
    <w:rsid w:val="05942874"/>
    <w:rsid w:val="0596483F"/>
    <w:rsid w:val="059921E9"/>
    <w:rsid w:val="059B1E55"/>
    <w:rsid w:val="059C5BCD"/>
    <w:rsid w:val="059C6D41"/>
    <w:rsid w:val="05A1600D"/>
    <w:rsid w:val="05A352BE"/>
    <w:rsid w:val="05A4757D"/>
    <w:rsid w:val="05A54A82"/>
    <w:rsid w:val="05A607FA"/>
    <w:rsid w:val="05A675C7"/>
    <w:rsid w:val="05A81D1D"/>
    <w:rsid w:val="05A86320"/>
    <w:rsid w:val="05A95F6E"/>
    <w:rsid w:val="05AA02E8"/>
    <w:rsid w:val="05AA4E48"/>
    <w:rsid w:val="05AB7BBE"/>
    <w:rsid w:val="05AC35DF"/>
    <w:rsid w:val="05AC725B"/>
    <w:rsid w:val="05AE580B"/>
    <w:rsid w:val="05AF3B52"/>
    <w:rsid w:val="05B01A86"/>
    <w:rsid w:val="05B146DA"/>
    <w:rsid w:val="05B20F4D"/>
    <w:rsid w:val="05B41F48"/>
    <w:rsid w:val="05B45A56"/>
    <w:rsid w:val="05BA1CEB"/>
    <w:rsid w:val="05BB038F"/>
    <w:rsid w:val="05BC2AE5"/>
    <w:rsid w:val="05BC5345"/>
    <w:rsid w:val="05BD73C4"/>
    <w:rsid w:val="05BF7AC1"/>
    <w:rsid w:val="05C0366A"/>
    <w:rsid w:val="05C04DDA"/>
    <w:rsid w:val="05C30E47"/>
    <w:rsid w:val="05C313AC"/>
    <w:rsid w:val="05C507D0"/>
    <w:rsid w:val="05C603D6"/>
    <w:rsid w:val="05C66509"/>
    <w:rsid w:val="05CC0260"/>
    <w:rsid w:val="05CD222A"/>
    <w:rsid w:val="05D140B2"/>
    <w:rsid w:val="05D15877"/>
    <w:rsid w:val="05D168DD"/>
    <w:rsid w:val="05D23395"/>
    <w:rsid w:val="05D24911"/>
    <w:rsid w:val="05D26E0B"/>
    <w:rsid w:val="05D33212"/>
    <w:rsid w:val="05D47365"/>
    <w:rsid w:val="05D97C3E"/>
    <w:rsid w:val="05DB66F5"/>
    <w:rsid w:val="05DD06BF"/>
    <w:rsid w:val="05DD282E"/>
    <w:rsid w:val="05DF001C"/>
    <w:rsid w:val="05E0519A"/>
    <w:rsid w:val="05E23F5E"/>
    <w:rsid w:val="05E732EC"/>
    <w:rsid w:val="05ED01D7"/>
    <w:rsid w:val="05EF4E84"/>
    <w:rsid w:val="05F257ED"/>
    <w:rsid w:val="05F41565"/>
    <w:rsid w:val="05F47F7C"/>
    <w:rsid w:val="05F72E03"/>
    <w:rsid w:val="05F83EAE"/>
    <w:rsid w:val="05F94DCD"/>
    <w:rsid w:val="05F952D6"/>
    <w:rsid w:val="05F9782D"/>
    <w:rsid w:val="05FA2EE2"/>
    <w:rsid w:val="05FA4A44"/>
    <w:rsid w:val="05FD2B10"/>
    <w:rsid w:val="05FF4CB1"/>
    <w:rsid w:val="060043AE"/>
    <w:rsid w:val="0600615C"/>
    <w:rsid w:val="060204A8"/>
    <w:rsid w:val="06023C82"/>
    <w:rsid w:val="06055520"/>
    <w:rsid w:val="06070287"/>
    <w:rsid w:val="06071298"/>
    <w:rsid w:val="060B360E"/>
    <w:rsid w:val="060C2D53"/>
    <w:rsid w:val="060D554A"/>
    <w:rsid w:val="060E044E"/>
    <w:rsid w:val="060E3B61"/>
    <w:rsid w:val="060E537E"/>
    <w:rsid w:val="060E5564"/>
    <w:rsid w:val="0613511B"/>
    <w:rsid w:val="06140446"/>
    <w:rsid w:val="061614DB"/>
    <w:rsid w:val="06166DC9"/>
    <w:rsid w:val="06197F93"/>
    <w:rsid w:val="061C7244"/>
    <w:rsid w:val="061C7986"/>
    <w:rsid w:val="061D466D"/>
    <w:rsid w:val="061E69B8"/>
    <w:rsid w:val="061F7CFE"/>
    <w:rsid w:val="06204E43"/>
    <w:rsid w:val="062502B9"/>
    <w:rsid w:val="06252291"/>
    <w:rsid w:val="0625576B"/>
    <w:rsid w:val="06257970"/>
    <w:rsid w:val="06286F63"/>
    <w:rsid w:val="0629017C"/>
    <w:rsid w:val="062D7E94"/>
    <w:rsid w:val="062E02A9"/>
    <w:rsid w:val="062F4CFF"/>
    <w:rsid w:val="06316315"/>
    <w:rsid w:val="06340D55"/>
    <w:rsid w:val="0635559F"/>
    <w:rsid w:val="0637367F"/>
    <w:rsid w:val="063860A7"/>
    <w:rsid w:val="063D2F0C"/>
    <w:rsid w:val="063E1069"/>
    <w:rsid w:val="063E7D85"/>
    <w:rsid w:val="063F6C84"/>
    <w:rsid w:val="0640060F"/>
    <w:rsid w:val="064047AA"/>
    <w:rsid w:val="06416A6C"/>
    <w:rsid w:val="0642506E"/>
    <w:rsid w:val="0643551A"/>
    <w:rsid w:val="06451B85"/>
    <w:rsid w:val="0647715C"/>
    <w:rsid w:val="0648365F"/>
    <w:rsid w:val="064976B1"/>
    <w:rsid w:val="064A6A8B"/>
    <w:rsid w:val="06502589"/>
    <w:rsid w:val="06544EA0"/>
    <w:rsid w:val="06555ED4"/>
    <w:rsid w:val="06571608"/>
    <w:rsid w:val="065B15E4"/>
    <w:rsid w:val="065C29E3"/>
    <w:rsid w:val="065D35AE"/>
    <w:rsid w:val="065F0E73"/>
    <w:rsid w:val="065F10D4"/>
    <w:rsid w:val="06622973"/>
    <w:rsid w:val="0662723F"/>
    <w:rsid w:val="06642104"/>
    <w:rsid w:val="066A1A59"/>
    <w:rsid w:val="066A5B70"/>
    <w:rsid w:val="066C38A7"/>
    <w:rsid w:val="066F6E3E"/>
    <w:rsid w:val="067027D2"/>
    <w:rsid w:val="06724876"/>
    <w:rsid w:val="06732DD2"/>
    <w:rsid w:val="067803E8"/>
    <w:rsid w:val="06785DF4"/>
    <w:rsid w:val="067A53C6"/>
    <w:rsid w:val="067C4A3B"/>
    <w:rsid w:val="067D4D29"/>
    <w:rsid w:val="067E14EE"/>
    <w:rsid w:val="06806459"/>
    <w:rsid w:val="06806A36"/>
    <w:rsid w:val="0681329A"/>
    <w:rsid w:val="0683334A"/>
    <w:rsid w:val="068428E9"/>
    <w:rsid w:val="06860B27"/>
    <w:rsid w:val="0687694E"/>
    <w:rsid w:val="06883AD1"/>
    <w:rsid w:val="068A3C77"/>
    <w:rsid w:val="068B49D7"/>
    <w:rsid w:val="068B4BEA"/>
    <w:rsid w:val="068B508B"/>
    <w:rsid w:val="068C0E04"/>
    <w:rsid w:val="068C5C42"/>
    <w:rsid w:val="069243D1"/>
    <w:rsid w:val="06927D4C"/>
    <w:rsid w:val="0694002B"/>
    <w:rsid w:val="06946078"/>
    <w:rsid w:val="06956D41"/>
    <w:rsid w:val="069845E6"/>
    <w:rsid w:val="0698709F"/>
    <w:rsid w:val="069D1BFD"/>
    <w:rsid w:val="069D39AB"/>
    <w:rsid w:val="069E6CDB"/>
    <w:rsid w:val="069F7723"/>
    <w:rsid w:val="06A432C8"/>
    <w:rsid w:val="06A53961"/>
    <w:rsid w:val="06A905A2"/>
    <w:rsid w:val="06A967F3"/>
    <w:rsid w:val="06AA2BB5"/>
    <w:rsid w:val="06B01930"/>
    <w:rsid w:val="06B11304"/>
    <w:rsid w:val="06B17159"/>
    <w:rsid w:val="06B62B65"/>
    <w:rsid w:val="06B82029"/>
    <w:rsid w:val="06BA0B41"/>
    <w:rsid w:val="06BA455D"/>
    <w:rsid w:val="06BB2083"/>
    <w:rsid w:val="06BB3F2C"/>
    <w:rsid w:val="06BB5209"/>
    <w:rsid w:val="06BC02D5"/>
    <w:rsid w:val="06BC6527"/>
    <w:rsid w:val="06BE26EC"/>
    <w:rsid w:val="06BE3651"/>
    <w:rsid w:val="06C001A6"/>
    <w:rsid w:val="06C13B3D"/>
    <w:rsid w:val="06C158EB"/>
    <w:rsid w:val="06C5087C"/>
    <w:rsid w:val="06C8744C"/>
    <w:rsid w:val="06CB1576"/>
    <w:rsid w:val="06CD6778"/>
    <w:rsid w:val="06CE625A"/>
    <w:rsid w:val="06CE72D4"/>
    <w:rsid w:val="06D33870"/>
    <w:rsid w:val="06D3561E"/>
    <w:rsid w:val="06D43F81"/>
    <w:rsid w:val="06D5614F"/>
    <w:rsid w:val="06D8445C"/>
    <w:rsid w:val="06D849E3"/>
    <w:rsid w:val="06DA075B"/>
    <w:rsid w:val="06DC0977"/>
    <w:rsid w:val="06DE664F"/>
    <w:rsid w:val="06DF3FC3"/>
    <w:rsid w:val="06E01CDC"/>
    <w:rsid w:val="06E12EF9"/>
    <w:rsid w:val="06E415DA"/>
    <w:rsid w:val="06E90FF5"/>
    <w:rsid w:val="06EB6E0C"/>
    <w:rsid w:val="06EE3238"/>
    <w:rsid w:val="06F15AA5"/>
    <w:rsid w:val="06F16077"/>
    <w:rsid w:val="06F342BF"/>
    <w:rsid w:val="06F62963"/>
    <w:rsid w:val="06F85085"/>
    <w:rsid w:val="06FA0DFD"/>
    <w:rsid w:val="06FD08ED"/>
    <w:rsid w:val="06FD57DA"/>
    <w:rsid w:val="06FF01C2"/>
    <w:rsid w:val="06FF6413"/>
    <w:rsid w:val="07002905"/>
    <w:rsid w:val="07013A67"/>
    <w:rsid w:val="07026887"/>
    <w:rsid w:val="07084F30"/>
    <w:rsid w:val="070C28DE"/>
    <w:rsid w:val="07131138"/>
    <w:rsid w:val="07145058"/>
    <w:rsid w:val="07162BA8"/>
    <w:rsid w:val="07163869"/>
    <w:rsid w:val="07175AC5"/>
    <w:rsid w:val="07182BE7"/>
    <w:rsid w:val="072013FF"/>
    <w:rsid w:val="0721638A"/>
    <w:rsid w:val="07230354"/>
    <w:rsid w:val="07247A21"/>
    <w:rsid w:val="072901F7"/>
    <w:rsid w:val="07292EEA"/>
    <w:rsid w:val="07293586"/>
    <w:rsid w:val="07295285"/>
    <w:rsid w:val="072B72CC"/>
    <w:rsid w:val="072C731C"/>
    <w:rsid w:val="072D6822"/>
    <w:rsid w:val="072F4F4B"/>
    <w:rsid w:val="07310702"/>
    <w:rsid w:val="073138C2"/>
    <w:rsid w:val="07352AA7"/>
    <w:rsid w:val="0737186E"/>
    <w:rsid w:val="073C4845"/>
    <w:rsid w:val="073E0B86"/>
    <w:rsid w:val="073E125F"/>
    <w:rsid w:val="073E6555"/>
    <w:rsid w:val="07402209"/>
    <w:rsid w:val="0742193C"/>
    <w:rsid w:val="07441AD0"/>
    <w:rsid w:val="074471CA"/>
    <w:rsid w:val="074522DA"/>
    <w:rsid w:val="07452E71"/>
    <w:rsid w:val="0745634B"/>
    <w:rsid w:val="07460D62"/>
    <w:rsid w:val="074A3B33"/>
    <w:rsid w:val="074B7862"/>
    <w:rsid w:val="074E2EF7"/>
    <w:rsid w:val="074E5E4D"/>
    <w:rsid w:val="074F2929"/>
    <w:rsid w:val="07503853"/>
    <w:rsid w:val="0751312C"/>
    <w:rsid w:val="07524795"/>
    <w:rsid w:val="07525643"/>
    <w:rsid w:val="0755414A"/>
    <w:rsid w:val="075624BD"/>
    <w:rsid w:val="07563855"/>
    <w:rsid w:val="07585B24"/>
    <w:rsid w:val="075A314E"/>
    <w:rsid w:val="075A6078"/>
    <w:rsid w:val="075C73C2"/>
    <w:rsid w:val="07603356"/>
    <w:rsid w:val="07612C2A"/>
    <w:rsid w:val="076170CE"/>
    <w:rsid w:val="076253ED"/>
    <w:rsid w:val="07636392"/>
    <w:rsid w:val="076672C8"/>
    <w:rsid w:val="076A1299"/>
    <w:rsid w:val="076A5F83"/>
    <w:rsid w:val="076B3AA9"/>
    <w:rsid w:val="076B3AFB"/>
    <w:rsid w:val="076B5857"/>
    <w:rsid w:val="076F7828"/>
    <w:rsid w:val="07730E16"/>
    <w:rsid w:val="0774295E"/>
    <w:rsid w:val="07757C18"/>
    <w:rsid w:val="07770C56"/>
    <w:rsid w:val="0777244E"/>
    <w:rsid w:val="077741FC"/>
    <w:rsid w:val="07780049"/>
    <w:rsid w:val="07782940"/>
    <w:rsid w:val="07797F74"/>
    <w:rsid w:val="077A0A83"/>
    <w:rsid w:val="077B79CA"/>
    <w:rsid w:val="077D7BEA"/>
    <w:rsid w:val="07833946"/>
    <w:rsid w:val="07835749"/>
    <w:rsid w:val="07837045"/>
    <w:rsid w:val="07842397"/>
    <w:rsid w:val="07854B6B"/>
    <w:rsid w:val="078608E3"/>
    <w:rsid w:val="07866B35"/>
    <w:rsid w:val="07886409"/>
    <w:rsid w:val="078A23B4"/>
    <w:rsid w:val="078B414B"/>
    <w:rsid w:val="078B61A4"/>
    <w:rsid w:val="078C39AA"/>
    <w:rsid w:val="078F32D9"/>
    <w:rsid w:val="078F4E3A"/>
    <w:rsid w:val="07923250"/>
    <w:rsid w:val="07925AA1"/>
    <w:rsid w:val="07937AF1"/>
    <w:rsid w:val="079528D4"/>
    <w:rsid w:val="07966D78"/>
    <w:rsid w:val="07972AF0"/>
    <w:rsid w:val="0797664C"/>
    <w:rsid w:val="079C2AA8"/>
    <w:rsid w:val="079C7774"/>
    <w:rsid w:val="079D2915"/>
    <w:rsid w:val="079E6302"/>
    <w:rsid w:val="079F52F4"/>
    <w:rsid w:val="07A11279"/>
    <w:rsid w:val="07A17761"/>
    <w:rsid w:val="07A200A1"/>
    <w:rsid w:val="07AA5915"/>
    <w:rsid w:val="07AB0349"/>
    <w:rsid w:val="07AB79D1"/>
    <w:rsid w:val="07AF5408"/>
    <w:rsid w:val="07B07E9C"/>
    <w:rsid w:val="07B40FAC"/>
    <w:rsid w:val="07B54D24"/>
    <w:rsid w:val="07B640C1"/>
    <w:rsid w:val="07BD52A7"/>
    <w:rsid w:val="07BD5660"/>
    <w:rsid w:val="07BD5FFE"/>
    <w:rsid w:val="07C05C2A"/>
    <w:rsid w:val="07C136C9"/>
    <w:rsid w:val="07C20DF0"/>
    <w:rsid w:val="07C260F1"/>
    <w:rsid w:val="07C26242"/>
    <w:rsid w:val="07C41F4A"/>
    <w:rsid w:val="07C50627"/>
    <w:rsid w:val="07C82719"/>
    <w:rsid w:val="07C94EF7"/>
    <w:rsid w:val="07CC4EEA"/>
    <w:rsid w:val="07CE4475"/>
    <w:rsid w:val="07CF5DE6"/>
    <w:rsid w:val="07D1292D"/>
    <w:rsid w:val="07D258D6"/>
    <w:rsid w:val="07D44C02"/>
    <w:rsid w:val="07D51914"/>
    <w:rsid w:val="07D76726"/>
    <w:rsid w:val="07DA2796"/>
    <w:rsid w:val="07DB68EB"/>
    <w:rsid w:val="07DD31B8"/>
    <w:rsid w:val="07DD6F27"/>
    <w:rsid w:val="07DE427B"/>
    <w:rsid w:val="07DF32C0"/>
    <w:rsid w:val="07E00E38"/>
    <w:rsid w:val="07E23F91"/>
    <w:rsid w:val="07E54CAE"/>
    <w:rsid w:val="07E61F4B"/>
    <w:rsid w:val="07E92439"/>
    <w:rsid w:val="07EB3E1B"/>
    <w:rsid w:val="07F12C13"/>
    <w:rsid w:val="07F645B9"/>
    <w:rsid w:val="07FB25E5"/>
    <w:rsid w:val="08002443"/>
    <w:rsid w:val="08017F69"/>
    <w:rsid w:val="08041C67"/>
    <w:rsid w:val="08055CAB"/>
    <w:rsid w:val="08057A5A"/>
    <w:rsid w:val="08065580"/>
    <w:rsid w:val="080D4B60"/>
    <w:rsid w:val="080F7A6B"/>
    <w:rsid w:val="081B54CF"/>
    <w:rsid w:val="081D1247"/>
    <w:rsid w:val="081E6D6D"/>
    <w:rsid w:val="082779D0"/>
    <w:rsid w:val="08287487"/>
    <w:rsid w:val="08287EF8"/>
    <w:rsid w:val="082A13CE"/>
    <w:rsid w:val="082C3238"/>
    <w:rsid w:val="082E169C"/>
    <w:rsid w:val="082F3F99"/>
    <w:rsid w:val="082F77ED"/>
    <w:rsid w:val="08321779"/>
    <w:rsid w:val="08332927"/>
    <w:rsid w:val="08361ADE"/>
    <w:rsid w:val="08393E96"/>
    <w:rsid w:val="08397703"/>
    <w:rsid w:val="083D71F3"/>
    <w:rsid w:val="084075E4"/>
    <w:rsid w:val="08412027"/>
    <w:rsid w:val="08465AC1"/>
    <w:rsid w:val="08471E20"/>
    <w:rsid w:val="084862CF"/>
    <w:rsid w:val="084A7B62"/>
    <w:rsid w:val="084E7379"/>
    <w:rsid w:val="08514A4D"/>
    <w:rsid w:val="085207C5"/>
    <w:rsid w:val="0858402D"/>
    <w:rsid w:val="085A3367"/>
    <w:rsid w:val="085B01F5"/>
    <w:rsid w:val="085E2090"/>
    <w:rsid w:val="085E3915"/>
    <w:rsid w:val="085F6A7C"/>
    <w:rsid w:val="08610B07"/>
    <w:rsid w:val="08613C5F"/>
    <w:rsid w:val="08635283"/>
    <w:rsid w:val="08636744"/>
    <w:rsid w:val="0865674A"/>
    <w:rsid w:val="08663D8C"/>
    <w:rsid w:val="08666A54"/>
    <w:rsid w:val="086C273C"/>
    <w:rsid w:val="086E1AA3"/>
    <w:rsid w:val="086E5E76"/>
    <w:rsid w:val="086E6632"/>
    <w:rsid w:val="086F0AA0"/>
    <w:rsid w:val="0870581B"/>
    <w:rsid w:val="08726D6A"/>
    <w:rsid w:val="08744BDF"/>
    <w:rsid w:val="087754D2"/>
    <w:rsid w:val="087A21A8"/>
    <w:rsid w:val="087A60F3"/>
    <w:rsid w:val="087E2274"/>
    <w:rsid w:val="087F3CCD"/>
    <w:rsid w:val="088052D5"/>
    <w:rsid w:val="08810D44"/>
    <w:rsid w:val="088210AA"/>
    <w:rsid w:val="08856DEC"/>
    <w:rsid w:val="088B49BF"/>
    <w:rsid w:val="088E5CA1"/>
    <w:rsid w:val="08917BC6"/>
    <w:rsid w:val="08966904"/>
    <w:rsid w:val="0898267C"/>
    <w:rsid w:val="089900D4"/>
    <w:rsid w:val="089B095F"/>
    <w:rsid w:val="089B216C"/>
    <w:rsid w:val="089E6120"/>
    <w:rsid w:val="08A211AE"/>
    <w:rsid w:val="08A2174C"/>
    <w:rsid w:val="08A21FB2"/>
    <w:rsid w:val="08A35EA1"/>
    <w:rsid w:val="08A412FA"/>
    <w:rsid w:val="08A4341F"/>
    <w:rsid w:val="08A45C91"/>
    <w:rsid w:val="08A47272"/>
    <w:rsid w:val="08A6123D"/>
    <w:rsid w:val="08A6746E"/>
    <w:rsid w:val="08A7449C"/>
    <w:rsid w:val="08A76D63"/>
    <w:rsid w:val="08A8568B"/>
    <w:rsid w:val="08A90D2D"/>
    <w:rsid w:val="08AD3F61"/>
    <w:rsid w:val="08AF5C17"/>
    <w:rsid w:val="08B46131"/>
    <w:rsid w:val="08B7323B"/>
    <w:rsid w:val="08B91A32"/>
    <w:rsid w:val="08BF68C7"/>
    <w:rsid w:val="08C276F9"/>
    <w:rsid w:val="08C46166"/>
    <w:rsid w:val="08C711B3"/>
    <w:rsid w:val="08C73B82"/>
    <w:rsid w:val="08C765B4"/>
    <w:rsid w:val="08CA0923"/>
    <w:rsid w:val="08CD3D91"/>
    <w:rsid w:val="08CD5919"/>
    <w:rsid w:val="08CE42EF"/>
    <w:rsid w:val="08D00067"/>
    <w:rsid w:val="08D17C6F"/>
    <w:rsid w:val="08D431FD"/>
    <w:rsid w:val="08D47A06"/>
    <w:rsid w:val="08D6206B"/>
    <w:rsid w:val="08D77648"/>
    <w:rsid w:val="08D8516E"/>
    <w:rsid w:val="08D97D58"/>
    <w:rsid w:val="08DC7720"/>
    <w:rsid w:val="08DD4532"/>
    <w:rsid w:val="08DD6D78"/>
    <w:rsid w:val="08E33A71"/>
    <w:rsid w:val="08E773B7"/>
    <w:rsid w:val="08EB4EA1"/>
    <w:rsid w:val="08EF4ADE"/>
    <w:rsid w:val="08F034FC"/>
    <w:rsid w:val="08F668B6"/>
    <w:rsid w:val="08F8136C"/>
    <w:rsid w:val="08FB0497"/>
    <w:rsid w:val="08FB0FF2"/>
    <w:rsid w:val="08FB1678"/>
    <w:rsid w:val="08FC0E5C"/>
    <w:rsid w:val="08FD2E27"/>
    <w:rsid w:val="08FE30E0"/>
    <w:rsid w:val="08FF094D"/>
    <w:rsid w:val="08FF5D4F"/>
    <w:rsid w:val="0901243F"/>
    <w:rsid w:val="090146C5"/>
    <w:rsid w:val="090244ED"/>
    <w:rsid w:val="090A5D95"/>
    <w:rsid w:val="090F7525"/>
    <w:rsid w:val="091066B6"/>
    <w:rsid w:val="091222C8"/>
    <w:rsid w:val="0913264A"/>
    <w:rsid w:val="0916055E"/>
    <w:rsid w:val="091A2F38"/>
    <w:rsid w:val="091B505B"/>
    <w:rsid w:val="091B52D3"/>
    <w:rsid w:val="091C14FF"/>
    <w:rsid w:val="091E3FF7"/>
    <w:rsid w:val="091E77CF"/>
    <w:rsid w:val="091F43F3"/>
    <w:rsid w:val="092052F2"/>
    <w:rsid w:val="092217DD"/>
    <w:rsid w:val="0922392E"/>
    <w:rsid w:val="0922463B"/>
    <w:rsid w:val="092457E1"/>
    <w:rsid w:val="0925394F"/>
    <w:rsid w:val="09267C87"/>
    <w:rsid w:val="09293960"/>
    <w:rsid w:val="092B34F0"/>
    <w:rsid w:val="092E0F1A"/>
    <w:rsid w:val="093156A6"/>
    <w:rsid w:val="09320D22"/>
    <w:rsid w:val="09337A52"/>
    <w:rsid w:val="093456FB"/>
    <w:rsid w:val="0935436E"/>
    <w:rsid w:val="09377EC1"/>
    <w:rsid w:val="093A7294"/>
    <w:rsid w:val="094064F3"/>
    <w:rsid w:val="09412C0D"/>
    <w:rsid w:val="09434CDD"/>
    <w:rsid w:val="09440A55"/>
    <w:rsid w:val="094430EC"/>
    <w:rsid w:val="094925AA"/>
    <w:rsid w:val="094A5DF2"/>
    <w:rsid w:val="094B3B92"/>
    <w:rsid w:val="094F13B5"/>
    <w:rsid w:val="095114C0"/>
    <w:rsid w:val="09511B9B"/>
    <w:rsid w:val="09526CCE"/>
    <w:rsid w:val="095300CB"/>
    <w:rsid w:val="09533322"/>
    <w:rsid w:val="09550BEB"/>
    <w:rsid w:val="09553499"/>
    <w:rsid w:val="095751F5"/>
    <w:rsid w:val="095819FF"/>
    <w:rsid w:val="095C12C6"/>
    <w:rsid w:val="095C7B4D"/>
    <w:rsid w:val="095D3DC8"/>
    <w:rsid w:val="09603C0E"/>
    <w:rsid w:val="0961610A"/>
    <w:rsid w:val="09622B61"/>
    <w:rsid w:val="09667B9D"/>
    <w:rsid w:val="096816A1"/>
    <w:rsid w:val="096B525D"/>
    <w:rsid w:val="096B61D5"/>
    <w:rsid w:val="096E0EE2"/>
    <w:rsid w:val="096E2876"/>
    <w:rsid w:val="097035F9"/>
    <w:rsid w:val="09735C3B"/>
    <w:rsid w:val="0974582E"/>
    <w:rsid w:val="09750C0F"/>
    <w:rsid w:val="097862A6"/>
    <w:rsid w:val="0979191B"/>
    <w:rsid w:val="097B35D7"/>
    <w:rsid w:val="097E182A"/>
    <w:rsid w:val="097F1A8E"/>
    <w:rsid w:val="09813A59"/>
    <w:rsid w:val="09815806"/>
    <w:rsid w:val="09826D25"/>
    <w:rsid w:val="09827D1A"/>
    <w:rsid w:val="09827FA4"/>
    <w:rsid w:val="0983430F"/>
    <w:rsid w:val="09837144"/>
    <w:rsid w:val="09842C00"/>
    <w:rsid w:val="09853B45"/>
    <w:rsid w:val="098571B9"/>
    <w:rsid w:val="09867169"/>
    <w:rsid w:val="098B3F8E"/>
    <w:rsid w:val="098E3A7F"/>
    <w:rsid w:val="09923903"/>
    <w:rsid w:val="099512B1"/>
    <w:rsid w:val="09951B59"/>
    <w:rsid w:val="0996585F"/>
    <w:rsid w:val="09977D06"/>
    <w:rsid w:val="099955DF"/>
    <w:rsid w:val="09996B83"/>
    <w:rsid w:val="099A2423"/>
    <w:rsid w:val="099C3298"/>
    <w:rsid w:val="099C619C"/>
    <w:rsid w:val="099E2384"/>
    <w:rsid w:val="099E6478"/>
    <w:rsid w:val="09A03EDE"/>
    <w:rsid w:val="09A45057"/>
    <w:rsid w:val="09A514F4"/>
    <w:rsid w:val="09A80FE4"/>
    <w:rsid w:val="09A81E6C"/>
    <w:rsid w:val="09AD6AAE"/>
    <w:rsid w:val="09B554AF"/>
    <w:rsid w:val="09B5550D"/>
    <w:rsid w:val="09B63241"/>
    <w:rsid w:val="09B80885"/>
    <w:rsid w:val="09BF11C4"/>
    <w:rsid w:val="09C449C9"/>
    <w:rsid w:val="09C474A0"/>
    <w:rsid w:val="09C511C8"/>
    <w:rsid w:val="09C6146A"/>
    <w:rsid w:val="09C831B8"/>
    <w:rsid w:val="09CF702F"/>
    <w:rsid w:val="09D25B3B"/>
    <w:rsid w:val="09D5345C"/>
    <w:rsid w:val="09D63782"/>
    <w:rsid w:val="09D70571"/>
    <w:rsid w:val="09D750A5"/>
    <w:rsid w:val="09D902AB"/>
    <w:rsid w:val="09DB3141"/>
    <w:rsid w:val="09DB7B59"/>
    <w:rsid w:val="09DC0C8E"/>
    <w:rsid w:val="09DC2A3C"/>
    <w:rsid w:val="09E004F8"/>
    <w:rsid w:val="09E12803"/>
    <w:rsid w:val="09E23407"/>
    <w:rsid w:val="09E55D95"/>
    <w:rsid w:val="09E65669"/>
    <w:rsid w:val="09E65ED1"/>
    <w:rsid w:val="09E70E21"/>
    <w:rsid w:val="09E8011D"/>
    <w:rsid w:val="09E941CB"/>
    <w:rsid w:val="09EE27B2"/>
    <w:rsid w:val="09EF6CF7"/>
    <w:rsid w:val="09F1713D"/>
    <w:rsid w:val="09F86A21"/>
    <w:rsid w:val="09F913BB"/>
    <w:rsid w:val="09FC6A9C"/>
    <w:rsid w:val="0A03297A"/>
    <w:rsid w:val="0A033827"/>
    <w:rsid w:val="0A034479"/>
    <w:rsid w:val="0A051A16"/>
    <w:rsid w:val="0A072FAC"/>
    <w:rsid w:val="0A083E28"/>
    <w:rsid w:val="0A0B50CF"/>
    <w:rsid w:val="0A0D501C"/>
    <w:rsid w:val="0A0D7099"/>
    <w:rsid w:val="0A110938"/>
    <w:rsid w:val="0A127D7E"/>
    <w:rsid w:val="0A154F7C"/>
    <w:rsid w:val="0A171C4C"/>
    <w:rsid w:val="0A18647F"/>
    <w:rsid w:val="0A187F18"/>
    <w:rsid w:val="0A191C5B"/>
    <w:rsid w:val="0A1C1AAE"/>
    <w:rsid w:val="0A214D54"/>
    <w:rsid w:val="0A216696"/>
    <w:rsid w:val="0A237B70"/>
    <w:rsid w:val="0A263993"/>
    <w:rsid w:val="0A277D6A"/>
    <w:rsid w:val="0A297B83"/>
    <w:rsid w:val="0A2B6B3B"/>
    <w:rsid w:val="0A2D3AC2"/>
    <w:rsid w:val="0A2E5160"/>
    <w:rsid w:val="0A3117BE"/>
    <w:rsid w:val="0A315BBA"/>
    <w:rsid w:val="0A321A02"/>
    <w:rsid w:val="0A34200A"/>
    <w:rsid w:val="0A34576B"/>
    <w:rsid w:val="0A3463D4"/>
    <w:rsid w:val="0A397E8E"/>
    <w:rsid w:val="0A3A550C"/>
    <w:rsid w:val="0A3B46E7"/>
    <w:rsid w:val="0A3C7511"/>
    <w:rsid w:val="0A3E4216"/>
    <w:rsid w:val="0A3E6EE7"/>
    <w:rsid w:val="0A3F53A7"/>
    <w:rsid w:val="0A40252C"/>
    <w:rsid w:val="0A410AF1"/>
    <w:rsid w:val="0A4271F3"/>
    <w:rsid w:val="0A447271"/>
    <w:rsid w:val="0A4513C6"/>
    <w:rsid w:val="0A464D49"/>
    <w:rsid w:val="0A466107"/>
    <w:rsid w:val="0A4733B1"/>
    <w:rsid w:val="0A496308"/>
    <w:rsid w:val="0A4A209B"/>
    <w:rsid w:val="0A5151D8"/>
    <w:rsid w:val="0A524136"/>
    <w:rsid w:val="0A546A76"/>
    <w:rsid w:val="0A55398C"/>
    <w:rsid w:val="0A560AD8"/>
    <w:rsid w:val="0A594FA7"/>
    <w:rsid w:val="0A5C04D6"/>
    <w:rsid w:val="0A5E2B27"/>
    <w:rsid w:val="0A5E62A9"/>
    <w:rsid w:val="0A5E6B26"/>
    <w:rsid w:val="0A5F75AA"/>
    <w:rsid w:val="0A60366D"/>
    <w:rsid w:val="0A60541B"/>
    <w:rsid w:val="0A6071C9"/>
    <w:rsid w:val="0A6128D4"/>
    <w:rsid w:val="0A636CB9"/>
    <w:rsid w:val="0A641C49"/>
    <w:rsid w:val="0A64295E"/>
    <w:rsid w:val="0A6441E9"/>
    <w:rsid w:val="0A67783C"/>
    <w:rsid w:val="0A695D91"/>
    <w:rsid w:val="0A6D385E"/>
    <w:rsid w:val="0A6E171F"/>
    <w:rsid w:val="0A7315F2"/>
    <w:rsid w:val="0A740120"/>
    <w:rsid w:val="0A7A3D8A"/>
    <w:rsid w:val="0A7B2255"/>
    <w:rsid w:val="0A7C293A"/>
    <w:rsid w:val="0A7C6500"/>
    <w:rsid w:val="0A7D7C85"/>
    <w:rsid w:val="0A80786B"/>
    <w:rsid w:val="0A822C37"/>
    <w:rsid w:val="0A8328FF"/>
    <w:rsid w:val="0A844848"/>
    <w:rsid w:val="0A84735B"/>
    <w:rsid w:val="0A892E62"/>
    <w:rsid w:val="0A8A5EEF"/>
    <w:rsid w:val="0A8B65B5"/>
    <w:rsid w:val="0A8C2D49"/>
    <w:rsid w:val="0A8F7917"/>
    <w:rsid w:val="0A8F7AAE"/>
    <w:rsid w:val="0A9425C8"/>
    <w:rsid w:val="0A982DD8"/>
    <w:rsid w:val="0A984AE3"/>
    <w:rsid w:val="0A9A5EC7"/>
    <w:rsid w:val="0A9B46A5"/>
    <w:rsid w:val="0A9B6453"/>
    <w:rsid w:val="0AA62E4A"/>
    <w:rsid w:val="0AA755DF"/>
    <w:rsid w:val="0AAB6000"/>
    <w:rsid w:val="0AAC0660"/>
    <w:rsid w:val="0AAC1A2B"/>
    <w:rsid w:val="0AAD0540"/>
    <w:rsid w:val="0AB04037"/>
    <w:rsid w:val="0AB174BF"/>
    <w:rsid w:val="0AB17A25"/>
    <w:rsid w:val="0AB31880"/>
    <w:rsid w:val="0AB3379D"/>
    <w:rsid w:val="0AB537C7"/>
    <w:rsid w:val="0AB67E76"/>
    <w:rsid w:val="0AB74981"/>
    <w:rsid w:val="0ABA3EC3"/>
    <w:rsid w:val="0ABD461B"/>
    <w:rsid w:val="0ABE6D7B"/>
    <w:rsid w:val="0AC0235E"/>
    <w:rsid w:val="0AC36E0E"/>
    <w:rsid w:val="0AC5280E"/>
    <w:rsid w:val="0AC73B01"/>
    <w:rsid w:val="0AC7549A"/>
    <w:rsid w:val="0ACC1A29"/>
    <w:rsid w:val="0ACE6829"/>
    <w:rsid w:val="0ACF5D3B"/>
    <w:rsid w:val="0AD26B8C"/>
    <w:rsid w:val="0AD83203"/>
    <w:rsid w:val="0ADA498F"/>
    <w:rsid w:val="0ADD3D79"/>
    <w:rsid w:val="0ADD5AB6"/>
    <w:rsid w:val="0ADD6A6C"/>
    <w:rsid w:val="0ADF279F"/>
    <w:rsid w:val="0AE41770"/>
    <w:rsid w:val="0AE71E58"/>
    <w:rsid w:val="0AE75B3C"/>
    <w:rsid w:val="0AE9287E"/>
    <w:rsid w:val="0AE93662"/>
    <w:rsid w:val="0AE977B8"/>
    <w:rsid w:val="0AEB7501"/>
    <w:rsid w:val="0AEB7C26"/>
    <w:rsid w:val="0AEC4F01"/>
    <w:rsid w:val="0AF0679F"/>
    <w:rsid w:val="0AFA2362"/>
    <w:rsid w:val="0AFB5291"/>
    <w:rsid w:val="0AFC225F"/>
    <w:rsid w:val="0AFD0EBC"/>
    <w:rsid w:val="0AFD7425"/>
    <w:rsid w:val="0B010B20"/>
    <w:rsid w:val="0B016BFE"/>
    <w:rsid w:val="0B021023"/>
    <w:rsid w:val="0B031002"/>
    <w:rsid w:val="0B045348"/>
    <w:rsid w:val="0B0510B1"/>
    <w:rsid w:val="0B065E57"/>
    <w:rsid w:val="0B073690"/>
    <w:rsid w:val="0B095AB3"/>
    <w:rsid w:val="0B0B0BE1"/>
    <w:rsid w:val="0B0B16BC"/>
    <w:rsid w:val="0B0C58DD"/>
    <w:rsid w:val="0B0C7351"/>
    <w:rsid w:val="0B113DED"/>
    <w:rsid w:val="0B120D44"/>
    <w:rsid w:val="0B124C3D"/>
    <w:rsid w:val="0B154457"/>
    <w:rsid w:val="0B161F7E"/>
    <w:rsid w:val="0B181C44"/>
    <w:rsid w:val="0B1A1A6E"/>
    <w:rsid w:val="0B1D2390"/>
    <w:rsid w:val="0B2226D0"/>
    <w:rsid w:val="0B22304B"/>
    <w:rsid w:val="0B275F39"/>
    <w:rsid w:val="0B290ACB"/>
    <w:rsid w:val="0B293A5F"/>
    <w:rsid w:val="0B3004CF"/>
    <w:rsid w:val="0B30303F"/>
    <w:rsid w:val="0B324849"/>
    <w:rsid w:val="0B333044"/>
    <w:rsid w:val="0B3351B8"/>
    <w:rsid w:val="0B363339"/>
    <w:rsid w:val="0B3C7674"/>
    <w:rsid w:val="0B3C7C36"/>
    <w:rsid w:val="0B3D750A"/>
    <w:rsid w:val="0B42246A"/>
    <w:rsid w:val="0B446AEB"/>
    <w:rsid w:val="0B4536EB"/>
    <w:rsid w:val="0B46188A"/>
    <w:rsid w:val="0B470907"/>
    <w:rsid w:val="0B4E34C6"/>
    <w:rsid w:val="0B4E65F9"/>
    <w:rsid w:val="0B5360CB"/>
    <w:rsid w:val="0B537DA7"/>
    <w:rsid w:val="0B5605CC"/>
    <w:rsid w:val="0B582596"/>
    <w:rsid w:val="0B584344"/>
    <w:rsid w:val="0B5A630E"/>
    <w:rsid w:val="0B5E4A40"/>
    <w:rsid w:val="0B5E5DFE"/>
    <w:rsid w:val="0B6131F9"/>
    <w:rsid w:val="0B617DDE"/>
    <w:rsid w:val="0B63217F"/>
    <w:rsid w:val="0B640F3B"/>
    <w:rsid w:val="0B642CE9"/>
    <w:rsid w:val="0B6727D9"/>
    <w:rsid w:val="0B673D67"/>
    <w:rsid w:val="0B676458"/>
    <w:rsid w:val="0B6B099B"/>
    <w:rsid w:val="0B6D6F5C"/>
    <w:rsid w:val="0B6E3B68"/>
    <w:rsid w:val="0B6E5236"/>
    <w:rsid w:val="0B6F2243"/>
    <w:rsid w:val="0B70036B"/>
    <w:rsid w:val="0B703A24"/>
    <w:rsid w:val="0B7218AA"/>
    <w:rsid w:val="0B751CE7"/>
    <w:rsid w:val="0B780600"/>
    <w:rsid w:val="0B786794"/>
    <w:rsid w:val="0B797011"/>
    <w:rsid w:val="0B7C43F4"/>
    <w:rsid w:val="0B7D64C2"/>
    <w:rsid w:val="0B82318F"/>
    <w:rsid w:val="0B824059"/>
    <w:rsid w:val="0B83547B"/>
    <w:rsid w:val="0B857956"/>
    <w:rsid w:val="0B8F663B"/>
    <w:rsid w:val="0B94260E"/>
    <w:rsid w:val="0B9515C3"/>
    <w:rsid w:val="0B957346"/>
    <w:rsid w:val="0B984C14"/>
    <w:rsid w:val="0B9A6148"/>
    <w:rsid w:val="0B9E269F"/>
    <w:rsid w:val="0B9E444D"/>
    <w:rsid w:val="0BA13F4A"/>
    <w:rsid w:val="0BA17A99"/>
    <w:rsid w:val="0BA3066C"/>
    <w:rsid w:val="0BA36568"/>
    <w:rsid w:val="0BA5025F"/>
    <w:rsid w:val="0BA63302"/>
    <w:rsid w:val="0BA80E28"/>
    <w:rsid w:val="0BA94BA0"/>
    <w:rsid w:val="0BAB0918"/>
    <w:rsid w:val="0BAC5AE6"/>
    <w:rsid w:val="0BAC6541"/>
    <w:rsid w:val="0BAC6693"/>
    <w:rsid w:val="0BAE13A6"/>
    <w:rsid w:val="0BAF7DD3"/>
    <w:rsid w:val="0BB51797"/>
    <w:rsid w:val="0BB64A44"/>
    <w:rsid w:val="0BB7550F"/>
    <w:rsid w:val="0BB93035"/>
    <w:rsid w:val="0BBB50CC"/>
    <w:rsid w:val="0BBC6D37"/>
    <w:rsid w:val="0BBD73F3"/>
    <w:rsid w:val="0BBF2615"/>
    <w:rsid w:val="0BBF6171"/>
    <w:rsid w:val="0BC154D3"/>
    <w:rsid w:val="0BC32105"/>
    <w:rsid w:val="0BC43EBB"/>
    <w:rsid w:val="0BC658E6"/>
    <w:rsid w:val="0BC67500"/>
    <w:rsid w:val="0BCA3494"/>
    <w:rsid w:val="0BCB2BAF"/>
    <w:rsid w:val="0BCC4FF5"/>
    <w:rsid w:val="0BCD2629"/>
    <w:rsid w:val="0BD04822"/>
    <w:rsid w:val="0BD27BF6"/>
    <w:rsid w:val="0BD45DA0"/>
    <w:rsid w:val="0BD53104"/>
    <w:rsid w:val="0BD87E45"/>
    <w:rsid w:val="0BDA1180"/>
    <w:rsid w:val="0BDF05C2"/>
    <w:rsid w:val="0BE07E39"/>
    <w:rsid w:val="0BE318A5"/>
    <w:rsid w:val="0BE43357"/>
    <w:rsid w:val="0BE75834"/>
    <w:rsid w:val="0BE856C8"/>
    <w:rsid w:val="0BEA0031"/>
    <w:rsid w:val="0BF24799"/>
    <w:rsid w:val="0BF56037"/>
    <w:rsid w:val="0BF64990"/>
    <w:rsid w:val="0BFC1173"/>
    <w:rsid w:val="0BFE0A02"/>
    <w:rsid w:val="0BFF2556"/>
    <w:rsid w:val="0C0342C8"/>
    <w:rsid w:val="0C05627A"/>
    <w:rsid w:val="0C061FF2"/>
    <w:rsid w:val="0C062F39"/>
    <w:rsid w:val="0C0C7225"/>
    <w:rsid w:val="0C0D6CA1"/>
    <w:rsid w:val="0C0F7286"/>
    <w:rsid w:val="0C133A5F"/>
    <w:rsid w:val="0C14470F"/>
    <w:rsid w:val="0C197F77"/>
    <w:rsid w:val="0C1A3D35"/>
    <w:rsid w:val="0C1B3CF0"/>
    <w:rsid w:val="0C1E558E"/>
    <w:rsid w:val="0C1F4E62"/>
    <w:rsid w:val="0C1F7D0B"/>
    <w:rsid w:val="0C201306"/>
    <w:rsid w:val="0C203830"/>
    <w:rsid w:val="0C2407B0"/>
    <w:rsid w:val="0C2464EE"/>
    <w:rsid w:val="0C28640C"/>
    <w:rsid w:val="0C2A5D44"/>
    <w:rsid w:val="0C2B1A59"/>
    <w:rsid w:val="0C2C6693"/>
    <w:rsid w:val="0C2D3A23"/>
    <w:rsid w:val="0C300E1D"/>
    <w:rsid w:val="0C307846"/>
    <w:rsid w:val="0C311318"/>
    <w:rsid w:val="0C31615B"/>
    <w:rsid w:val="0C322DE7"/>
    <w:rsid w:val="0C34090D"/>
    <w:rsid w:val="0C38099A"/>
    <w:rsid w:val="0C383CB7"/>
    <w:rsid w:val="0C3B3C7D"/>
    <w:rsid w:val="0C3B7F93"/>
    <w:rsid w:val="0C3D1EB8"/>
    <w:rsid w:val="0C3E041D"/>
    <w:rsid w:val="0C3F0F57"/>
    <w:rsid w:val="0C403756"/>
    <w:rsid w:val="0C41302A"/>
    <w:rsid w:val="0C416203"/>
    <w:rsid w:val="0C457A29"/>
    <w:rsid w:val="0C474AE5"/>
    <w:rsid w:val="0C4843B9"/>
    <w:rsid w:val="0C4D7C21"/>
    <w:rsid w:val="0C4F4031"/>
    <w:rsid w:val="0C523A41"/>
    <w:rsid w:val="0C572080"/>
    <w:rsid w:val="0C58550E"/>
    <w:rsid w:val="0C590374"/>
    <w:rsid w:val="0C5B2F56"/>
    <w:rsid w:val="0C5F385A"/>
    <w:rsid w:val="0C600C3B"/>
    <w:rsid w:val="0C600D12"/>
    <w:rsid w:val="0C62191E"/>
    <w:rsid w:val="0C6819D0"/>
    <w:rsid w:val="0C684E57"/>
    <w:rsid w:val="0C686809"/>
    <w:rsid w:val="0C6970F8"/>
    <w:rsid w:val="0C6C2CAA"/>
    <w:rsid w:val="0C6E17D1"/>
    <w:rsid w:val="0C741652"/>
    <w:rsid w:val="0C7657FC"/>
    <w:rsid w:val="0C774C9E"/>
    <w:rsid w:val="0C780A47"/>
    <w:rsid w:val="0C797FF4"/>
    <w:rsid w:val="0C811B37"/>
    <w:rsid w:val="0C8278CB"/>
    <w:rsid w:val="0C8312A6"/>
    <w:rsid w:val="0C833643"/>
    <w:rsid w:val="0C837F8F"/>
    <w:rsid w:val="0C85102E"/>
    <w:rsid w:val="0C872005"/>
    <w:rsid w:val="0C882441"/>
    <w:rsid w:val="0C892345"/>
    <w:rsid w:val="0C894AC8"/>
    <w:rsid w:val="0C8C237B"/>
    <w:rsid w:val="0C8D7187"/>
    <w:rsid w:val="0C8F3BD2"/>
    <w:rsid w:val="0C913173"/>
    <w:rsid w:val="0C9220A3"/>
    <w:rsid w:val="0C923886"/>
    <w:rsid w:val="0C927091"/>
    <w:rsid w:val="0C9413AC"/>
    <w:rsid w:val="0C9451E5"/>
    <w:rsid w:val="0C965124"/>
    <w:rsid w:val="0C9661BF"/>
    <w:rsid w:val="0C977B7C"/>
    <w:rsid w:val="0C994B3D"/>
    <w:rsid w:val="0C9B3B88"/>
    <w:rsid w:val="0CA073F2"/>
    <w:rsid w:val="0CA16AC7"/>
    <w:rsid w:val="0CAA0BCF"/>
    <w:rsid w:val="0CAB2EAE"/>
    <w:rsid w:val="0CAB5470"/>
    <w:rsid w:val="0CAE1464"/>
    <w:rsid w:val="0CAE4293"/>
    <w:rsid w:val="0CB101B0"/>
    <w:rsid w:val="0CB61B26"/>
    <w:rsid w:val="0CBE467B"/>
    <w:rsid w:val="0CC1275F"/>
    <w:rsid w:val="0CC2416B"/>
    <w:rsid w:val="0CCC37D3"/>
    <w:rsid w:val="0CCD2918"/>
    <w:rsid w:val="0CD10691"/>
    <w:rsid w:val="0CD12600"/>
    <w:rsid w:val="0CD41789"/>
    <w:rsid w:val="0CD600E2"/>
    <w:rsid w:val="0CD65E68"/>
    <w:rsid w:val="0CD82256"/>
    <w:rsid w:val="0CD93263"/>
    <w:rsid w:val="0CDB0AB0"/>
    <w:rsid w:val="0CDC6310"/>
    <w:rsid w:val="0CDE08D7"/>
    <w:rsid w:val="0CDF0BBA"/>
    <w:rsid w:val="0CE20369"/>
    <w:rsid w:val="0CE23547"/>
    <w:rsid w:val="0CE41C2B"/>
    <w:rsid w:val="0CE51C08"/>
    <w:rsid w:val="0CE8614D"/>
    <w:rsid w:val="0CE916F8"/>
    <w:rsid w:val="0CE95B9C"/>
    <w:rsid w:val="0CE9794A"/>
    <w:rsid w:val="0CEC743A"/>
    <w:rsid w:val="0CEE4334"/>
    <w:rsid w:val="0CEF17A8"/>
    <w:rsid w:val="0CF12CA2"/>
    <w:rsid w:val="0CF200E9"/>
    <w:rsid w:val="0CF54541"/>
    <w:rsid w:val="0CF6215D"/>
    <w:rsid w:val="0CFA74B0"/>
    <w:rsid w:val="0CFA7F3E"/>
    <w:rsid w:val="0CFB767D"/>
    <w:rsid w:val="0CFD1647"/>
    <w:rsid w:val="0D04068E"/>
    <w:rsid w:val="0D084DCD"/>
    <w:rsid w:val="0D09460E"/>
    <w:rsid w:val="0D0A77D4"/>
    <w:rsid w:val="0D0D21C8"/>
    <w:rsid w:val="0D0D71DD"/>
    <w:rsid w:val="0D114EC2"/>
    <w:rsid w:val="0D124146"/>
    <w:rsid w:val="0D126653"/>
    <w:rsid w:val="0D18022F"/>
    <w:rsid w:val="0D192436"/>
    <w:rsid w:val="0D1C11E0"/>
    <w:rsid w:val="0D200E92"/>
    <w:rsid w:val="0D201D17"/>
    <w:rsid w:val="0D217C44"/>
    <w:rsid w:val="0D2210AE"/>
    <w:rsid w:val="0D224C0A"/>
    <w:rsid w:val="0D271659"/>
    <w:rsid w:val="0D296235"/>
    <w:rsid w:val="0D2C19B3"/>
    <w:rsid w:val="0D2C5A88"/>
    <w:rsid w:val="0D2E35AF"/>
    <w:rsid w:val="0D314ABC"/>
    <w:rsid w:val="0D337AA4"/>
    <w:rsid w:val="0D346C5F"/>
    <w:rsid w:val="0D3606B5"/>
    <w:rsid w:val="0D3633D5"/>
    <w:rsid w:val="0D373059"/>
    <w:rsid w:val="0D3A1F53"/>
    <w:rsid w:val="0D3D1A44"/>
    <w:rsid w:val="0D3D64FB"/>
    <w:rsid w:val="0D4032E2"/>
    <w:rsid w:val="0D411534"/>
    <w:rsid w:val="0D436DBF"/>
    <w:rsid w:val="0D442FA3"/>
    <w:rsid w:val="0D445FC3"/>
    <w:rsid w:val="0D4710A6"/>
    <w:rsid w:val="0D48180A"/>
    <w:rsid w:val="0D4A0C72"/>
    <w:rsid w:val="0D4B0432"/>
    <w:rsid w:val="0D4E7825"/>
    <w:rsid w:val="0D504E26"/>
    <w:rsid w:val="0D515216"/>
    <w:rsid w:val="0D590533"/>
    <w:rsid w:val="0D59332B"/>
    <w:rsid w:val="0D5A0848"/>
    <w:rsid w:val="0D5B011C"/>
    <w:rsid w:val="0D5D09B8"/>
    <w:rsid w:val="0D5D4BB2"/>
    <w:rsid w:val="0D5E21A3"/>
    <w:rsid w:val="0D5F2FFD"/>
    <w:rsid w:val="0D621C7D"/>
    <w:rsid w:val="0D654FA9"/>
    <w:rsid w:val="0D6A2A9E"/>
    <w:rsid w:val="0D6B035F"/>
    <w:rsid w:val="0D6B2814"/>
    <w:rsid w:val="0D6D057B"/>
    <w:rsid w:val="0D71793F"/>
    <w:rsid w:val="0D725B91"/>
    <w:rsid w:val="0D7458D8"/>
    <w:rsid w:val="0D750FA1"/>
    <w:rsid w:val="0D782D20"/>
    <w:rsid w:val="0D783438"/>
    <w:rsid w:val="0D786F20"/>
    <w:rsid w:val="0D7A4A46"/>
    <w:rsid w:val="0D814283"/>
    <w:rsid w:val="0D815DD4"/>
    <w:rsid w:val="0D887163"/>
    <w:rsid w:val="0D892EDB"/>
    <w:rsid w:val="0D8A6546"/>
    <w:rsid w:val="0D8B4148"/>
    <w:rsid w:val="0D8C0FCA"/>
    <w:rsid w:val="0D8D0EE8"/>
    <w:rsid w:val="0D8F5718"/>
    <w:rsid w:val="0D913B3D"/>
    <w:rsid w:val="0D95336B"/>
    <w:rsid w:val="0D9770C0"/>
    <w:rsid w:val="0DAE7BC8"/>
    <w:rsid w:val="0DB002FE"/>
    <w:rsid w:val="0DB0728B"/>
    <w:rsid w:val="0DB1098D"/>
    <w:rsid w:val="0DB35010"/>
    <w:rsid w:val="0DB735A4"/>
    <w:rsid w:val="0DB77A48"/>
    <w:rsid w:val="0DBA371C"/>
    <w:rsid w:val="0DBD23C6"/>
    <w:rsid w:val="0DBE72FA"/>
    <w:rsid w:val="0DBF4B4E"/>
    <w:rsid w:val="0DC21F49"/>
    <w:rsid w:val="0DC325E4"/>
    <w:rsid w:val="0DC51AA3"/>
    <w:rsid w:val="0DC91529"/>
    <w:rsid w:val="0DCA4ABD"/>
    <w:rsid w:val="0DCB52A1"/>
    <w:rsid w:val="0DCB534C"/>
    <w:rsid w:val="0DCD1019"/>
    <w:rsid w:val="0DCE08EE"/>
    <w:rsid w:val="0DD01791"/>
    <w:rsid w:val="0DD04666"/>
    <w:rsid w:val="0DD36DEF"/>
    <w:rsid w:val="0DD40F69"/>
    <w:rsid w:val="0DD83A93"/>
    <w:rsid w:val="0DD86F39"/>
    <w:rsid w:val="0DDB21B9"/>
    <w:rsid w:val="0DDD6D83"/>
    <w:rsid w:val="0DE10621"/>
    <w:rsid w:val="0DE325EB"/>
    <w:rsid w:val="0DE57B95"/>
    <w:rsid w:val="0DE866A1"/>
    <w:rsid w:val="0DE931A5"/>
    <w:rsid w:val="0DEA1BCB"/>
    <w:rsid w:val="0DEA2A43"/>
    <w:rsid w:val="0DEB6817"/>
    <w:rsid w:val="0DEC4E5E"/>
    <w:rsid w:val="0DF01ED7"/>
    <w:rsid w:val="0DF07B5F"/>
    <w:rsid w:val="0DF24C0B"/>
    <w:rsid w:val="0DF26CD2"/>
    <w:rsid w:val="0DF447F8"/>
    <w:rsid w:val="0DF73769"/>
    <w:rsid w:val="0DFA16E3"/>
    <w:rsid w:val="0DFD4BE4"/>
    <w:rsid w:val="0DFE6F54"/>
    <w:rsid w:val="0DFF060C"/>
    <w:rsid w:val="0E034A3B"/>
    <w:rsid w:val="0E0407B3"/>
    <w:rsid w:val="0E040B55"/>
    <w:rsid w:val="0E054159"/>
    <w:rsid w:val="0E081F85"/>
    <w:rsid w:val="0E083E00"/>
    <w:rsid w:val="0E0B38F0"/>
    <w:rsid w:val="0E0C716E"/>
    <w:rsid w:val="0E0E1580"/>
    <w:rsid w:val="0E0E518E"/>
    <w:rsid w:val="0E0F5C2B"/>
    <w:rsid w:val="0E126DEF"/>
    <w:rsid w:val="0E165ECB"/>
    <w:rsid w:val="0E167785"/>
    <w:rsid w:val="0E184392"/>
    <w:rsid w:val="0E194D4B"/>
    <w:rsid w:val="0E197DBB"/>
    <w:rsid w:val="0E1C71F1"/>
    <w:rsid w:val="0E1E59E1"/>
    <w:rsid w:val="0E1F2CA8"/>
    <w:rsid w:val="0E1F3C90"/>
    <w:rsid w:val="0E20367E"/>
    <w:rsid w:val="0E20371E"/>
    <w:rsid w:val="0E2055ED"/>
    <w:rsid w:val="0E213113"/>
    <w:rsid w:val="0E231B13"/>
    <w:rsid w:val="0E2350DD"/>
    <w:rsid w:val="0E2531DC"/>
    <w:rsid w:val="0E2634B0"/>
    <w:rsid w:val="0E2A646C"/>
    <w:rsid w:val="0E2C21E4"/>
    <w:rsid w:val="0E2C2CA4"/>
    <w:rsid w:val="0E2E1A88"/>
    <w:rsid w:val="0E310E23"/>
    <w:rsid w:val="0E327A81"/>
    <w:rsid w:val="0E3371B3"/>
    <w:rsid w:val="0E341EF9"/>
    <w:rsid w:val="0E343C97"/>
    <w:rsid w:val="0E3B7FF1"/>
    <w:rsid w:val="0E3E5A73"/>
    <w:rsid w:val="0E3E6584"/>
    <w:rsid w:val="0E3F1103"/>
    <w:rsid w:val="0E3F1838"/>
    <w:rsid w:val="0E43163F"/>
    <w:rsid w:val="0E435047"/>
    <w:rsid w:val="0E450A6C"/>
    <w:rsid w:val="0E460DCC"/>
    <w:rsid w:val="0E474BE5"/>
    <w:rsid w:val="0E480ADD"/>
    <w:rsid w:val="0E4B1F3E"/>
    <w:rsid w:val="0E4C1734"/>
    <w:rsid w:val="0E4D215A"/>
    <w:rsid w:val="0E4D5CB6"/>
    <w:rsid w:val="0E4D7879"/>
    <w:rsid w:val="0E4F1A2E"/>
    <w:rsid w:val="0E52688B"/>
    <w:rsid w:val="0E527771"/>
    <w:rsid w:val="0E540D95"/>
    <w:rsid w:val="0E572FD9"/>
    <w:rsid w:val="0E5A120C"/>
    <w:rsid w:val="0E5A5CF1"/>
    <w:rsid w:val="0E5B4877"/>
    <w:rsid w:val="0E5D7D83"/>
    <w:rsid w:val="0E611762"/>
    <w:rsid w:val="0E646B50"/>
    <w:rsid w:val="0E653000"/>
    <w:rsid w:val="0E663F55"/>
    <w:rsid w:val="0E670643"/>
    <w:rsid w:val="0E68753A"/>
    <w:rsid w:val="0E6A7FF1"/>
    <w:rsid w:val="0E6D0F15"/>
    <w:rsid w:val="0E6E3B77"/>
    <w:rsid w:val="0E73034D"/>
    <w:rsid w:val="0E763DBE"/>
    <w:rsid w:val="0E772D33"/>
    <w:rsid w:val="0E7771D7"/>
    <w:rsid w:val="0E7B0A75"/>
    <w:rsid w:val="0E7B3DFB"/>
    <w:rsid w:val="0E7C000C"/>
    <w:rsid w:val="0E7C4D1C"/>
    <w:rsid w:val="0E7E2314"/>
    <w:rsid w:val="0E8130D0"/>
    <w:rsid w:val="0E813BB2"/>
    <w:rsid w:val="0E837214"/>
    <w:rsid w:val="0E840700"/>
    <w:rsid w:val="0E840F25"/>
    <w:rsid w:val="0E845A76"/>
    <w:rsid w:val="0E85509F"/>
    <w:rsid w:val="0E855450"/>
    <w:rsid w:val="0E87741A"/>
    <w:rsid w:val="0E897A79"/>
    <w:rsid w:val="0E8C204E"/>
    <w:rsid w:val="0E8C3353"/>
    <w:rsid w:val="0E905A81"/>
    <w:rsid w:val="0E92496E"/>
    <w:rsid w:val="0E97118F"/>
    <w:rsid w:val="0E9733D5"/>
    <w:rsid w:val="0E982B79"/>
    <w:rsid w:val="0EA266CF"/>
    <w:rsid w:val="0EA67FFC"/>
    <w:rsid w:val="0EA901AC"/>
    <w:rsid w:val="0EA9769E"/>
    <w:rsid w:val="0EAD44B7"/>
    <w:rsid w:val="0EB1502A"/>
    <w:rsid w:val="0EB61AAE"/>
    <w:rsid w:val="0EB83392"/>
    <w:rsid w:val="0EB837FD"/>
    <w:rsid w:val="0EB85E42"/>
    <w:rsid w:val="0EB9159E"/>
    <w:rsid w:val="0EBC0FD8"/>
    <w:rsid w:val="0EBE0C1E"/>
    <w:rsid w:val="0EBE4E06"/>
    <w:rsid w:val="0EBE7FB6"/>
    <w:rsid w:val="0EBF56C9"/>
    <w:rsid w:val="0EC029A8"/>
    <w:rsid w:val="0EC543A5"/>
    <w:rsid w:val="0EC642E0"/>
    <w:rsid w:val="0ECA57E3"/>
    <w:rsid w:val="0ECC5383"/>
    <w:rsid w:val="0ECC7523"/>
    <w:rsid w:val="0ECE5049"/>
    <w:rsid w:val="0ECE7587"/>
    <w:rsid w:val="0ECF09B3"/>
    <w:rsid w:val="0ED0620C"/>
    <w:rsid w:val="0ED44A95"/>
    <w:rsid w:val="0ED63EFE"/>
    <w:rsid w:val="0EDA1E7A"/>
    <w:rsid w:val="0EDE0DF1"/>
    <w:rsid w:val="0EDE337E"/>
    <w:rsid w:val="0EDF19AC"/>
    <w:rsid w:val="0EE02FCE"/>
    <w:rsid w:val="0EE06B2A"/>
    <w:rsid w:val="0EE228A3"/>
    <w:rsid w:val="0EE23896"/>
    <w:rsid w:val="0EE32E72"/>
    <w:rsid w:val="0EE57607"/>
    <w:rsid w:val="0EE64FE1"/>
    <w:rsid w:val="0EE72938"/>
    <w:rsid w:val="0EE86673"/>
    <w:rsid w:val="0EE97010"/>
    <w:rsid w:val="0EEA1757"/>
    <w:rsid w:val="0EEC3721"/>
    <w:rsid w:val="0EF02B48"/>
    <w:rsid w:val="0EF2783D"/>
    <w:rsid w:val="0EF34AB0"/>
    <w:rsid w:val="0EF44384"/>
    <w:rsid w:val="0EF6086B"/>
    <w:rsid w:val="0EF651CE"/>
    <w:rsid w:val="0EF72787"/>
    <w:rsid w:val="0EF82770"/>
    <w:rsid w:val="0EF94CF1"/>
    <w:rsid w:val="0EF966A3"/>
    <w:rsid w:val="0EFB5712"/>
    <w:rsid w:val="0EFF584A"/>
    <w:rsid w:val="0F024CF3"/>
    <w:rsid w:val="0F070C31"/>
    <w:rsid w:val="0F0832F1"/>
    <w:rsid w:val="0F0A7305"/>
    <w:rsid w:val="0F0C4890"/>
    <w:rsid w:val="0F0C791F"/>
    <w:rsid w:val="0F0F36AC"/>
    <w:rsid w:val="0F0F5662"/>
    <w:rsid w:val="0F1369A0"/>
    <w:rsid w:val="0F13775A"/>
    <w:rsid w:val="0F144A26"/>
    <w:rsid w:val="0F1A04F7"/>
    <w:rsid w:val="0F1A154F"/>
    <w:rsid w:val="0F1A5F0A"/>
    <w:rsid w:val="0F1D1E1B"/>
    <w:rsid w:val="0F1D38DB"/>
    <w:rsid w:val="0F20786F"/>
    <w:rsid w:val="0F225395"/>
    <w:rsid w:val="0F2729AB"/>
    <w:rsid w:val="0F276507"/>
    <w:rsid w:val="0F2905BF"/>
    <w:rsid w:val="0F296723"/>
    <w:rsid w:val="0F2A5555"/>
    <w:rsid w:val="0F2A6A28"/>
    <w:rsid w:val="0F2C59D5"/>
    <w:rsid w:val="0F2D4BD2"/>
    <w:rsid w:val="0F31382A"/>
    <w:rsid w:val="0F32116B"/>
    <w:rsid w:val="0F334EAC"/>
    <w:rsid w:val="0F360E40"/>
    <w:rsid w:val="0F394D12"/>
    <w:rsid w:val="0F3A48B5"/>
    <w:rsid w:val="0F3A54F6"/>
    <w:rsid w:val="0F3C63FC"/>
    <w:rsid w:val="0F3C6C9B"/>
    <w:rsid w:val="0F3D21CF"/>
    <w:rsid w:val="0F3D6233"/>
    <w:rsid w:val="0F3E2A19"/>
    <w:rsid w:val="0F3F47D9"/>
    <w:rsid w:val="0F3F5F47"/>
    <w:rsid w:val="0F4277E5"/>
    <w:rsid w:val="0F431DEA"/>
    <w:rsid w:val="0F44530B"/>
    <w:rsid w:val="0F4942EC"/>
    <w:rsid w:val="0F4A27C8"/>
    <w:rsid w:val="0F4A3F79"/>
    <w:rsid w:val="0F4B4949"/>
    <w:rsid w:val="0F4B6378"/>
    <w:rsid w:val="0F4C2412"/>
    <w:rsid w:val="0F4C6B36"/>
    <w:rsid w:val="0F4D1A8A"/>
    <w:rsid w:val="0F4E6DB3"/>
    <w:rsid w:val="0F50583A"/>
    <w:rsid w:val="0F520134"/>
    <w:rsid w:val="0F53554E"/>
    <w:rsid w:val="0F5629B2"/>
    <w:rsid w:val="0F57029C"/>
    <w:rsid w:val="0F574BD2"/>
    <w:rsid w:val="0F5750C0"/>
    <w:rsid w:val="0F5805F7"/>
    <w:rsid w:val="0F5B32D6"/>
    <w:rsid w:val="0F5D017B"/>
    <w:rsid w:val="0F5E7C6A"/>
    <w:rsid w:val="0F5F45FE"/>
    <w:rsid w:val="0F601A19"/>
    <w:rsid w:val="0F616436"/>
    <w:rsid w:val="0F6239E3"/>
    <w:rsid w:val="0F6304EA"/>
    <w:rsid w:val="0F663AD7"/>
    <w:rsid w:val="0F672D6D"/>
    <w:rsid w:val="0F6C6610"/>
    <w:rsid w:val="0F6E5A2D"/>
    <w:rsid w:val="0F740752"/>
    <w:rsid w:val="0F742064"/>
    <w:rsid w:val="0F742A3A"/>
    <w:rsid w:val="0F7A0A23"/>
    <w:rsid w:val="0F7A2ADB"/>
    <w:rsid w:val="0F7F4595"/>
    <w:rsid w:val="0F825E34"/>
    <w:rsid w:val="0F827BE2"/>
    <w:rsid w:val="0F8306C9"/>
    <w:rsid w:val="0F831814"/>
    <w:rsid w:val="0F841BAC"/>
    <w:rsid w:val="0F8B0309"/>
    <w:rsid w:val="0F8B5B5D"/>
    <w:rsid w:val="0F8E7B22"/>
    <w:rsid w:val="0F9164DA"/>
    <w:rsid w:val="0F917E25"/>
    <w:rsid w:val="0F9242C9"/>
    <w:rsid w:val="0F9628F7"/>
    <w:rsid w:val="0F9731A6"/>
    <w:rsid w:val="0F985657"/>
    <w:rsid w:val="0F9A112B"/>
    <w:rsid w:val="0F9C2CBC"/>
    <w:rsid w:val="0F9D1819"/>
    <w:rsid w:val="0F9E3631"/>
    <w:rsid w:val="0FA062BA"/>
    <w:rsid w:val="0FA60380"/>
    <w:rsid w:val="0FAA3621"/>
    <w:rsid w:val="0FAB2A2E"/>
    <w:rsid w:val="0FAB538A"/>
    <w:rsid w:val="0FAB7138"/>
    <w:rsid w:val="0FAC2EB1"/>
    <w:rsid w:val="0FAE177A"/>
    <w:rsid w:val="0FAE3D20"/>
    <w:rsid w:val="0FAE6DE7"/>
    <w:rsid w:val="0FAF6F84"/>
    <w:rsid w:val="0FB32491"/>
    <w:rsid w:val="0FB6178E"/>
    <w:rsid w:val="0FB7483D"/>
    <w:rsid w:val="0FB839D4"/>
    <w:rsid w:val="0FBA10E4"/>
    <w:rsid w:val="0FBC78B9"/>
    <w:rsid w:val="0FBD0C1A"/>
    <w:rsid w:val="0FC07AAE"/>
    <w:rsid w:val="0FC223C5"/>
    <w:rsid w:val="0FC71AE8"/>
    <w:rsid w:val="0FC827AB"/>
    <w:rsid w:val="0FCA5A2E"/>
    <w:rsid w:val="0FCA764E"/>
    <w:rsid w:val="0FCC5594"/>
    <w:rsid w:val="0FCD3553"/>
    <w:rsid w:val="0FCE6227"/>
    <w:rsid w:val="0FD004E5"/>
    <w:rsid w:val="0FD0094D"/>
    <w:rsid w:val="0FD06B9F"/>
    <w:rsid w:val="0FD6022A"/>
    <w:rsid w:val="0FD61879"/>
    <w:rsid w:val="0FD65776"/>
    <w:rsid w:val="0FD7071E"/>
    <w:rsid w:val="0FD715A0"/>
    <w:rsid w:val="0FDB1837"/>
    <w:rsid w:val="0FDB51A7"/>
    <w:rsid w:val="0FDB537D"/>
    <w:rsid w:val="0FDB7651"/>
    <w:rsid w:val="0FDC19E8"/>
    <w:rsid w:val="0FDC5544"/>
    <w:rsid w:val="0FDF0168"/>
    <w:rsid w:val="0FE03F2B"/>
    <w:rsid w:val="0FE22FD9"/>
    <w:rsid w:val="0FE34B24"/>
    <w:rsid w:val="0FE45E64"/>
    <w:rsid w:val="0FE90C4C"/>
    <w:rsid w:val="0FEA7F8D"/>
    <w:rsid w:val="0FEE5277"/>
    <w:rsid w:val="0FF02D9D"/>
    <w:rsid w:val="0FF17B8C"/>
    <w:rsid w:val="0FF22069"/>
    <w:rsid w:val="0FF46D31"/>
    <w:rsid w:val="0FF65FA6"/>
    <w:rsid w:val="0FF905A1"/>
    <w:rsid w:val="0FFD54BA"/>
    <w:rsid w:val="1001144E"/>
    <w:rsid w:val="10030570"/>
    <w:rsid w:val="10042CED"/>
    <w:rsid w:val="10086339"/>
    <w:rsid w:val="1009432D"/>
    <w:rsid w:val="100A0A66"/>
    <w:rsid w:val="100B4A3B"/>
    <w:rsid w:val="100B5E29"/>
    <w:rsid w:val="100B6E77"/>
    <w:rsid w:val="100D078B"/>
    <w:rsid w:val="100E53C1"/>
    <w:rsid w:val="10102A98"/>
    <w:rsid w:val="101048D0"/>
    <w:rsid w:val="10187118"/>
    <w:rsid w:val="101A0275"/>
    <w:rsid w:val="101C0036"/>
    <w:rsid w:val="101C3B92"/>
    <w:rsid w:val="101C6877"/>
    <w:rsid w:val="101F18D4"/>
    <w:rsid w:val="101F77E1"/>
    <w:rsid w:val="10252E38"/>
    <w:rsid w:val="102A17F0"/>
    <w:rsid w:val="102B0279"/>
    <w:rsid w:val="102B2A64"/>
    <w:rsid w:val="102D544D"/>
    <w:rsid w:val="102E5061"/>
    <w:rsid w:val="10333E89"/>
    <w:rsid w:val="10341D43"/>
    <w:rsid w:val="10372B39"/>
    <w:rsid w:val="103767EC"/>
    <w:rsid w:val="103D0568"/>
    <w:rsid w:val="103D3274"/>
    <w:rsid w:val="1041119F"/>
    <w:rsid w:val="104538B1"/>
    <w:rsid w:val="1046588C"/>
    <w:rsid w:val="104D01F0"/>
    <w:rsid w:val="104F540B"/>
    <w:rsid w:val="10523C05"/>
    <w:rsid w:val="1058599F"/>
    <w:rsid w:val="105A4B9A"/>
    <w:rsid w:val="105E0514"/>
    <w:rsid w:val="105E07A9"/>
    <w:rsid w:val="1060265C"/>
    <w:rsid w:val="10614099"/>
    <w:rsid w:val="10614AFB"/>
    <w:rsid w:val="106359E0"/>
    <w:rsid w:val="10645A2E"/>
    <w:rsid w:val="10645F55"/>
    <w:rsid w:val="10652330"/>
    <w:rsid w:val="10674AD4"/>
    <w:rsid w:val="1067798B"/>
    <w:rsid w:val="10686DD7"/>
    <w:rsid w:val="106875CB"/>
    <w:rsid w:val="106A0DA2"/>
    <w:rsid w:val="106D0892"/>
    <w:rsid w:val="106D2F64"/>
    <w:rsid w:val="106F16EB"/>
    <w:rsid w:val="106F6078"/>
    <w:rsid w:val="10706F86"/>
    <w:rsid w:val="10741E80"/>
    <w:rsid w:val="107439CE"/>
    <w:rsid w:val="107734BE"/>
    <w:rsid w:val="107767A6"/>
    <w:rsid w:val="10782811"/>
    <w:rsid w:val="1078414F"/>
    <w:rsid w:val="107845A2"/>
    <w:rsid w:val="10790FE5"/>
    <w:rsid w:val="107B4DB0"/>
    <w:rsid w:val="107C2883"/>
    <w:rsid w:val="107D19C9"/>
    <w:rsid w:val="10802CA1"/>
    <w:rsid w:val="10831E63"/>
    <w:rsid w:val="10833C11"/>
    <w:rsid w:val="10843C8D"/>
    <w:rsid w:val="10863702"/>
    <w:rsid w:val="10874CCB"/>
    <w:rsid w:val="1088291F"/>
    <w:rsid w:val="1088747A"/>
    <w:rsid w:val="108A1444"/>
    <w:rsid w:val="108F10DD"/>
    <w:rsid w:val="10921AF9"/>
    <w:rsid w:val="1094266F"/>
    <w:rsid w:val="10953945"/>
    <w:rsid w:val="1097590F"/>
    <w:rsid w:val="109B369A"/>
    <w:rsid w:val="109C4CD3"/>
    <w:rsid w:val="109D1177"/>
    <w:rsid w:val="109E6703"/>
    <w:rsid w:val="109F4D22"/>
    <w:rsid w:val="10A047C3"/>
    <w:rsid w:val="10A06571"/>
    <w:rsid w:val="10A122E9"/>
    <w:rsid w:val="10A65B52"/>
    <w:rsid w:val="10A66CA6"/>
    <w:rsid w:val="10A87B1C"/>
    <w:rsid w:val="10AA3894"/>
    <w:rsid w:val="10AA6B14"/>
    <w:rsid w:val="10AD50E6"/>
    <w:rsid w:val="10B169D0"/>
    <w:rsid w:val="10B2460D"/>
    <w:rsid w:val="10B618EA"/>
    <w:rsid w:val="10B63710"/>
    <w:rsid w:val="10B74224"/>
    <w:rsid w:val="10BC5375"/>
    <w:rsid w:val="10BC7123"/>
    <w:rsid w:val="10BE4C49"/>
    <w:rsid w:val="10C04FDB"/>
    <w:rsid w:val="10C10F94"/>
    <w:rsid w:val="10C55D68"/>
    <w:rsid w:val="10C61728"/>
    <w:rsid w:val="10C63849"/>
    <w:rsid w:val="10C6601A"/>
    <w:rsid w:val="10CB1B8A"/>
    <w:rsid w:val="10CB7366"/>
    <w:rsid w:val="10CD30DE"/>
    <w:rsid w:val="10CF50A9"/>
    <w:rsid w:val="10D0497D"/>
    <w:rsid w:val="10D36E14"/>
    <w:rsid w:val="10D56B6B"/>
    <w:rsid w:val="10D601E5"/>
    <w:rsid w:val="10D62D29"/>
    <w:rsid w:val="10D66437"/>
    <w:rsid w:val="10D75D0B"/>
    <w:rsid w:val="10D80401"/>
    <w:rsid w:val="10D821AF"/>
    <w:rsid w:val="10D8299A"/>
    <w:rsid w:val="10DA3000"/>
    <w:rsid w:val="10DB6FAB"/>
    <w:rsid w:val="10DC1574"/>
    <w:rsid w:val="10DE52EC"/>
    <w:rsid w:val="10E06A8C"/>
    <w:rsid w:val="10E24DDC"/>
    <w:rsid w:val="10E84E7D"/>
    <w:rsid w:val="10E85F34"/>
    <w:rsid w:val="10E8699D"/>
    <w:rsid w:val="10E86E0E"/>
    <w:rsid w:val="10F10820"/>
    <w:rsid w:val="10F1501F"/>
    <w:rsid w:val="10F20D97"/>
    <w:rsid w:val="10F34909"/>
    <w:rsid w:val="10F517BF"/>
    <w:rsid w:val="10F6043B"/>
    <w:rsid w:val="10F6652C"/>
    <w:rsid w:val="10F66AD9"/>
    <w:rsid w:val="10FB1735"/>
    <w:rsid w:val="10FB3953"/>
    <w:rsid w:val="110034B4"/>
    <w:rsid w:val="11014D87"/>
    <w:rsid w:val="110246B3"/>
    <w:rsid w:val="1102547E"/>
    <w:rsid w:val="11026ADD"/>
    <w:rsid w:val="1102722C"/>
    <w:rsid w:val="11052395"/>
    <w:rsid w:val="11056D1C"/>
    <w:rsid w:val="110805BA"/>
    <w:rsid w:val="1109680C"/>
    <w:rsid w:val="110A4710"/>
    <w:rsid w:val="110B481B"/>
    <w:rsid w:val="110D3A01"/>
    <w:rsid w:val="110E732F"/>
    <w:rsid w:val="110F36F7"/>
    <w:rsid w:val="111156C1"/>
    <w:rsid w:val="11131439"/>
    <w:rsid w:val="111337AF"/>
    <w:rsid w:val="11160F29"/>
    <w:rsid w:val="11164A85"/>
    <w:rsid w:val="11171CD9"/>
    <w:rsid w:val="111B02EE"/>
    <w:rsid w:val="111C2F7A"/>
    <w:rsid w:val="11205A7B"/>
    <w:rsid w:val="11230F50"/>
    <w:rsid w:val="11274EE5"/>
    <w:rsid w:val="1129005F"/>
    <w:rsid w:val="112A6783"/>
    <w:rsid w:val="112B17DE"/>
    <w:rsid w:val="112E6E92"/>
    <w:rsid w:val="11301FEB"/>
    <w:rsid w:val="11305F4C"/>
    <w:rsid w:val="113118BF"/>
    <w:rsid w:val="11333212"/>
    <w:rsid w:val="1134136D"/>
    <w:rsid w:val="11357601"/>
    <w:rsid w:val="113672B9"/>
    <w:rsid w:val="113708D0"/>
    <w:rsid w:val="11377300"/>
    <w:rsid w:val="11391DC9"/>
    <w:rsid w:val="113A4C18"/>
    <w:rsid w:val="113A6844"/>
    <w:rsid w:val="113C4DA1"/>
    <w:rsid w:val="113D64B6"/>
    <w:rsid w:val="113E3C4A"/>
    <w:rsid w:val="113F222E"/>
    <w:rsid w:val="114258A5"/>
    <w:rsid w:val="11472E91"/>
    <w:rsid w:val="114A583F"/>
    <w:rsid w:val="114B0F5C"/>
    <w:rsid w:val="114B589A"/>
    <w:rsid w:val="114C04A7"/>
    <w:rsid w:val="114C734E"/>
    <w:rsid w:val="11526E42"/>
    <w:rsid w:val="11561326"/>
    <w:rsid w:val="1156732A"/>
    <w:rsid w:val="11586E4C"/>
    <w:rsid w:val="11592BC4"/>
    <w:rsid w:val="115B765C"/>
    <w:rsid w:val="115D5200"/>
    <w:rsid w:val="11603E8A"/>
    <w:rsid w:val="11615F8F"/>
    <w:rsid w:val="11622ED2"/>
    <w:rsid w:val="11625746"/>
    <w:rsid w:val="11650634"/>
    <w:rsid w:val="11665CA1"/>
    <w:rsid w:val="116C0B49"/>
    <w:rsid w:val="116C1F34"/>
    <w:rsid w:val="116D22D4"/>
    <w:rsid w:val="116F4196"/>
    <w:rsid w:val="11742243"/>
    <w:rsid w:val="11763776"/>
    <w:rsid w:val="117A4807"/>
    <w:rsid w:val="117B1F5B"/>
    <w:rsid w:val="117B2B3A"/>
    <w:rsid w:val="117B2E66"/>
    <w:rsid w:val="117B6A46"/>
    <w:rsid w:val="117D6F95"/>
    <w:rsid w:val="117F087D"/>
    <w:rsid w:val="117F654C"/>
    <w:rsid w:val="11800151"/>
    <w:rsid w:val="118127A2"/>
    <w:rsid w:val="11812847"/>
    <w:rsid w:val="11823EC9"/>
    <w:rsid w:val="11861F2C"/>
    <w:rsid w:val="11883ED4"/>
    <w:rsid w:val="118934A9"/>
    <w:rsid w:val="118C102C"/>
    <w:rsid w:val="118C31E8"/>
    <w:rsid w:val="118D2194"/>
    <w:rsid w:val="118D57F0"/>
    <w:rsid w:val="118E0AC0"/>
    <w:rsid w:val="118F0E00"/>
    <w:rsid w:val="118F5DCE"/>
    <w:rsid w:val="118F68F1"/>
    <w:rsid w:val="11900A5F"/>
    <w:rsid w:val="11953950"/>
    <w:rsid w:val="11956DD8"/>
    <w:rsid w:val="1197024C"/>
    <w:rsid w:val="119B31DD"/>
    <w:rsid w:val="119C3003"/>
    <w:rsid w:val="119D2A3E"/>
    <w:rsid w:val="119D4172"/>
    <w:rsid w:val="119F538C"/>
    <w:rsid w:val="11A007F3"/>
    <w:rsid w:val="11A025A1"/>
    <w:rsid w:val="11A2456B"/>
    <w:rsid w:val="11A55E09"/>
    <w:rsid w:val="11A622AD"/>
    <w:rsid w:val="11A6405B"/>
    <w:rsid w:val="11AA3420"/>
    <w:rsid w:val="11AB2334"/>
    <w:rsid w:val="11AB4E6A"/>
    <w:rsid w:val="11B25ED3"/>
    <w:rsid w:val="11B30526"/>
    <w:rsid w:val="11B34492"/>
    <w:rsid w:val="11BB2435"/>
    <w:rsid w:val="11BB562D"/>
    <w:rsid w:val="11BD1DCA"/>
    <w:rsid w:val="11BD25EC"/>
    <w:rsid w:val="11BD52F7"/>
    <w:rsid w:val="11BF336F"/>
    <w:rsid w:val="11C32D8C"/>
    <w:rsid w:val="11C802D8"/>
    <w:rsid w:val="11C91AF8"/>
    <w:rsid w:val="11CA4FBD"/>
    <w:rsid w:val="11CC2110"/>
    <w:rsid w:val="11CC4DF9"/>
    <w:rsid w:val="11CD6083"/>
    <w:rsid w:val="11CE1AE9"/>
    <w:rsid w:val="11CE35B2"/>
    <w:rsid w:val="11D0732A"/>
    <w:rsid w:val="11D36947"/>
    <w:rsid w:val="11D64439"/>
    <w:rsid w:val="11D749DD"/>
    <w:rsid w:val="11D77775"/>
    <w:rsid w:val="11D861DF"/>
    <w:rsid w:val="11DC2C5C"/>
    <w:rsid w:val="11DC6528"/>
    <w:rsid w:val="11DD3166"/>
    <w:rsid w:val="11DF76A5"/>
    <w:rsid w:val="11E0567A"/>
    <w:rsid w:val="11E11324"/>
    <w:rsid w:val="11E15093"/>
    <w:rsid w:val="11E16E45"/>
    <w:rsid w:val="11E4475A"/>
    <w:rsid w:val="11E44B84"/>
    <w:rsid w:val="11E81ABA"/>
    <w:rsid w:val="11EE145D"/>
    <w:rsid w:val="11EE77B0"/>
    <w:rsid w:val="11F113CC"/>
    <w:rsid w:val="11F16620"/>
    <w:rsid w:val="11F70620"/>
    <w:rsid w:val="11F8062F"/>
    <w:rsid w:val="11FA6155"/>
    <w:rsid w:val="11FF6E55"/>
    <w:rsid w:val="1202325C"/>
    <w:rsid w:val="12036240"/>
    <w:rsid w:val="12062D4C"/>
    <w:rsid w:val="1208454E"/>
    <w:rsid w:val="1209283C"/>
    <w:rsid w:val="120E1DE2"/>
    <w:rsid w:val="120E7E53"/>
    <w:rsid w:val="120F09FC"/>
    <w:rsid w:val="120F6CE2"/>
    <w:rsid w:val="12103BCB"/>
    <w:rsid w:val="12113189"/>
    <w:rsid w:val="1212514E"/>
    <w:rsid w:val="1214521C"/>
    <w:rsid w:val="12146A84"/>
    <w:rsid w:val="121C77B0"/>
    <w:rsid w:val="121D3BF2"/>
    <w:rsid w:val="122136E2"/>
    <w:rsid w:val="12242408"/>
    <w:rsid w:val="122C2897"/>
    <w:rsid w:val="122D2087"/>
    <w:rsid w:val="122E3138"/>
    <w:rsid w:val="12312262"/>
    <w:rsid w:val="12323B41"/>
    <w:rsid w:val="12331667"/>
    <w:rsid w:val="12346CEE"/>
    <w:rsid w:val="123560E8"/>
    <w:rsid w:val="12371174"/>
    <w:rsid w:val="123832FA"/>
    <w:rsid w:val="123C7A7C"/>
    <w:rsid w:val="123E0B4D"/>
    <w:rsid w:val="124318AA"/>
    <w:rsid w:val="12487472"/>
    <w:rsid w:val="124C253A"/>
    <w:rsid w:val="124D44D7"/>
    <w:rsid w:val="12503389"/>
    <w:rsid w:val="12523FB2"/>
    <w:rsid w:val="1255782F"/>
    <w:rsid w:val="125A6BF4"/>
    <w:rsid w:val="125E66E4"/>
    <w:rsid w:val="125F2E4C"/>
    <w:rsid w:val="126161D4"/>
    <w:rsid w:val="12617F82"/>
    <w:rsid w:val="126201EE"/>
    <w:rsid w:val="12632D47"/>
    <w:rsid w:val="12647A72"/>
    <w:rsid w:val="126637EB"/>
    <w:rsid w:val="12665FC7"/>
    <w:rsid w:val="1268260A"/>
    <w:rsid w:val="126A48AD"/>
    <w:rsid w:val="127001C5"/>
    <w:rsid w:val="12754FD4"/>
    <w:rsid w:val="127745C0"/>
    <w:rsid w:val="12795AE9"/>
    <w:rsid w:val="127C42C6"/>
    <w:rsid w:val="12800D34"/>
    <w:rsid w:val="128061E8"/>
    <w:rsid w:val="12832ECF"/>
    <w:rsid w:val="128C3251"/>
    <w:rsid w:val="128E7F05"/>
    <w:rsid w:val="128F2D41"/>
    <w:rsid w:val="12904FC3"/>
    <w:rsid w:val="12937EC0"/>
    <w:rsid w:val="1294690E"/>
    <w:rsid w:val="129640D0"/>
    <w:rsid w:val="12977E48"/>
    <w:rsid w:val="129812A0"/>
    <w:rsid w:val="129D5521"/>
    <w:rsid w:val="129F1C9F"/>
    <w:rsid w:val="129F74BE"/>
    <w:rsid w:val="12A3059B"/>
    <w:rsid w:val="12A44512"/>
    <w:rsid w:val="12A80A5E"/>
    <w:rsid w:val="12A87F90"/>
    <w:rsid w:val="12AB7EAF"/>
    <w:rsid w:val="12AE0195"/>
    <w:rsid w:val="12AE3B43"/>
    <w:rsid w:val="12AF4254"/>
    <w:rsid w:val="12AF56BF"/>
    <w:rsid w:val="12B04A66"/>
    <w:rsid w:val="12B15CFA"/>
    <w:rsid w:val="12B42B57"/>
    <w:rsid w:val="12B44556"/>
    <w:rsid w:val="12B71B69"/>
    <w:rsid w:val="12B808FF"/>
    <w:rsid w:val="12BB3B36"/>
    <w:rsid w:val="12BC350D"/>
    <w:rsid w:val="12BE0EA8"/>
    <w:rsid w:val="12BE7183"/>
    <w:rsid w:val="12C12B6B"/>
    <w:rsid w:val="12C1789F"/>
    <w:rsid w:val="12C23E06"/>
    <w:rsid w:val="12C81DAF"/>
    <w:rsid w:val="12C908B0"/>
    <w:rsid w:val="12CA1FCB"/>
    <w:rsid w:val="12CB40E7"/>
    <w:rsid w:val="12CC0DD6"/>
    <w:rsid w:val="12CF75E2"/>
    <w:rsid w:val="12D10E7C"/>
    <w:rsid w:val="12D52BBB"/>
    <w:rsid w:val="12D60970"/>
    <w:rsid w:val="12D746E8"/>
    <w:rsid w:val="12D77B05"/>
    <w:rsid w:val="12D91AB0"/>
    <w:rsid w:val="12D9220E"/>
    <w:rsid w:val="12DB4F51"/>
    <w:rsid w:val="12E0359D"/>
    <w:rsid w:val="12E30CB0"/>
    <w:rsid w:val="12E36BE9"/>
    <w:rsid w:val="12E41E90"/>
    <w:rsid w:val="12E70925"/>
    <w:rsid w:val="12E74C27"/>
    <w:rsid w:val="12EE1ADD"/>
    <w:rsid w:val="12F11306"/>
    <w:rsid w:val="12F157AA"/>
    <w:rsid w:val="12F228BE"/>
    <w:rsid w:val="12F47161"/>
    <w:rsid w:val="12F6691D"/>
    <w:rsid w:val="12F9465F"/>
    <w:rsid w:val="12FB3BF3"/>
    <w:rsid w:val="12FD47F1"/>
    <w:rsid w:val="12FE282D"/>
    <w:rsid w:val="13043D3B"/>
    <w:rsid w:val="130448B5"/>
    <w:rsid w:val="13073731"/>
    <w:rsid w:val="1307537F"/>
    <w:rsid w:val="130A061A"/>
    <w:rsid w:val="130B15CE"/>
    <w:rsid w:val="130D3C66"/>
    <w:rsid w:val="130F79DE"/>
    <w:rsid w:val="13101D7B"/>
    <w:rsid w:val="131024CA"/>
    <w:rsid w:val="13113756"/>
    <w:rsid w:val="1312127D"/>
    <w:rsid w:val="1313688A"/>
    <w:rsid w:val="13141499"/>
    <w:rsid w:val="131467BD"/>
    <w:rsid w:val="1316031A"/>
    <w:rsid w:val="13175CC4"/>
    <w:rsid w:val="13177428"/>
    <w:rsid w:val="1319085D"/>
    <w:rsid w:val="131A0861"/>
    <w:rsid w:val="131B2338"/>
    <w:rsid w:val="131C2530"/>
    <w:rsid w:val="131D034D"/>
    <w:rsid w:val="131D45A4"/>
    <w:rsid w:val="131E5E73"/>
    <w:rsid w:val="13201BEB"/>
    <w:rsid w:val="132058E6"/>
    <w:rsid w:val="13213C3B"/>
    <w:rsid w:val="13225964"/>
    <w:rsid w:val="13232472"/>
    <w:rsid w:val="1326175A"/>
    <w:rsid w:val="132711CC"/>
    <w:rsid w:val="132C0590"/>
    <w:rsid w:val="132E255A"/>
    <w:rsid w:val="13302FA4"/>
    <w:rsid w:val="1330410F"/>
    <w:rsid w:val="13311A6A"/>
    <w:rsid w:val="1332191F"/>
    <w:rsid w:val="13322E75"/>
    <w:rsid w:val="133251FF"/>
    <w:rsid w:val="13357582"/>
    <w:rsid w:val="133840DC"/>
    <w:rsid w:val="13391CAF"/>
    <w:rsid w:val="133A1718"/>
    <w:rsid w:val="133B434D"/>
    <w:rsid w:val="13400C0D"/>
    <w:rsid w:val="13407938"/>
    <w:rsid w:val="13424285"/>
    <w:rsid w:val="134263D1"/>
    <w:rsid w:val="13451652"/>
    <w:rsid w:val="13453400"/>
    <w:rsid w:val="13474D98"/>
    <w:rsid w:val="13487497"/>
    <w:rsid w:val="134942C4"/>
    <w:rsid w:val="134B0615"/>
    <w:rsid w:val="134C465E"/>
    <w:rsid w:val="134F709C"/>
    <w:rsid w:val="1350466F"/>
    <w:rsid w:val="13506035"/>
    <w:rsid w:val="13520B45"/>
    <w:rsid w:val="135402A2"/>
    <w:rsid w:val="13541944"/>
    <w:rsid w:val="13545D39"/>
    <w:rsid w:val="13550B77"/>
    <w:rsid w:val="13551B9B"/>
    <w:rsid w:val="13555AAA"/>
    <w:rsid w:val="13561AB1"/>
    <w:rsid w:val="1356385F"/>
    <w:rsid w:val="135E1891"/>
    <w:rsid w:val="135E2714"/>
    <w:rsid w:val="135E44C2"/>
    <w:rsid w:val="135E6CC9"/>
    <w:rsid w:val="13641FB2"/>
    <w:rsid w:val="136769CE"/>
    <w:rsid w:val="136B3665"/>
    <w:rsid w:val="136B6F5F"/>
    <w:rsid w:val="136C4F1B"/>
    <w:rsid w:val="136D7DD0"/>
    <w:rsid w:val="137361BF"/>
    <w:rsid w:val="13737F6D"/>
    <w:rsid w:val="13741D88"/>
    <w:rsid w:val="13756C2C"/>
    <w:rsid w:val="13767A5D"/>
    <w:rsid w:val="13767C44"/>
    <w:rsid w:val="13770803"/>
    <w:rsid w:val="1377213E"/>
    <w:rsid w:val="137912FC"/>
    <w:rsid w:val="1379754E"/>
    <w:rsid w:val="137A57A0"/>
    <w:rsid w:val="137B71C7"/>
    <w:rsid w:val="137F022B"/>
    <w:rsid w:val="13826402"/>
    <w:rsid w:val="13827B36"/>
    <w:rsid w:val="13833F28"/>
    <w:rsid w:val="1384217A"/>
    <w:rsid w:val="1385255D"/>
    <w:rsid w:val="138917E1"/>
    <w:rsid w:val="138C102F"/>
    <w:rsid w:val="138E4DA7"/>
    <w:rsid w:val="138E5F35"/>
    <w:rsid w:val="13951726"/>
    <w:rsid w:val="13954387"/>
    <w:rsid w:val="13965358"/>
    <w:rsid w:val="13981636"/>
    <w:rsid w:val="139B5716"/>
    <w:rsid w:val="13A04ADA"/>
    <w:rsid w:val="13A40C31"/>
    <w:rsid w:val="13A704B8"/>
    <w:rsid w:val="13A7230D"/>
    <w:rsid w:val="13AC16D1"/>
    <w:rsid w:val="13AC7923"/>
    <w:rsid w:val="13AF2F6F"/>
    <w:rsid w:val="13B01DD4"/>
    <w:rsid w:val="13B1378B"/>
    <w:rsid w:val="13B227CF"/>
    <w:rsid w:val="13B642FE"/>
    <w:rsid w:val="13BB5D85"/>
    <w:rsid w:val="13BC5DB8"/>
    <w:rsid w:val="13C01D98"/>
    <w:rsid w:val="13C127E7"/>
    <w:rsid w:val="13C46A1B"/>
    <w:rsid w:val="13C55879"/>
    <w:rsid w:val="13C702B9"/>
    <w:rsid w:val="13C74F35"/>
    <w:rsid w:val="13CA1B57"/>
    <w:rsid w:val="13CB396B"/>
    <w:rsid w:val="13CB3CC7"/>
    <w:rsid w:val="13CC7480"/>
    <w:rsid w:val="13CD3795"/>
    <w:rsid w:val="13CE33F5"/>
    <w:rsid w:val="13CE7899"/>
    <w:rsid w:val="13D11283"/>
    <w:rsid w:val="13D436C8"/>
    <w:rsid w:val="13D44784"/>
    <w:rsid w:val="13D4493A"/>
    <w:rsid w:val="13D4499A"/>
    <w:rsid w:val="13D50C28"/>
    <w:rsid w:val="13E175CD"/>
    <w:rsid w:val="13E343B5"/>
    <w:rsid w:val="13E470BD"/>
    <w:rsid w:val="13E708C8"/>
    <w:rsid w:val="13E7131E"/>
    <w:rsid w:val="13E946D3"/>
    <w:rsid w:val="13EB21F9"/>
    <w:rsid w:val="13ED4D0B"/>
    <w:rsid w:val="13EF0F7A"/>
    <w:rsid w:val="13F217DA"/>
    <w:rsid w:val="13F2378C"/>
    <w:rsid w:val="13F35067"/>
    <w:rsid w:val="13F35552"/>
    <w:rsid w:val="13F71C11"/>
    <w:rsid w:val="13F84775"/>
    <w:rsid w:val="13FA68E0"/>
    <w:rsid w:val="13FB30E3"/>
    <w:rsid w:val="13FC4E78"/>
    <w:rsid w:val="13FD017F"/>
    <w:rsid w:val="13FD3CDB"/>
    <w:rsid w:val="13FE243D"/>
    <w:rsid w:val="13FF6A4B"/>
    <w:rsid w:val="140358CC"/>
    <w:rsid w:val="140421EF"/>
    <w:rsid w:val="14043627"/>
    <w:rsid w:val="14045069"/>
    <w:rsid w:val="14060DE1"/>
    <w:rsid w:val="14067033"/>
    <w:rsid w:val="141166AC"/>
    <w:rsid w:val="14117786"/>
    <w:rsid w:val="14131750"/>
    <w:rsid w:val="14151024"/>
    <w:rsid w:val="14165674"/>
    <w:rsid w:val="14171240"/>
    <w:rsid w:val="141776F8"/>
    <w:rsid w:val="141A7732"/>
    <w:rsid w:val="141B23B3"/>
    <w:rsid w:val="141D1717"/>
    <w:rsid w:val="14207A18"/>
    <w:rsid w:val="14213BCF"/>
    <w:rsid w:val="14213E6D"/>
    <w:rsid w:val="14235015"/>
    <w:rsid w:val="1423716D"/>
    <w:rsid w:val="1423740E"/>
    <w:rsid w:val="14242827"/>
    <w:rsid w:val="1424395D"/>
    <w:rsid w:val="142610C8"/>
    <w:rsid w:val="142629F8"/>
    <w:rsid w:val="14270D58"/>
    <w:rsid w:val="142715F4"/>
    <w:rsid w:val="142903AA"/>
    <w:rsid w:val="14290F74"/>
    <w:rsid w:val="14292D22"/>
    <w:rsid w:val="142B31BB"/>
    <w:rsid w:val="142B3E44"/>
    <w:rsid w:val="142C636E"/>
    <w:rsid w:val="142D7669"/>
    <w:rsid w:val="14315D1E"/>
    <w:rsid w:val="14324DD7"/>
    <w:rsid w:val="14333D94"/>
    <w:rsid w:val="14333FF8"/>
    <w:rsid w:val="143437A0"/>
    <w:rsid w:val="143620CC"/>
    <w:rsid w:val="143758CF"/>
    <w:rsid w:val="143864A8"/>
    <w:rsid w:val="14396509"/>
    <w:rsid w:val="143A4A16"/>
    <w:rsid w:val="143A69E7"/>
    <w:rsid w:val="143B6A34"/>
    <w:rsid w:val="143C5C15"/>
    <w:rsid w:val="143C667D"/>
    <w:rsid w:val="143E0BB3"/>
    <w:rsid w:val="143E7602"/>
    <w:rsid w:val="143F60A1"/>
    <w:rsid w:val="1441006B"/>
    <w:rsid w:val="144129AD"/>
    <w:rsid w:val="144237A3"/>
    <w:rsid w:val="14434DB5"/>
    <w:rsid w:val="14443685"/>
    <w:rsid w:val="144613FF"/>
    <w:rsid w:val="14486055"/>
    <w:rsid w:val="144B0EEA"/>
    <w:rsid w:val="144D6A10"/>
    <w:rsid w:val="144E09DA"/>
    <w:rsid w:val="144F5AFC"/>
    <w:rsid w:val="145045F6"/>
    <w:rsid w:val="14510032"/>
    <w:rsid w:val="145C30F7"/>
    <w:rsid w:val="145C3DC9"/>
    <w:rsid w:val="145E0C1D"/>
    <w:rsid w:val="145F04F1"/>
    <w:rsid w:val="1460514F"/>
    <w:rsid w:val="14627FE2"/>
    <w:rsid w:val="14641FAC"/>
    <w:rsid w:val="14643D5A"/>
    <w:rsid w:val="14661880"/>
    <w:rsid w:val="14694988"/>
    <w:rsid w:val="146A1092"/>
    <w:rsid w:val="146B1B53"/>
    <w:rsid w:val="146E6199"/>
    <w:rsid w:val="1471771F"/>
    <w:rsid w:val="147541B9"/>
    <w:rsid w:val="1475517A"/>
    <w:rsid w:val="147556AF"/>
    <w:rsid w:val="14771E08"/>
    <w:rsid w:val="14775EAC"/>
    <w:rsid w:val="147773CD"/>
    <w:rsid w:val="14777F31"/>
    <w:rsid w:val="147815B3"/>
    <w:rsid w:val="147B1525"/>
    <w:rsid w:val="147C72F5"/>
    <w:rsid w:val="147D6BCA"/>
    <w:rsid w:val="147E12BF"/>
    <w:rsid w:val="147E4804"/>
    <w:rsid w:val="14812B5E"/>
    <w:rsid w:val="148166BA"/>
    <w:rsid w:val="1485084F"/>
    <w:rsid w:val="14854305"/>
    <w:rsid w:val="148563AB"/>
    <w:rsid w:val="14864E52"/>
    <w:rsid w:val="148B1916"/>
    <w:rsid w:val="148B578A"/>
    <w:rsid w:val="148D32B1"/>
    <w:rsid w:val="148E0DD7"/>
    <w:rsid w:val="148F7B34"/>
    <w:rsid w:val="14902DA1"/>
    <w:rsid w:val="149254F9"/>
    <w:rsid w:val="14930FDE"/>
    <w:rsid w:val="1494471A"/>
    <w:rsid w:val="14945829"/>
    <w:rsid w:val="14952165"/>
    <w:rsid w:val="1497412F"/>
    <w:rsid w:val="1499566D"/>
    <w:rsid w:val="149E4AC7"/>
    <w:rsid w:val="14A0063C"/>
    <w:rsid w:val="14AB2509"/>
    <w:rsid w:val="14AD3953"/>
    <w:rsid w:val="14AE3227"/>
    <w:rsid w:val="14B164A6"/>
    <w:rsid w:val="14B31A79"/>
    <w:rsid w:val="14B4316E"/>
    <w:rsid w:val="14B473FC"/>
    <w:rsid w:val="14B7032D"/>
    <w:rsid w:val="14B940A6"/>
    <w:rsid w:val="14BA1BCC"/>
    <w:rsid w:val="14BC1DE8"/>
    <w:rsid w:val="14C05136"/>
    <w:rsid w:val="14C07516"/>
    <w:rsid w:val="14C12F5A"/>
    <w:rsid w:val="14C447F8"/>
    <w:rsid w:val="14C81F51"/>
    <w:rsid w:val="14CC04C1"/>
    <w:rsid w:val="14CC2539"/>
    <w:rsid w:val="14D06ACA"/>
    <w:rsid w:val="14D61F22"/>
    <w:rsid w:val="14D902A4"/>
    <w:rsid w:val="14DD2C3C"/>
    <w:rsid w:val="14DD6BBD"/>
    <w:rsid w:val="14DE309C"/>
    <w:rsid w:val="14E26A5A"/>
    <w:rsid w:val="14E36318"/>
    <w:rsid w:val="14E3748B"/>
    <w:rsid w:val="14E6546D"/>
    <w:rsid w:val="14E82BDD"/>
    <w:rsid w:val="14EB73C0"/>
    <w:rsid w:val="14EC7D7D"/>
    <w:rsid w:val="14EF3B79"/>
    <w:rsid w:val="14F00DA7"/>
    <w:rsid w:val="14F07E2D"/>
    <w:rsid w:val="14F07E7C"/>
    <w:rsid w:val="14F25809"/>
    <w:rsid w:val="14F30D60"/>
    <w:rsid w:val="14F4241F"/>
    <w:rsid w:val="14F45CB9"/>
    <w:rsid w:val="14F74B0F"/>
    <w:rsid w:val="14F811B6"/>
    <w:rsid w:val="14F93740"/>
    <w:rsid w:val="14F97D01"/>
    <w:rsid w:val="14FC019F"/>
    <w:rsid w:val="14FF7870"/>
    <w:rsid w:val="150247F4"/>
    <w:rsid w:val="1505553D"/>
    <w:rsid w:val="150A15E9"/>
    <w:rsid w:val="150A2F86"/>
    <w:rsid w:val="150E142C"/>
    <w:rsid w:val="15127C5A"/>
    <w:rsid w:val="15155054"/>
    <w:rsid w:val="15165429"/>
    <w:rsid w:val="15170DCC"/>
    <w:rsid w:val="15175CA3"/>
    <w:rsid w:val="1517701E"/>
    <w:rsid w:val="151C1611"/>
    <w:rsid w:val="151C4A38"/>
    <w:rsid w:val="151E18D0"/>
    <w:rsid w:val="15237771"/>
    <w:rsid w:val="15243A79"/>
    <w:rsid w:val="15267261"/>
    <w:rsid w:val="15282FD9"/>
    <w:rsid w:val="152A0AFF"/>
    <w:rsid w:val="152A62D7"/>
    <w:rsid w:val="152C1FCA"/>
    <w:rsid w:val="152F4368"/>
    <w:rsid w:val="152F6116"/>
    <w:rsid w:val="15311E8E"/>
    <w:rsid w:val="1532133E"/>
    <w:rsid w:val="15325C06"/>
    <w:rsid w:val="15327E0A"/>
    <w:rsid w:val="15383ECE"/>
    <w:rsid w:val="153A7C60"/>
    <w:rsid w:val="153E0A4F"/>
    <w:rsid w:val="153F4AB9"/>
    <w:rsid w:val="15406575"/>
    <w:rsid w:val="15414542"/>
    <w:rsid w:val="1543281D"/>
    <w:rsid w:val="154C6CC8"/>
    <w:rsid w:val="154C6FBB"/>
    <w:rsid w:val="154D0922"/>
    <w:rsid w:val="154D47EE"/>
    <w:rsid w:val="154E52B0"/>
    <w:rsid w:val="154F0566"/>
    <w:rsid w:val="155001B6"/>
    <w:rsid w:val="15525D7C"/>
    <w:rsid w:val="15543DCE"/>
    <w:rsid w:val="15545B7C"/>
    <w:rsid w:val="15554854"/>
    <w:rsid w:val="15565D98"/>
    <w:rsid w:val="15586086"/>
    <w:rsid w:val="155C2C83"/>
    <w:rsid w:val="155E69FB"/>
    <w:rsid w:val="155F7229"/>
    <w:rsid w:val="1560058A"/>
    <w:rsid w:val="15600C2D"/>
    <w:rsid w:val="15610F04"/>
    <w:rsid w:val="15620D21"/>
    <w:rsid w:val="15630FC0"/>
    <w:rsid w:val="156471E0"/>
    <w:rsid w:val="156552D4"/>
    <w:rsid w:val="156A35F2"/>
    <w:rsid w:val="157020F5"/>
    <w:rsid w:val="15724232"/>
    <w:rsid w:val="15733F4F"/>
    <w:rsid w:val="15783D34"/>
    <w:rsid w:val="157A16E0"/>
    <w:rsid w:val="15816779"/>
    <w:rsid w:val="15853F88"/>
    <w:rsid w:val="15857907"/>
    <w:rsid w:val="15857FB7"/>
    <w:rsid w:val="15877D00"/>
    <w:rsid w:val="158801A5"/>
    <w:rsid w:val="158C5DDF"/>
    <w:rsid w:val="158E5532"/>
    <w:rsid w:val="158E5DDC"/>
    <w:rsid w:val="158F2EB6"/>
    <w:rsid w:val="158F4E06"/>
    <w:rsid w:val="15962639"/>
    <w:rsid w:val="15967B1D"/>
    <w:rsid w:val="15973CBB"/>
    <w:rsid w:val="15975878"/>
    <w:rsid w:val="1599780A"/>
    <w:rsid w:val="159B37AB"/>
    <w:rsid w:val="159B739B"/>
    <w:rsid w:val="159D7523"/>
    <w:rsid w:val="159F47F7"/>
    <w:rsid w:val="15A32164"/>
    <w:rsid w:val="15A81E72"/>
    <w:rsid w:val="15AA7E34"/>
    <w:rsid w:val="15AB60E4"/>
    <w:rsid w:val="15AC7766"/>
    <w:rsid w:val="15AE6359"/>
    <w:rsid w:val="15AF54A9"/>
    <w:rsid w:val="15B2693A"/>
    <w:rsid w:val="15B50D11"/>
    <w:rsid w:val="15BF393E"/>
    <w:rsid w:val="15BF56EC"/>
    <w:rsid w:val="15BF6214"/>
    <w:rsid w:val="15C162BA"/>
    <w:rsid w:val="15C20D70"/>
    <w:rsid w:val="15C50828"/>
    <w:rsid w:val="15CA4090"/>
    <w:rsid w:val="15D03626"/>
    <w:rsid w:val="15D143DB"/>
    <w:rsid w:val="15D25844"/>
    <w:rsid w:val="15D31197"/>
    <w:rsid w:val="15D3380B"/>
    <w:rsid w:val="15D46CBD"/>
    <w:rsid w:val="15D60C87"/>
    <w:rsid w:val="15D64C7B"/>
    <w:rsid w:val="15D9012F"/>
    <w:rsid w:val="15DD4A14"/>
    <w:rsid w:val="15DD506A"/>
    <w:rsid w:val="15DE5404"/>
    <w:rsid w:val="15E013E2"/>
    <w:rsid w:val="15E11B06"/>
    <w:rsid w:val="15E30624"/>
    <w:rsid w:val="15E325A5"/>
    <w:rsid w:val="15E43294"/>
    <w:rsid w:val="15E73EF1"/>
    <w:rsid w:val="15E91CB0"/>
    <w:rsid w:val="15EB51F0"/>
    <w:rsid w:val="15F03B4B"/>
    <w:rsid w:val="15F5155A"/>
    <w:rsid w:val="15F61D5B"/>
    <w:rsid w:val="15F85DB8"/>
    <w:rsid w:val="15F97F3C"/>
    <w:rsid w:val="15FD2114"/>
    <w:rsid w:val="15FD233D"/>
    <w:rsid w:val="16013F56"/>
    <w:rsid w:val="16021A7C"/>
    <w:rsid w:val="16024413"/>
    <w:rsid w:val="1603227A"/>
    <w:rsid w:val="16041E54"/>
    <w:rsid w:val="16055ED7"/>
    <w:rsid w:val="16060D40"/>
    <w:rsid w:val="16087E1D"/>
    <w:rsid w:val="160B63F7"/>
    <w:rsid w:val="160E35C3"/>
    <w:rsid w:val="160F7CF5"/>
    <w:rsid w:val="16104199"/>
    <w:rsid w:val="16123E4A"/>
    <w:rsid w:val="1612565D"/>
    <w:rsid w:val="1617651F"/>
    <w:rsid w:val="1618304E"/>
    <w:rsid w:val="16191DE4"/>
    <w:rsid w:val="161C63F6"/>
    <w:rsid w:val="161C70E7"/>
    <w:rsid w:val="161D034A"/>
    <w:rsid w:val="161E24A9"/>
    <w:rsid w:val="162548AC"/>
    <w:rsid w:val="162714E3"/>
    <w:rsid w:val="16291B22"/>
    <w:rsid w:val="162C08A7"/>
    <w:rsid w:val="162F29B6"/>
    <w:rsid w:val="16300397"/>
    <w:rsid w:val="1630589F"/>
    <w:rsid w:val="163360DA"/>
    <w:rsid w:val="163836F0"/>
    <w:rsid w:val="16393735"/>
    <w:rsid w:val="163B0AEA"/>
    <w:rsid w:val="163B5BE8"/>
    <w:rsid w:val="163E4A0C"/>
    <w:rsid w:val="164200CB"/>
    <w:rsid w:val="16435AEB"/>
    <w:rsid w:val="164363D3"/>
    <w:rsid w:val="1646143B"/>
    <w:rsid w:val="16461969"/>
    <w:rsid w:val="16485C37"/>
    <w:rsid w:val="164A3F23"/>
    <w:rsid w:val="164B3423"/>
    <w:rsid w:val="164C2E2F"/>
    <w:rsid w:val="164C7F84"/>
    <w:rsid w:val="164D0F49"/>
    <w:rsid w:val="164E081E"/>
    <w:rsid w:val="16531A7E"/>
    <w:rsid w:val="16536716"/>
    <w:rsid w:val="16557DFE"/>
    <w:rsid w:val="165B791D"/>
    <w:rsid w:val="165C0FF9"/>
    <w:rsid w:val="165F1AD4"/>
    <w:rsid w:val="16604E4B"/>
    <w:rsid w:val="166153AB"/>
    <w:rsid w:val="16631342"/>
    <w:rsid w:val="16680598"/>
    <w:rsid w:val="16685D44"/>
    <w:rsid w:val="16691AFB"/>
    <w:rsid w:val="166C5148"/>
    <w:rsid w:val="166D15EC"/>
    <w:rsid w:val="166E7112"/>
    <w:rsid w:val="167214EC"/>
    <w:rsid w:val="16721F60"/>
    <w:rsid w:val="16747AFF"/>
    <w:rsid w:val="16751BBC"/>
    <w:rsid w:val="16764296"/>
    <w:rsid w:val="16765524"/>
    <w:rsid w:val="16783AEC"/>
    <w:rsid w:val="167A7865"/>
    <w:rsid w:val="167D3F7B"/>
    <w:rsid w:val="167D4E84"/>
    <w:rsid w:val="16807AD5"/>
    <w:rsid w:val="168129A1"/>
    <w:rsid w:val="16821B94"/>
    <w:rsid w:val="16846BF2"/>
    <w:rsid w:val="16876EF1"/>
    <w:rsid w:val="168849A2"/>
    <w:rsid w:val="16897F26"/>
    <w:rsid w:val="168A7727"/>
    <w:rsid w:val="168B17E5"/>
    <w:rsid w:val="168C1346"/>
    <w:rsid w:val="168D3A3C"/>
    <w:rsid w:val="168E28FE"/>
    <w:rsid w:val="1690151D"/>
    <w:rsid w:val="16910079"/>
    <w:rsid w:val="16914FB0"/>
    <w:rsid w:val="1695469E"/>
    <w:rsid w:val="169614AA"/>
    <w:rsid w:val="169628AB"/>
    <w:rsid w:val="16971F1A"/>
    <w:rsid w:val="16976668"/>
    <w:rsid w:val="16984BC5"/>
    <w:rsid w:val="169A3664"/>
    <w:rsid w:val="169A6EA7"/>
    <w:rsid w:val="169A7298"/>
    <w:rsid w:val="169E0637"/>
    <w:rsid w:val="16A010A3"/>
    <w:rsid w:val="16A06B6F"/>
    <w:rsid w:val="16A11B7A"/>
    <w:rsid w:val="16A13043"/>
    <w:rsid w:val="16A448E1"/>
    <w:rsid w:val="16A511D2"/>
    <w:rsid w:val="16A7081D"/>
    <w:rsid w:val="16A8720C"/>
    <w:rsid w:val="16A87E83"/>
    <w:rsid w:val="16AA4B5F"/>
    <w:rsid w:val="16AB5C70"/>
    <w:rsid w:val="16AE0FAB"/>
    <w:rsid w:val="16B075A8"/>
    <w:rsid w:val="16B31EFC"/>
    <w:rsid w:val="16B36606"/>
    <w:rsid w:val="16B55455"/>
    <w:rsid w:val="16B56110"/>
    <w:rsid w:val="16B72867"/>
    <w:rsid w:val="16B75ADF"/>
    <w:rsid w:val="16BC1C2B"/>
    <w:rsid w:val="16BF19BC"/>
    <w:rsid w:val="16C15493"/>
    <w:rsid w:val="16C17241"/>
    <w:rsid w:val="16C32FBA"/>
    <w:rsid w:val="16C438DD"/>
    <w:rsid w:val="16C51375"/>
    <w:rsid w:val="16C531D6"/>
    <w:rsid w:val="16C56589"/>
    <w:rsid w:val="16C92D47"/>
    <w:rsid w:val="16CA259A"/>
    <w:rsid w:val="16CB6A52"/>
    <w:rsid w:val="16CD3E38"/>
    <w:rsid w:val="16D231FD"/>
    <w:rsid w:val="16D27BAC"/>
    <w:rsid w:val="16D63B63"/>
    <w:rsid w:val="16D7073B"/>
    <w:rsid w:val="16D77A41"/>
    <w:rsid w:val="16D95D9E"/>
    <w:rsid w:val="16DC051F"/>
    <w:rsid w:val="16DC407B"/>
    <w:rsid w:val="16DE7DF3"/>
    <w:rsid w:val="16DF33A1"/>
    <w:rsid w:val="16DF3B6C"/>
    <w:rsid w:val="16E24CE7"/>
    <w:rsid w:val="16E25E5F"/>
    <w:rsid w:val="16E46FA9"/>
    <w:rsid w:val="16E50BEA"/>
    <w:rsid w:val="16E6716F"/>
    <w:rsid w:val="16EB50D3"/>
    <w:rsid w:val="16ED44DA"/>
    <w:rsid w:val="16EF2001"/>
    <w:rsid w:val="16F051DD"/>
    <w:rsid w:val="16F615E1"/>
    <w:rsid w:val="16F94C2D"/>
    <w:rsid w:val="16FE0496"/>
    <w:rsid w:val="16FE2070"/>
    <w:rsid w:val="16FF7D6A"/>
    <w:rsid w:val="170049EE"/>
    <w:rsid w:val="17024F60"/>
    <w:rsid w:val="170476D9"/>
    <w:rsid w:val="17065DD7"/>
    <w:rsid w:val="1707774A"/>
    <w:rsid w:val="170B670F"/>
    <w:rsid w:val="170E7F65"/>
    <w:rsid w:val="170F61FF"/>
    <w:rsid w:val="170F6320"/>
    <w:rsid w:val="17100AD2"/>
    <w:rsid w:val="17125CEF"/>
    <w:rsid w:val="17165445"/>
    <w:rsid w:val="17175F2B"/>
    <w:rsid w:val="17176F8B"/>
    <w:rsid w:val="17187F07"/>
    <w:rsid w:val="171952CF"/>
    <w:rsid w:val="1719707D"/>
    <w:rsid w:val="171C7E04"/>
    <w:rsid w:val="171F5FB4"/>
    <w:rsid w:val="172123D6"/>
    <w:rsid w:val="17242E14"/>
    <w:rsid w:val="17250EFA"/>
    <w:rsid w:val="17252BCD"/>
    <w:rsid w:val="17253971"/>
    <w:rsid w:val="1726179A"/>
    <w:rsid w:val="172A3039"/>
    <w:rsid w:val="172C2D00"/>
    <w:rsid w:val="172E30D6"/>
    <w:rsid w:val="172F064F"/>
    <w:rsid w:val="1732013F"/>
    <w:rsid w:val="17325DB2"/>
    <w:rsid w:val="1735378C"/>
    <w:rsid w:val="17375756"/>
    <w:rsid w:val="173914CE"/>
    <w:rsid w:val="173C0C98"/>
    <w:rsid w:val="173C581F"/>
    <w:rsid w:val="173E34D5"/>
    <w:rsid w:val="17423352"/>
    <w:rsid w:val="17427E0B"/>
    <w:rsid w:val="174560C4"/>
    <w:rsid w:val="17477052"/>
    <w:rsid w:val="17484667"/>
    <w:rsid w:val="174F2A9F"/>
    <w:rsid w:val="174F4F59"/>
    <w:rsid w:val="17516817"/>
    <w:rsid w:val="17544559"/>
    <w:rsid w:val="17563E2E"/>
    <w:rsid w:val="1757224F"/>
    <w:rsid w:val="17583772"/>
    <w:rsid w:val="1759391E"/>
    <w:rsid w:val="17594946"/>
    <w:rsid w:val="17594C02"/>
    <w:rsid w:val="175F4D4A"/>
    <w:rsid w:val="17600991"/>
    <w:rsid w:val="176127D3"/>
    <w:rsid w:val="17646FFC"/>
    <w:rsid w:val="1766626C"/>
    <w:rsid w:val="176A65CA"/>
    <w:rsid w:val="176F4EEF"/>
    <w:rsid w:val="17701D14"/>
    <w:rsid w:val="17735226"/>
    <w:rsid w:val="17745669"/>
    <w:rsid w:val="177469CA"/>
    <w:rsid w:val="1776002C"/>
    <w:rsid w:val="177644D0"/>
    <w:rsid w:val="17771FF6"/>
    <w:rsid w:val="177925CE"/>
    <w:rsid w:val="177C30E9"/>
    <w:rsid w:val="177C5970"/>
    <w:rsid w:val="177D794F"/>
    <w:rsid w:val="177E15D6"/>
    <w:rsid w:val="177F6079"/>
    <w:rsid w:val="178169D1"/>
    <w:rsid w:val="17840DF5"/>
    <w:rsid w:val="17847089"/>
    <w:rsid w:val="17865364"/>
    <w:rsid w:val="17887EC0"/>
    <w:rsid w:val="178B3EE4"/>
    <w:rsid w:val="178C0781"/>
    <w:rsid w:val="178C5AA1"/>
    <w:rsid w:val="178F6AEA"/>
    <w:rsid w:val="17902584"/>
    <w:rsid w:val="17914E66"/>
    <w:rsid w:val="17951287"/>
    <w:rsid w:val="17963C6F"/>
    <w:rsid w:val="17992C31"/>
    <w:rsid w:val="17996410"/>
    <w:rsid w:val="179A1F6A"/>
    <w:rsid w:val="179B132E"/>
    <w:rsid w:val="17A0154D"/>
    <w:rsid w:val="17A07B9B"/>
    <w:rsid w:val="17A10E21"/>
    <w:rsid w:val="17A164B1"/>
    <w:rsid w:val="17A34B99"/>
    <w:rsid w:val="17A81212"/>
    <w:rsid w:val="17A82EED"/>
    <w:rsid w:val="17A87CFD"/>
    <w:rsid w:val="17AA520F"/>
    <w:rsid w:val="17AB33AE"/>
    <w:rsid w:val="17AC04B0"/>
    <w:rsid w:val="17AD456C"/>
    <w:rsid w:val="17AF6670"/>
    <w:rsid w:val="17B234EA"/>
    <w:rsid w:val="17B46DA6"/>
    <w:rsid w:val="17B80644"/>
    <w:rsid w:val="17BA0860"/>
    <w:rsid w:val="17BE4ED8"/>
    <w:rsid w:val="17C27715"/>
    <w:rsid w:val="17C355CF"/>
    <w:rsid w:val="17C4348D"/>
    <w:rsid w:val="17CC2342"/>
    <w:rsid w:val="17CE7E68"/>
    <w:rsid w:val="17CF436F"/>
    <w:rsid w:val="17CF6C5C"/>
    <w:rsid w:val="17D142E0"/>
    <w:rsid w:val="17D15BAA"/>
    <w:rsid w:val="17D411F6"/>
    <w:rsid w:val="17D47448"/>
    <w:rsid w:val="17D8543A"/>
    <w:rsid w:val="17DA0CB9"/>
    <w:rsid w:val="17DC6246"/>
    <w:rsid w:val="17DD62FD"/>
    <w:rsid w:val="17DF0476"/>
    <w:rsid w:val="17E256C1"/>
    <w:rsid w:val="17E44540"/>
    <w:rsid w:val="17E4768B"/>
    <w:rsid w:val="17E53C3F"/>
    <w:rsid w:val="17EE6E57"/>
    <w:rsid w:val="17EF7DDE"/>
    <w:rsid w:val="17F27FF5"/>
    <w:rsid w:val="17F35B20"/>
    <w:rsid w:val="17F403CC"/>
    <w:rsid w:val="17F5500C"/>
    <w:rsid w:val="17F65611"/>
    <w:rsid w:val="17FF6917"/>
    <w:rsid w:val="18012507"/>
    <w:rsid w:val="18027B12"/>
    <w:rsid w:val="180366E6"/>
    <w:rsid w:val="18046B42"/>
    <w:rsid w:val="18056545"/>
    <w:rsid w:val="18057602"/>
    <w:rsid w:val="18064804"/>
    <w:rsid w:val="180715CC"/>
    <w:rsid w:val="180D0EA1"/>
    <w:rsid w:val="180D44C3"/>
    <w:rsid w:val="180E295A"/>
    <w:rsid w:val="1811244B"/>
    <w:rsid w:val="18115FA7"/>
    <w:rsid w:val="18116D37"/>
    <w:rsid w:val="18162993"/>
    <w:rsid w:val="18170000"/>
    <w:rsid w:val="181B0BD3"/>
    <w:rsid w:val="181F12DF"/>
    <w:rsid w:val="1821268E"/>
    <w:rsid w:val="1824217E"/>
    <w:rsid w:val="182633E8"/>
    <w:rsid w:val="18287B83"/>
    <w:rsid w:val="182E0CCE"/>
    <w:rsid w:val="182F02C1"/>
    <w:rsid w:val="1830158E"/>
    <w:rsid w:val="18310B01"/>
    <w:rsid w:val="18332540"/>
    <w:rsid w:val="18351B7F"/>
    <w:rsid w:val="183879D7"/>
    <w:rsid w:val="183B1275"/>
    <w:rsid w:val="183B3024"/>
    <w:rsid w:val="183B62F2"/>
    <w:rsid w:val="183F66D5"/>
    <w:rsid w:val="18405199"/>
    <w:rsid w:val="1841128F"/>
    <w:rsid w:val="1841346A"/>
    <w:rsid w:val="18415B21"/>
    <w:rsid w:val="18435F1B"/>
    <w:rsid w:val="18441ED8"/>
    <w:rsid w:val="1844315D"/>
    <w:rsid w:val="1849621D"/>
    <w:rsid w:val="184C5231"/>
    <w:rsid w:val="184D3195"/>
    <w:rsid w:val="184E0FA9"/>
    <w:rsid w:val="184E3B07"/>
    <w:rsid w:val="184F48FB"/>
    <w:rsid w:val="1850222C"/>
    <w:rsid w:val="18512847"/>
    <w:rsid w:val="18514498"/>
    <w:rsid w:val="18534811"/>
    <w:rsid w:val="18561C0B"/>
    <w:rsid w:val="18566861"/>
    <w:rsid w:val="18575A21"/>
    <w:rsid w:val="18583BD5"/>
    <w:rsid w:val="1859242B"/>
    <w:rsid w:val="185F7E4D"/>
    <w:rsid w:val="18604939"/>
    <w:rsid w:val="18636BFE"/>
    <w:rsid w:val="18654FE6"/>
    <w:rsid w:val="18664544"/>
    <w:rsid w:val="18682758"/>
    <w:rsid w:val="186848A3"/>
    <w:rsid w:val="186B56B7"/>
    <w:rsid w:val="186C7681"/>
    <w:rsid w:val="186E1AD6"/>
    <w:rsid w:val="186E33F9"/>
    <w:rsid w:val="186E51A7"/>
    <w:rsid w:val="18772D6A"/>
    <w:rsid w:val="187A1D9E"/>
    <w:rsid w:val="187F73B4"/>
    <w:rsid w:val="187F7BAC"/>
    <w:rsid w:val="18801677"/>
    <w:rsid w:val="1882265D"/>
    <w:rsid w:val="188226AC"/>
    <w:rsid w:val="18857FA8"/>
    <w:rsid w:val="18877C9B"/>
    <w:rsid w:val="1888270D"/>
    <w:rsid w:val="188B2312"/>
    <w:rsid w:val="188B3FAB"/>
    <w:rsid w:val="188B7B07"/>
    <w:rsid w:val="188C7F11"/>
    <w:rsid w:val="188E5849"/>
    <w:rsid w:val="18933FED"/>
    <w:rsid w:val="1894193F"/>
    <w:rsid w:val="18954E2A"/>
    <w:rsid w:val="189664AC"/>
    <w:rsid w:val="1897675E"/>
    <w:rsid w:val="189A2440"/>
    <w:rsid w:val="189B1B03"/>
    <w:rsid w:val="189F624C"/>
    <w:rsid w:val="18A137CE"/>
    <w:rsid w:val="18A3059A"/>
    <w:rsid w:val="18A34BF5"/>
    <w:rsid w:val="18A34F8C"/>
    <w:rsid w:val="18A612A6"/>
    <w:rsid w:val="18A84B5D"/>
    <w:rsid w:val="18A92683"/>
    <w:rsid w:val="18AD3F21"/>
    <w:rsid w:val="18AD46B7"/>
    <w:rsid w:val="18B13582"/>
    <w:rsid w:val="18B2778A"/>
    <w:rsid w:val="18B352B0"/>
    <w:rsid w:val="18B90B18"/>
    <w:rsid w:val="18BC587B"/>
    <w:rsid w:val="18BF3C55"/>
    <w:rsid w:val="18C433F5"/>
    <w:rsid w:val="18C60E19"/>
    <w:rsid w:val="18C66EE4"/>
    <w:rsid w:val="18C80AE9"/>
    <w:rsid w:val="18C82B09"/>
    <w:rsid w:val="18C96881"/>
    <w:rsid w:val="18CC1221"/>
    <w:rsid w:val="18CE4D74"/>
    <w:rsid w:val="18CF402A"/>
    <w:rsid w:val="18D03BF2"/>
    <w:rsid w:val="18D12150"/>
    <w:rsid w:val="18D31227"/>
    <w:rsid w:val="18D314AE"/>
    <w:rsid w:val="18D365E6"/>
    <w:rsid w:val="18D45952"/>
    <w:rsid w:val="18D92ADE"/>
    <w:rsid w:val="18D92CD7"/>
    <w:rsid w:val="18DE27A9"/>
    <w:rsid w:val="18DF7E53"/>
    <w:rsid w:val="18E05DCC"/>
    <w:rsid w:val="18E10FC3"/>
    <w:rsid w:val="18E5190D"/>
    <w:rsid w:val="18E62E94"/>
    <w:rsid w:val="18E84F59"/>
    <w:rsid w:val="18EA6B8D"/>
    <w:rsid w:val="18EB4A4A"/>
    <w:rsid w:val="18ED431E"/>
    <w:rsid w:val="18EE061B"/>
    <w:rsid w:val="18EE2B2B"/>
    <w:rsid w:val="18EE5D7A"/>
    <w:rsid w:val="18F02576"/>
    <w:rsid w:val="18F41B50"/>
    <w:rsid w:val="18F54548"/>
    <w:rsid w:val="18F71640"/>
    <w:rsid w:val="18F953B8"/>
    <w:rsid w:val="18FB4F3C"/>
    <w:rsid w:val="18FC4BE1"/>
    <w:rsid w:val="18FD64DE"/>
    <w:rsid w:val="18FF4051"/>
    <w:rsid w:val="19006747"/>
    <w:rsid w:val="19037FE5"/>
    <w:rsid w:val="19061883"/>
    <w:rsid w:val="19082DB8"/>
    <w:rsid w:val="190873AA"/>
    <w:rsid w:val="190D16C1"/>
    <w:rsid w:val="190D676E"/>
    <w:rsid w:val="190E24E6"/>
    <w:rsid w:val="190F553C"/>
    <w:rsid w:val="190F6621"/>
    <w:rsid w:val="19121FD6"/>
    <w:rsid w:val="191823D8"/>
    <w:rsid w:val="19191C06"/>
    <w:rsid w:val="191B5B43"/>
    <w:rsid w:val="191D1E58"/>
    <w:rsid w:val="191D225D"/>
    <w:rsid w:val="191E388D"/>
    <w:rsid w:val="191F56A4"/>
    <w:rsid w:val="1921125B"/>
    <w:rsid w:val="192817FA"/>
    <w:rsid w:val="19291327"/>
    <w:rsid w:val="192B4FB9"/>
    <w:rsid w:val="192E0495"/>
    <w:rsid w:val="192E1B6B"/>
    <w:rsid w:val="192F0DDA"/>
    <w:rsid w:val="19313D35"/>
    <w:rsid w:val="19342BF6"/>
    <w:rsid w:val="19346683"/>
    <w:rsid w:val="19350C09"/>
    <w:rsid w:val="19362169"/>
    <w:rsid w:val="19377C8F"/>
    <w:rsid w:val="193957B5"/>
    <w:rsid w:val="19397563"/>
    <w:rsid w:val="193C34F7"/>
    <w:rsid w:val="193D6430"/>
    <w:rsid w:val="19410B0E"/>
    <w:rsid w:val="19426379"/>
    <w:rsid w:val="194303E2"/>
    <w:rsid w:val="1943718F"/>
    <w:rsid w:val="1945415A"/>
    <w:rsid w:val="1947355F"/>
    <w:rsid w:val="19495285"/>
    <w:rsid w:val="194B7296"/>
    <w:rsid w:val="194C2307"/>
    <w:rsid w:val="194F5897"/>
    <w:rsid w:val="19516938"/>
    <w:rsid w:val="19520625"/>
    <w:rsid w:val="19555A8F"/>
    <w:rsid w:val="195B1BCF"/>
    <w:rsid w:val="195D451A"/>
    <w:rsid w:val="196071E6"/>
    <w:rsid w:val="19614D0C"/>
    <w:rsid w:val="1962101F"/>
    <w:rsid w:val="19623E38"/>
    <w:rsid w:val="19651BDE"/>
    <w:rsid w:val="196670D4"/>
    <w:rsid w:val="196A3BC0"/>
    <w:rsid w:val="196A633D"/>
    <w:rsid w:val="196B1742"/>
    <w:rsid w:val="196D36B1"/>
    <w:rsid w:val="196D699F"/>
    <w:rsid w:val="196E336A"/>
    <w:rsid w:val="196E5054"/>
    <w:rsid w:val="196F6531"/>
    <w:rsid w:val="197074A4"/>
    <w:rsid w:val="19715028"/>
    <w:rsid w:val="1974673C"/>
    <w:rsid w:val="197A0B66"/>
    <w:rsid w:val="197D0A1F"/>
    <w:rsid w:val="19801636"/>
    <w:rsid w:val="19801A31"/>
    <w:rsid w:val="19804B99"/>
    <w:rsid w:val="19831126"/>
    <w:rsid w:val="198527A8"/>
    <w:rsid w:val="1985420A"/>
    <w:rsid w:val="19861875"/>
    <w:rsid w:val="19873D97"/>
    <w:rsid w:val="198804EA"/>
    <w:rsid w:val="198B6ABB"/>
    <w:rsid w:val="198C1D89"/>
    <w:rsid w:val="198D5B01"/>
    <w:rsid w:val="198D78AF"/>
    <w:rsid w:val="198D7E0D"/>
    <w:rsid w:val="198E4358"/>
    <w:rsid w:val="19932C1F"/>
    <w:rsid w:val="19940C3D"/>
    <w:rsid w:val="19953386"/>
    <w:rsid w:val="199C5D44"/>
    <w:rsid w:val="199D2716"/>
    <w:rsid w:val="199E386A"/>
    <w:rsid w:val="199F24B8"/>
    <w:rsid w:val="19A277FE"/>
    <w:rsid w:val="19A8293B"/>
    <w:rsid w:val="19A97ACA"/>
    <w:rsid w:val="19B116F0"/>
    <w:rsid w:val="19B17A41"/>
    <w:rsid w:val="19B26816"/>
    <w:rsid w:val="19B41B3F"/>
    <w:rsid w:val="19B4308D"/>
    <w:rsid w:val="19B757BD"/>
    <w:rsid w:val="19B9183E"/>
    <w:rsid w:val="19B962C5"/>
    <w:rsid w:val="19BA3BF4"/>
    <w:rsid w:val="19BB1334"/>
    <w:rsid w:val="19C059DD"/>
    <w:rsid w:val="19C05DE0"/>
    <w:rsid w:val="19C71013"/>
    <w:rsid w:val="19CA28B1"/>
    <w:rsid w:val="19CC03D7"/>
    <w:rsid w:val="19CC73B8"/>
    <w:rsid w:val="19CF1C75"/>
    <w:rsid w:val="19D05AA7"/>
    <w:rsid w:val="19D378E4"/>
    <w:rsid w:val="19D90D46"/>
    <w:rsid w:val="19DD2002"/>
    <w:rsid w:val="19DD6C77"/>
    <w:rsid w:val="19E17618"/>
    <w:rsid w:val="19E23CE7"/>
    <w:rsid w:val="19E25E4D"/>
    <w:rsid w:val="19E823B4"/>
    <w:rsid w:val="19E930C7"/>
    <w:rsid w:val="19EA6364"/>
    <w:rsid w:val="19ED1DD0"/>
    <w:rsid w:val="19EF40C6"/>
    <w:rsid w:val="19F17E3E"/>
    <w:rsid w:val="19F31E08"/>
    <w:rsid w:val="19F37FC3"/>
    <w:rsid w:val="19F44C70"/>
    <w:rsid w:val="19F5725E"/>
    <w:rsid w:val="19F72770"/>
    <w:rsid w:val="19FB2913"/>
    <w:rsid w:val="19FB2A6A"/>
    <w:rsid w:val="19FE49A4"/>
    <w:rsid w:val="19FF6B56"/>
    <w:rsid w:val="1A074445"/>
    <w:rsid w:val="1A077232"/>
    <w:rsid w:val="1A077C0D"/>
    <w:rsid w:val="1A081F8F"/>
    <w:rsid w:val="1A0C4C78"/>
    <w:rsid w:val="1A10076A"/>
    <w:rsid w:val="1A1705CB"/>
    <w:rsid w:val="1A1A2486"/>
    <w:rsid w:val="1A1B1520"/>
    <w:rsid w:val="1A1C0ECE"/>
    <w:rsid w:val="1A1C66C0"/>
    <w:rsid w:val="1A1D0C33"/>
    <w:rsid w:val="1A1D6E85"/>
    <w:rsid w:val="1A1E1EC6"/>
    <w:rsid w:val="1A24605E"/>
    <w:rsid w:val="1A2477A4"/>
    <w:rsid w:val="1A2553DE"/>
    <w:rsid w:val="1A270D56"/>
    <w:rsid w:val="1A2B1E17"/>
    <w:rsid w:val="1A2D627F"/>
    <w:rsid w:val="1A2E6AFD"/>
    <w:rsid w:val="1A310B82"/>
    <w:rsid w:val="1A352420"/>
    <w:rsid w:val="1A381F10"/>
    <w:rsid w:val="1A383CBF"/>
    <w:rsid w:val="1A3A3315"/>
    <w:rsid w:val="1A3A3E91"/>
    <w:rsid w:val="1A3F6DFB"/>
    <w:rsid w:val="1A402B73"/>
    <w:rsid w:val="1A42393B"/>
    <w:rsid w:val="1A426F09"/>
    <w:rsid w:val="1A4408B5"/>
    <w:rsid w:val="1A473F02"/>
    <w:rsid w:val="1A475CB0"/>
    <w:rsid w:val="1A4A39F2"/>
    <w:rsid w:val="1A4C62E6"/>
    <w:rsid w:val="1A4D3A56"/>
    <w:rsid w:val="1A4F6C0B"/>
    <w:rsid w:val="1A4F77D9"/>
    <w:rsid w:val="1A50108F"/>
    <w:rsid w:val="1A534654"/>
    <w:rsid w:val="1A541B9F"/>
    <w:rsid w:val="1A5503C6"/>
    <w:rsid w:val="1A560AE8"/>
    <w:rsid w:val="1A571703"/>
    <w:rsid w:val="1A5959E3"/>
    <w:rsid w:val="1A5B175B"/>
    <w:rsid w:val="1A5C1C9D"/>
    <w:rsid w:val="1A5D1977"/>
    <w:rsid w:val="1A5F749D"/>
    <w:rsid w:val="1A625F18"/>
    <w:rsid w:val="1A627289"/>
    <w:rsid w:val="1A642653"/>
    <w:rsid w:val="1A644AB4"/>
    <w:rsid w:val="1A654388"/>
    <w:rsid w:val="1A66082C"/>
    <w:rsid w:val="1A690A7B"/>
    <w:rsid w:val="1A691B7F"/>
    <w:rsid w:val="1A6C44A8"/>
    <w:rsid w:val="1A6E5932"/>
    <w:rsid w:val="1A702114"/>
    <w:rsid w:val="1A7235BA"/>
    <w:rsid w:val="1A732E59"/>
    <w:rsid w:val="1A75666F"/>
    <w:rsid w:val="1A756CC1"/>
    <w:rsid w:val="1A766595"/>
    <w:rsid w:val="1A77044E"/>
    <w:rsid w:val="1A77171C"/>
    <w:rsid w:val="1A771DB3"/>
    <w:rsid w:val="1A774681"/>
    <w:rsid w:val="1A77706B"/>
    <w:rsid w:val="1A7B314C"/>
    <w:rsid w:val="1A7F18ED"/>
    <w:rsid w:val="1A877ED4"/>
    <w:rsid w:val="1A8844E0"/>
    <w:rsid w:val="1A89451A"/>
    <w:rsid w:val="1A907227"/>
    <w:rsid w:val="1A935399"/>
    <w:rsid w:val="1A99193F"/>
    <w:rsid w:val="1A993E0E"/>
    <w:rsid w:val="1A9A252C"/>
    <w:rsid w:val="1A9A44E6"/>
    <w:rsid w:val="1A9A68F5"/>
    <w:rsid w:val="1A9C7118"/>
    <w:rsid w:val="1A9F0B80"/>
    <w:rsid w:val="1AA11864"/>
    <w:rsid w:val="1AA234C1"/>
    <w:rsid w:val="1AA41354"/>
    <w:rsid w:val="1AA45B7C"/>
    <w:rsid w:val="1AA57C4B"/>
    <w:rsid w:val="1AA661E6"/>
    <w:rsid w:val="1AA73748"/>
    <w:rsid w:val="1AAB0F89"/>
    <w:rsid w:val="1AAD45DE"/>
    <w:rsid w:val="1AAD645B"/>
    <w:rsid w:val="1AAF48FE"/>
    <w:rsid w:val="1AB05F4B"/>
    <w:rsid w:val="1AB16BE7"/>
    <w:rsid w:val="1AB42096"/>
    <w:rsid w:val="1AB53561"/>
    <w:rsid w:val="1AB70A67"/>
    <w:rsid w:val="1AB712A6"/>
    <w:rsid w:val="1AB94683"/>
    <w:rsid w:val="1ABB634B"/>
    <w:rsid w:val="1ABC669E"/>
    <w:rsid w:val="1ABE0A08"/>
    <w:rsid w:val="1ABF20EF"/>
    <w:rsid w:val="1AC562F6"/>
    <w:rsid w:val="1AC70938"/>
    <w:rsid w:val="1ACB068F"/>
    <w:rsid w:val="1ACF7056"/>
    <w:rsid w:val="1AD02149"/>
    <w:rsid w:val="1AD033F7"/>
    <w:rsid w:val="1AD03EF7"/>
    <w:rsid w:val="1AD25EC1"/>
    <w:rsid w:val="1AD35795"/>
    <w:rsid w:val="1AD47D19"/>
    <w:rsid w:val="1AD74320"/>
    <w:rsid w:val="1AD80FFE"/>
    <w:rsid w:val="1ADA6B24"/>
    <w:rsid w:val="1ADB5534"/>
    <w:rsid w:val="1ADD1838"/>
    <w:rsid w:val="1AE03964"/>
    <w:rsid w:val="1AE43832"/>
    <w:rsid w:val="1AE6196C"/>
    <w:rsid w:val="1AE94FB9"/>
    <w:rsid w:val="1AE965F6"/>
    <w:rsid w:val="1AE96D67"/>
    <w:rsid w:val="1AEB0D31"/>
    <w:rsid w:val="1AF16011"/>
    <w:rsid w:val="1AF2684C"/>
    <w:rsid w:val="1AF40883"/>
    <w:rsid w:val="1AF8070A"/>
    <w:rsid w:val="1AFA3634"/>
    <w:rsid w:val="1AFB339F"/>
    <w:rsid w:val="1AFE1636"/>
    <w:rsid w:val="1B010554"/>
    <w:rsid w:val="1B040045"/>
    <w:rsid w:val="1B046F80"/>
    <w:rsid w:val="1B057A89"/>
    <w:rsid w:val="1B064314"/>
    <w:rsid w:val="1B067E97"/>
    <w:rsid w:val="1B0C0399"/>
    <w:rsid w:val="1B0D0CA7"/>
    <w:rsid w:val="1B0D3938"/>
    <w:rsid w:val="1B0F0EC3"/>
    <w:rsid w:val="1B0F340C"/>
    <w:rsid w:val="1B132036"/>
    <w:rsid w:val="1B1B1D13"/>
    <w:rsid w:val="1B1F731E"/>
    <w:rsid w:val="1B211DAD"/>
    <w:rsid w:val="1B216501"/>
    <w:rsid w:val="1B234B55"/>
    <w:rsid w:val="1B253579"/>
    <w:rsid w:val="1B2614B6"/>
    <w:rsid w:val="1B282A9E"/>
    <w:rsid w:val="1B2B55D1"/>
    <w:rsid w:val="1B2C41B8"/>
    <w:rsid w:val="1B2D46D3"/>
    <w:rsid w:val="1B2D5CD8"/>
    <w:rsid w:val="1B2E6E70"/>
    <w:rsid w:val="1B3267B5"/>
    <w:rsid w:val="1B331237"/>
    <w:rsid w:val="1B3501FE"/>
    <w:rsid w:val="1B356450"/>
    <w:rsid w:val="1B360DEC"/>
    <w:rsid w:val="1B3A4EF8"/>
    <w:rsid w:val="1B3A5814"/>
    <w:rsid w:val="1B3B20A7"/>
    <w:rsid w:val="1B3C05FD"/>
    <w:rsid w:val="1B3F31E7"/>
    <w:rsid w:val="1B40161D"/>
    <w:rsid w:val="1B432B77"/>
    <w:rsid w:val="1B441859"/>
    <w:rsid w:val="1B442B22"/>
    <w:rsid w:val="1B4570ED"/>
    <w:rsid w:val="1B481CDF"/>
    <w:rsid w:val="1B486183"/>
    <w:rsid w:val="1B48705E"/>
    <w:rsid w:val="1B497C64"/>
    <w:rsid w:val="1B4A1EFB"/>
    <w:rsid w:val="1B4A3D8C"/>
    <w:rsid w:val="1B4B3B0F"/>
    <w:rsid w:val="1B4C0CF6"/>
    <w:rsid w:val="1B4C363B"/>
    <w:rsid w:val="1B4E2BFF"/>
    <w:rsid w:val="1B542D7A"/>
    <w:rsid w:val="1B5508A0"/>
    <w:rsid w:val="1B55148A"/>
    <w:rsid w:val="1B570174"/>
    <w:rsid w:val="1B5774DC"/>
    <w:rsid w:val="1B59213E"/>
    <w:rsid w:val="1B59564F"/>
    <w:rsid w:val="1B5B63AC"/>
    <w:rsid w:val="1B5C1C2F"/>
    <w:rsid w:val="1B5C578B"/>
    <w:rsid w:val="1B5D1330"/>
    <w:rsid w:val="1B5E4DAB"/>
    <w:rsid w:val="1B645B6A"/>
    <w:rsid w:val="1B6606B1"/>
    <w:rsid w:val="1B661EA8"/>
    <w:rsid w:val="1B665DAB"/>
    <w:rsid w:val="1B670A25"/>
    <w:rsid w:val="1B673BD4"/>
    <w:rsid w:val="1B675F25"/>
    <w:rsid w:val="1B680151"/>
    <w:rsid w:val="1B6A495F"/>
    <w:rsid w:val="1B6B1E72"/>
    <w:rsid w:val="1B6F3710"/>
    <w:rsid w:val="1B721621"/>
    <w:rsid w:val="1B740D71"/>
    <w:rsid w:val="1B74483B"/>
    <w:rsid w:val="1B7546AC"/>
    <w:rsid w:val="1B7725C5"/>
    <w:rsid w:val="1B7927E1"/>
    <w:rsid w:val="1B7C7BDB"/>
    <w:rsid w:val="1B7E3953"/>
    <w:rsid w:val="1B832C79"/>
    <w:rsid w:val="1B8330D7"/>
    <w:rsid w:val="1B882A24"/>
    <w:rsid w:val="1B89189F"/>
    <w:rsid w:val="1B8C2514"/>
    <w:rsid w:val="1B8D3D69"/>
    <w:rsid w:val="1B915DEE"/>
    <w:rsid w:val="1B965C31"/>
    <w:rsid w:val="1B966EEF"/>
    <w:rsid w:val="1B9F6E09"/>
    <w:rsid w:val="1BA14302"/>
    <w:rsid w:val="1BA37416"/>
    <w:rsid w:val="1BA50EE0"/>
    <w:rsid w:val="1BA53A1D"/>
    <w:rsid w:val="1BA64C58"/>
    <w:rsid w:val="1BAD7BDA"/>
    <w:rsid w:val="1BAF60E8"/>
    <w:rsid w:val="1BB13D28"/>
    <w:rsid w:val="1BB90309"/>
    <w:rsid w:val="1BB91E1A"/>
    <w:rsid w:val="1BBE1FA1"/>
    <w:rsid w:val="1BC577D4"/>
    <w:rsid w:val="1BC7354C"/>
    <w:rsid w:val="1BC872C4"/>
    <w:rsid w:val="1BCB46BE"/>
    <w:rsid w:val="1BCE079D"/>
    <w:rsid w:val="1BCF2540"/>
    <w:rsid w:val="1BCF3F41"/>
    <w:rsid w:val="1BCF528E"/>
    <w:rsid w:val="1BD32128"/>
    <w:rsid w:val="1BD419C3"/>
    <w:rsid w:val="1BD565F1"/>
    <w:rsid w:val="1BD6553D"/>
    <w:rsid w:val="1BD663E1"/>
    <w:rsid w:val="1BD83AE2"/>
    <w:rsid w:val="1BDB0DA5"/>
    <w:rsid w:val="1BDC711D"/>
    <w:rsid w:val="1BE0426C"/>
    <w:rsid w:val="1BE53B78"/>
    <w:rsid w:val="1BE85270"/>
    <w:rsid w:val="1BED0AD9"/>
    <w:rsid w:val="1BEE6FF1"/>
    <w:rsid w:val="1BEF2C82"/>
    <w:rsid w:val="1BF14125"/>
    <w:rsid w:val="1BF3775C"/>
    <w:rsid w:val="1BF72F6B"/>
    <w:rsid w:val="1BF75ABE"/>
    <w:rsid w:val="1BF8447F"/>
    <w:rsid w:val="1BFB4FA4"/>
    <w:rsid w:val="1BFC5AAE"/>
    <w:rsid w:val="1BFC6A16"/>
    <w:rsid w:val="1BFE569F"/>
    <w:rsid w:val="1C006A5E"/>
    <w:rsid w:val="1C0240F1"/>
    <w:rsid w:val="1C03400A"/>
    <w:rsid w:val="1C0512AB"/>
    <w:rsid w:val="1C0B5667"/>
    <w:rsid w:val="1C0E2F29"/>
    <w:rsid w:val="1C0E522C"/>
    <w:rsid w:val="1C0F43BE"/>
    <w:rsid w:val="1C114776"/>
    <w:rsid w:val="1C116575"/>
    <w:rsid w:val="1C140CED"/>
    <w:rsid w:val="1C1737F0"/>
    <w:rsid w:val="1C18238B"/>
    <w:rsid w:val="1C185B56"/>
    <w:rsid w:val="1C1918CE"/>
    <w:rsid w:val="1C1A6466"/>
    <w:rsid w:val="1C1C4D49"/>
    <w:rsid w:val="1C1D0281"/>
    <w:rsid w:val="1C1D316C"/>
    <w:rsid w:val="1C1E075D"/>
    <w:rsid w:val="1C1E6EE4"/>
    <w:rsid w:val="1C202C5C"/>
    <w:rsid w:val="1C231BDF"/>
    <w:rsid w:val="1C232085"/>
    <w:rsid w:val="1C24274C"/>
    <w:rsid w:val="1C255548"/>
    <w:rsid w:val="1C273FEB"/>
    <w:rsid w:val="1C28192C"/>
    <w:rsid w:val="1C290D88"/>
    <w:rsid w:val="1C295FB5"/>
    <w:rsid w:val="1C2C33AF"/>
    <w:rsid w:val="1C2D2C87"/>
    <w:rsid w:val="1C2F2649"/>
    <w:rsid w:val="1C302A4A"/>
    <w:rsid w:val="1C314E69"/>
    <w:rsid w:val="1C323007"/>
    <w:rsid w:val="1C335B7D"/>
    <w:rsid w:val="1C343C01"/>
    <w:rsid w:val="1C362480"/>
    <w:rsid w:val="1C3A4D1B"/>
    <w:rsid w:val="1C3B5CE8"/>
    <w:rsid w:val="1C3D0DFD"/>
    <w:rsid w:val="1C3D3A8E"/>
    <w:rsid w:val="1C427076"/>
    <w:rsid w:val="1C454471"/>
    <w:rsid w:val="1C4A5491"/>
    <w:rsid w:val="1C4A5F2B"/>
    <w:rsid w:val="1C5020B1"/>
    <w:rsid w:val="1C512E16"/>
    <w:rsid w:val="1C5806C6"/>
    <w:rsid w:val="1C592DDD"/>
    <w:rsid w:val="1C594847"/>
    <w:rsid w:val="1C5B5A42"/>
    <w:rsid w:val="1C5D17BA"/>
    <w:rsid w:val="1C5D682E"/>
    <w:rsid w:val="1C5E3DCB"/>
    <w:rsid w:val="1C5E4C0E"/>
    <w:rsid w:val="1C5E5533"/>
    <w:rsid w:val="1C5E7925"/>
    <w:rsid w:val="1C6011D5"/>
    <w:rsid w:val="1C664CAD"/>
    <w:rsid w:val="1C6719D0"/>
    <w:rsid w:val="1C6F7740"/>
    <w:rsid w:val="1C712397"/>
    <w:rsid w:val="1C7510DE"/>
    <w:rsid w:val="1C7513AC"/>
    <w:rsid w:val="1C7A6810"/>
    <w:rsid w:val="1C7B2A39"/>
    <w:rsid w:val="1C7D5B40"/>
    <w:rsid w:val="1C7D5F80"/>
    <w:rsid w:val="1C7F3E27"/>
    <w:rsid w:val="1C81525F"/>
    <w:rsid w:val="1C8519AD"/>
    <w:rsid w:val="1C901B90"/>
    <w:rsid w:val="1C9067F5"/>
    <w:rsid w:val="1C940F54"/>
    <w:rsid w:val="1C942153"/>
    <w:rsid w:val="1C9553F8"/>
    <w:rsid w:val="1C96250C"/>
    <w:rsid w:val="1C964CCC"/>
    <w:rsid w:val="1C9866E2"/>
    <w:rsid w:val="1C991D97"/>
    <w:rsid w:val="1C9B0AC0"/>
    <w:rsid w:val="1C9D1DBA"/>
    <w:rsid w:val="1C9E6CDF"/>
    <w:rsid w:val="1CA03582"/>
    <w:rsid w:val="1CA33EE6"/>
    <w:rsid w:val="1CA43FED"/>
    <w:rsid w:val="1CA62EB3"/>
    <w:rsid w:val="1CA94A00"/>
    <w:rsid w:val="1CAA3544"/>
    <w:rsid w:val="1CAA3CAC"/>
    <w:rsid w:val="1CAB4DDF"/>
    <w:rsid w:val="1CAD1AE1"/>
    <w:rsid w:val="1CAE0268"/>
    <w:rsid w:val="1CB17D58"/>
    <w:rsid w:val="1CB37FA5"/>
    <w:rsid w:val="1CB515F6"/>
    <w:rsid w:val="1CB55994"/>
    <w:rsid w:val="1CB5606A"/>
    <w:rsid w:val="1CB64928"/>
    <w:rsid w:val="1CB95D70"/>
    <w:rsid w:val="1CBB5EDD"/>
    <w:rsid w:val="1CBC07BB"/>
    <w:rsid w:val="1CBD494F"/>
    <w:rsid w:val="1CBF5FD1"/>
    <w:rsid w:val="1CC21F65"/>
    <w:rsid w:val="1CC655B2"/>
    <w:rsid w:val="1CC94592"/>
    <w:rsid w:val="1CC950A2"/>
    <w:rsid w:val="1CCC6940"/>
    <w:rsid w:val="1CCD4C51"/>
    <w:rsid w:val="1CCE26B8"/>
    <w:rsid w:val="1CD03790"/>
    <w:rsid w:val="1CD13F56"/>
    <w:rsid w:val="1CD35F20"/>
    <w:rsid w:val="1CD51C99"/>
    <w:rsid w:val="1CD6156D"/>
    <w:rsid w:val="1CDC5062"/>
    <w:rsid w:val="1CDD6D9F"/>
    <w:rsid w:val="1CDF02CF"/>
    <w:rsid w:val="1CDF0421"/>
    <w:rsid w:val="1CE2419F"/>
    <w:rsid w:val="1CE74615"/>
    <w:rsid w:val="1CE83405"/>
    <w:rsid w:val="1CE85B10"/>
    <w:rsid w:val="1CE87DC3"/>
    <w:rsid w:val="1CE90655"/>
    <w:rsid w:val="1CE93393"/>
    <w:rsid w:val="1CEB5A28"/>
    <w:rsid w:val="1CEB658C"/>
    <w:rsid w:val="1CEC2B3E"/>
    <w:rsid w:val="1CEF4228"/>
    <w:rsid w:val="1CF10155"/>
    <w:rsid w:val="1CF21631"/>
    <w:rsid w:val="1CF814E3"/>
    <w:rsid w:val="1CFB0386"/>
    <w:rsid w:val="1CFB061C"/>
    <w:rsid w:val="1CFB69B3"/>
    <w:rsid w:val="1CFC0FD3"/>
    <w:rsid w:val="1CFD070F"/>
    <w:rsid w:val="1CFF1337"/>
    <w:rsid w:val="1D054610"/>
    <w:rsid w:val="1D10617D"/>
    <w:rsid w:val="1D1327C1"/>
    <w:rsid w:val="1D13456F"/>
    <w:rsid w:val="1D13581B"/>
    <w:rsid w:val="1D13631D"/>
    <w:rsid w:val="1D143F49"/>
    <w:rsid w:val="1D1671DE"/>
    <w:rsid w:val="1D1C78C7"/>
    <w:rsid w:val="1D1D719C"/>
    <w:rsid w:val="1D1E36F3"/>
    <w:rsid w:val="1D1F2F14"/>
    <w:rsid w:val="1D271DC8"/>
    <w:rsid w:val="1D295EC8"/>
    <w:rsid w:val="1D2C5CCF"/>
    <w:rsid w:val="1D2E13A9"/>
    <w:rsid w:val="1D311390"/>
    <w:rsid w:val="1D3369BF"/>
    <w:rsid w:val="1D3429E0"/>
    <w:rsid w:val="1D3477F3"/>
    <w:rsid w:val="1D3B4890"/>
    <w:rsid w:val="1D3C3AC6"/>
    <w:rsid w:val="1D3C54E7"/>
    <w:rsid w:val="1D3C5874"/>
    <w:rsid w:val="1D3D36DF"/>
    <w:rsid w:val="1D3D530A"/>
    <w:rsid w:val="1D413692"/>
    <w:rsid w:val="1D413F06"/>
    <w:rsid w:val="1D41732E"/>
    <w:rsid w:val="1D4209B0"/>
    <w:rsid w:val="1D437C0D"/>
    <w:rsid w:val="1D497B99"/>
    <w:rsid w:val="1D4F0E60"/>
    <w:rsid w:val="1D4F2611"/>
    <w:rsid w:val="1D4F4C41"/>
    <w:rsid w:val="1D5232E9"/>
    <w:rsid w:val="1D540E0F"/>
    <w:rsid w:val="1D5726AE"/>
    <w:rsid w:val="1D5801D4"/>
    <w:rsid w:val="1D5A219E"/>
    <w:rsid w:val="1D5F6196"/>
    <w:rsid w:val="1D6074CD"/>
    <w:rsid w:val="1D6132A5"/>
    <w:rsid w:val="1D613DFF"/>
    <w:rsid w:val="1D63289E"/>
    <w:rsid w:val="1D6911CF"/>
    <w:rsid w:val="1D6C6AF4"/>
    <w:rsid w:val="1D6D0123"/>
    <w:rsid w:val="1D6D12C4"/>
    <w:rsid w:val="1D6E6437"/>
    <w:rsid w:val="1D6E7AAB"/>
    <w:rsid w:val="1D750D86"/>
    <w:rsid w:val="1D7C3EC2"/>
    <w:rsid w:val="1D7E4AF6"/>
    <w:rsid w:val="1D8343B8"/>
    <w:rsid w:val="1D851A78"/>
    <w:rsid w:val="1D853184"/>
    <w:rsid w:val="1D876420"/>
    <w:rsid w:val="1D8852B6"/>
    <w:rsid w:val="1D8A2A83"/>
    <w:rsid w:val="1D8E3BF5"/>
    <w:rsid w:val="1D8E56D5"/>
    <w:rsid w:val="1D921938"/>
    <w:rsid w:val="1D936D62"/>
    <w:rsid w:val="1D94745E"/>
    <w:rsid w:val="1D955114"/>
    <w:rsid w:val="1D967931"/>
    <w:rsid w:val="1D990F18"/>
    <w:rsid w:val="1D995349"/>
    <w:rsid w:val="1D9C6312"/>
    <w:rsid w:val="1DA653E3"/>
    <w:rsid w:val="1DAA6C81"/>
    <w:rsid w:val="1DAB7CF8"/>
    <w:rsid w:val="1DAD60C9"/>
    <w:rsid w:val="1DAF3ECD"/>
    <w:rsid w:val="1DAF6371"/>
    <w:rsid w:val="1DB5375F"/>
    <w:rsid w:val="1DB71963"/>
    <w:rsid w:val="1DB7314C"/>
    <w:rsid w:val="1DB84A87"/>
    <w:rsid w:val="1DB93368"/>
    <w:rsid w:val="1DBA49EB"/>
    <w:rsid w:val="1DC064A5"/>
    <w:rsid w:val="1DC127DC"/>
    <w:rsid w:val="1DC26F58"/>
    <w:rsid w:val="1DC2731F"/>
    <w:rsid w:val="1DC31AF1"/>
    <w:rsid w:val="1DC3418A"/>
    <w:rsid w:val="1DC37D43"/>
    <w:rsid w:val="1DC53ABB"/>
    <w:rsid w:val="1DCB4F6F"/>
    <w:rsid w:val="1DCC1AFC"/>
    <w:rsid w:val="1DCF1300"/>
    <w:rsid w:val="1DCF493A"/>
    <w:rsid w:val="1DCF4DE5"/>
    <w:rsid w:val="1DD04C16"/>
    <w:rsid w:val="1DD15E49"/>
    <w:rsid w:val="1DD3180C"/>
    <w:rsid w:val="1DD60E27"/>
    <w:rsid w:val="1DD618AA"/>
    <w:rsid w:val="1DD726C7"/>
    <w:rsid w:val="1DD74379"/>
    <w:rsid w:val="1DD7559C"/>
    <w:rsid w:val="1DD93419"/>
    <w:rsid w:val="1DDA4851"/>
    <w:rsid w:val="1DDA52C0"/>
    <w:rsid w:val="1DDB0C18"/>
    <w:rsid w:val="1DDF15FA"/>
    <w:rsid w:val="1DDF4451"/>
    <w:rsid w:val="1DE06E78"/>
    <w:rsid w:val="1DE1649C"/>
    <w:rsid w:val="1DE43BB6"/>
    <w:rsid w:val="1DE5415D"/>
    <w:rsid w:val="1DE83FDC"/>
    <w:rsid w:val="1DEB0435"/>
    <w:rsid w:val="1DEC729A"/>
    <w:rsid w:val="1DED4DC0"/>
    <w:rsid w:val="1DEF28E6"/>
    <w:rsid w:val="1DF65F1C"/>
    <w:rsid w:val="1DF72A95"/>
    <w:rsid w:val="1DF82469"/>
    <w:rsid w:val="1DF93765"/>
    <w:rsid w:val="1DFC66EC"/>
    <w:rsid w:val="1DFC762E"/>
    <w:rsid w:val="1DFD3E87"/>
    <w:rsid w:val="1DFD647E"/>
    <w:rsid w:val="1DFE521F"/>
    <w:rsid w:val="1E002D45"/>
    <w:rsid w:val="1E0542F1"/>
    <w:rsid w:val="1E081BFA"/>
    <w:rsid w:val="1E095007"/>
    <w:rsid w:val="1E0A7720"/>
    <w:rsid w:val="1E106D28"/>
    <w:rsid w:val="1E1176E2"/>
    <w:rsid w:val="1E124827"/>
    <w:rsid w:val="1E126A33"/>
    <w:rsid w:val="1E145D9F"/>
    <w:rsid w:val="1E150636"/>
    <w:rsid w:val="1E151191"/>
    <w:rsid w:val="1E161958"/>
    <w:rsid w:val="1E181231"/>
    <w:rsid w:val="1E1D38F7"/>
    <w:rsid w:val="1E1F5A31"/>
    <w:rsid w:val="1E205195"/>
    <w:rsid w:val="1E2419AF"/>
    <w:rsid w:val="1E283262"/>
    <w:rsid w:val="1E29229C"/>
    <w:rsid w:val="1E2A1B70"/>
    <w:rsid w:val="1E2A28A5"/>
    <w:rsid w:val="1E2C58E8"/>
    <w:rsid w:val="1E2D6C02"/>
    <w:rsid w:val="1E2F362A"/>
    <w:rsid w:val="1E2F53D8"/>
    <w:rsid w:val="1E3173A3"/>
    <w:rsid w:val="1E33475A"/>
    <w:rsid w:val="1E35762A"/>
    <w:rsid w:val="1E357683"/>
    <w:rsid w:val="1E37428D"/>
    <w:rsid w:val="1E3B1032"/>
    <w:rsid w:val="1E3D138F"/>
    <w:rsid w:val="1E3D6B80"/>
    <w:rsid w:val="1E403142"/>
    <w:rsid w:val="1E4238FD"/>
    <w:rsid w:val="1E427C49"/>
    <w:rsid w:val="1E470974"/>
    <w:rsid w:val="1E4A72DF"/>
    <w:rsid w:val="1E4E1D03"/>
    <w:rsid w:val="1E4E2878"/>
    <w:rsid w:val="1E506F6D"/>
    <w:rsid w:val="1E543091"/>
    <w:rsid w:val="1E546BED"/>
    <w:rsid w:val="1E583A6C"/>
    <w:rsid w:val="1E596D23"/>
    <w:rsid w:val="1E5D0198"/>
    <w:rsid w:val="1E5D3CF4"/>
    <w:rsid w:val="1E5E2438"/>
    <w:rsid w:val="1E5F5CBE"/>
    <w:rsid w:val="1E6037E4"/>
    <w:rsid w:val="1E6275AB"/>
    <w:rsid w:val="1E644CF8"/>
    <w:rsid w:val="1E6A3879"/>
    <w:rsid w:val="1E6B43F3"/>
    <w:rsid w:val="1E6C03DB"/>
    <w:rsid w:val="1E6C5B40"/>
    <w:rsid w:val="1E6D7CAF"/>
    <w:rsid w:val="1E6E4153"/>
    <w:rsid w:val="1E700CF5"/>
    <w:rsid w:val="1E723709"/>
    <w:rsid w:val="1E73629B"/>
    <w:rsid w:val="1E7528FA"/>
    <w:rsid w:val="1E754444"/>
    <w:rsid w:val="1E7554E1"/>
    <w:rsid w:val="1E7617B9"/>
    <w:rsid w:val="1E766B63"/>
    <w:rsid w:val="1E7671F5"/>
    <w:rsid w:val="1E787674"/>
    <w:rsid w:val="1E796654"/>
    <w:rsid w:val="1E7A2231"/>
    <w:rsid w:val="1E7A43DA"/>
    <w:rsid w:val="1E7B315B"/>
    <w:rsid w:val="1E7F66E8"/>
    <w:rsid w:val="1E8474D2"/>
    <w:rsid w:val="1E85149C"/>
    <w:rsid w:val="1E870D71"/>
    <w:rsid w:val="1E875215"/>
    <w:rsid w:val="1E8A260F"/>
    <w:rsid w:val="1E8A6B7A"/>
    <w:rsid w:val="1E8F5E77"/>
    <w:rsid w:val="1E961552"/>
    <w:rsid w:val="1E967206"/>
    <w:rsid w:val="1E982F7E"/>
    <w:rsid w:val="1E990AA4"/>
    <w:rsid w:val="1E9972B1"/>
    <w:rsid w:val="1E9E60BA"/>
    <w:rsid w:val="1EA01E32"/>
    <w:rsid w:val="1EA03936"/>
    <w:rsid w:val="1EA27503"/>
    <w:rsid w:val="1EA27958"/>
    <w:rsid w:val="1EA777BD"/>
    <w:rsid w:val="1EA83DA3"/>
    <w:rsid w:val="1EA87903"/>
    <w:rsid w:val="1EAA1419"/>
    <w:rsid w:val="1EAB0F03"/>
    <w:rsid w:val="1EB37DB8"/>
    <w:rsid w:val="1EB86294"/>
    <w:rsid w:val="1EB92D75"/>
    <w:rsid w:val="1EBA2EF4"/>
    <w:rsid w:val="1EBB44D8"/>
    <w:rsid w:val="1EC10726"/>
    <w:rsid w:val="1EC12278"/>
    <w:rsid w:val="1EC51899"/>
    <w:rsid w:val="1EC65D3D"/>
    <w:rsid w:val="1EC71AB5"/>
    <w:rsid w:val="1EC93137"/>
    <w:rsid w:val="1ECA35DD"/>
    <w:rsid w:val="1ECC13D5"/>
    <w:rsid w:val="1ED16BC2"/>
    <w:rsid w:val="1ED55F80"/>
    <w:rsid w:val="1ED8781E"/>
    <w:rsid w:val="1EDF0BAD"/>
    <w:rsid w:val="1EDF6DFF"/>
    <w:rsid w:val="1EE00481"/>
    <w:rsid w:val="1EE14925"/>
    <w:rsid w:val="1EE22423"/>
    <w:rsid w:val="1EE5322F"/>
    <w:rsid w:val="1EE53CE9"/>
    <w:rsid w:val="1EE700E8"/>
    <w:rsid w:val="1EE746B0"/>
    <w:rsid w:val="1EEE5E7B"/>
    <w:rsid w:val="1EEE7042"/>
    <w:rsid w:val="1EF02233"/>
    <w:rsid w:val="1EF13599"/>
    <w:rsid w:val="1EF503D0"/>
    <w:rsid w:val="1EF74148"/>
    <w:rsid w:val="1EF76F5F"/>
    <w:rsid w:val="1EF87EC0"/>
    <w:rsid w:val="1EFB1C1F"/>
    <w:rsid w:val="1EFB52BB"/>
    <w:rsid w:val="1EFE7882"/>
    <w:rsid w:val="1F036962"/>
    <w:rsid w:val="1F0417E7"/>
    <w:rsid w:val="1F056DB6"/>
    <w:rsid w:val="1F073A20"/>
    <w:rsid w:val="1F073C5F"/>
    <w:rsid w:val="1F077A8B"/>
    <w:rsid w:val="1F094001"/>
    <w:rsid w:val="1F0A435A"/>
    <w:rsid w:val="1F0D04BB"/>
    <w:rsid w:val="1F0F5E9E"/>
    <w:rsid w:val="1F100D66"/>
    <w:rsid w:val="1F1153A7"/>
    <w:rsid w:val="1F120F82"/>
    <w:rsid w:val="1F130856"/>
    <w:rsid w:val="1F1574DA"/>
    <w:rsid w:val="1F1676CD"/>
    <w:rsid w:val="1F175BE1"/>
    <w:rsid w:val="1F1A7E37"/>
    <w:rsid w:val="1F1B4ACC"/>
    <w:rsid w:val="1F1C5CCF"/>
    <w:rsid w:val="1F1F2FC8"/>
    <w:rsid w:val="1F2D3AA8"/>
    <w:rsid w:val="1F2F72FC"/>
    <w:rsid w:val="1F316F2E"/>
    <w:rsid w:val="1F345DA4"/>
    <w:rsid w:val="1F3D3B25"/>
    <w:rsid w:val="1F3F56A7"/>
    <w:rsid w:val="1F4161F7"/>
    <w:rsid w:val="1F41656A"/>
    <w:rsid w:val="1F416751"/>
    <w:rsid w:val="1F417171"/>
    <w:rsid w:val="1F422EEA"/>
    <w:rsid w:val="1F43738D"/>
    <w:rsid w:val="1F4464BA"/>
    <w:rsid w:val="1F4712A9"/>
    <w:rsid w:val="1F487A0A"/>
    <w:rsid w:val="1F4A1079"/>
    <w:rsid w:val="1F4A6809"/>
    <w:rsid w:val="1F4B6242"/>
    <w:rsid w:val="1F4C22C9"/>
    <w:rsid w:val="1F4D1FBA"/>
    <w:rsid w:val="1F4E2D3C"/>
    <w:rsid w:val="1F4E3B53"/>
    <w:rsid w:val="1F5229F9"/>
    <w:rsid w:val="1F536EA5"/>
    <w:rsid w:val="1F567166"/>
    <w:rsid w:val="1F5844BB"/>
    <w:rsid w:val="1F5B7668"/>
    <w:rsid w:val="1F5D0D7D"/>
    <w:rsid w:val="1F61604A"/>
    <w:rsid w:val="1F652EB2"/>
    <w:rsid w:val="1F6B2440"/>
    <w:rsid w:val="1F6B6630"/>
    <w:rsid w:val="1F6C010F"/>
    <w:rsid w:val="1F6D61B8"/>
    <w:rsid w:val="1F710D13"/>
    <w:rsid w:val="1F720BAD"/>
    <w:rsid w:val="1F7532BF"/>
    <w:rsid w:val="1F760DAC"/>
    <w:rsid w:val="1F770DE5"/>
    <w:rsid w:val="1F775840"/>
    <w:rsid w:val="1F7E03C6"/>
    <w:rsid w:val="1F815CBB"/>
    <w:rsid w:val="1F826036"/>
    <w:rsid w:val="1F8319D3"/>
    <w:rsid w:val="1F83778A"/>
    <w:rsid w:val="1F8A423A"/>
    <w:rsid w:val="1F8B2AE2"/>
    <w:rsid w:val="1F8D685B"/>
    <w:rsid w:val="1F8F25D3"/>
    <w:rsid w:val="1F8F4381"/>
    <w:rsid w:val="1F903C55"/>
    <w:rsid w:val="1F923E71"/>
    <w:rsid w:val="1F925C1F"/>
    <w:rsid w:val="1F9359D8"/>
    <w:rsid w:val="1F953961"/>
    <w:rsid w:val="1F970904"/>
    <w:rsid w:val="1F9736CC"/>
    <w:rsid w:val="1F974FE3"/>
    <w:rsid w:val="1F9862E1"/>
    <w:rsid w:val="1F993599"/>
    <w:rsid w:val="1F9C4CF0"/>
    <w:rsid w:val="1F9C6264"/>
    <w:rsid w:val="1F9F20EA"/>
    <w:rsid w:val="1FA515AE"/>
    <w:rsid w:val="1FA63478"/>
    <w:rsid w:val="1FA83694"/>
    <w:rsid w:val="1FA8637E"/>
    <w:rsid w:val="1FA94D17"/>
    <w:rsid w:val="1FAA740D"/>
    <w:rsid w:val="1FAC198B"/>
    <w:rsid w:val="1FAD0CAB"/>
    <w:rsid w:val="1FAF390B"/>
    <w:rsid w:val="1FB01ED9"/>
    <w:rsid w:val="1FB34761"/>
    <w:rsid w:val="1FB36F38"/>
    <w:rsid w:val="1FB7561B"/>
    <w:rsid w:val="1FB77434"/>
    <w:rsid w:val="1FBC7D1A"/>
    <w:rsid w:val="1FBD4DCE"/>
    <w:rsid w:val="1FBD7BDA"/>
    <w:rsid w:val="1FBE4C66"/>
    <w:rsid w:val="1FC35DD8"/>
    <w:rsid w:val="1FC51728"/>
    <w:rsid w:val="1FC55FF4"/>
    <w:rsid w:val="1FC92990"/>
    <w:rsid w:val="1FCA6A09"/>
    <w:rsid w:val="1FD06B4E"/>
    <w:rsid w:val="1FD64A9C"/>
    <w:rsid w:val="1FD70807"/>
    <w:rsid w:val="1FD75660"/>
    <w:rsid w:val="1FD76FFD"/>
    <w:rsid w:val="1FD77AD6"/>
    <w:rsid w:val="1FD955FC"/>
    <w:rsid w:val="1FDA0F9F"/>
    <w:rsid w:val="1FDB6D57"/>
    <w:rsid w:val="1FDC6615"/>
    <w:rsid w:val="1FDF7B30"/>
    <w:rsid w:val="1FE10954"/>
    <w:rsid w:val="1FE20CB8"/>
    <w:rsid w:val="1FE302D9"/>
    <w:rsid w:val="1FE31C5D"/>
    <w:rsid w:val="1FE37A81"/>
    <w:rsid w:val="1FE44DAE"/>
    <w:rsid w:val="1FE67D19"/>
    <w:rsid w:val="1FE73AD8"/>
    <w:rsid w:val="1FE7539E"/>
    <w:rsid w:val="1FEB0D06"/>
    <w:rsid w:val="1FEB69A5"/>
    <w:rsid w:val="1FED10A7"/>
    <w:rsid w:val="1FEE5E44"/>
    <w:rsid w:val="1FF12F0D"/>
    <w:rsid w:val="1FF206FA"/>
    <w:rsid w:val="1FF47729"/>
    <w:rsid w:val="1FF75662"/>
    <w:rsid w:val="1FFB1A16"/>
    <w:rsid w:val="1FFD0C85"/>
    <w:rsid w:val="1FFE0FA4"/>
    <w:rsid w:val="200321A3"/>
    <w:rsid w:val="2005141C"/>
    <w:rsid w:val="20071E37"/>
    <w:rsid w:val="200C3C23"/>
    <w:rsid w:val="200D6AD4"/>
    <w:rsid w:val="200E6E26"/>
    <w:rsid w:val="200F101E"/>
    <w:rsid w:val="20103995"/>
    <w:rsid w:val="20120042"/>
    <w:rsid w:val="201202EC"/>
    <w:rsid w:val="20120B3A"/>
    <w:rsid w:val="20125160"/>
    <w:rsid w:val="20142AD8"/>
    <w:rsid w:val="20176C1F"/>
    <w:rsid w:val="201C13A1"/>
    <w:rsid w:val="201D6810"/>
    <w:rsid w:val="201F3089"/>
    <w:rsid w:val="2020322B"/>
    <w:rsid w:val="202328D1"/>
    <w:rsid w:val="20232D1B"/>
    <w:rsid w:val="20247583"/>
    <w:rsid w:val="20250841"/>
    <w:rsid w:val="20255344"/>
    <w:rsid w:val="20264155"/>
    <w:rsid w:val="20286393"/>
    <w:rsid w:val="202919D8"/>
    <w:rsid w:val="202C7E22"/>
    <w:rsid w:val="202D0540"/>
    <w:rsid w:val="202D7ABB"/>
    <w:rsid w:val="20304BC9"/>
    <w:rsid w:val="20327F92"/>
    <w:rsid w:val="20354B9F"/>
    <w:rsid w:val="20360A72"/>
    <w:rsid w:val="20360CA0"/>
    <w:rsid w:val="203733D4"/>
    <w:rsid w:val="20381C9B"/>
    <w:rsid w:val="203E71A1"/>
    <w:rsid w:val="20476A09"/>
    <w:rsid w:val="20492AB0"/>
    <w:rsid w:val="204C69CF"/>
    <w:rsid w:val="204D50CA"/>
    <w:rsid w:val="20500B3C"/>
    <w:rsid w:val="205125DC"/>
    <w:rsid w:val="20512A4D"/>
    <w:rsid w:val="20523600"/>
    <w:rsid w:val="20525C14"/>
    <w:rsid w:val="20570F7D"/>
    <w:rsid w:val="2059673D"/>
    <w:rsid w:val="20605D1D"/>
    <w:rsid w:val="20606C2D"/>
    <w:rsid w:val="20614BE1"/>
    <w:rsid w:val="20635817"/>
    <w:rsid w:val="2064675E"/>
    <w:rsid w:val="206509B3"/>
    <w:rsid w:val="20656875"/>
    <w:rsid w:val="20671BE0"/>
    <w:rsid w:val="206732C4"/>
    <w:rsid w:val="206875A4"/>
    <w:rsid w:val="206A7B6B"/>
    <w:rsid w:val="206D3CD0"/>
    <w:rsid w:val="206D7EBF"/>
    <w:rsid w:val="206F513C"/>
    <w:rsid w:val="2071419F"/>
    <w:rsid w:val="207417C9"/>
    <w:rsid w:val="20780513"/>
    <w:rsid w:val="20782685"/>
    <w:rsid w:val="207D0595"/>
    <w:rsid w:val="207E4321"/>
    <w:rsid w:val="20813107"/>
    <w:rsid w:val="20841A3D"/>
    <w:rsid w:val="20847C5E"/>
    <w:rsid w:val="208E4638"/>
    <w:rsid w:val="208F20F8"/>
    <w:rsid w:val="2091022A"/>
    <w:rsid w:val="2091139A"/>
    <w:rsid w:val="20926E3C"/>
    <w:rsid w:val="20937EA1"/>
    <w:rsid w:val="20943018"/>
    <w:rsid w:val="20963CB8"/>
    <w:rsid w:val="2096517D"/>
    <w:rsid w:val="2097631B"/>
    <w:rsid w:val="209B13A7"/>
    <w:rsid w:val="20A07046"/>
    <w:rsid w:val="20A46550"/>
    <w:rsid w:val="20A51EFA"/>
    <w:rsid w:val="20A57BD4"/>
    <w:rsid w:val="20A81A1B"/>
    <w:rsid w:val="20AA51EA"/>
    <w:rsid w:val="20AA58CA"/>
    <w:rsid w:val="20AC0140"/>
    <w:rsid w:val="20AC1040"/>
    <w:rsid w:val="20AC1D0E"/>
    <w:rsid w:val="20AD15F7"/>
    <w:rsid w:val="20AD37E4"/>
    <w:rsid w:val="20B07FB6"/>
    <w:rsid w:val="20B120D5"/>
    <w:rsid w:val="20B41BC5"/>
    <w:rsid w:val="20B47953"/>
    <w:rsid w:val="20B61DE1"/>
    <w:rsid w:val="20B646FB"/>
    <w:rsid w:val="20BD65A3"/>
    <w:rsid w:val="20BF74A1"/>
    <w:rsid w:val="20C06268"/>
    <w:rsid w:val="20C70FFA"/>
    <w:rsid w:val="20C73823"/>
    <w:rsid w:val="20C95670"/>
    <w:rsid w:val="20CA763A"/>
    <w:rsid w:val="20CB7022"/>
    <w:rsid w:val="20CC33B3"/>
    <w:rsid w:val="20CC462D"/>
    <w:rsid w:val="20CD545B"/>
    <w:rsid w:val="20D44015"/>
    <w:rsid w:val="20D95E14"/>
    <w:rsid w:val="20E10598"/>
    <w:rsid w:val="20E13692"/>
    <w:rsid w:val="20E210F3"/>
    <w:rsid w:val="20E23FBF"/>
    <w:rsid w:val="20E503C3"/>
    <w:rsid w:val="20E524BD"/>
    <w:rsid w:val="20E57FD0"/>
    <w:rsid w:val="20E879CA"/>
    <w:rsid w:val="20E97AC1"/>
    <w:rsid w:val="20ED405B"/>
    <w:rsid w:val="20ED7FB3"/>
    <w:rsid w:val="20EE50D7"/>
    <w:rsid w:val="20F052F3"/>
    <w:rsid w:val="20F12F48"/>
    <w:rsid w:val="20F16975"/>
    <w:rsid w:val="20F32E62"/>
    <w:rsid w:val="20F36B91"/>
    <w:rsid w:val="20F546B7"/>
    <w:rsid w:val="20F63F8C"/>
    <w:rsid w:val="20F727E3"/>
    <w:rsid w:val="20F947DD"/>
    <w:rsid w:val="20FA4EF8"/>
    <w:rsid w:val="20FB4802"/>
    <w:rsid w:val="20FD309D"/>
    <w:rsid w:val="20FD356C"/>
    <w:rsid w:val="20FD4325"/>
    <w:rsid w:val="210015FE"/>
    <w:rsid w:val="21026D57"/>
    <w:rsid w:val="2106401C"/>
    <w:rsid w:val="21076199"/>
    <w:rsid w:val="210963B5"/>
    <w:rsid w:val="210B3EDB"/>
    <w:rsid w:val="210E39CB"/>
    <w:rsid w:val="21131C93"/>
    <w:rsid w:val="21131D68"/>
    <w:rsid w:val="21133DFA"/>
    <w:rsid w:val="21146EED"/>
    <w:rsid w:val="211508B6"/>
    <w:rsid w:val="2115553D"/>
    <w:rsid w:val="211865F8"/>
    <w:rsid w:val="211C4ED1"/>
    <w:rsid w:val="211C515D"/>
    <w:rsid w:val="211C60E8"/>
    <w:rsid w:val="212136FE"/>
    <w:rsid w:val="21267CC9"/>
    <w:rsid w:val="212970F0"/>
    <w:rsid w:val="212A108E"/>
    <w:rsid w:val="212B4589"/>
    <w:rsid w:val="212B632B"/>
    <w:rsid w:val="212C4709"/>
    <w:rsid w:val="212D20A3"/>
    <w:rsid w:val="212E313C"/>
    <w:rsid w:val="212E4D36"/>
    <w:rsid w:val="212E5E1B"/>
    <w:rsid w:val="213351E0"/>
    <w:rsid w:val="21336F8E"/>
    <w:rsid w:val="21391D4A"/>
    <w:rsid w:val="213B74B1"/>
    <w:rsid w:val="213D0A88"/>
    <w:rsid w:val="213D4705"/>
    <w:rsid w:val="213F5933"/>
    <w:rsid w:val="2142373F"/>
    <w:rsid w:val="214473ED"/>
    <w:rsid w:val="21486EDD"/>
    <w:rsid w:val="21493A09"/>
    <w:rsid w:val="21497B49"/>
    <w:rsid w:val="214B3E29"/>
    <w:rsid w:val="214E1093"/>
    <w:rsid w:val="21515840"/>
    <w:rsid w:val="2152684E"/>
    <w:rsid w:val="2154306A"/>
    <w:rsid w:val="21550A30"/>
    <w:rsid w:val="21575429"/>
    <w:rsid w:val="21585573"/>
    <w:rsid w:val="215A2310"/>
    <w:rsid w:val="215B0293"/>
    <w:rsid w:val="215B6A13"/>
    <w:rsid w:val="215E080D"/>
    <w:rsid w:val="21611D4D"/>
    <w:rsid w:val="21633CF6"/>
    <w:rsid w:val="21647156"/>
    <w:rsid w:val="21682871"/>
    <w:rsid w:val="216E7FC6"/>
    <w:rsid w:val="216F2AE5"/>
    <w:rsid w:val="216F6686"/>
    <w:rsid w:val="21715339"/>
    <w:rsid w:val="217169F0"/>
    <w:rsid w:val="217267F7"/>
    <w:rsid w:val="21733A6B"/>
    <w:rsid w:val="21751354"/>
    <w:rsid w:val="21787096"/>
    <w:rsid w:val="217B0D84"/>
    <w:rsid w:val="217C285F"/>
    <w:rsid w:val="217E0B34"/>
    <w:rsid w:val="21814003"/>
    <w:rsid w:val="21815F4B"/>
    <w:rsid w:val="21834097"/>
    <w:rsid w:val="21834B6D"/>
    <w:rsid w:val="218863C1"/>
    <w:rsid w:val="21897F1F"/>
    <w:rsid w:val="218F2B3C"/>
    <w:rsid w:val="21913936"/>
    <w:rsid w:val="21923597"/>
    <w:rsid w:val="21933ED0"/>
    <w:rsid w:val="219752BD"/>
    <w:rsid w:val="21982A54"/>
    <w:rsid w:val="21997739"/>
    <w:rsid w:val="219C0FD7"/>
    <w:rsid w:val="21A06152"/>
    <w:rsid w:val="21A11346"/>
    <w:rsid w:val="21A310F7"/>
    <w:rsid w:val="21A334B0"/>
    <w:rsid w:val="21A459CA"/>
    <w:rsid w:val="21A734D8"/>
    <w:rsid w:val="21AD6D40"/>
    <w:rsid w:val="21AE4E2A"/>
    <w:rsid w:val="21AE6687"/>
    <w:rsid w:val="21AF1A42"/>
    <w:rsid w:val="21B12DAF"/>
    <w:rsid w:val="21B24356"/>
    <w:rsid w:val="21B24A1E"/>
    <w:rsid w:val="21B8113C"/>
    <w:rsid w:val="21B856E5"/>
    <w:rsid w:val="21B87493"/>
    <w:rsid w:val="21BE7A69"/>
    <w:rsid w:val="21C130EA"/>
    <w:rsid w:val="21C1459A"/>
    <w:rsid w:val="21C4408A"/>
    <w:rsid w:val="21C61BB0"/>
    <w:rsid w:val="21C64BB5"/>
    <w:rsid w:val="21C75363"/>
    <w:rsid w:val="21C803E4"/>
    <w:rsid w:val="21CA017A"/>
    <w:rsid w:val="21CA6037"/>
    <w:rsid w:val="21CC3891"/>
    <w:rsid w:val="21D267A7"/>
    <w:rsid w:val="21D4382B"/>
    <w:rsid w:val="21D56521"/>
    <w:rsid w:val="21D64333"/>
    <w:rsid w:val="21DC7625"/>
    <w:rsid w:val="21DD6EFA"/>
    <w:rsid w:val="21DE15EF"/>
    <w:rsid w:val="21DE318A"/>
    <w:rsid w:val="21E31671"/>
    <w:rsid w:val="21E529F4"/>
    <w:rsid w:val="21EB5EA8"/>
    <w:rsid w:val="21EC5231"/>
    <w:rsid w:val="21ED5369"/>
    <w:rsid w:val="21ED6A33"/>
    <w:rsid w:val="21EF5B80"/>
    <w:rsid w:val="21F20BF7"/>
    <w:rsid w:val="21F21E1D"/>
    <w:rsid w:val="21F623CE"/>
    <w:rsid w:val="21F75D56"/>
    <w:rsid w:val="21FD5398"/>
    <w:rsid w:val="21FE759C"/>
    <w:rsid w:val="21FF31DC"/>
    <w:rsid w:val="21FF50C2"/>
    <w:rsid w:val="22001566"/>
    <w:rsid w:val="22012E7E"/>
    <w:rsid w:val="22031056"/>
    <w:rsid w:val="22034437"/>
    <w:rsid w:val="22036AED"/>
    <w:rsid w:val="2204462E"/>
    <w:rsid w:val="2205092A"/>
    <w:rsid w:val="220646A2"/>
    <w:rsid w:val="22070986"/>
    <w:rsid w:val="220A23E4"/>
    <w:rsid w:val="220A5F40"/>
    <w:rsid w:val="220C0985"/>
    <w:rsid w:val="220D77DF"/>
    <w:rsid w:val="221206B8"/>
    <w:rsid w:val="221214B0"/>
    <w:rsid w:val="221A43D8"/>
    <w:rsid w:val="221C3EE1"/>
    <w:rsid w:val="221D55DD"/>
    <w:rsid w:val="221E3ADB"/>
    <w:rsid w:val="221E7C3E"/>
    <w:rsid w:val="221F3EEA"/>
    <w:rsid w:val="222071EE"/>
    <w:rsid w:val="2220769B"/>
    <w:rsid w:val="22215CA5"/>
    <w:rsid w:val="22224553"/>
    <w:rsid w:val="22266AF2"/>
    <w:rsid w:val="22275D7A"/>
    <w:rsid w:val="22280ABD"/>
    <w:rsid w:val="222B547C"/>
    <w:rsid w:val="222C68B7"/>
    <w:rsid w:val="222D6F66"/>
    <w:rsid w:val="222E5E17"/>
    <w:rsid w:val="222F2EE2"/>
    <w:rsid w:val="223062C5"/>
    <w:rsid w:val="2234120F"/>
    <w:rsid w:val="223B0F6C"/>
    <w:rsid w:val="223C35FE"/>
    <w:rsid w:val="223D17F4"/>
    <w:rsid w:val="22404563"/>
    <w:rsid w:val="224360BB"/>
    <w:rsid w:val="22482214"/>
    <w:rsid w:val="22483543"/>
    <w:rsid w:val="224856FF"/>
    <w:rsid w:val="224A27E1"/>
    <w:rsid w:val="224C47AB"/>
    <w:rsid w:val="224D6C76"/>
    <w:rsid w:val="224F108D"/>
    <w:rsid w:val="22505882"/>
    <w:rsid w:val="2252495F"/>
    <w:rsid w:val="2253586B"/>
    <w:rsid w:val="225418B2"/>
    <w:rsid w:val="225430D9"/>
    <w:rsid w:val="22546C6F"/>
    <w:rsid w:val="22575D2C"/>
    <w:rsid w:val="22576990"/>
    <w:rsid w:val="22585408"/>
    <w:rsid w:val="225D38CF"/>
    <w:rsid w:val="226118D9"/>
    <w:rsid w:val="22616088"/>
    <w:rsid w:val="22637523"/>
    <w:rsid w:val="22680EB9"/>
    <w:rsid w:val="226A69DF"/>
    <w:rsid w:val="226C6AEE"/>
    <w:rsid w:val="226D2F54"/>
    <w:rsid w:val="226F3FF6"/>
    <w:rsid w:val="22714212"/>
    <w:rsid w:val="22715F85"/>
    <w:rsid w:val="22737F8A"/>
    <w:rsid w:val="22743D02"/>
    <w:rsid w:val="22753A7D"/>
    <w:rsid w:val="22761828"/>
    <w:rsid w:val="227855A0"/>
    <w:rsid w:val="227A3C6E"/>
    <w:rsid w:val="227C6712"/>
    <w:rsid w:val="228201CD"/>
    <w:rsid w:val="22822875"/>
    <w:rsid w:val="22830C8D"/>
    <w:rsid w:val="22833F45"/>
    <w:rsid w:val="2285254E"/>
    <w:rsid w:val="22855A15"/>
    <w:rsid w:val="2286759E"/>
    <w:rsid w:val="22883D9A"/>
    <w:rsid w:val="228A52D3"/>
    <w:rsid w:val="228A7A8D"/>
    <w:rsid w:val="228C5182"/>
    <w:rsid w:val="22913034"/>
    <w:rsid w:val="22923228"/>
    <w:rsid w:val="229414D9"/>
    <w:rsid w:val="22942DCD"/>
    <w:rsid w:val="22973DAC"/>
    <w:rsid w:val="22991AC1"/>
    <w:rsid w:val="229B55BC"/>
    <w:rsid w:val="229F782B"/>
    <w:rsid w:val="22A2432E"/>
    <w:rsid w:val="22A243CB"/>
    <w:rsid w:val="22A31EF1"/>
    <w:rsid w:val="22A61705"/>
    <w:rsid w:val="22A66DDD"/>
    <w:rsid w:val="22A97078"/>
    <w:rsid w:val="22AC021A"/>
    <w:rsid w:val="22AD1452"/>
    <w:rsid w:val="22AF4D3A"/>
    <w:rsid w:val="22AF6AE8"/>
    <w:rsid w:val="22B07237"/>
    <w:rsid w:val="22B34478"/>
    <w:rsid w:val="22B60A35"/>
    <w:rsid w:val="22B6520D"/>
    <w:rsid w:val="22B81E40"/>
    <w:rsid w:val="22B83BEE"/>
    <w:rsid w:val="22B8599C"/>
    <w:rsid w:val="22BD43D4"/>
    <w:rsid w:val="22BD6CA5"/>
    <w:rsid w:val="22BE6D2B"/>
    <w:rsid w:val="22C0639F"/>
    <w:rsid w:val="22C148F5"/>
    <w:rsid w:val="22C205C9"/>
    <w:rsid w:val="22C229E0"/>
    <w:rsid w:val="22C364EA"/>
    <w:rsid w:val="22C407E5"/>
    <w:rsid w:val="22C4306D"/>
    <w:rsid w:val="22C667EE"/>
    <w:rsid w:val="22C75BE0"/>
    <w:rsid w:val="22C81A55"/>
    <w:rsid w:val="22CA3922"/>
    <w:rsid w:val="22CC1448"/>
    <w:rsid w:val="22CE384A"/>
    <w:rsid w:val="22CE5EFD"/>
    <w:rsid w:val="22CF2CE6"/>
    <w:rsid w:val="22CF718A"/>
    <w:rsid w:val="22D11246"/>
    <w:rsid w:val="22D273D2"/>
    <w:rsid w:val="22D34BE4"/>
    <w:rsid w:val="22D447A0"/>
    <w:rsid w:val="22D622C7"/>
    <w:rsid w:val="22D71C1D"/>
    <w:rsid w:val="22D87DED"/>
    <w:rsid w:val="22DC5180"/>
    <w:rsid w:val="22E16DF3"/>
    <w:rsid w:val="22E22A19"/>
    <w:rsid w:val="22E346B5"/>
    <w:rsid w:val="22E5075C"/>
    <w:rsid w:val="22E51373"/>
    <w:rsid w:val="22EA70F4"/>
    <w:rsid w:val="22F47480"/>
    <w:rsid w:val="22F53D08"/>
    <w:rsid w:val="22F97D63"/>
    <w:rsid w:val="22F97F2A"/>
    <w:rsid w:val="22FB7F7F"/>
    <w:rsid w:val="22FC4377"/>
    <w:rsid w:val="22FE32A1"/>
    <w:rsid w:val="23007343"/>
    <w:rsid w:val="23016A14"/>
    <w:rsid w:val="2302601A"/>
    <w:rsid w:val="23045E7A"/>
    <w:rsid w:val="2309269C"/>
    <w:rsid w:val="2309444A"/>
    <w:rsid w:val="230B7162"/>
    <w:rsid w:val="230D750E"/>
    <w:rsid w:val="23143C98"/>
    <w:rsid w:val="23144B9D"/>
    <w:rsid w:val="2317640C"/>
    <w:rsid w:val="231A4B17"/>
    <w:rsid w:val="231C3C69"/>
    <w:rsid w:val="231F3C6E"/>
    <w:rsid w:val="23212112"/>
    <w:rsid w:val="23224456"/>
    <w:rsid w:val="23241649"/>
    <w:rsid w:val="23244644"/>
    <w:rsid w:val="23244DE0"/>
    <w:rsid w:val="232C1EE7"/>
    <w:rsid w:val="232D3327"/>
    <w:rsid w:val="233174FD"/>
    <w:rsid w:val="2333127A"/>
    <w:rsid w:val="233A0AA7"/>
    <w:rsid w:val="233B65CE"/>
    <w:rsid w:val="233E0C8A"/>
    <w:rsid w:val="2340030B"/>
    <w:rsid w:val="234065F7"/>
    <w:rsid w:val="23417A61"/>
    <w:rsid w:val="2342170A"/>
    <w:rsid w:val="234228AF"/>
    <w:rsid w:val="23423C9B"/>
    <w:rsid w:val="234B4A63"/>
    <w:rsid w:val="234C2589"/>
    <w:rsid w:val="234E3A06"/>
    <w:rsid w:val="23515DF1"/>
    <w:rsid w:val="23520294"/>
    <w:rsid w:val="23556F53"/>
    <w:rsid w:val="23566AA4"/>
    <w:rsid w:val="235919CC"/>
    <w:rsid w:val="235C17AD"/>
    <w:rsid w:val="235E364C"/>
    <w:rsid w:val="235F22BC"/>
    <w:rsid w:val="235F22C2"/>
    <w:rsid w:val="235F7BF9"/>
    <w:rsid w:val="23602354"/>
    <w:rsid w:val="236137C1"/>
    <w:rsid w:val="23623B5A"/>
    <w:rsid w:val="23645973"/>
    <w:rsid w:val="236505B9"/>
    <w:rsid w:val="23664690"/>
    <w:rsid w:val="236B2A0F"/>
    <w:rsid w:val="236D3F2B"/>
    <w:rsid w:val="236F4E70"/>
    <w:rsid w:val="2374576F"/>
    <w:rsid w:val="23774916"/>
    <w:rsid w:val="237815D0"/>
    <w:rsid w:val="2379144D"/>
    <w:rsid w:val="237A7CFD"/>
    <w:rsid w:val="237B0CBD"/>
    <w:rsid w:val="237B31FA"/>
    <w:rsid w:val="237D2742"/>
    <w:rsid w:val="238179D0"/>
    <w:rsid w:val="23817D0D"/>
    <w:rsid w:val="23827D58"/>
    <w:rsid w:val="23836946"/>
    <w:rsid w:val="23847980"/>
    <w:rsid w:val="238910E7"/>
    <w:rsid w:val="238A53A0"/>
    <w:rsid w:val="238B27E4"/>
    <w:rsid w:val="238C5BE8"/>
    <w:rsid w:val="238C626A"/>
    <w:rsid w:val="238D7F63"/>
    <w:rsid w:val="2391082F"/>
    <w:rsid w:val="23955CDE"/>
    <w:rsid w:val="23957A8C"/>
    <w:rsid w:val="23963E2B"/>
    <w:rsid w:val="23A14683"/>
    <w:rsid w:val="23A203FB"/>
    <w:rsid w:val="23A3664D"/>
    <w:rsid w:val="23A67EEB"/>
    <w:rsid w:val="23A91750"/>
    <w:rsid w:val="23AD1279"/>
    <w:rsid w:val="23B00D6A"/>
    <w:rsid w:val="23B27FFC"/>
    <w:rsid w:val="23B644DD"/>
    <w:rsid w:val="23B95E70"/>
    <w:rsid w:val="23BA76CC"/>
    <w:rsid w:val="23BC770E"/>
    <w:rsid w:val="23BE3486"/>
    <w:rsid w:val="23BF6A4A"/>
    <w:rsid w:val="23C878FE"/>
    <w:rsid w:val="23C95987"/>
    <w:rsid w:val="23CB16FF"/>
    <w:rsid w:val="23CD191B"/>
    <w:rsid w:val="23CD6FC0"/>
    <w:rsid w:val="23D238EC"/>
    <w:rsid w:val="23D42CAA"/>
    <w:rsid w:val="23D547BA"/>
    <w:rsid w:val="23D700A4"/>
    <w:rsid w:val="23D7162E"/>
    <w:rsid w:val="23D83E1C"/>
    <w:rsid w:val="23DA077A"/>
    <w:rsid w:val="23DB6D2F"/>
    <w:rsid w:val="23DC1B5F"/>
    <w:rsid w:val="23DD1CA9"/>
    <w:rsid w:val="23DD45B3"/>
    <w:rsid w:val="23DD6DDF"/>
    <w:rsid w:val="23DE1C48"/>
    <w:rsid w:val="23DF3702"/>
    <w:rsid w:val="23E06F5F"/>
    <w:rsid w:val="23E45215"/>
    <w:rsid w:val="23E475D3"/>
    <w:rsid w:val="23E56227"/>
    <w:rsid w:val="23E85F78"/>
    <w:rsid w:val="23EB1DA2"/>
    <w:rsid w:val="23ED5B1A"/>
    <w:rsid w:val="23F047D3"/>
    <w:rsid w:val="23F05FDC"/>
    <w:rsid w:val="23F3202D"/>
    <w:rsid w:val="23F35C8C"/>
    <w:rsid w:val="23F35D48"/>
    <w:rsid w:val="23F60CFC"/>
    <w:rsid w:val="23F76AAB"/>
    <w:rsid w:val="23F86220"/>
    <w:rsid w:val="23F944BF"/>
    <w:rsid w:val="23FA0237"/>
    <w:rsid w:val="23FC0A9F"/>
    <w:rsid w:val="23FE7F30"/>
    <w:rsid w:val="240210CD"/>
    <w:rsid w:val="24030E99"/>
    <w:rsid w:val="24035539"/>
    <w:rsid w:val="24051077"/>
    <w:rsid w:val="24062738"/>
    <w:rsid w:val="24066BDB"/>
    <w:rsid w:val="2407063E"/>
    <w:rsid w:val="240B7586"/>
    <w:rsid w:val="240E6220"/>
    <w:rsid w:val="240F30F4"/>
    <w:rsid w:val="24100D1F"/>
    <w:rsid w:val="24107A5A"/>
    <w:rsid w:val="24110B9E"/>
    <w:rsid w:val="241248D8"/>
    <w:rsid w:val="24124AEB"/>
    <w:rsid w:val="24131D34"/>
    <w:rsid w:val="2414302E"/>
    <w:rsid w:val="2419690F"/>
    <w:rsid w:val="241B1419"/>
    <w:rsid w:val="241C062B"/>
    <w:rsid w:val="2420540A"/>
    <w:rsid w:val="24217571"/>
    <w:rsid w:val="242332EA"/>
    <w:rsid w:val="24246F9B"/>
    <w:rsid w:val="24253D40"/>
    <w:rsid w:val="242A28CA"/>
    <w:rsid w:val="242B6EEA"/>
    <w:rsid w:val="242D4168"/>
    <w:rsid w:val="242E1737"/>
    <w:rsid w:val="242E5DA1"/>
    <w:rsid w:val="243510E8"/>
    <w:rsid w:val="24363415"/>
    <w:rsid w:val="24386AD4"/>
    <w:rsid w:val="2438774A"/>
    <w:rsid w:val="24393F52"/>
    <w:rsid w:val="243D2617"/>
    <w:rsid w:val="243D57FA"/>
    <w:rsid w:val="243E3B50"/>
    <w:rsid w:val="243F3C83"/>
    <w:rsid w:val="244023C9"/>
    <w:rsid w:val="2443208F"/>
    <w:rsid w:val="24454BC3"/>
    <w:rsid w:val="2446347C"/>
    <w:rsid w:val="24496525"/>
    <w:rsid w:val="244A6AC8"/>
    <w:rsid w:val="244B798C"/>
    <w:rsid w:val="244E1AB3"/>
    <w:rsid w:val="244F0582"/>
    <w:rsid w:val="244F2331"/>
    <w:rsid w:val="244F4323"/>
    <w:rsid w:val="24521E21"/>
    <w:rsid w:val="24531A69"/>
    <w:rsid w:val="2455546D"/>
    <w:rsid w:val="24573D85"/>
    <w:rsid w:val="245904FE"/>
    <w:rsid w:val="24592D73"/>
    <w:rsid w:val="245A4F14"/>
    <w:rsid w:val="245B0CD5"/>
    <w:rsid w:val="245C67FB"/>
    <w:rsid w:val="245E07C6"/>
    <w:rsid w:val="245F5D06"/>
    <w:rsid w:val="245F7FE7"/>
    <w:rsid w:val="24606CF4"/>
    <w:rsid w:val="24615B2D"/>
    <w:rsid w:val="24620B2B"/>
    <w:rsid w:val="246319DD"/>
    <w:rsid w:val="24637CE5"/>
    <w:rsid w:val="246456B0"/>
    <w:rsid w:val="24653902"/>
    <w:rsid w:val="2466222F"/>
    <w:rsid w:val="24681644"/>
    <w:rsid w:val="246B0B5C"/>
    <w:rsid w:val="246C3D73"/>
    <w:rsid w:val="246C5034"/>
    <w:rsid w:val="246D188F"/>
    <w:rsid w:val="246F29D3"/>
    <w:rsid w:val="24743B45"/>
    <w:rsid w:val="24751723"/>
    <w:rsid w:val="24752A58"/>
    <w:rsid w:val="247559E5"/>
    <w:rsid w:val="2476385B"/>
    <w:rsid w:val="24773635"/>
    <w:rsid w:val="2479115B"/>
    <w:rsid w:val="247D60BF"/>
    <w:rsid w:val="247E1E8A"/>
    <w:rsid w:val="247E6772"/>
    <w:rsid w:val="248024EA"/>
    <w:rsid w:val="24826781"/>
    <w:rsid w:val="24852CE7"/>
    <w:rsid w:val="24861ACA"/>
    <w:rsid w:val="24877EBA"/>
    <w:rsid w:val="248A3369"/>
    <w:rsid w:val="248B67B4"/>
    <w:rsid w:val="248D10AB"/>
    <w:rsid w:val="248D2E59"/>
    <w:rsid w:val="2493680A"/>
    <w:rsid w:val="24937DA4"/>
    <w:rsid w:val="24967F5F"/>
    <w:rsid w:val="24975318"/>
    <w:rsid w:val="249D4128"/>
    <w:rsid w:val="249E21E0"/>
    <w:rsid w:val="24A645D2"/>
    <w:rsid w:val="24A6668C"/>
    <w:rsid w:val="24AE10D4"/>
    <w:rsid w:val="24AE34FB"/>
    <w:rsid w:val="24AF7273"/>
    <w:rsid w:val="24B65298"/>
    <w:rsid w:val="24B86128"/>
    <w:rsid w:val="24BB1774"/>
    <w:rsid w:val="24BB5C18"/>
    <w:rsid w:val="24BB79C6"/>
    <w:rsid w:val="24BC2D54"/>
    <w:rsid w:val="24BD6013"/>
    <w:rsid w:val="24BD6D49"/>
    <w:rsid w:val="24BE74B6"/>
    <w:rsid w:val="24BE77E5"/>
    <w:rsid w:val="24BF09F7"/>
    <w:rsid w:val="24C00B0C"/>
    <w:rsid w:val="24C236C4"/>
    <w:rsid w:val="24C30629"/>
    <w:rsid w:val="24C42215"/>
    <w:rsid w:val="24C44A41"/>
    <w:rsid w:val="24C63569"/>
    <w:rsid w:val="24C86111"/>
    <w:rsid w:val="24C92B4B"/>
    <w:rsid w:val="24CC298D"/>
    <w:rsid w:val="24CD14A7"/>
    <w:rsid w:val="24CE594B"/>
    <w:rsid w:val="24D10F97"/>
    <w:rsid w:val="24D20EDB"/>
    <w:rsid w:val="24D326DD"/>
    <w:rsid w:val="24D942F0"/>
    <w:rsid w:val="24DF0E2F"/>
    <w:rsid w:val="24E54A43"/>
    <w:rsid w:val="24E764BA"/>
    <w:rsid w:val="24EB1F69"/>
    <w:rsid w:val="24EC5DD1"/>
    <w:rsid w:val="24EC7B7F"/>
    <w:rsid w:val="24EF67EA"/>
    <w:rsid w:val="24F00EF4"/>
    <w:rsid w:val="24F02C70"/>
    <w:rsid w:val="24F133E8"/>
    <w:rsid w:val="24F16F95"/>
    <w:rsid w:val="24F609FE"/>
    <w:rsid w:val="24F9229C"/>
    <w:rsid w:val="24FA408C"/>
    <w:rsid w:val="24FB21EE"/>
    <w:rsid w:val="24FB6014"/>
    <w:rsid w:val="24FB7DC2"/>
    <w:rsid w:val="24FC7677"/>
    <w:rsid w:val="24FD37EA"/>
    <w:rsid w:val="24FE7A2C"/>
    <w:rsid w:val="24FF3D57"/>
    <w:rsid w:val="250301AA"/>
    <w:rsid w:val="250550E5"/>
    <w:rsid w:val="25056E93"/>
    <w:rsid w:val="250749E2"/>
    <w:rsid w:val="250951F0"/>
    <w:rsid w:val="25095C5D"/>
    <w:rsid w:val="250A2AB4"/>
    <w:rsid w:val="250A6257"/>
    <w:rsid w:val="250B6ECF"/>
    <w:rsid w:val="250D296B"/>
    <w:rsid w:val="250F4840"/>
    <w:rsid w:val="251175E6"/>
    <w:rsid w:val="25130741"/>
    <w:rsid w:val="251353D1"/>
    <w:rsid w:val="25145328"/>
    <w:rsid w:val="251706CE"/>
    <w:rsid w:val="25183AEE"/>
    <w:rsid w:val="251C4037"/>
    <w:rsid w:val="251D5F8B"/>
    <w:rsid w:val="251F7F55"/>
    <w:rsid w:val="25217D64"/>
    <w:rsid w:val="252320ED"/>
    <w:rsid w:val="252442E3"/>
    <w:rsid w:val="25252115"/>
    <w:rsid w:val="25256E43"/>
    <w:rsid w:val="25292B82"/>
    <w:rsid w:val="252C08C4"/>
    <w:rsid w:val="252D53FE"/>
    <w:rsid w:val="2534496D"/>
    <w:rsid w:val="25381017"/>
    <w:rsid w:val="25384743"/>
    <w:rsid w:val="25453733"/>
    <w:rsid w:val="2547125A"/>
    <w:rsid w:val="25490C10"/>
    <w:rsid w:val="254A2AF8"/>
    <w:rsid w:val="254B6F9C"/>
    <w:rsid w:val="254C6870"/>
    <w:rsid w:val="254E7DD9"/>
    <w:rsid w:val="25521194"/>
    <w:rsid w:val="25533ACA"/>
    <w:rsid w:val="25535D03"/>
    <w:rsid w:val="255431F4"/>
    <w:rsid w:val="25551BC9"/>
    <w:rsid w:val="25573B06"/>
    <w:rsid w:val="255816B9"/>
    <w:rsid w:val="255836D1"/>
    <w:rsid w:val="255D236C"/>
    <w:rsid w:val="2561056D"/>
    <w:rsid w:val="256169E1"/>
    <w:rsid w:val="256224A2"/>
    <w:rsid w:val="25641BC4"/>
    <w:rsid w:val="25652B68"/>
    <w:rsid w:val="25670308"/>
    <w:rsid w:val="256A1143"/>
    <w:rsid w:val="256C2A6E"/>
    <w:rsid w:val="256C5678"/>
    <w:rsid w:val="256D1DE8"/>
    <w:rsid w:val="256E26D5"/>
    <w:rsid w:val="25710085"/>
    <w:rsid w:val="25755DC7"/>
    <w:rsid w:val="257858B7"/>
    <w:rsid w:val="257A33DD"/>
    <w:rsid w:val="257A518B"/>
    <w:rsid w:val="257C1A5F"/>
    <w:rsid w:val="257D111F"/>
    <w:rsid w:val="257E0999"/>
    <w:rsid w:val="257F53F0"/>
    <w:rsid w:val="258070DA"/>
    <w:rsid w:val="25811EF8"/>
    <w:rsid w:val="258129BE"/>
    <w:rsid w:val="258204E4"/>
    <w:rsid w:val="25830327"/>
    <w:rsid w:val="258568FE"/>
    <w:rsid w:val="25875AFA"/>
    <w:rsid w:val="25877D15"/>
    <w:rsid w:val="258A6734"/>
    <w:rsid w:val="2590216C"/>
    <w:rsid w:val="25910727"/>
    <w:rsid w:val="2593624D"/>
    <w:rsid w:val="25965D3D"/>
    <w:rsid w:val="259740DD"/>
    <w:rsid w:val="259A7E0E"/>
    <w:rsid w:val="259D0E7A"/>
    <w:rsid w:val="259F1096"/>
    <w:rsid w:val="259F2E44"/>
    <w:rsid w:val="25A26244"/>
    <w:rsid w:val="25A57F7D"/>
    <w:rsid w:val="25A73BDF"/>
    <w:rsid w:val="25A77F4A"/>
    <w:rsid w:val="25A93CC2"/>
    <w:rsid w:val="25AB79FF"/>
    <w:rsid w:val="25AD3F37"/>
    <w:rsid w:val="25AE2473"/>
    <w:rsid w:val="25AE619B"/>
    <w:rsid w:val="25B310C2"/>
    <w:rsid w:val="25B82157"/>
    <w:rsid w:val="25BD1629"/>
    <w:rsid w:val="25BD32CA"/>
    <w:rsid w:val="25BD776E"/>
    <w:rsid w:val="25C1100C"/>
    <w:rsid w:val="25C13BE5"/>
    <w:rsid w:val="25C237BE"/>
    <w:rsid w:val="25C75B84"/>
    <w:rsid w:val="25C97EC1"/>
    <w:rsid w:val="25CB0C79"/>
    <w:rsid w:val="25CC175F"/>
    <w:rsid w:val="25CD5C03"/>
    <w:rsid w:val="25D02FFD"/>
    <w:rsid w:val="25D23219"/>
    <w:rsid w:val="25D36F91"/>
    <w:rsid w:val="25D547AE"/>
    <w:rsid w:val="25D60846"/>
    <w:rsid w:val="25D655D1"/>
    <w:rsid w:val="25D845A8"/>
    <w:rsid w:val="25DA0320"/>
    <w:rsid w:val="25DA6545"/>
    <w:rsid w:val="25DD3171"/>
    <w:rsid w:val="25DD3DBF"/>
    <w:rsid w:val="25E33F10"/>
    <w:rsid w:val="25E41A75"/>
    <w:rsid w:val="25E51382"/>
    <w:rsid w:val="25E55C6E"/>
    <w:rsid w:val="25E940BF"/>
    <w:rsid w:val="25EC2D81"/>
    <w:rsid w:val="25ED1E01"/>
    <w:rsid w:val="25EE689E"/>
    <w:rsid w:val="25EF3DCB"/>
    <w:rsid w:val="25F25669"/>
    <w:rsid w:val="25F30BE6"/>
    <w:rsid w:val="25F3318F"/>
    <w:rsid w:val="25F4209D"/>
    <w:rsid w:val="25FA62CC"/>
    <w:rsid w:val="25FB20B3"/>
    <w:rsid w:val="25FC2044"/>
    <w:rsid w:val="25FC76AD"/>
    <w:rsid w:val="26003F65"/>
    <w:rsid w:val="26004CC3"/>
    <w:rsid w:val="260426CE"/>
    <w:rsid w:val="26047350"/>
    <w:rsid w:val="26087200"/>
    <w:rsid w:val="26094761"/>
    <w:rsid w:val="260A25F3"/>
    <w:rsid w:val="260A64DC"/>
    <w:rsid w:val="260B13CC"/>
    <w:rsid w:val="260B6E6D"/>
    <w:rsid w:val="260E39D9"/>
    <w:rsid w:val="26140958"/>
    <w:rsid w:val="261455E0"/>
    <w:rsid w:val="26170C2C"/>
    <w:rsid w:val="26195806"/>
    <w:rsid w:val="261D1FBA"/>
    <w:rsid w:val="26212ED2"/>
    <w:rsid w:val="26220012"/>
    <w:rsid w:val="26232992"/>
    <w:rsid w:val="262477ED"/>
    <w:rsid w:val="26263565"/>
    <w:rsid w:val="262C426C"/>
    <w:rsid w:val="262D1A05"/>
    <w:rsid w:val="262D404C"/>
    <w:rsid w:val="262F07AE"/>
    <w:rsid w:val="262F241A"/>
    <w:rsid w:val="26300DC7"/>
    <w:rsid w:val="26310A02"/>
    <w:rsid w:val="26321F0A"/>
    <w:rsid w:val="26335BD8"/>
    <w:rsid w:val="26341D9A"/>
    <w:rsid w:val="26342CD3"/>
    <w:rsid w:val="263729DC"/>
    <w:rsid w:val="26377520"/>
    <w:rsid w:val="26396216"/>
    <w:rsid w:val="263B29E5"/>
    <w:rsid w:val="263B39B8"/>
    <w:rsid w:val="263C0693"/>
    <w:rsid w:val="263D7D09"/>
    <w:rsid w:val="26413E30"/>
    <w:rsid w:val="26415CA9"/>
    <w:rsid w:val="26431A21"/>
    <w:rsid w:val="264822A4"/>
    <w:rsid w:val="26484ECE"/>
    <w:rsid w:val="264B165E"/>
    <w:rsid w:val="264E3D90"/>
    <w:rsid w:val="264F6618"/>
    <w:rsid w:val="265066B0"/>
    <w:rsid w:val="26510A26"/>
    <w:rsid w:val="26533221"/>
    <w:rsid w:val="26551754"/>
    <w:rsid w:val="265539F9"/>
    <w:rsid w:val="26555BF8"/>
    <w:rsid w:val="265D3DEC"/>
    <w:rsid w:val="265E4AAD"/>
    <w:rsid w:val="265E76FB"/>
    <w:rsid w:val="26617E37"/>
    <w:rsid w:val="266402DB"/>
    <w:rsid w:val="26655897"/>
    <w:rsid w:val="2667103C"/>
    <w:rsid w:val="266860BA"/>
    <w:rsid w:val="266A1387"/>
    <w:rsid w:val="266B16F9"/>
    <w:rsid w:val="266D64A6"/>
    <w:rsid w:val="26704DAE"/>
    <w:rsid w:val="26751DF6"/>
    <w:rsid w:val="267714B0"/>
    <w:rsid w:val="26777BBE"/>
    <w:rsid w:val="26790FA7"/>
    <w:rsid w:val="267F1C8A"/>
    <w:rsid w:val="268362C1"/>
    <w:rsid w:val="2685686D"/>
    <w:rsid w:val="26865DB2"/>
    <w:rsid w:val="268B6680"/>
    <w:rsid w:val="268E52EB"/>
    <w:rsid w:val="26911CAF"/>
    <w:rsid w:val="269135C8"/>
    <w:rsid w:val="269319B4"/>
    <w:rsid w:val="26937F25"/>
    <w:rsid w:val="2694142A"/>
    <w:rsid w:val="26953A52"/>
    <w:rsid w:val="26961FDA"/>
    <w:rsid w:val="26983D97"/>
    <w:rsid w:val="2699799E"/>
    <w:rsid w:val="269B185D"/>
    <w:rsid w:val="269B7AAF"/>
    <w:rsid w:val="269C29AA"/>
    <w:rsid w:val="26A3589E"/>
    <w:rsid w:val="26A67B54"/>
    <w:rsid w:val="26AA5F44"/>
    <w:rsid w:val="26AB75C6"/>
    <w:rsid w:val="26AD1620"/>
    <w:rsid w:val="26B11081"/>
    <w:rsid w:val="26B22D46"/>
    <w:rsid w:val="26B277B4"/>
    <w:rsid w:val="26B369A7"/>
    <w:rsid w:val="26B4039C"/>
    <w:rsid w:val="26B67420"/>
    <w:rsid w:val="26B7240F"/>
    <w:rsid w:val="26B916E6"/>
    <w:rsid w:val="26BD4D47"/>
    <w:rsid w:val="26BD5C77"/>
    <w:rsid w:val="26C40842"/>
    <w:rsid w:val="26C50688"/>
    <w:rsid w:val="26CE1924"/>
    <w:rsid w:val="26CE30C2"/>
    <w:rsid w:val="26CE6BA3"/>
    <w:rsid w:val="26CF335F"/>
    <w:rsid w:val="26D134D1"/>
    <w:rsid w:val="26D27249"/>
    <w:rsid w:val="26D52567"/>
    <w:rsid w:val="26D62895"/>
    <w:rsid w:val="26D62E5A"/>
    <w:rsid w:val="26D751C2"/>
    <w:rsid w:val="26D97647"/>
    <w:rsid w:val="26DA3F90"/>
    <w:rsid w:val="26DB0F49"/>
    <w:rsid w:val="26DB434F"/>
    <w:rsid w:val="26DE5BEE"/>
    <w:rsid w:val="26E34C6F"/>
    <w:rsid w:val="26E47CAE"/>
    <w:rsid w:val="26E5740D"/>
    <w:rsid w:val="26E8051B"/>
    <w:rsid w:val="26E8081A"/>
    <w:rsid w:val="26E8436A"/>
    <w:rsid w:val="26EC549D"/>
    <w:rsid w:val="26ED154B"/>
    <w:rsid w:val="26ED7BDF"/>
    <w:rsid w:val="26EF3957"/>
    <w:rsid w:val="26F1086F"/>
    <w:rsid w:val="26F1520A"/>
    <w:rsid w:val="26F71263"/>
    <w:rsid w:val="26FA0FBA"/>
    <w:rsid w:val="26FA3D0D"/>
    <w:rsid w:val="26FA721D"/>
    <w:rsid w:val="26FB22FC"/>
    <w:rsid w:val="270218C6"/>
    <w:rsid w:val="270218DC"/>
    <w:rsid w:val="270311B0"/>
    <w:rsid w:val="270355AF"/>
    <w:rsid w:val="27035654"/>
    <w:rsid w:val="2707146A"/>
    <w:rsid w:val="27075144"/>
    <w:rsid w:val="27075B4B"/>
    <w:rsid w:val="270E7294"/>
    <w:rsid w:val="27106BBC"/>
    <w:rsid w:val="27114729"/>
    <w:rsid w:val="271247D1"/>
    <w:rsid w:val="27182EAE"/>
    <w:rsid w:val="271B1380"/>
    <w:rsid w:val="271B51F7"/>
    <w:rsid w:val="271E423C"/>
    <w:rsid w:val="27236888"/>
    <w:rsid w:val="27270CFE"/>
    <w:rsid w:val="27282656"/>
    <w:rsid w:val="272E1A97"/>
    <w:rsid w:val="27315D1D"/>
    <w:rsid w:val="273326B2"/>
    <w:rsid w:val="27335F39"/>
    <w:rsid w:val="2734581A"/>
    <w:rsid w:val="27376191"/>
    <w:rsid w:val="273A72C8"/>
    <w:rsid w:val="273C0A33"/>
    <w:rsid w:val="273D29BC"/>
    <w:rsid w:val="2740034F"/>
    <w:rsid w:val="274041B2"/>
    <w:rsid w:val="27427F2B"/>
    <w:rsid w:val="27444497"/>
    <w:rsid w:val="27473793"/>
    <w:rsid w:val="27486E7F"/>
    <w:rsid w:val="27496BAD"/>
    <w:rsid w:val="274A3283"/>
    <w:rsid w:val="274E3C8A"/>
    <w:rsid w:val="27504042"/>
    <w:rsid w:val="275301BB"/>
    <w:rsid w:val="27547B1B"/>
    <w:rsid w:val="27554102"/>
    <w:rsid w:val="275639D6"/>
    <w:rsid w:val="275748A1"/>
    <w:rsid w:val="27595274"/>
    <w:rsid w:val="275E5728"/>
    <w:rsid w:val="27606603"/>
    <w:rsid w:val="27632FD5"/>
    <w:rsid w:val="27637EA1"/>
    <w:rsid w:val="27640C62"/>
    <w:rsid w:val="27651E6B"/>
    <w:rsid w:val="2766176F"/>
    <w:rsid w:val="276822E2"/>
    <w:rsid w:val="276979D4"/>
    <w:rsid w:val="276E51C4"/>
    <w:rsid w:val="276F3B8C"/>
    <w:rsid w:val="277057A2"/>
    <w:rsid w:val="277973EE"/>
    <w:rsid w:val="277B343D"/>
    <w:rsid w:val="277F2F2D"/>
    <w:rsid w:val="2780699F"/>
    <w:rsid w:val="27806CA5"/>
    <w:rsid w:val="27814EF7"/>
    <w:rsid w:val="27822A1D"/>
    <w:rsid w:val="278723C7"/>
    <w:rsid w:val="27873B8F"/>
    <w:rsid w:val="278920CF"/>
    <w:rsid w:val="278B30FA"/>
    <w:rsid w:val="278C389C"/>
    <w:rsid w:val="278E3170"/>
    <w:rsid w:val="278F0911"/>
    <w:rsid w:val="2790513A"/>
    <w:rsid w:val="27910D74"/>
    <w:rsid w:val="27910EB2"/>
    <w:rsid w:val="27947EA2"/>
    <w:rsid w:val="27991FE1"/>
    <w:rsid w:val="279938C3"/>
    <w:rsid w:val="279B646A"/>
    <w:rsid w:val="279B763B"/>
    <w:rsid w:val="279C06FA"/>
    <w:rsid w:val="279C4424"/>
    <w:rsid w:val="279C77EE"/>
    <w:rsid w:val="279C7E06"/>
    <w:rsid w:val="279E2091"/>
    <w:rsid w:val="279F4785"/>
    <w:rsid w:val="27A40BE5"/>
    <w:rsid w:val="27A45CB1"/>
    <w:rsid w:val="27A8425E"/>
    <w:rsid w:val="27AC757F"/>
    <w:rsid w:val="27AE00B9"/>
    <w:rsid w:val="27AE3505"/>
    <w:rsid w:val="27AE4D70"/>
    <w:rsid w:val="27B115D6"/>
    <w:rsid w:val="27B16E5E"/>
    <w:rsid w:val="27B506FD"/>
    <w:rsid w:val="27BC0535"/>
    <w:rsid w:val="27BC7018"/>
    <w:rsid w:val="27C407EE"/>
    <w:rsid w:val="27C4221E"/>
    <w:rsid w:val="27C43035"/>
    <w:rsid w:val="27C46B92"/>
    <w:rsid w:val="27C748D4"/>
    <w:rsid w:val="27C85273"/>
    <w:rsid w:val="27C923FA"/>
    <w:rsid w:val="27C96634"/>
    <w:rsid w:val="27CB7F20"/>
    <w:rsid w:val="27CD7E3B"/>
    <w:rsid w:val="27D113EE"/>
    <w:rsid w:val="27D3527F"/>
    <w:rsid w:val="27D361B6"/>
    <w:rsid w:val="27D56FF1"/>
    <w:rsid w:val="27D57E0B"/>
    <w:rsid w:val="27D91AF5"/>
    <w:rsid w:val="27DC212D"/>
    <w:rsid w:val="27E03088"/>
    <w:rsid w:val="27E17743"/>
    <w:rsid w:val="27E17AC8"/>
    <w:rsid w:val="27E43878"/>
    <w:rsid w:val="27E47228"/>
    <w:rsid w:val="27E47234"/>
    <w:rsid w:val="27E70AD2"/>
    <w:rsid w:val="27E80249"/>
    <w:rsid w:val="27E9484A"/>
    <w:rsid w:val="27EB3A7A"/>
    <w:rsid w:val="27EF3D97"/>
    <w:rsid w:val="27F21951"/>
    <w:rsid w:val="27F3205B"/>
    <w:rsid w:val="27F60DEC"/>
    <w:rsid w:val="27F751B9"/>
    <w:rsid w:val="27F76F67"/>
    <w:rsid w:val="27F8683B"/>
    <w:rsid w:val="27F92BFE"/>
    <w:rsid w:val="27FA0805"/>
    <w:rsid w:val="27FC04B6"/>
    <w:rsid w:val="28074CD0"/>
    <w:rsid w:val="280D7D69"/>
    <w:rsid w:val="28114554"/>
    <w:rsid w:val="281178FD"/>
    <w:rsid w:val="28117E8C"/>
    <w:rsid w:val="28123AAA"/>
    <w:rsid w:val="2815563F"/>
    <w:rsid w:val="281631B1"/>
    <w:rsid w:val="28197215"/>
    <w:rsid w:val="281B0087"/>
    <w:rsid w:val="281B0804"/>
    <w:rsid w:val="281D62A2"/>
    <w:rsid w:val="28235FAE"/>
    <w:rsid w:val="28240B14"/>
    <w:rsid w:val="28242D73"/>
    <w:rsid w:val="28253291"/>
    <w:rsid w:val="28257ACF"/>
    <w:rsid w:val="28261C1E"/>
    <w:rsid w:val="28271251"/>
    <w:rsid w:val="28281B30"/>
    <w:rsid w:val="2828374F"/>
    <w:rsid w:val="28292E99"/>
    <w:rsid w:val="282B5758"/>
    <w:rsid w:val="282B7602"/>
    <w:rsid w:val="282F1DAF"/>
    <w:rsid w:val="282F78ED"/>
    <w:rsid w:val="28302479"/>
    <w:rsid w:val="2833272B"/>
    <w:rsid w:val="28357DDA"/>
    <w:rsid w:val="2838132E"/>
    <w:rsid w:val="28393256"/>
    <w:rsid w:val="283B3B98"/>
    <w:rsid w:val="283D6944"/>
    <w:rsid w:val="283F446A"/>
    <w:rsid w:val="283F5ACA"/>
    <w:rsid w:val="28425D08"/>
    <w:rsid w:val="28427389"/>
    <w:rsid w:val="28440A66"/>
    <w:rsid w:val="28441A80"/>
    <w:rsid w:val="2844579F"/>
    <w:rsid w:val="28461441"/>
    <w:rsid w:val="284633E9"/>
    <w:rsid w:val="28471374"/>
    <w:rsid w:val="28472715"/>
    <w:rsid w:val="28491C5C"/>
    <w:rsid w:val="284D4DD9"/>
    <w:rsid w:val="284E6AB0"/>
    <w:rsid w:val="285223EF"/>
    <w:rsid w:val="28527521"/>
    <w:rsid w:val="28527584"/>
    <w:rsid w:val="28533091"/>
    <w:rsid w:val="28546167"/>
    <w:rsid w:val="28555FE7"/>
    <w:rsid w:val="28560A83"/>
    <w:rsid w:val="285613F1"/>
    <w:rsid w:val="28570BC6"/>
    <w:rsid w:val="2857306D"/>
    <w:rsid w:val="28593030"/>
    <w:rsid w:val="285A12A4"/>
    <w:rsid w:val="285A370E"/>
    <w:rsid w:val="285A5748"/>
    <w:rsid w:val="285C501C"/>
    <w:rsid w:val="285D4401"/>
    <w:rsid w:val="285F2D5E"/>
    <w:rsid w:val="285F4B0C"/>
    <w:rsid w:val="28610884"/>
    <w:rsid w:val="28623328"/>
    <w:rsid w:val="286A65CC"/>
    <w:rsid w:val="286B1703"/>
    <w:rsid w:val="286E127F"/>
    <w:rsid w:val="286F11F3"/>
    <w:rsid w:val="286F3F84"/>
    <w:rsid w:val="28702B22"/>
    <w:rsid w:val="287265EE"/>
    <w:rsid w:val="2873019B"/>
    <w:rsid w:val="28766B82"/>
    <w:rsid w:val="287814A2"/>
    <w:rsid w:val="28787773"/>
    <w:rsid w:val="28797228"/>
    <w:rsid w:val="287A668C"/>
    <w:rsid w:val="287A7F40"/>
    <w:rsid w:val="287B7B98"/>
    <w:rsid w:val="287E0AD2"/>
    <w:rsid w:val="288051AE"/>
    <w:rsid w:val="28810FFF"/>
    <w:rsid w:val="28823125"/>
    <w:rsid w:val="28837C4A"/>
    <w:rsid w:val="28846E14"/>
    <w:rsid w:val="28852144"/>
    <w:rsid w:val="28863514"/>
    <w:rsid w:val="28874FA2"/>
    <w:rsid w:val="28885E11"/>
    <w:rsid w:val="288A16E3"/>
    <w:rsid w:val="288B6FBA"/>
    <w:rsid w:val="288F034F"/>
    <w:rsid w:val="28900A53"/>
    <w:rsid w:val="28903300"/>
    <w:rsid w:val="28932D5C"/>
    <w:rsid w:val="2895213C"/>
    <w:rsid w:val="28953DA9"/>
    <w:rsid w:val="289543FA"/>
    <w:rsid w:val="28961AB6"/>
    <w:rsid w:val="28976054"/>
    <w:rsid w:val="289B245E"/>
    <w:rsid w:val="289E7CC6"/>
    <w:rsid w:val="28A10C81"/>
    <w:rsid w:val="28A27F40"/>
    <w:rsid w:val="28A32C4B"/>
    <w:rsid w:val="28A46D34"/>
    <w:rsid w:val="28A67FBA"/>
    <w:rsid w:val="28AA55AC"/>
    <w:rsid w:val="28AD3ACA"/>
    <w:rsid w:val="28AE2E93"/>
    <w:rsid w:val="28AE4E3E"/>
    <w:rsid w:val="28B04C38"/>
    <w:rsid w:val="28B07116"/>
    <w:rsid w:val="28B206D8"/>
    <w:rsid w:val="28B40F9A"/>
    <w:rsid w:val="28B461EC"/>
    <w:rsid w:val="28B60BD0"/>
    <w:rsid w:val="28B704A4"/>
    <w:rsid w:val="28B91120"/>
    <w:rsid w:val="28B94173"/>
    <w:rsid w:val="28BC1F5F"/>
    <w:rsid w:val="28BD6DCA"/>
    <w:rsid w:val="28BF0D68"/>
    <w:rsid w:val="28C036C6"/>
    <w:rsid w:val="28C457CC"/>
    <w:rsid w:val="28C52BC1"/>
    <w:rsid w:val="28C61ACE"/>
    <w:rsid w:val="28C85760"/>
    <w:rsid w:val="28CB5EED"/>
    <w:rsid w:val="28CD7407"/>
    <w:rsid w:val="28CF3A40"/>
    <w:rsid w:val="28CF57EE"/>
    <w:rsid w:val="28D10DB4"/>
    <w:rsid w:val="28D14176"/>
    <w:rsid w:val="28DA390F"/>
    <w:rsid w:val="28DA4193"/>
    <w:rsid w:val="28DF5E0B"/>
    <w:rsid w:val="28E079FB"/>
    <w:rsid w:val="28E1640A"/>
    <w:rsid w:val="28E41572"/>
    <w:rsid w:val="28E80799"/>
    <w:rsid w:val="28E92F6E"/>
    <w:rsid w:val="28EC2844"/>
    <w:rsid w:val="28EE0DEB"/>
    <w:rsid w:val="28F039B6"/>
    <w:rsid w:val="28F11C08"/>
    <w:rsid w:val="28F32B26"/>
    <w:rsid w:val="28F434A6"/>
    <w:rsid w:val="28F53D1A"/>
    <w:rsid w:val="28F65471"/>
    <w:rsid w:val="28F80844"/>
    <w:rsid w:val="28FB4835"/>
    <w:rsid w:val="28FC36EB"/>
    <w:rsid w:val="29015271"/>
    <w:rsid w:val="290336EA"/>
    <w:rsid w:val="29057462"/>
    <w:rsid w:val="29064D40"/>
    <w:rsid w:val="29066FB6"/>
    <w:rsid w:val="2907142C"/>
    <w:rsid w:val="29085690"/>
    <w:rsid w:val="290C07F0"/>
    <w:rsid w:val="290C45F7"/>
    <w:rsid w:val="290C7787"/>
    <w:rsid w:val="29115F0D"/>
    <w:rsid w:val="2912392D"/>
    <w:rsid w:val="29147AA6"/>
    <w:rsid w:val="291A6B5D"/>
    <w:rsid w:val="291B4ED7"/>
    <w:rsid w:val="291D6019"/>
    <w:rsid w:val="291E0523"/>
    <w:rsid w:val="29206EB8"/>
    <w:rsid w:val="29207E11"/>
    <w:rsid w:val="29233347"/>
    <w:rsid w:val="29260952"/>
    <w:rsid w:val="29282914"/>
    <w:rsid w:val="29284D73"/>
    <w:rsid w:val="29296BBB"/>
    <w:rsid w:val="292A005D"/>
    <w:rsid w:val="292C65F4"/>
    <w:rsid w:val="292E48AD"/>
    <w:rsid w:val="292F44DF"/>
    <w:rsid w:val="29300ABE"/>
    <w:rsid w:val="2936183D"/>
    <w:rsid w:val="29364A36"/>
    <w:rsid w:val="293832C4"/>
    <w:rsid w:val="29385A89"/>
    <w:rsid w:val="293873BB"/>
    <w:rsid w:val="293B10D5"/>
    <w:rsid w:val="293B68E4"/>
    <w:rsid w:val="293E2974"/>
    <w:rsid w:val="2940049A"/>
    <w:rsid w:val="29433974"/>
    <w:rsid w:val="294A1318"/>
    <w:rsid w:val="294A62D6"/>
    <w:rsid w:val="294C32E2"/>
    <w:rsid w:val="294C6D88"/>
    <w:rsid w:val="294D2680"/>
    <w:rsid w:val="294F3120"/>
    <w:rsid w:val="29521E15"/>
    <w:rsid w:val="29534671"/>
    <w:rsid w:val="29552CFF"/>
    <w:rsid w:val="2957427C"/>
    <w:rsid w:val="295757E3"/>
    <w:rsid w:val="295774E4"/>
    <w:rsid w:val="295855AE"/>
    <w:rsid w:val="29595666"/>
    <w:rsid w:val="295A2D2E"/>
    <w:rsid w:val="295C2DFA"/>
    <w:rsid w:val="295D7B62"/>
    <w:rsid w:val="29626A29"/>
    <w:rsid w:val="296402FF"/>
    <w:rsid w:val="2965024F"/>
    <w:rsid w:val="296B4BAB"/>
    <w:rsid w:val="296E3259"/>
    <w:rsid w:val="296F0D7F"/>
    <w:rsid w:val="296F6FD1"/>
    <w:rsid w:val="29712D49"/>
    <w:rsid w:val="297168A5"/>
    <w:rsid w:val="2973086F"/>
    <w:rsid w:val="2973232E"/>
    <w:rsid w:val="2973261D"/>
    <w:rsid w:val="297354E2"/>
    <w:rsid w:val="29763DCD"/>
    <w:rsid w:val="297646D5"/>
    <w:rsid w:val="297C366B"/>
    <w:rsid w:val="297D16EE"/>
    <w:rsid w:val="297D264F"/>
    <w:rsid w:val="297D349C"/>
    <w:rsid w:val="297D539A"/>
    <w:rsid w:val="297E40A3"/>
    <w:rsid w:val="297F3B9B"/>
    <w:rsid w:val="29811D3B"/>
    <w:rsid w:val="2984482A"/>
    <w:rsid w:val="29874881"/>
    <w:rsid w:val="29890093"/>
    <w:rsid w:val="298934C7"/>
    <w:rsid w:val="298938DA"/>
    <w:rsid w:val="298A6C26"/>
    <w:rsid w:val="298B26F3"/>
    <w:rsid w:val="298E2BBC"/>
    <w:rsid w:val="298E38FB"/>
    <w:rsid w:val="298E56A9"/>
    <w:rsid w:val="298F1421"/>
    <w:rsid w:val="298F4375"/>
    <w:rsid w:val="29910FF5"/>
    <w:rsid w:val="299403DC"/>
    <w:rsid w:val="299407E6"/>
    <w:rsid w:val="29954C89"/>
    <w:rsid w:val="299627B0"/>
    <w:rsid w:val="299762F5"/>
    <w:rsid w:val="299A29AC"/>
    <w:rsid w:val="299A404E"/>
    <w:rsid w:val="29A0718A"/>
    <w:rsid w:val="29A21154"/>
    <w:rsid w:val="29A423DF"/>
    <w:rsid w:val="29A641FE"/>
    <w:rsid w:val="29A66B9A"/>
    <w:rsid w:val="29A94291"/>
    <w:rsid w:val="29AA0E37"/>
    <w:rsid w:val="29AB7466"/>
    <w:rsid w:val="29AD2FD7"/>
    <w:rsid w:val="29AF21BA"/>
    <w:rsid w:val="29B139BE"/>
    <w:rsid w:val="29B64C00"/>
    <w:rsid w:val="29BB0E45"/>
    <w:rsid w:val="29BB3FC4"/>
    <w:rsid w:val="29BB6804"/>
    <w:rsid w:val="29BB7D59"/>
    <w:rsid w:val="29BE3BBF"/>
    <w:rsid w:val="29BF0263"/>
    <w:rsid w:val="29C0782D"/>
    <w:rsid w:val="29C312F0"/>
    <w:rsid w:val="29C42E79"/>
    <w:rsid w:val="29C91F5E"/>
    <w:rsid w:val="29CA2459"/>
    <w:rsid w:val="29CB109C"/>
    <w:rsid w:val="29CF2B92"/>
    <w:rsid w:val="29CF6BA5"/>
    <w:rsid w:val="29D5241F"/>
    <w:rsid w:val="29D55D1F"/>
    <w:rsid w:val="29D60DFE"/>
    <w:rsid w:val="29E325E0"/>
    <w:rsid w:val="29E51B4B"/>
    <w:rsid w:val="29E7300B"/>
    <w:rsid w:val="29E74DB9"/>
    <w:rsid w:val="29E90486"/>
    <w:rsid w:val="29EA2570"/>
    <w:rsid w:val="29EC2DE5"/>
    <w:rsid w:val="29EC36DE"/>
    <w:rsid w:val="29F10C02"/>
    <w:rsid w:val="29F179E6"/>
    <w:rsid w:val="29F340A3"/>
    <w:rsid w:val="29F55728"/>
    <w:rsid w:val="29F714A0"/>
    <w:rsid w:val="29F92976"/>
    <w:rsid w:val="29FD638B"/>
    <w:rsid w:val="29FE057C"/>
    <w:rsid w:val="29FF65A7"/>
    <w:rsid w:val="2A085CB6"/>
    <w:rsid w:val="2A0A1AAD"/>
    <w:rsid w:val="2A0B6CFA"/>
    <w:rsid w:val="2A0B7934"/>
    <w:rsid w:val="2A0D6239"/>
    <w:rsid w:val="2A0E0598"/>
    <w:rsid w:val="2A0E67EA"/>
    <w:rsid w:val="2A107F3E"/>
    <w:rsid w:val="2A13795C"/>
    <w:rsid w:val="2A151926"/>
    <w:rsid w:val="2A181417"/>
    <w:rsid w:val="2A1D0D41"/>
    <w:rsid w:val="2A1E3E1D"/>
    <w:rsid w:val="2A21310B"/>
    <w:rsid w:val="2A222C33"/>
    <w:rsid w:val="2A241B69"/>
    <w:rsid w:val="2A24600D"/>
    <w:rsid w:val="2A25002F"/>
    <w:rsid w:val="2A29447B"/>
    <w:rsid w:val="2A2B28FA"/>
    <w:rsid w:val="2A2C0A1E"/>
    <w:rsid w:val="2A2E4796"/>
    <w:rsid w:val="2A2F6080"/>
    <w:rsid w:val="2A36189D"/>
    <w:rsid w:val="2A385615"/>
    <w:rsid w:val="2A3873C3"/>
    <w:rsid w:val="2A41271B"/>
    <w:rsid w:val="2A420242"/>
    <w:rsid w:val="2A4437E8"/>
    <w:rsid w:val="2A443FBA"/>
    <w:rsid w:val="2A452503"/>
    <w:rsid w:val="2A453CE8"/>
    <w:rsid w:val="2A467D32"/>
    <w:rsid w:val="2A475858"/>
    <w:rsid w:val="2A513D41"/>
    <w:rsid w:val="2A520652"/>
    <w:rsid w:val="2A522B7B"/>
    <w:rsid w:val="2A5552A2"/>
    <w:rsid w:val="2A566932"/>
    <w:rsid w:val="2A572EBE"/>
    <w:rsid w:val="2A585CB7"/>
    <w:rsid w:val="2A5A64C9"/>
    <w:rsid w:val="2A5E40DE"/>
    <w:rsid w:val="2A5E4B08"/>
    <w:rsid w:val="2A5F7045"/>
    <w:rsid w:val="2A64304B"/>
    <w:rsid w:val="2A662182"/>
    <w:rsid w:val="2A6A29D7"/>
    <w:rsid w:val="2A6E7289"/>
    <w:rsid w:val="2A6F3F4A"/>
    <w:rsid w:val="2A703001"/>
    <w:rsid w:val="2A706684"/>
    <w:rsid w:val="2A750617"/>
    <w:rsid w:val="2A7A1A17"/>
    <w:rsid w:val="2A7A2F78"/>
    <w:rsid w:val="2A7F4FF2"/>
    <w:rsid w:val="2A80067B"/>
    <w:rsid w:val="2A810D3A"/>
    <w:rsid w:val="2A816FBC"/>
    <w:rsid w:val="2A822971"/>
    <w:rsid w:val="2A8275BB"/>
    <w:rsid w:val="2A832D34"/>
    <w:rsid w:val="2A865D92"/>
    <w:rsid w:val="2A866380"/>
    <w:rsid w:val="2A884766"/>
    <w:rsid w:val="2A8909AE"/>
    <w:rsid w:val="2A896304"/>
    <w:rsid w:val="2A8B7614"/>
    <w:rsid w:val="2A8E2AA8"/>
    <w:rsid w:val="2A900FAD"/>
    <w:rsid w:val="2A91265F"/>
    <w:rsid w:val="2A923E12"/>
    <w:rsid w:val="2A92414F"/>
    <w:rsid w:val="2A942B60"/>
    <w:rsid w:val="2A991B89"/>
    <w:rsid w:val="2A9B6036"/>
    <w:rsid w:val="2A9C63FB"/>
    <w:rsid w:val="2AA02C91"/>
    <w:rsid w:val="2AA116EE"/>
    <w:rsid w:val="2AA23703"/>
    <w:rsid w:val="2AA42008"/>
    <w:rsid w:val="2AA8279A"/>
    <w:rsid w:val="2AAA06F7"/>
    <w:rsid w:val="2AAA4765"/>
    <w:rsid w:val="2AAB4039"/>
    <w:rsid w:val="2AAD720F"/>
    <w:rsid w:val="2AAD7662"/>
    <w:rsid w:val="2AAE214A"/>
    <w:rsid w:val="2AAE4754"/>
    <w:rsid w:val="2AAF01EC"/>
    <w:rsid w:val="2AAF1D7B"/>
    <w:rsid w:val="2AB5328A"/>
    <w:rsid w:val="2AB56C65"/>
    <w:rsid w:val="2AB617B6"/>
    <w:rsid w:val="2AB9225B"/>
    <w:rsid w:val="2ABA1E42"/>
    <w:rsid w:val="2ABC4FEF"/>
    <w:rsid w:val="2AC375D4"/>
    <w:rsid w:val="2AC62C21"/>
    <w:rsid w:val="2AC944BF"/>
    <w:rsid w:val="2AD17ECD"/>
    <w:rsid w:val="2AD43590"/>
    <w:rsid w:val="2AD47915"/>
    <w:rsid w:val="2AD7047D"/>
    <w:rsid w:val="2AD74F62"/>
    <w:rsid w:val="2AD7709E"/>
    <w:rsid w:val="2ADA1AA6"/>
    <w:rsid w:val="2ADE7F6A"/>
    <w:rsid w:val="2AE5579D"/>
    <w:rsid w:val="2AE840E7"/>
    <w:rsid w:val="2AE97677"/>
    <w:rsid w:val="2AEB2979"/>
    <w:rsid w:val="2AEB3321"/>
    <w:rsid w:val="2AEB510C"/>
    <w:rsid w:val="2AED040D"/>
    <w:rsid w:val="2AED63FF"/>
    <w:rsid w:val="2AEF71F7"/>
    <w:rsid w:val="2AF50EB8"/>
    <w:rsid w:val="2AF55091"/>
    <w:rsid w:val="2AF552B4"/>
    <w:rsid w:val="2AF61758"/>
    <w:rsid w:val="2AF65680"/>
    <w:rsid w:val="2AF754BA"/>
    <w:rsid w:val="2AF95CC2"/>
    <w:rsid w:val="2AF976EE"/>
    <w:rsid w:val="2AFC789A"/>
    <w:rsid w:val="2AFD1883"/>
    <w:rsid w:val="2AFF1C79"/>
    <w:rsid w:val="2B022C83"/>
    <w:rsid w:val="2B036AF6"/>
    <w:rsid w:val="2B057FEA"/>
    <w:rsid w:val="2B073965"/>
    <w:rsid w:val="2B084FE7"/>
    <w:rsid w:val="2B0971E3"/>
    <w:rsid w:val="2B0A0D5F"/>
    <w:rsid w:val="2B0A4724"/>
    <w:rsid w:val="2B0B2D29"/>
    <w:rsid w:val="2B0B37FC"/>
    <w:rsid w:val="2B0D0568"/>
    <w:rsid w:val="2B1240B8"/>
    <w:rsid w:val="2B141BDE"/>
    <w:rsid w:val="2B1646A1"/>
    <w:rsid w:val="2B1A3EE2"/>
    <w:rsid w:val="2B1D21AF"/>
    <w:rsid w:val="2B1E4813"/>
    <w:rsid w:val="2B23525C"/>
    <w:rsid w:val="2B24423A"/>
    <w:rsid w:val="2B25092E"/>
    <w:rsid w:val="2B2A3C21"/>
    <w:rsid w:val="2B2A547C"/>
    <w:rsid w:val="2B2B69CB"/>
    <w:rsid w:val="2B2C33CC"/>
    <w:rsid w:val="2B2D0EF2"/>
    <w:rsid w:val="2B2D1254"/>
    <w:rsid w:val="2B3109E2"/>
    <w:rsid w:val="2B3123ED"/>
    <w:rsid w:val="2B342280"/>
    <w:rsid w:val="2B34402E"/>
    <w:rsid w:val="2B354EAF"/>
    <w:rsid w:val="2B381D70"/>
    <w:rsid w:val="2B3E00AD"/>
    <w:rsid w:val="2B4148B6"/>
    <w:rsid w:val="2B436DE7"/>
    <w:rsid w:val="2B44578A"/>
    <w:rsid w:val="2B465B0F"/>
    <w:rsid w:val="2B472AE4"/>
    <w:rsid w:val="2B475A44"/>
    <w:rsid w:val="2B4B3AA4"/>
    <w:rsid w:val="2B4B3FB4"/>
    <w:rsid w:val="2B4C60D5"/>
    <w:rsid w:val="2B502AE9"/>
    <w:rsid w:val="2B514BE0"/>
    <w:rsid w:val="2B5376F6"/>
    <w:rsid w:val="2B540048"/>
    <w:rsid w:val="2B587855"/>
    <w:rsid w:val="2B5D6A7B"/>
    <w:rsid w:val="2B5E6DBC"/>
    <w:rsid w:val="2B60325D"/>
    <w:rsid w:val="2B652952"/>
    <w:rsid w:val="2B6532D0"/>
    <w:rsid w:val="2B671F5A"/>
    <w:rsid w:val="2B696624"/>
    <w:rsid w:val="2B6B4E3F"/>
    <w:rsid w:val="2B6B50E9"/>
    <w:rsid w:val="2B6C5576"/>
    <w:rsid w:val="2B6F5066"/>
    <w:rsid w:val="2B6F73AF"/>
    <w:rsid w:val="2B732DA8"/>
    <w:rsid w:val="2B760320"/>
    <w:rsid w:val="2B783BC3"/>
    <w:rsid w:val="2B797C93"/>
    <w:rsid w:val="2B7F751B"/>
    <w:rsid w:val="2B801021"/>
    <w:rsid w:val="2B8054C5"/>
    <w:rsid w:val="2B806E0C"/>
    <w:rsid w:val="2B8079EB"/>
    <w:rsid w:val="2B830110"/>
    <w:rsid w:val="2B8555DF"/>
    <w:rsid w:val="2B870602"/>
    <w:rsid w:val="2B8A47B9"/>
    <w:rsid w:val="2B8C3E6A"/>
    <w:rsid w:val="2B8D7FF1"/>
    <w:rsid w:val="2B8F0AF5"/>
    <w:rsid w:val="2B916A90"/>
    <w:rsid w:val="2B941895"/>
    <w:rsid w:val="2B9503F9"/>
    <w:rsid w:val="2B970055"/>
    <w:rsid w:val="2B97060D"/>
    <w:rsid w:val="2B980A61"/>
    <w:rsid w:val="2B9B21BA"/>
    <w:rsid w:val="2B9D1BD3"/>
    <w:rsid w:val="2B9D6077"/>
    <w:rsid w:val="2B9E614B"/>
    <w:rsid w:val="2BA418E2"/>
    <w:rsid w:val="2BA74800"/>
    <w:rsid w:val="2BA936A8"/>
    <w:rsid w:val="2BB01D83"/>
    <w:rsid w:val="2BB138D1"/>
    <w:rsid w:val="2BB331A5"/>
    <w:rsid w:val="2BB6670C"/>
    <w:rsid w:val="2BB676D9"/>
    <w:rsid w:val="2BBA09D7"/>
    <w:rsid w:val="2BBD2276"/>
    <w:rsid w:val="2BBD4024"/>
    <w:rsid w:val="2BBD6312"/>
    <w:rsid w:val="2BC17A07"/>
    <w:rsid w:val="2BC33E82"/>
    <w:rsid w:val="2BC52ED8"/>
    <w:rsid w:val="2BC575D6"/>
    <w:rsid w:val="2BC60D40"/>
    <w:rsid w:val="2BC74EA2"/>
    <w:rsid w:val="2BCB490F"/>
    <w:rsid w:val="2BCD0890"/>
    <w:rsid w:val="2BCD4C42"/>
    <w:rsid w:val="2BCF1497"/>
    <w:rsid w:val="2BD25E57"/>
    <w:rsid w:val="2BD626CD"/>
    <w:rsid w:val="2BDF11C1"/>
    <w:rsid w:val="2BDF2103"/>
    <w:rsid w:val="2BE23A8A"/>
    <w:rsid w:val="2BE66986"/>
    <w:rsid w:val="2BEC5442"/>
    <w:rsid w:val="2BEF61A7"/>
    <w:rsid w:val="2BEF7DAF"/>
    <w:rsid w:val="2BF115D9"/>
    <w:rsid w:val="2BF11E95"/>
    <w:rsid w:val="2BF13CCD"/>
    <w:rsid w:val="2BF435C0"/>
    <w:rsid w:val="2BF44DCD"/>
    <w:rsid w:val="2BF51A0F"/>
    <w:rsid w:val="2BF80B9C"/>
    <w:rsid w:val="2BF81500"/>
    <w:rsid w:val="2BFA0DD4"/>
    <w:rsid w:val="2BFC763D"/>
    <w:rsid w:val="2BFF63EA"/>
    <w:rsid w:val="2C025EDA"/>
    <w:rsid w:val="2C0559CB"/>
    <w:rsid w:val="2C063C1D"/>
    <w:rsid w:val="2C0700CC"/>
    <w:rsid w:val="2C091017"/>
    <w:rsid w:val="2C0A675D"/>
    <w:rsid w:val="2C0C2709"/>
    <w:rsid w:val="2C0D4B61"/>
    <w:rsid w:val="2C1103C9"/>
    <w:rsid w:val="2C1125C1"/>
    <w:rsid w:val="2C114C90"/>
    <w:rsid w:val="2C1520B2"/>
    <w:rsid w:val="2C15214B"/>
    <w:rsid w:val="2C155C0E"/>
    <w:rsid w:val="2C160CC3"/>
    <w:rsid w:val="2C183950"/>
    <w:rsid w:val="2C195968"/>
    <w:rsid w:val="2C1B6F9C"/>
    <w:rsid w:val="2C203984"/>
    <w:rsid w:val="2C20689D"/>
    <w:rsid w:val="2C243F7F"/>
    <w:rsid w:val="2C276585"/>
    <w:rsid w:val="2C2916B9"/>
    <w:rsid w:val="2C2956FE"/>
    <w:rsid w:val="2C2C1247"/>
    <w:rsid w:val="2C2C73FB"/>
    <w:rsid w:val="2C2E6CCF"/>
    <w:rsid w:val="2C2F189A"/>
    <w:rsid w:val="2C303149"/>
    <w:rsid w:val="2C31056E"/>
    <w:rsid w:val="2C315A5A"/>
    <w:rsid w:val="2C324A12"/>
    <w:rsid w:val="2C33078A"/>
    <w:rsid w:val="2C34673C"/>
    <w:rsid w:val="2C372028"/>
    <w:rsid w:val="2C3818FC"/>
    <w:rsid w:val="2C382FB9"/>
    <w:rsid w:val="2C3C2506"/>
    <w:rsid w:val="2C3C763E"/>
    <w:rsid w:val="2C3E0508"/>
    <w:rsid w:val="2C3F43AA"/>
    <w:rsid w:val="2C40699F"/>
    <w:rsid w:val="2C4272E4"/>
    <w:rsid w:val="2C484E8C"/>
    <w:rsid w:val="2C487AD8"/>
    <w:rsid w:val="2C492354"/>
    <w:rsid w:val="2C4B1C25"/>
    <w:rsid w:val="2C4B1D35"/>
    <w:rsid w:val="2C4B3DEE"/>
    <w:rsid w:val="2C4B5AD3"/>
    <w:rsid w:val="2C4B7881"/>
    <w:rsid w:val="2C4C35F9"/>
    <w:rsid w:val="2C4D19F4"/>
    <w:rsid w:val="2C50180B"/>
    <w:rsid w:val="2C520C10"/>
    <w:rsid w:val="2C534988"/>
    <w:rsid w:val="2C5639A1"/>
    <w:rsid w:val="2C564E15"/>
    <w:rsid w:val="2C567FD4"/>
    <w:rsid w:val="2C5A144F"/>
    <w:rsid w:val="2C5A1872"/>
    <w:rsid w:val="2C5B5D0B"/>
    <w:rsid w:val="2C5D045C"/>
    <w:rsid w:val="2C5F332D"/>
    <w:rsid w:val="2C5F4743"/>
    <w:rsid w:val="2C6170A5"/>
    <w:rsid w:val="2C625CBB"/>
    <w:rsid w:val="2C6B6EF3"/>
    <w:rsid w:val="2C6C04E3"/>
    <w:rsid w:val="2C6D4700"/>
    <w:rsid w:val="2C6D60EB"/>
    <w:rsid w:val="2C6E531E"/>
    <w:rsid w:val="2C702B8C"/>
    <w:rsid w:val="2C7072E8"/>
    <w:rsid w:val="2C71394C"/>
    <w:rsid w:val="2C732934"/>
    <w:rsid w:val="2C73502A"/>
    <w:rsid w:val="2C785629"/>
    <w:rsid w:val="2C790B58"/>
    <w:rsid w:val="2C7C10DC"/>
    <w:rsid w:val="2C7F587F"/>
    <w:rsid w:val="2C7F6617"/>
    <w:rsid w:val="2C82701B"/>
    <w:rsid w:val="2C8419A4"/>
    <w:rsid w:val="2C842D93"/>
    <w:rsid w:val="2C844B41"/>
    <w:rsid w:val="2C850B5B"/>
    <w:rsid w:val="2C875551"/>
    <w:rsid w:val="2C9129FE"/>
    <w:rsid w:val="2C924C4E"/>
    <w:rsid w:val="2C932A60"/>
    <w:rsid w:val="2C9A25B7"/>
    <w:rsid w:val="2C9A6113"/>
    <w:rsid w:val="2C9B01E8"/>
    <w:rsid w:val="2C9C6BF2"/>
    <w:rsid w:val="2C9E6F59"/>
    <w:rsid w:val="2C9F7BCD"/>
    <w:rsid w:val="2CA3035B"/>
    <w:rsid w:val="2CA511A8"/>
    <w:rsid w:val="2CA64AB8"/>
    <w:rsid w:val="2CA670C4"/>
    <w:rsid w:val="2CA729D9"/>
    <w:rsid w:val="2CA90A4C"/>
    <w:rsid w:val="2CAB1EBD"/>
    <w:rsid w:val="2CAB7D50"/>
    <w:rsid w:val="2CAE1BBE"/>
    <w:rsid w:val="2CAF0DDD"/>
    <w:rsid w:val="2CB00814"/>
    <w:rsid w:val="2CB24F90"/>
    <w:rsid w:val="2CB35427"/>
    <w:rsid w:val="2CB81405"/>
    <w:rsid w:val="2CB9501E"/>
    <w:rsid w:val="2CBA3B14"/>
    <w:rsid w:val="2CBC6FB1"/>
    <w:rsid w:val="2CBF1933"/>
    <w:rsid w:val="2CBF523E"/>
    <w:rsid w:val="2CC17B44"/>
    <w:rsid w:val="2CC257BA"/>
    <w:rsid w:val="2CC628ED"/>
    <w:rsid w:val="2CCB09C2"/>
    <w:rsid w:val="2CCC1663"/>
    <w:rsid w:val="2CD30A89"/>
    <w:rsid w:val="2CD7243F"/>
    <w:rsid w:val="2CDA5E9A"/>
    <w:rsid w:val="2CE403C2"/>
    <w:rsid w:val="2CE455E0"/>
    <w:rsid w:val="2CE564E0"/>
    <w:rsid w:val="2CE675AA"/>
    <w:rsid w:val="2CE81DF9"/>
    <w:rsid w:val="2CEA52EC"/>
    <w:rsid w:val="2CED7542"/>
    <w:rsid w:val="2CF35593"/>
    <w:rsid w:val="2CF441AF"/>
    <w:rsid w:val="2CF9552F"/>
    <w:rsid w:val="2CFA4E04"/>
    <w:rsid w:val="2CFB4FB6"/>
    <w:rsid w:val="2CFC0B7C"/>
    <w:rsid w:val="2CFE66A2"/>
    <w:rsid w:val="2D010719"/>
    <w:rsid w:val="2D025BF1"/>
    <w:rsid w:val="2D0615A5"/>
    <w:rsid w:val="2D0637A8"/>
    <w:rsid w:val="2D086016"/>
    <w:rsid w:val="2D0A33D8"/>
    <w:rsid w:val="2D0A39F6"/>
    <w:rsid w:val="2D0D1B60"/>
    <w:rsid w:val="2D0F3660"/>
    <w:rsid w:val="2D1005BF"/>
    <w:rsid w:val="2D102879"/>
    <w:rsid w:val="2D104627"/>
    <w:rsid w:val="2D110C7D"/>
    <w:rsid w:val="2D126B07"/>
    <w:rsid w:val="2D1A156E"/>
    <w:rsid w:val="2D1B36F8"/>
    <w:rsid w:val="2D2307FE"/>
    <w:rsid w:val="2D2607BF"/>
    <w:rsid w:val="2D2A56E9"/>
    <w:rsid w:val="2D2C0B71"/>
    <w:rsid w:val="2D2E0D62"/>
    <w:rsid w:val="2D3447B9"/>
    <w:rsid w:val="2D360531"/>
    <w:rsid w:val="2D376BAE"/>
    <w:rsid w:val="2D3B2321"/>
    <w:rsid w:val="2D3C6DC4"/>
    <w:rsid w:val="2D3E73E6"/>
    <w:rsid w:val="2D413070"/>
    <w:rsid w:val="2D4367AA"/>
    <w:rsid w:val="2D4457D8"/>
    <w:rsid w:val="2D4744ED"/>
    <w:rsid w:val="2D492BC2"/>
    <w:rsid w:val="2D4A18E7"/>
    <w:rsid w:val="2D4A5D8B"/>
    <w:rsid w:val="2D4B1C1E"/>
    <w:rsid w:val="2D4B5D59"/>
    <w:rsid w:val="2D4D6547"/>
    <w:rsid w:val="2D4F6EFD"/>
    <w:rsid w:val="2D5027B8"/>
    <w:rsid w:val="2D515F18"/>
    <w:rsid w:val="2D5313C5"/>
    <w:rsid w:val="2D542766"/>
    <w:rsid w:val="2D562E4B"/>
    <w:rsid w:val="2D56613C"/>
    <w:rsid w:val="2D5704A8"/>
    <w:rsid w:val="2D572256"/>
    <w:rsid w:val="2D585055"/>
    <w:rsid w:val="2D625A52"/>
    <w:rsid w:val="2D632AA5"/>
    <w:rsid w:val="2D642D09"/>
    <w:rsid w:val="2D662499"/>
    <w:rsid w:val="2D6706EB"/>
    <w:rsid w:val="2D6B794E"/>
    <w:rsid w:val="2D6C3B50"/>
    <w:rsid w:val="2D6D3827"/>
    <w:rsid w:val="2D704F50"/>
    <w:rsid w:val="2D71156A"/>
    <w:rsid w:val="2D73144B"/>
    <w:rsid w:val="2D75094D"/>
    <w:rsid w:val="2D75762D"/>
    <w:rsid w:val="2D7828F8"/>
    <w:rsid w:val="2D7836E3"/>
    <w:rsid w:val="2D796670"/>
    <w:rsid w:val="2D7C0659"/>
    <w:rsid w:val="2D7D5E2E"/>
    <w:rsid w:val="2D8125BC"/>
    <w:rsid w:val="2D812A62"/>
    <w:rsid w:val="2D83479F"/>
    <w:rsid w:val="2D840B91"/>
    <w:rsid w:val="2D850B71"/>
    <w:rsid w:val="2D8A1A96"/>
    <w:rsid w:val="2D8A6187"/>
    <w:rsid w:val="2D8F379E"/>
    <w:rsid w:val="2D9154F3"/>
    <w:rsid w:val="2D917516"/>
    <w:rsid w:val="2D930718"/>
    <w:rsid w:val="2D937732"/>
    <w:rsid w:val="2D960FD0"/>
    <w:rsid w:val="2D975C39"/>
    <w:rsid w:val="2D984D48"/>
    <w:rsid w:val="2D986AF6"/>
    <w:rsid w:val="2D9E56F5"/>
    <w:rsid w:val="2DA03BFD"/>
    <w:rsid w:val="2DA21DA9"/>
    <w:rsid w:val="2DA36109"/>
    <w:rsid w:val="2DA60AE7"/>
    <w:rsid w:val="2DA60FDE"/>
    <w:rsid w:val="2DAC004E"/>
    <w:rsid w:val="2DAC0DC5"/>
    <w:rsid w:val="2DAC3D50"/>
    <w:rsid w:val="2DAD1851"/>
    <w:rsid w:val="2DAD35B4"/>
    <w:rsid w:val="2DAD37E2"/>
    <w:rsid w:val="2DAF14C1"/>
    <w:rsid w:val="2DAF3E40"/>
    <w:rsid w:val="2DB06D0E"/>
    <w:rsid w:val="2DB11966"/>
    <w:rsid w:val="2DB15E0A"/>
    <w:rsid w:val="2DB31B82"/>
    <w:rsid w:val="2DB46B73"/>
    <w:rsid w:val="2DB80F46"/>
    <w:rsid w:val="2DB84138"/>
    <w:rsid w:val="2DBB0D56"/>
    <w:rsid w:val="2DBD030B"/>
    <w:rsid w:val="2DBD0D13"/>
    <w:rsid w:val="2DBE3DD1"/>
    <w:rsid w:val="2DBE7B0E"/>
    <w:rsid w:val="2DBF63F0"/>
    <w:rsid w:val="2DC24653"/>
    <w:rsid w:val="2DC509CB"/>
    <w:rsid w:val="2DC609FB"/>
    <w:rsid w:val="2DC6679F"/>
    <w:rsid w:val="2DC72F38"/>
    <w:rsid w:val="2DC86CB0"/>
    <w:rsid w:val="2DC911A7"/>
    <w:rsid w:val="2DCC0ED0"/>
    <w:rsid w:val="2DCC49F2"/>
    <w:rsid w:val="2DD446BD"/>
    <w:rsid w:val="2DD85145"/>
    <w:rsid w:val="2DDB2E87"/>
    <w:rsid w:val="2DDC58F1"/>
    <w:rsid w:val="2DE0224B"/>
    <w:rsid w:val="2DE117B4"/>
    <w:rsid w:val="2DE47F8D"/>
    <w:rsid w:val="2DE55AB4"/>
    <w:rsid w:val="2DE57862"/>
    <w:rsid w:val="2DE6044E"/>
    <w:rsid w:val="2DEA3FB3"/>
    <w:rsid w:val="2DEB1FC3"/>
    <w:rsid w:val="2DED3E2D"/>
    <w:rsid w:val="2DEF1543"/>
    <w:rsid w:val="2DF06D6A"/>
    <w:rsid w:val="2DF53F49"/>
    <w:rsid w:val="2DF75030"/>
    <w:rsid w:val="2DF81343"/>
    <w:rsid w:val="2DF84D4F"/>
    <w:rsid w:val="2DFA38C3"/>
    <w:rsid w:val="2DFB7085"/>
    <w:rsid w:val="2DFD104F"/>
    <w:rsid w:val="2DFE0923"/>
    <w:rsid w:val="2E006F10"/>
    <w:rsid w:val="2E007D59"/>
    <w:rsid w:val="2E01073F"/>
    <w:rsid w:val="2E01440B"/>
    <w:rsid w:val="2E0A551A"/>
    <w:rsid w:val="2E0B19C7"/>
    <w:rsid w:val="2E0F48DF"/>
    <w:rsid w:val="2E150147"/>
    <w:rsid w:val="2E153CB4"/>
    <w:rsid w:val="2E160B95"/>
    <w:rsid w:val="2E1839F0"/>
    <w:rsid w:val="2E1F375A"/>
    <w:rsid w:val="2E212139"/>
    <w:rsid w:val="2E276698"/>
    <w:rsid w:val="2E2A2D4D"/>
    <w:rsid w:val="2E321787"/>
    <w:rsid w:val="2E3600BD"/>
    <w:rsid w:val="2E36055D"/>
    <w:rsid w:val="2E382B1E"/>
    <w:rsid w:val="2E385BE3"/>
    <w:rsid w:val="2E3B66CB"/>
    <w:rsid w:val="2E3F01CD"/>
    <w:rsid w:val="2E3F51C4"/>
    <w:rsid w:val="2E402CEA"/>
    <w:rsid w:val="2E430DF4"/>
    <w:rsid w:val="2E434717"/>
    <w:rsid w:val="2E450300"/>
    <w:rsid w:val="2E4726FA"/>
    <w:rsid w:val="2E485B9A"/>
    <w:rsid w:val="2E4B3B69"/>
    <w:rsid w:val="2E4C6786"/>
    <w:rsid w:val="2E4E4684"/>
    <w:rsid w:val="2E4E769A"/>
    <w:rsid w:val="2E4F2F2D"/>
    <w:rsid w:val="2E4F3411"/>
    <w:rsid w:val="2E5363CC"/>
    <w:rsid w:val="2E56250D"/>
    <w:rsid w:val="2E5844D8"/>
    <w:rsid w:val="2E5A0250"/>
    <w:rsid w:val="2E5A3DAC"/>
    <w:rsid w:val="2E5F5866"/>
    <w:rsid w:val="2E602C63"/>
    <w:rsid w:val="2E6054F4"/>
    <w:rsid w:val="2E6406FD"/>
    <w:rsid w:val="2E6424AB"/>
    <w:rsid w:val="2E667F96"/>
    <w:rsid w:val="2E671542"/>
    <w:rsid w:val="2E682FCF"/>
    <w:rsid w:val="2E68477F"/>
    <w:rsid w:val="2E692241"/>
    <w:rsid w:val="2E695035"/>
    <w:rsid w:val="2E6979FC"/>
    <w:rsid w:val="2E6A313C"/>
    <w:rsid w:val="2E6B1952"/>
    <w:rsid w:val="2E6C1D31"/>
    <w:rsid w:val="2E6E5AA9"/>
    <w:rsid w:val="2E70537D"/>
    <w:rsid w:val="2E7110F5"/>
    <w:rsid w:val="2E7211A1"/>
    <w:rsid w:val="2E740036"/>
    <w:rsid w:val="2E786928"/>
    <w:rsid w:val="2E786FB9"/>
    <w:rsid w:val="2E7930AC"/>
    <w:rsid w:val="2E7A444E"/>
    <w:rsid w:val="2E7B3D22"/>
    <w:rsid w:val="2E7C71D4"/>
    <w:rsid w:val="2E7D18D9"/>
    <w:rsid w:val="2E7D5CEC"/>
    <w:rsid w:val="2E7E10F3"/>
    <w:rsid w:val="2E7E2748"/>
    <w:rsid w:val="2E7F713C"/>
    <w:rsid w:val="2E821554"/>
    <w:rsid w:val="2E8226AB"/>
    <w:rsid w:val="2E823302"/>
    <w:rsid w:val="2E831215"/>
    <w:rsid w:val="2E86673B"/>
    <w:rsid w:val="2E894C27"/>
    <w:rsid w:val="2E8C1A38"/>
    <w:rsid w:val="2E954DE4"/>
    <w:rsid w:val="2E96324D"/>
    <w:rsid w:val="2E974ADB"/>
    <w:rsid w:val="2E9848D4"/>
    <w:rsid w:val="2E992F9F"/>
    <w:rsid w:val="2E9C43C4"/>
    <w:rsid w:val="2E9D6448"/>
    <w:rsid w:val="2EA20E79"/>
    <w:rsid w:val="2EA339A5"/>
    <w:rsid w:val="2EA414CB"/>
    <w:rsid w:val="2EA70F8A"/>
    <w:rsid w:val="2EA72D69"/>
    <w:rsid w:val="2EA74B17"/>
    <w:rsid w:val="2EAA55E0"/>
    <w:rsid w:val="2EAB2B9C"/>
    <w:rsid w:val="2EAF6616"/>
    <w:rsid w:val="2EB21E3A"/>
    <w:rsid w:val="2EB22135"/>
    <w:rsid w:val="2EB240E4"/>
    <w:rsid w:val="2EB24FE2"/>
    <w:rsid w:val="2EB76449"/>
    <w:rsid w:val="2EB77F7E"/>
    <w:rsid w:val="2EB9685D"/>
    <w:rsid w:val="2EBA75E0"/>
    <w:rsid w:val="2EBC085D"/>
    <w:rsid w:val="2EBC4A66"/>
    <w:rsid w:val="2EBD6679"/>
    <w:rsid w:val="2EBF00B3"/>
    <w:rsid w:val="2EC056AF"/>
    <w:rsid w:val="2EC118F2"/>
    <w:rsid w:val="2EC63681"/>
    <w:rsid w:val="2EC7021D"/>
    <w:rsid w:val="2ECC184A"/>
    <w:rsid w:val="2ED32E95"/>
    <w:rsid w:val="2ED753FC"/>
    <w:rsid w:val="2ED92405"/>
    <w:rsid w:val="2EDB17D8"/>
    <w:rsid w:val="2EDC2A13"/>
    <w:rsid w:val="2EDE232E"/>
    <w:rsid w:val="2EDE3F60"/>
    <w:rsid w:val="2EE61BC7"/>
    <w:rsid w:val="2EE652E7"/>
    <w:rsid w:val="2EE6563F"/>
    <w:rsid w:val="2EE67D35"/>
    <w:rsid w:val="2EEF6BEA"/>
    <w:rsid w:val="2EF04710"/>
    <w:rsid w:val="2EF07129"/>
    <w:rsid w:val="2EF23507"/>
    <w:rsid w:val="2EF32154"/>
    <w:rsid w:val="2EF55F06"/>
    <w:rsid w:val="2EF61388"/>
    <w:rsid w:val="2EF73CF0"/>
    <w:rsid w:val="2EFC30EE"/>
    <w:rsid w:val="2EFE3A0B"/>
    <w:rsid w:val="2EFE6E2D"/>
    <w:rsid w:val="2F000DF7"/>
    <w:rsid w:val="2F00783C"/>
    <w:rsid w:val="2F012479"/>
    <w:rsid w:val="2F03199A"/>
    <w:rsid w:val="2F034A5E"/>
    <w:rsid w:val="2F0428DB"/>
    <w:rsid w:val="2F097580"/>
    <w:rsid w:val="2F0F103A"/>
    <w:rsid w:val="2F0F5CF2"/>
    <w:rsid w:val="2F143DC0"/>
    <w:rsid w:val="2F155F25"/>
    <w:rsid w:val="2F171E02"/>
    <w:rsid w:val="2F1C5505"/>
    <w:rsid w:val="2F2004D8"/>
    <w:rsid w:val="2F212B1B"/>
    <w:rsid w:val="2F236894"/>
    <w:rsid w:val="2F244087"/>
    <w:rsid w:val="2F2443BA"/>
    <w:rsid w:val="2F251811"/>
    <w:rsid w:val="2F252CC5"/>
    <w:rsid w:val="2F257702"/>
    <w:rsid w:val="2F2A4D71"/>
    <w:rsid w:val="2F2A7C22"/>
    <w:rsid w:val="2F2E6FE6"/>
    <w:rsid w:val="2F307202"/>
    <w:rsid w:val="2F324E31"/>
    <w:rsid w:val="2F335688"/>
    <w:rsid w:val="2F3372B6"/>
    <w:rsid w:val="2F340AA1"/>
    <w:rsid w:val="2F3565C7"/>
    <w:rsid w:val="2F3828A2"/>
    <w:rsid w:val="2F3866D1"/>
    <w:rsid w:val="2F4075BD"/>
    <w:rsid w:val="2F41734D"/>
    <w:rsid w:val="2F452CAE"/>
    <w:rsid w:val="2F4809F1"/>
    <w:rsid w:val="2F4B02EF"/>
    <w:rsid w:val="2F4F58DB"/>
    <w:rsid w:val="2F504DE1"/>
    <w:rsid w:val="2F52551A"/>
    <w:rsid w:val="2F5702EB"/>
    <w:rsid w:val="2F572555"/>
    <w:rsid w:val="2F5C7FF7"/>
    <w:rsid w:val="2F5E5B1E"/>
    <w:rsid w:val="2F5F358F"/>
    <w:rsid w:val="2F61116A"/>
    <w:rsid w:val="2F6252DE"/>
    <w:rsid w:val="2F642A08"/>
    <w:rsid w:val="2F652C09"/>
    <w:rsid w:val="2F68074A"/>
    <w:rsid w:val="2F6C35B6"/>
    <w:rsid w:val="2F6D15D5"/>
    <w:rsid w:val="2F6D5D61"/>
    <w:rsid w:val="2F6F7D2B"/>
    <w:rsid w:val="2F7215C9"/>
    <w:rsid w:val="2F73094D"/>
    <w:rsid w:val="2F7B047E"/>
    <w:rsid w:val="2F7B66D0"/>
    <w:rsid w:val="2F860DDA"/>
    <w:rsid w:val="2F866E22"/>
    <w:rsid w:val="2F8955AD"/>
    <w:rsid w:val="2F8A246F"/>
    <w:rsid w:val="2F8B228E"/>
    <w:rsid w:val="2F8F1F3C"/>
    <w:rsid w:val="2F9147B8"/>
    <w:rsid w:val="2F917175"/>
    <w:rsid w:val="2F9257C7"/>
    <w:rsid w:val="2F95270D"/>
    <w:rsid w:val="2F9628CC"/>
    <w:rsid w:val="2F963AF1"/>
    <w:rsid w:val="2F975005"/>
    <w:rsid w:val="2F996B56"/>
    <w:rsid w:val="2F9C1CBB"/>
    <w:rsid w:val="2F9E68CE"/>
    <w:rsid w:val="2F9F216A"/>
    <w:rsid w:val="2FA01C92"/>
    <w:rsid w:val="2FA219ED"/>
    <w:rsid w:val="2FA31782"/>
    <w:rsid w:val="2FA3680A"/>
    <w:rsid w:val="2FA4232C"/>
    <w:rsid w:val="2FA77D13"/>
    <w:rsid w:val="2FAC2A20"/>
    <w:rsid w:val="2FAC6889"/>
    <w:rsid w:val="2FB0257B"/>
    <w:rsid w:val="2FB066A8"/>
    <w:rsid w:val="2FB104DF"/>
    <w:rsid w:val="2FB30DED"/>
    <w:rsid w:val="2FB3135D"/>
    <w:rsid w:val="2FB5018F"/>
    <w:rsid w:val="2FB579B8"/>
    <w:rsid w:val="2FB61226"/>
    <w:rsid w:val="2FB8056D"/>
    <w:rsid w:val="2FB92D54"/>
    <w:rsid w:val="2FBD0A96"/>
    <w:rsid w:val="2FBE53A2"/>
    <w:rsid w:val="2FC11C09"/>
    <w:rsid w:val="2FC35981"/>
    <w:rsid w:val="2FC811E9"/>
    <w:rsid w:val="2FC851A5"/>
    <w:rsid w:val="2FC8743B"/>
    <w:rsid w:val="2FCE2CA3"/>
    <w:rsid w:val="2FD00B99"/>
    <w:rsid w:val="2FD065E6"/>
    <w:rsid w:val="2FD1238B"/>
    <w:rsid w:val="2FD4139C"/>
    <w:rsid w:val="2FD427D5"/>
    <w:rsid w:val="2FD42C4B"/>
    <w:rsid w:val="2FD66472"/>
    <w:rsid w:val="2FD76D32"/>
    <w:rsid w:val="2FD83EB2"/>
    <w:rsid w:val="2FD858D0"/>
    <w:rsid w:val="2FD951A4"/>
    <w:rsid w:val="2FD96870"/>
    <w:rsid w:val="2FDB23BE"/>
    <w:rsid w:val="2FDB2681"/>
    <w:rsid w:val="2FDB2CCA"/>
    <w:rsid w:val="2FDB5CC4"/>
    <w:rsid w:val="2FDE3787"/>
    <w:rsid w:val="2FDE6C5E"/>
    <w:rsid w:val="2FE23300"/>
    <w:rsid w:val="2FE24BEC"/>
    <w:rsid w:val="2FE34C17"/>
    <w:rsid w:val="2FE444BD"/>
    <w:rsid w:val="2FE47DF9"/>
    <w:rsid w:val="2FE51D9B"/>
    <w:rsid w:val="2FE53B49"/>
    <w:rsid w:val="2FEA73B1"/>
    <w:rsid w:val="2FEC15A8"/>
    <w:rsid w:val="2FF07290"/>
    <w:rsid w:val="2FF1366F"/>
    <w:rsid w:val="2FF3453C"/>
    <w:rsid w:val="2FF347C3"/>
    <w:rsid w:val="2FF61D99"/>
    <w:rsid w:val="2FF87D20"/>
    <w:rsid w:val="2FFB0DBC"/>
    <w:rsid w:val="2FFB3579"/>
    <w:rsid w:val="2FFC052E"/>
    <w:rsid w:val="2FFD5337"/>
    <w:rsid w:val="2FFF10AF"/>
    <w:rsid w:val="30001CF7"/>
    <w:rsid w:val="30020A5B"/>
    <w:rsid w:val="30030473"/>
    <w:rsid w:val="30047DE9"/>
    <w:rsid w:val="30065546"/>
    <w:rsid w:val="300754BE"/>
    <w:rsid w:val="30087837"/>
    <w:rsid w:val="300B7616"/>
    <w:rsid w:val="300C27ED"/>
    <w:rsid w:val="300C37CC"/>
    <w:rsid w:val="300C6D80"/>
    <w:rsid w:val="300E1BCD"/>
    <w:rsid w:val="300E50C1"/>
    <w:rsid w:val="30136908"/>
    <w:rsid w:val="30142F24"/>
    <w:rsid w:val="30193042"/>
    <w:rsid w:val="301B5CC1"/>
    <w:rsid w:val="301D7787"/>
    <w:rsid w:val="301F52AD"/>
    <w:rsid w:val="301F5D5A"/>
    <w:rsid w:val="30225F57"/>
    <w:rsid w:val="302359E2"/>
    <w:rsid w:val="3025663B"/>
    <w:rsid w:val="302979C1"/>
    <w:rsid w:val="302D71F8"/>
    <w:rsid w:val="302F1268"/>
    <w:rsid w:val="30314FE0"/>
    <w:rsid w:val="30324129"/>
    <w:rsid w:val="303348B4"/>
    <w:rsid w:val="303C760E"/>
    <w:rsid w:val="303E14AB"/>
    <w:rsid w:val="303F594F"/>
    <w:rsid w:val="304045F5"/>
    <w:rsid w:val="304169AB"/>
    <w:rsid w:val="30427A92"/>
    <w:rsid w:val="304704EE"/>
    <w:rsid w:val="30480FBC"/>
    <w:rsid w:val="30481ED0"/>
    <w:rsid w:val="30483D49"/>
    <w:rsid w:val="304940D8"/>
    <w:rsid w:val="30496C22"/>
    <w:rsid w:val="304A39BD"/>
    <w:rsid w:val="304C3BC8"/>
    <w:rsid w:val="304E16EE"/>
    <w:rsid w:val="30500E45"/>
    <w:rsid w:val="30522235"/>
    <w:rsid w:val="30542A7D"/>
    <w:rsid w:val="30554FC8"/>
    <w:rsid w:val="30556F21"/>
    <w:rsid w:val="30564DF2"/>
    <w:rsid w:val="30580BC9"/>
    <w:rsid w:val="305D4027"/>
    <w:rsid w:val="305D7B83"/>
    <w:rsid w:val="305F3739"/>
    <w:rsid w:val="305F4B0D"/>
    <w:rsid w:val="305F6198"/>
    <w:rsid w:val="3062519A"/>
    <w:rsid w:val="30686BBB"/>
    <w:rsid w:val="306968EE"/>
    <w:rsid w:val="306A22A0"/>
    <w:rsid w:val="306E1EC1"/>
    <w:rsid w:val="30717AD3"/>
    <w:rsid w:val="30737383"/>
    <w:rsid w:val="3074051E"/>
    <w:rsid w:val="307642A7"/>
    <w:rsid w:val="307E5F4A"/>
    <w:rsid w:val="30801AC4"/>
    <w:rsid w:val="3082583C"/>
    <w:rsid w:val="30844C42"/>
    <w:rsid w:val="3086305E"/>
    <w:rsid w:val="30873999"/>
    <w:rsid w:val="30873EFD"/>
    <w:rsid w:val="308A28F2"/>
    <w:rsid w:val="308A649E"/>
    <w:rsid w:val="308B12EC"/>
    <w:rsid w:val="3091349B"/>
    <w:rsid w:val="3091782D"/>
    <w:rsid w:val="309317F7"/>
    <w:rsid w:val="309A1B55"/>
    <w:rsid w:val="309D479F"/>
    <w:rsid w:val="30A05AD9"/>
    <w:rsid w:val="30A164E0"/>
    <w:rsid w:val="30A47560"/>
    <w:rsid w:val="30A86602"/>
    <w:rsid w:val="30A92041"/>
    <w:rsid w:val="30AA595F"/>
    <w:rsid w:val="30AD193B"/>
    <w:rsid w:val="30AE03DF"/>
    <w:rsid w:val="30AE05AC"/>
    <w:rsid w:val="30B24F2C"/>
    <w:rsid w:val="30B60179"/>
    <w:rsid w:val="30B755D1"/>
    <w:rsid w:val="30B81E62"/>
    <w:rsid w:val="30B850ED"/>
    <w:rsid w:val="30B852D4"/>
    <w:rsid w:val="30B928B7"/>
    <w:rsid w:val="30BC6FA0"/>
    <w:rsid w:val="30BD0622"/>
    <w:rsid w:val="30BD0D03"/>
    <w:rsid w:val="30BE5B8C"/>
    <w:rsid w:val="30BF25EC"/>
    <w:rsid w:val="30C121E0"/>
    <w:rsid w:val="30C220DC"/>
    <w:rsid w:val="30C2461A"/>
    <w:rsid w:val="30C8246D"/>
    <w:rsid w:val="30CA1D36"/>
    <w:rsid w:val="30CE0301"/>
    <w:rsid w:val="30CE282F"/>
    <w:rsid w:val="30CE4078"/>
    <w:rsid w:val="30CF6DE4"/>
    <w:rsid w:val="30D40A1B"/>
    <w:rsid w:val="30D50061"/>
    <w:rsid w:val="30D8545C"/>
    <w:rsid w:val="30DB0EFC"/>
    <w:rsid w:val="30DB2A7E"/>
    <w:rsid w:val="30DB704B"/>
    <w:rsid w:val="30DD26C3"/>
    <w:rsid w:val="30DD6F16"/>
    <w:rsid w:val="30E107B4"/>
    <w:rsid w:val="30E1301F"/>
    <w:rsid w:val="30E141BA"/>
    <w:rsid w:val="30E20088"/>
    <w:rsid w:val="30E20FC0"/>
    <w:rsid w:val="30E53E7F"/>
    <w:rsid w:val="30E9217E"/>
    <w:rsid w:val="30E931FA"/>
    <w:rsid w:val="30E944FC"/>
    <w:rsid w:val="30EB5F55"/>
    <w:rsid w:val="30EC32BC"/>
    <w:rsid w:val="30EE4C7F"/>
    <w:rsid w:val="30F213B6"/>
    <w:rsid w:val="30F46294"/>
    <w:rsid w:val="30F74D7E"/>
    <w:rsid w:val="30F93D50"/>
    <w:rsid w:val="30FC114A"/>
    <w:rsid w:val="30FC739C"/>
    <w:rsid w:val="31002492"/>
    <w:rsid w:val="31017F40"/>
    <w:rsid w:val="31061FC9"/>
    <w:rsid w:val="31073093"/>
    <w:rsid w:val="310821E5"/>
    <w:rsid w:val="310838D0"/>
    <w:rsid w:val="31097D0B"/>
    <w:rsid w:val="310B3A83"/>
    <w:rsid w:val="310B7037"/>
    <w:rsid w:val="310D15A9"/>
    <w:rsid w:val="310D3357"/>
    <w:rsid w:val="310E6B2A"/>
    <w:rsid w:val="31103CA4"/>
    <w:rsid w:val="31105847"/>
    <w:rsid w:val="311300E2"/>
    <w:rsid w:val="311773FD"/>
    <w:rsid w:val="3118742B"/>
    <w:rsid w:val="31194688"/>
    <w:rsid w:val="311B3251"/>
    <w:rsid w:val="311B76C1"/>
    <w:rsid w:val="311C024D"/>
    <w:rsid w:val="311E2ED7"/>
    <w:rsid w:val="31211BAD"/>
    <w:rsid w:val="31216E03"/>
    <w:rsid w:val="312318B9"/>
    <w:rsid w:val="312468F3"/>
    <w:rsid w:val="31247E92"/>
    <w:rsid w:val="312835A8"/>
    <w:rsid w:val="3129256C"/>
    <w:rsid w:val="312B0481"/>
    <w:rsid w:val="312B0EC3"/>
    <w:rsid w:val="312C306C"/>
    <w:rsid w:val="31301E7F"/>
    <w:rsid w:val="313034EA"/>
    <w:rsid w:val="31307046"/>
    <w:rsid w:val="3130737C"/>
    <w:rsid w:val="31311FBE"/>
    <w:rsid w:val="31324559"/>
    <w:rsid w:val="31336B36"/>
    <w:rsid w:val="31371B7B"/>
    <w:rsid w:val="3138414C"/>
    <w:rsid w:val="3139239E"/>
    <w:rsid w:val="313A37AA"/>
    <w:rsid w:val="313B4368"/>
    <w:rsid w:val="313C1E8F"/>
    <w:rsid w:val="313D2B7D"/>
    <w:rsid w:val="313D36BD"/>
    <w:rsid w:val="313E4BD4"/>
    <w:rsid w:val="313E5C07"/>
    <w:rsid w:val="31413B9E"/>
    <w:rsid w:val="31434FCB"/>
    <w:rsid w:val="3145128A"/>
    <w:rsid w:val="31472232"/>
    <w:rsid w:val="314A2ABD"/>
    <w:rsid w:val="314A3CC4"/>
    <w:rsid w:val="314B0324"/>
    <w:rsid w:val="314E571E"/>
    <w:rsid w:val="315035CC"/>
    <w:rsid w:val="3150593A"/>
    <w:rsid w:val="315471D8"/>
    <w:rsid w:val="315525EE"/>
    <w:rsid w:val="31552AFA"/>
    <w:rsid w:val="31556AAC"/>
    <w:rsid w:val="315618D4"/>
    <w:rsid w:val="315619EE"/>
    <w:rsid w:val="31576CC8"/>
    <w:rsid w:val="31583CA9"/>
    <w:rsid w:val="31586318"/>
    <w:rsid w:val="315B067A"/>
    <w:rsid w:val="315B464A"/>
    <w:rsid w:val="315C047B"/>
    <w:rsid w:val="315C449C"/>
    <w:rsid w:val="315F16D9"/>
    <w:rsid w:val="316010C3"/>
    <w:rsid w:val="31601285"/>
    <w:rsid w:val="31603DCF"/>
    <w:rsid w:val="316046E6"/>
    <w:rsid w:val="316169AD"/>
    <w:rsid w:val="31625DD3"/>
    <w:rsid w:val="31653193"/>
    <w:rsid w:val="3166515D"/>
    <w:rsid w:val="316D1AFC"/>
    <w:rsid w:val="316D3DF6"/>
    <w:rsid w:val="31700E49"/>
    <w:rsid w:val="31703244"/>
    <w:rsid w:val="31725BAE"/>
    <w:rsid w:val="31754030"/>
    <w:rsid w:val="317B6C63"/>
    <w:rsid w:val="317F1D7B"/>
    <w:rsid w:val="317F23DA"/>
    <w:rsid w:val="317F3B29"/>
    <w:rsid w:val="317F49C8"/>
    <w:rsid w:val="318555E4"/>
    <w:rsid w:val="319064BA"/>
    <w:rsid w:val="3191113B"/>
    <w:rsid w:val="31935369"/>
    <w:rsid w:val="31947229"/>
    <w:rsid w:val="3199108F"/>
    <w:rsid w:val="319A0963"/>
    <w:rsid w:val="319D2245"/>
    <w:rsid w:val="319F16FF"/>
    <w:rsid w:val="31A014D2"/>
    <w:rsid w:val="31A041CB"/>
    <w:rsid w:val="31A41528"/>
    <w:rsid w:val="31AA6DF8"/>
    <w:rsid w:val="31AC0FB2"/>
    <w:rsid w:val="31AC4116"/>
    <w:rsid w:val="31AD1233"/>
    <w:rsid w:val="31AD472A"/>
    <w:rsid w:val="31AD7CB5"/>
    <w:rsid w:val="31AF693F"/>
    <w:rsid w:val="31B00187"/>
    <w:rsid w:val="31B33B6F"/>
    <w:rsid w:val="31B458A2"/>
    <w:rsid w:val="31B6483D"/>
    <w:rsid w:val="31B67D39"/>
    <w:rsid w:val="31B82709"/>
    <w:rsid w:val="31B9703B"/>
    <w:rsid w:val="31BB2DB3"/>
    <w:rsid w:val="31BB7962"/>
    <w:rsid w:val="31BB7D29"/>
    <w:rsid w:val="31C21FEF"/>
    <w:rsid w:val="31C24F6E"/>
    <w:rsid w:val="31C51E14"/>
    <w:rsid w:val="31C679AA"/>
    <w:rsid w:val="31C83CCC"/>
    <w:rsid w:val="31CF685F"/>
    <w:rsid w:val="31D04385"/>
    <w:rsid w:val="31D05482"/>
    <w:rsid w:val="31D315AF"/>
    <w:rsid w:val="31D55FB2"/>
    <w:rsid w:val="31D963A1"/>
    <w:rsid w:val="31DA3F53"/>
    <w:rsid w:val="31DB3E02"/>
    <w:rsid w:val="31DB5C3F"/>
    <w:rsid w:val="31DD71CE"/>
    <w:rsid w:val="31DF267B"/>
    <w:rsid w:val="31DF4CC2"/>
    <w:rsid w:val="31E0281A"/>
    <w:rsid w:val="31E42FC1"/>
    <w:rsid w:val="31E528A4"/>
    <w:rsid w:val="31E6524B"/>
    <w:rsid w:val="31E7004C"/>
    <w:rsid w:val="31E83DC4"/>
    <w:rsid w:val="31EC36AF"/>
    <w:rsid w:val="31F42E08"/>
    <w:rsid w:val="31FC30FA"/>
    <w:rsid w:val="31FD161E"/>
    <w:rsid w:val="31FD7870"/>
    <w:rsid w:val="31FF018F"/>
    <w:rsid w:val="3200419A"/>
    <w:rsid w:val="32026C34"/>
    <w:rsid w:val="32052B32"/>
    <w:rsid w:val="320F1351"/>
    <w:rsid w:val="3210122D"/>
    <w:rsid w:val="32102AD6"/>
    <w:rsid w:val="3213579B"/>
    <w:rsid w:val="32176DCE"/>
    <w:rsid w:val="3218672B"/>
    <w:rsid w:val="321B1AA4"/>
    <w:rsid w:val="321C75CA"/>
    <w:rsid w:val="3220355E"/>
    <w:rsid w:val="32236BAB"/>
    <w:rsid w:val="32241628"/>
    <w:rsid w:val="322512EF"/>
    <w:rsid w:val="322A618B"/>
    <w:rsid w:val="322B2A1B"/>
    <w:rsid w:val="322D0FBF"/>
    <w:rsid w:val="32301D1A"/>
    <w:rsid w:val="32344F0B"/>
    <w:rsid w:val="32350F4A"/>
    <w:rsid w:val="3239017C"/>
    <w:rsid w:val="323B50E8"/>
    <w:rsid w:val="323D372B"/>
    <w:rsid w:val="323F5DEE"/>
    <w:rsid w:val="32400B34"/>
    <w:rsid w:val="3240295E"/>
    <w:rsid w:val="324234D5"/>
    <w:rsid w:val="32447884"/>
    <w:rsid w:val="324663F0"/>
    <w:rsid w:val="32535AE1"/>
    <w:rsid w:val="3255145A"/>
    <w:rsid w:val="3258147C"/>
    <w:rsid w:val="325879D7"/>
    <w:rsid w:val="325B3674"/>
    <w:rsid w:val="325B6344"/>
    <w:rsid w:val="325E1EEF"/>
    <w:rsid w:val="325E2981"/>
    <w:rsid w:val="325F701B"/>
    <w:rsid w:val="3260318F"/>
    <w:rsid w:val="32613717"/>
    <w:rsid w:val="326351F9"/>
    <w:rsid w:val="32656164"/>
    <w:rsid w:val="32675095"/>
    <w:rsid w:val="32690A61"/>
    <w:rsid w:val="326A599A"/>
    <w:rsid w:val="326C2300"/>
    <w:rsid w:val="326E42CA"/>
    <w:rsid w:val="327148BF"/>
    <w:rsid w:val="32717916"/>
    <w:rsid w:val="327306FD"/>
    <w:rsid w:val="327318E0"/>
    <w:rsid w:val="327A2C6E"/>
    <w:rsid w:val="327C758C"/>
    <w:rsid w:val="327D4380"/>
    <w:rsid w:val="3280535E"/>
    <w:rsid w:val="32805A9D"/>
    <w:rsid w:val="32806966"/>
    <w:rsid w:val="32811159"/>
    <w:rsid w:val="328405B8"/>
    <w:rsid w:val="3284694E"/>
    <w:rsid w:val="32870EE7"/>
    <w:rsid w:val="32880C6D"/>
    <w:rsid w:val="32892EB1"/>
    <w:rsid w:val="32935ADE"/>
    <w:rsid w:val="3294424D"/>
    <w:rsid w:val="32946B1A"/>
    <w:rsid w:val="32963820"/>
    <w:rsid w:val="329802A6"/>
    <w:rsid w:val="3298744F"/>
    <w:rsid w:val="32996D3F"/>
    <w:rsid w:val="329A19CF"/>
    <w:rsid w:val="329E6876"/>
    <w:rsid w:val="329F3E00"/>
    <w:rsid w:val="32A32C8C"/>
    <w:rsid w:val="32A425E3"/>
    <w:rsid w:val="32A45F3D"/>
    <w:rsid w:val="32A5100A"/>
    <w:rsid w:val="32A54CA8"/>
    <w:rsid w:val="32A71B17"/>
    <w:rsid w:val="32AB362B"/>
    <w:rsid w:val="32AE46C6"/>
    <w:rsid w:val="32B02E83"/>
    <w:rsid w:val="32B048E2"/>
    <w:rsid w:val="32B06690"/>
    <w:rsid w:val="32B067DF"/>
    <w:rsid w:val="32B2096E"/>
    <w:rsid w:val="32B32885"/>
    <w:rsid w:val="32B906AF"/>
    <w:rsid w:val="32BB5035"/>
    <w:rsid w:val="32BB5E08"/>
    <w:rsid w:val="32BE789B"/>
    <w:rsid w:val="32C43410"/>
    <w:rsid w:val="32C640F8"/>
    <w:rsid w:val="32C951C5"/>
    <w:rsid w:val="32CB5278"/>
    <w:rsid w:val="32CC0FF0"/>
    <w:rsid w:val="32D00AE0"/>
    <w:rsid w:val="32D757C6"/>
    <w:rsid w:val="32DA26ED"/>
    <w:rsid w:val="32DC17A7"/>
    <w:rsid w:val="32DC4FAB"/>
    <w:rsid w:val="32DD56AC"/>
    <w:rsid w:val="32DE02DB"/>
    <w:rsid w:val="32DE4D9A"/>
    <w:rsid w:val="32E00D49"/>
    <w:rsid w:val="32E5758C"/>
    <w:rsid w:val="32E761B7"/>
    <w:rsid w:val="32E76858"/>
    <w:rsid w:val="32E93950"/>
    <w:rsid w:val="32ED1FF3"/>
    <w:rsid w:val="32F81DE5"/>
    <w:rsid w:val="32F9272A"/>
    <w:rsid w:val="32F9587C"/>
    <w:rsid w:val="32FF6C63"/>
    <w:rsid w:val="330320BC"/>
    <w:rsid w:val="330763E0"/>
    <w:rsid w:val="33084B58"/>
    <w:rsid w:val="330A4520"/>
    <w:rsid w:val="33102E02"/>
    <w:rsid w:val="33105381"/>
    <w:rsid w:val="33133613"/>
    <w:rsid w:val="33184235"/>
    <w:rsid w:val="331A0EED"/>
    <w:rsid w:val="331C5AD4"/>
    <w:rsid w:val="331D4B4E"/>
    <w:rsid w:val="331E0ABF"/>
    <w:rsid w:val="331E68A5"/>
    <w:rsid w:val="331F00F7"/>
    <w:rsid w:val="331F2B51"/>
    <w:rsid w:val="33224175"/>
    <w:rsid w:val="332350B4"/>
    <w:rsid w:val="33240E2C"/>
    <w:rsid w:val="33245F35"/>
    <w:rsid w:val="33252F74"/>
    <w:rsid w:val="33254B83"/>
    <w:rsid w:val="33266952"/>
    <w:rsid w:val="33266F01"/>
    <w:rsid w:val="33270D5F"/>
    <w:rsid w:val="33293F57"/>
    <w:rsid w:val="332B4E2E"/>
    <w:rsid w:val="333015F2"/>
    <w:rsid w:val="33315312"/>
    <w:rsid w:val="33323549"/>
    <w:rsid w:val="33332E1D"/>
    <w:rsid w:val="33344E2B"/>
    <w:rsid w:val="3336579C"/>
    <w:rsid w:val="33381DFF"/>
    <w:rsid w:val="333A1353"/>
    <w:rsid w:val="33423F49"/>
    <w:rsid w:val="33477398"/>
    <w:rsid w:val="334916C9"/>
    <w:rsid w:val="334B6320"/>
    <w:rsid w:val="334E7C57"/>
    <w:rsid w:val="335025CC"/>
    <w:rsid w:val="3350577D"/>
    <w:rsid w:val="335366DD"/>
    <w:rsid w:val="3354693A"/>
    <w:rsid w:val="33554064"/>
    <w:rsid w:val="335728AD"/>
    <w:rsid w:val="335A5D57"/>
    <w:rsid w:val="335A65FC"/>
    <w:rsid w:val="335C479F"/>
    <w:rsid w:val="335D1A20"/>
    <w:rsid w:val="33644674"/>
    <w:rsid w:val="336456CD"/>
    <w:rsid w:val="336A5B70"/>
    <w:rsid w:val="336C7C44"/>
    <w:rsid w:val="336E20A7"/>
    <w:rsid w:val="33702CA2"/>
    <w:rsid w:val="33723946"/>
    <w:rsid w:val="33762904"/>
    <w:rsid w:val="33784CD4"/>
    <w:rsid w:val="3379264E"/>
    <w:rsid w:val="337A1EA1"/>
    <w:rsid w:val="337B3994"/>
    <w:rsid w:val="337B4EF0"/>
    <w:rsid w:val="337C3E29"/>
    <w:rsid w:val="337D1DC5"/>
    <w:rsid w:val="337D2159"/>
    <w:rsid w:val="337F0E92"/>
    <w:rsid w:val="338433E8"/>
    <w:rsid w:val="33851961"/>
    <w:rsid w:val="338673F1"/>
    <w:rsid w:val="33876CD5"/>
    <w:rsid w:val="338813BB"/>
    <w:rsid w:val="338E62A6"/>
    <w:rsid w:val="33902405"/>
    <w:rsid w:val="339107E8"/>
    <w:rsid w:val="3394098D"/>
    <w:rsid w:val="33952C04"/>
    <w:rsid w:val="339733AC"/>
    <w:rsid w:val="33977919"/>
    <w:rsid w:val="33995376"/>
    <w:rsid w:val="33997124"/>
    <w:rsid w:val="339A72C8"/>
    <w:rsid w:val="339C5061"/>
    <w:rsid w:val="339C5F3A"/>
    <w:rsid w:val="339D786A"/>
    <w:rsid w:val="339E298D"/>
    <w:rsid w:val="339E760B"/>
    <w:rsid w:val="33A07A25"/>
    <w:rsid w:val="33A246A3"/>
    <w:rsid w:val="33A61841"/>
    <w:rsid w:val="33A822A8"/>
    <w:rsid w:val="33A930DF"/>
    <w:rsid w:val="33AB1831"/>
    <w:rsid w:val="33AB32FB"/>
    <w:rsid w:val="33AD497E"/>
    <w:rsid w:val="33B0446E"/>
    <w:rsid w:val="33B36D4D"/>
    <w:rsid w:val="33B43F5E"/>
    <w:rsid w:val="33B46DBD"/>
    <w:rsid w:val="33BD3893"/>
    <w:rsid w:val="33C03684"/>
    <w:rsid w:val="33C341A1"/>
    <w:rsid w:val="33C4006A"/>
    <w:rsid w:val="33C63C91"/>
    <w:rsid w:val="33CA21CE"/>
    <w:rsid w:val="33CC041A"/>
    <w:rsid w:val="33CC55B0"/>
    <w:rsid w:val="33CD3B29"/>
    <w:rsid w:val="33CD5A96"/>
    <w:rsid w:val="33CF0157"/>
    <w:rsid w:val="33CF2B46"/>
    <w:rsid w:val="33CF6484"/>
    <w:rsid w:val="33CF6FEA"/>
    <w:rsid w:val="33D04B10"/>
    <w:rsid w:val="33D05E00"/>
    <w:rsid w:val="33D41181"/>
    <w:rsid w:val="33D60378"/>
    <w:rsid w:val="33D65B61"/>
    <w:rsid w:val="33D66175"/>
    <w:rsid w:val="33D934D4"/>
    <w:rsid w:val="33DE7753"/>
    <w:rsid w:val="33DF2EC8"/>
    <w:rsid w:val="33E10ACB"/>
    <w:rsid w:val="33E13575"/>
    <w:rsid w:val="33E342DE"/>
    <w:rsid w:val="33E45E51"/>
    <w:rsid w:val="33E75A0D"/>
    <w:rsid w:val="33E83C08"/>
    <w:rsid w:val="33EA1549"/>
    <w:rsid w:val="33EB1CE5"/>
    <w:rsid w:val="33EB36F8"/>
    <w:rsid w:val="33EC194A"/>
    <w:rsid w:val="33EC7B9C"/>
    <w:rsid w:val="33EE70A4"/>
    <w:rsid w:val="33F2779A"/>
    <w:rsid w:val="33F30531"/>
    <w:rsid w:val="33F412A0"/>
    <w:rsid w:val="33F75EA6"/>
    <w:rsid w:val="33F8442E"/>
    <w:rsid w:val="33FB36BF"/>
    <w:rsid w:val="33FB3C4D"/>
    <w:rsid w:val="33FE2F6A"/>
    <w:rsid w:val="33FF2020"/>
    <w:rsid w:val="33FF7545"/>
    <w:rsid w:val="34014CC9"/>
    <w:rsid w:val="3402359C"/>
    <w:rsid w:val="34047893"/>
    <w:rsid w:val="34052A0C"/>
    <w:rsid w:val="34097702"/>
    <w:rsid w:val="340B002B"/>
    <w:rsid w:val="340C4CE0"/>
    <w:rsid w:val="340D18C0"/>
    <w:rsid w:val="340E07E5"/>
    <w:rsid w:val="3410401B"/>
    <w:rsid w:val="341267AC"/>
    <w:rsid w:val="341356F7"/>
    <w:rsid w:val="3414091C"/>
    <w:rsid w:val="341449D6"/>
    <w:rsid w:val="34164F91"/>
    <w:rsid w:val="341744ED"/>
    <w:rsid w:val="341964B7"/>
    <w:rsid w:val="341B7DAE"/>
    <w:rsid w:val="341C21B6"/>
    <w:rsid w:val="341C2393"/>
    <w:rsid w:val="341E3ACD"/>
    <w:rsid w:val="341E7629"/>
    <w:rsid w:val="341F417E"/>
    <w:rsid w:val="34210ECC"/>
    <w:rsid w:val="34212C34"/>
    <w:rsid w:val="342310E4"/>
    <w:rsid w:val="34235BF7"/>
    <w:rsid w:val="34247CE6"/>
    <w:rsid w:val="3428760F"/>
    <w:rsid w:val="342A06C4"/>
    <w:rsid w:val="342C61EA"/>
    <w:rsid w:val="342C7F98"/>
    <w:rsid w:val="342D23CA"/>
    <w:rsid w:val="342D4BFE"/>
    <w:rsid w:val="34313002"/>
    <w:rsid w:val="34321327"/>
    <w:rsid w:val="343448E3"/>
    <w:rsid w:val="34362BC5"/>
    <w:rsid w:val="34394463"/>
    <w:rsid w:val="343B01DB"/>
    <w:rsid w:val="343F3472"/>
    <w:rsid w:val="34401C96"/>
    <w:rsid w:val="344062A4"/>
    <w:rsid w:val="34410CF9"/>
    <w:rsid w:val="3442156A"/>
    <w:rsid w:val="34455C57"/>
    <w:rsid w:val="34476B80"/>
    <w:rsid w:val="34497FE5"/>
    <w:rsid w:val="344A0766"/>
    <w:rsid w:val="344A6670"/>
    <w:rsid w:val="344F0852"/>
    <w:rsid w:val="345133AD"/>
    <w:rsid w:val="345179FF"/>
    <w:rsid w:val="3452210A"/>
    <w:rsid w:val="34536E56"/>
    <w:rsid w:val="34545741"/>
    <w:rsid w:val="345964D1"/>
    <w:rsid w:val="345B39E9"/>
    <w:rsid w:val="345C0152"/>
    <w:rsid w:val="345D2848"/>
    <w:rsid w:val="345E42A8"/>
    <w:rsid w:val="345F39CF"/>
    <w:rsid w:val="3466686B"/>
    <w:rsid w:val="346A286F"/>
    <w:rsid w:val="346E67E8"/>
    <w:rsid w:val="346F257B"/>
    <w:rsid w:val="346F263B"/>
    <w:rsid w:val="34710586"/>
    <w:rsid w:val="34716F5E"/>
    <w:rsid w:val="34727975"/>
    <w:rsid w:val="347447BF"/>
    <w:rsid w:val="34757B91"/>
    <w:rsid w:val="34783AC2"/>
    <w:rsid w:val="347C53A3"/>
    <w:rsid w:val="34822284"/>
    <w:rsid w:val="34825E0A"/>
    <w:rsid w:val="34847DD4"/>
    <w:rsid w:val="34853D22"/>
    <w:rsid w:val="348634AF"/>
    <w:rsid w:val="34897199"/>
    <w:rsid w:val="348A424E"/>
    <w:rsid w:val="348B4C31"/>
    <w:rsid w:val="348C1691"/>
    <w:rsid w:val="34911C57"/>
    <w:rsid w:val="34945DB8"/>
    <w:rsid w:val="34946B9F"/>
    <w:rsid w:val="34976217"/>
    <w:rsid w:val="34982719"/>
    <w:rsid w:val="349873DC"/>
    <w:rsid w:val="34990596"/>
    <w:rsid w:val="349C1B91"/>
    <w:rsid w:val="349E2575"/>
    <w:rsid w:val="349F4C0E"/>
    <w:rsid w:val="34A264AC"/>
    <w:rsid w:val="34A32F8E"/>
    <w:rsid w:val="34A336F4"/>
    <w:rsid w:val="34A421EA"/>
    <w:rsid w:val="34A42225"/>
    <w:rsid w:val="34A632CD"/>
    <w:rsid w:val="34AC7D20"/>
    <w:rsid w:val="34AE056F"/>
    <w:rsid w:val="34AE3F7F"/>
    <w:rsid w:val="34B00BC9"/>
    <w:rsid w:val="34B2130B"/>
    <w:rsid w:val="34B258AF"/>
    <w:rsid w:val="34B32468"/>
    <w:rsid w:val="34B62924"/>
    <w:rsid w:val="34B831D7"/>
    <w:rsid w:val="34B85263"/>
    <w:rsid w:val="34B87A7E"/>
    <w:rsid w:val="34B9569F"/>
    <w:rsid w:val="34B97B11"/>
    <w:rsid w:val="34BB30CA"/>
    <w:rsid w:val="34BB410B"/>
    <w:rsid w:val="34BD5094"/>
    <w:rsid w:val="34BD78CB"/>
    <w:rsid w:val="34BE1F1C"/>
    <w:rsid w:val="34BF15EF"/>
    <w:rsid w:val="34BF16CD"/>
    <w:rsid w:val="34BF36BC"/>
    <w:rsid w:val="34C47358"/>
    <w:rsid w:val="34C603ED"/>
    <w:rsid w:val="34C81FBB"/>
    <w:rsid w:val="34CB7ED4"/>
    <w:rsid w:val="34D04DC8"/>
    <w:rsid w:val="34D07F8F"/>
    <w:rsid w:val="34D32B0A"/>
    <w:rsid w:val="34D348B8"/>
    <w:rsid w:val="34D47853"/>
    <w:rsid w:val="34D77542"/>
    <w:rsid w:val="34DA661B"/>
    <w:rsid w:val="34DB19BE"/>
    <w:rsid w:val="34DB376C"/>
    <w:rsid w:val="34DD1293"/>
    <w:rsid w:val="34E042B5"/>
    <w:rsid w:val="34E20C87"/>
    <w:rsid w:val="34E22D4D"/>
    <w:rsid w:val="34E55B70"/>
    <w:rsid w:val="34E55D35"/>
    <w:rsid w:val="34E56399"/>
    <w:rsid w:val="34E65116"/>
    <w:rsid w:val="34E70363"/>
    <w:rsid w:val="34E745FC"/>
    <w:rsid w:val="34E7791A"/>
    <w:rsid w:val="34EB10B3"/>
    <w:rsid w:val="34EC3BCC"/>
    <w:rsid w:val="34EE34A0"/>
    <w:rsid w:val="34F2280D"/>
    <w:rsid w:val="34F2486A"/>
    <w:rsid w:val="34F31592"/>
    <w:rsid w:val="34F5437C"/>
    <w:rsid w:val="34F860CC"/>
    <w:rsid w:val="34F87612"/>
    <w:rsid w:val="34FA1E45"/>
    <w:rsid w:val="34FA3BF3"/>
    <w:rsid w:val="34FA43BC"/>
    <w:rsid w:val="34FC3838"/>
    <w:rsid w:val="34FD1935"/>
    <w:rsid w:val="34FD399B"/>
    <w:rsid w:val="3500176C"/>
    <w:rsid w:val="35020704"/>
    <w:rsid w:val="3502519D"/>
    <w:rsid w:val="3504774E"/>
    <w:rsid w:val="350607E9"/>
    <w:rsid w:val="35064C8D"/>
    <w:rsid w:val="35094404"/>
    <w:rsid w:val="350B4052"/>
    <w:rsid w:val="350D7E41"/>
    <w:rsid w:val="350E49D8"/>
    <w:rsid w:val="351068B7"/>
    <w:rsid w:val="3511718E"/>
    <w:rsid w:val="3518676F"/>
    <w:rsid w:val="35187CFA"/>
    <w:rsid w:val="351A4295"/>
    <w:rsid w:val="351A6043"/>
    <w:rsid w:val="351B5C28"/>
    <w:rsid w:val="351C5B11"/>
    <w:rsid w:val="351D2883"/>
    <w:rsid w:val="35225FD9"/>
    <w:rsid w:val="352553B7"/>
    <w:rsid w:val="352670DE"/>
    <w:rsid w:val="352D5816"/>
    <w:rsid w:val="35302FBD"/>
    <w:rsid w:val="35340EB4"/>
    <w:rsid w:val="353510CF"/>
    <w:rsid w:val="35355C06"/>
    <w:rsid w:val="35363CD5"/>
    <w:rsid w:val="353D61D5"/>
    <w:rsid w:val="353E4427"/>
    <w:rsid w:val="353F7D8A"/>
    <w:rsid w:val="35417395"/>
    <w:rsid w:val="3542559A"/>
    <w:rsid w:val="35441312"/>
    <w:rsid w:val="35445F9B"/>
    <w:rsid w:val="35452F3F"/>
    <w:rsid w:val="354A25A8"/>
    <w:rsid w:val="354C2611"/>
    <w:rsid w:val="354E03E2"/>
    <w:rsid w:val="354E2190"/>
    <w:rsid w:val="35534514"/>
    <w:rsid w:val="35553D7A"/>
    <w:rsid w:val="355673CA"/>
    <w:rsid w:val="35574FC8"/>
    <w:rsid w:val="3558300F"/>
    <w:rsid w:val="355B3966"/>
    <w:rsid w:val="355C61D9"/>
    <w:rsid w:val="355E6877"/>
    <w:rsid w:val="355F3547"/>
    <w:rsid w:val="355F6F21"/>
    <w:rsid w:val="35635215"/>
    <w:rsid w:val="356419B4"/>
    <w:rsid w:val="35656F71"/>
    <w:rsid w:val="356A171E"/>
    <w:rsid w:val="356B2D42"/>
    <w:rsid w:val="356C314D"/>
    <w:rsid w:val="356D0868"/>
    <w:rsid w:val="356D68A7"/>
    <w:rsid w:val="35706D35"/>
    <w:rsid w:val="357240D1"/>
    <w:rsid w:val="35727A8C"/>
    <w:rsid w:val="357671D5"/>
    <w:rsid w:val="35791AD8"/>
    <w:rsid w:val="357A0C52"/>
    <w:rsid w:val="357A2F85"/>
    <w:rsid w:val="357A59DE"/>
    <w:rsid w:val="357B777E"/>
    <w:rsid w:val="357C7A42"/>
    <w:rsid w:val="357F059C"/>
    <w:rsid w:val="35831E3A"/>
    <w:rsid w:val="35832599"/>
    <w:rsid w:val="358400B7"/>
    <w:rsid w:val="3584726E"/>
    <w:rsid w:val="35862B39"/>
    <w:rsid w:val="358812A7"/>
    <w:rsid w:val="358931C8"/>
    <w:rsid w:val="358B5193"/>
    <w:rsid w:val="358C040D"/>
    <w:rsid w:val="358C53AB"/>
    <w:rsid w:val="358C5FA8"/>
    <w:rsid w:val="358D0F0B"/>
    <w:rsid w:val="358D4674"/>
    <w:rsid w:val="358E07DF"/>
    <w:rsid w:val="35922654"/>
    <w:rsid w:val="35925EFD"/>
    <w:rsid w:val="35946101"/>
    <w:rsid w:val="359D0A22"/>
    <w:rsid w:val="359E0B94"/>
    <w:rsid w:val="35A17057"/>
    <w:rsid w:val="35A3428A"/>
    <w:rsid w:val="35A40742"/>
    <w:rsid w:val="35A65B28"/>
    <w:rsid w:val="35A87540"/>
    <w:rsid w:val="35AF70D3"/>
    <w:rsid w:val="35B01D0F"/>
    <w:rsid w:val="35B446E9"/>
    <w:rsid w:val="35B91D00"/>
    <w:rsid w:val="35BA15D4"/>
    <w:rsid w:val="35BC0A16"/>
    <w:rsid w:val="35BC0B82"/>
    <w:rsid w:val="35BE320D"/>
    <w:rsid w:val="35C023CD"/>
    <w:rsid w:val="35C12962"/>
    <w:rsid w:val="35C15DF1"/>
    <w:rsid w:val="35C331E0"/>
    <w:rsid w:val="35C36E72"/>
    <w:rsid w:val="35C453D7"/>
    <w:rsid w:val="35C55B72"/>
    <w:rsid w:val="35C65B7A"/>
    <w:rsid w:val="35C67777"/>
    <w:rsid w:val="35C67F79"/>
    <w:rsid w:val="35C81F43"/>
    <w:rsid w:val="35CE51CF"/>
    <w:rsid w:val="35D33A4A"/>
    <w:rsid w:val="35D54660"/>
    <w:rsid w:val="35D55AAC"/>
    <w:rsid w:val="35D70FB2"/>
    <w:rsid w:val="35D97CAC"/>
    <w:rsid w:val="35DD12F1"/>
    <w:rsid w:val="35DD4788"/>
    <w:rsid w:val="35DE1D77"/>
    <w:rsid w:val="35E328D9"/>
    <w:rsid w:val="35E4463E"/>
    <w:rsid w:val="35E448FD"/>
    <w:rsid w:val="35E8633D"/>
    <w:rsid w:val="35E96362"/>
    <w:rsid w:val="35F149B9"/>
    <w:rsid w:val="35F2092E"/>
    <w:rsid w:val="35F40F8A"/>
    <w:rsid w:val="35F66AB0"/>
    <w:rsid w:val="35FB2318"/>
    <w:rsid w:val="35FC2647"/>
    <w:rsid w:val="35FF348B"/>
    <w:rsid w:val="360006D3"/>
    <w:rsid w:val="36007348"/>
    <w:rsid w:val="360116A9"/>
    <w:rsid w:val="36036723"/>
    <w:rsid w:val="36070CBD"/>
    <w:rsid w:val="36074A7F"/>
    <w:rsid w:val="36080AC8"/>
    <w:rsid w:val="360B33B7"/>
    <w:rsid w:val="360C2B5C"/>
    <w:rsid w:val="360F1920"/>
    <w:rsid w:val="360F32C9"/>
    <w:rsid w:val="36124B3F"/>
    <w:rsid w:val="36134AB2"/>
    <w:rsid w:val="36137304"/>
    <w:rsid w:val="361B02C4"/>
    <w:rsid w:val="361C50EF"/>
    <w:rsid w:val="36204B44"/>
    <w:rsid w:val="362227F5"/>
    <w:rsid w:val="3623361D"/>
    <w:rsid w:val="36275570"/>
    <w:rsid w:val="36281C26"/>
    <w:rsid w:val="362D7FF8"/>
    <w:rsid w:val="36301896"/>
    <w:rsid w:val="36321AB2"/>
    <w:rsid w:val="36327728"/>
    <w:rsid w:val="36346AB6"/>
    <w:rsid w:val="36346D90"/>
    <w:rsid w:val="3634722B"/>
    <w:rsid w:val="363722D2"/>
    <w:rsid w:val="363B2715"/>
    <w:rsid w:val="363C1E76"/>
    <w:rsid w:val="363C2FCD"/>
    <w:rsid w:val="363F3A56"/>
    <w:rsid w:val="36413666"/>
    <w:rsid w:val="364324F1"/>
    <w:rsid w:val="3643781B"/>
    <w:rsid w:val="3646585E"/>
    <w:rsid w:val="36465B64"/>
    <w:rsid w:val="364D3777"/>
    <w:rsid w:val="364E44F8"/>
    <w:rsid w:val="36511F38"/>
    <w:rsid w:val="36525CB0"/>
    <w:rsid w:val="36575075"/>
    <w:rsid w:val="36581519"/>
    <w:rsid w:val="36597D3F"/>
    <w:rsid w:val="365A26E4"/>
    <w:rsid w:val="365C35C2"/>
    <w:rsid w:val="365D041B"/>
    <w:rsid w:val="365E28A7"/>
    <w:rsid w:val="36624145"/>
    <w:rsid w:val="36636BDC"/>
    <w:rsid w:val="3664129F"/>
    <w:rsid w:val="36652A98"/>
    <w:rsid w:val="36662944"/>
    <w:rsid w:val="36685CB0"/>
    <w:rsid w:val="36687282"/>
    <w:rsid w:val="36696C72"/>
    <w:rsid w:val="366E09CE"/>
    <w:rsid w:val="366F0610"/>
    <w:rsid w:val="36721EAF"/>
    <w:rsid w:val="36730100"/>
    <w:rsid w:val="36743C1C"/>
    <w:rsid w:val="36747820"/>
    <w:rsid w:val="367567BA"/>
    <w:rsid w:val="36783969"/>
    <w:rsid w:val="367E03ED"/>
    <w:rsid w:val="367F4B62"/>
    <w:rsid w:val="36815EA5"/>
    <w:rsid w:val="368469E1"/>
    <w:rsid w:val="36853990"/>
    <w:rsid w:val="3686556D"/>
    <w:rsid w:val="368E7765"/>
    <w:rsid w:val="368F1A10"/>
    <w:rsid w:val="368F2A60"/>
    <w:rsid w:val="36921DCB"/>
    <w:rsid w:val="36923549"/>
    <w:rsid w:val="36932551"/>
    <w:rsid w:val="36971A84"/>
    <w:rsid w:val="3699568D"/>
    <w:rsid w:val="369B31B3"/>
    <w:rsid w:val="36A16325"/>
    <w:rsid w:val="36A22794"/>
    <w:rsid w:val="36A24542"/>
    <w:rsid w:val="36A26DFD"/>
    <w:rsid w:val="36A920DB"/>
    <w:rsid w:val="36B07BA5"/>
    <w:rsid w:val="36B10C29"/>
    <w:rsid w:val="36B75FBF"/>
    <w:rsid w:val="36B830E4"/>
    <w:rsid w:val="36B90377"/>
    <w:rsid w:val="36BA6522"/>
    <w:rsid w:val="36BD0C45"/>
    <w:rsid w:val="36BE50F4"/>
    <w:rsid w:val="36BF301A"/>
    <w:rsid w:val="36BF3346"/>
    <w:rsid w:val="36C0343A"/>
    <w:rsid w:val="36C26992"/>
    <w:rsid w:val="36C328C7"/>
    <w:rsid w:val="36C4095C"/>
    <w:rsid w:val="36C44739"/>
    <w:rsid w:val="36C60C52"/>
    <w:rsid w:val="36C91158"/>
    <w:rsid w:val="36C92C81"/>
    <w:rsid w:val="36CC1BEA"/>
    <w:rsid w:val="36CE5337"/>
    <w:rsid w:val="36CF03B3"/>
    <w:rsid w:val="36D344DC"/>
    <w:rsid w:val="36D36DF1"/>
    <w:rsid w:val="36D60611"/>
    <w:rsid w:val="36D641EB"/>
    <w:rsid w:val="36D651E2"/>
    <w:rsid w:val="36D77FD1"/>
    <w:rsid w:val="36D970C3"/>
    <w:rsid w:val="36D97FCE"/>
    <w:rsid w:val="36DA2765"/>
    <w:rsid w:val="36DB7A54"/>
    <w:rsid w:val="36DC3C76"/>
    <w:rsid w:val="36DF5918"/>
    <w:rsid w:val="36E2300D"/>
    <w:rsid w:val="36E83F1F"/>
    <w:rsid w:val="36EA5EE9"/>
    <w:rsid w:val="36EA6CFF"/>
    <w:rsid w:val="36EB792F"/>
    <w:rsid w:val="36EC1C61"/>
    <w:rsid w:val="36EC7EB3"/>
    <w:rsid w:val="36F03046"/>
    <w:rsid w:val="36F25953"/>
    <w:rsid w:val="36F270A9"/>
    <w:rsid w:val="36F31BEC"/>
    <w:rsid w:val="36F4409D"/>
    <w:rsid w:val="36F643EB"/>
    <w:rsid w:val="36F9444A"/>
    <w:rsid w:val="36F95383"/>
    <w:rsid w:val="36F9612C"/>
    <w:rsid w:val="36FD16FA"/>
    <w:rsid w:val="36FD3288"/>
    <w:rsid w:val="36FD79CA"/>
    <w:rsid w:val="370056D3"/>
    <w:rsid w:val="37046FAB"/>
    <w:rsid w:val="37052FAA"/>
    <w:rsid w:val="3705525F"/>
    <w:rsid w:val="370945C1"/>
    <w:rsid w:val="370A24CC"/>
    <w:rsid w:val="370B547F"/>
    <w:rsid w:val="370E2C7F"/>
    <w:rsid w:val="370E607B"/>
    <w:rsid w:val="3710329D"/>
    <w:rsid w:val="37107F95"/>
    <w:rsid w:val="37116F6D"/>
    <w:rsid w:val="37133BF4"/>
    <w:rsid w:val="37135440"/>
    <w:rsid w:val="37144D14"/>
    <w:rsid w:val="371511B8"/>
    <w:rsid w:val="37152F66"/>
    <w:rsid w:val="37156D22"/>
    <w:rsid w:val="371B7A9E"/>
    <w:rsid w:val="371C1109"/>
    <w:rsid w:val="371C6B16"/>
    <w:rsid w:val="371E7E77"/>
    <w:rsid w:val="37215DAE"/>
    <w:rsid w:val="37225683"/>
    <w:rsid w:val="3723242D"/>
    <w:rsid w:val="37285991"/>
    <w:rsid w:val="37297953"/>
    <w:rsid w:val="372E5DA2"/>
    <w:rsid w:val="372F1B4E"/>
    <w:rsid w:val="3734045B"/>
    <w:rsid w:val="373438A0"/>
    <w:rsid w:val="37353608"/>
    <w:rsid w:val="3737640D"/>
    <w:rsid w:val="373A6E70"/>
    <w:rsid w:val="373C3483"/>
    <w:rsid w:val="373D4EAF"/>
    <w:rsid w:val="37422FBE"/>
    <w:rsid w:val="374B4BD9"/>
    <w:rsid w:val="374D4017"/>
    <w:rsid w:val="37500442"/>
    <w:rsid w:val="375033BD"/>
    <w:rsid w:val="3751074A"/>
    <w:rsid w:val="37517D16"/>
    <w:rsid w:val="37531CE0"/>
    <w:rsid w:val="37551D5B"/>
    <w:rsid w:val="37555A58"/>
    <w:rsid w:val="375640F4"/>
    <w:rsid w:val="3757030B"/>
    <w:rsid w:val="3757343A"/>
    <w:rsid w:val="375872F6"/>
    <w:rsid w:val="375A306E"/>
    <w:rsid w:val="375A6BCB"/>
    <w:rsid w:val="375B0A2F"/>
    <w:rsid w:val="375D66BB"/>
    <w:rsid w:val="375F0685"/>
    <w:rsid w:val="375F28CF"/>
    <w:rsid w:val="37611498"/>
    <w:rsid w:val="37621F23"/>
    <w:rsid w:val="3762324D"/>
    <w:rsid w:val="37634175"/>
    <w:rsid w:val="37643333"/>
    <w:rsid w:val="376712E7"/>
    <w:rsid w:val="376745EC"/>
    <w:rsid w:val="376827AF"/>
    <w:rsid w:val="376A15FF"/>
    <w:rsid w:val="376B702A"/>
    <w:rsid w:val="376D0FF4"/>
    <w:rsid w:val="37707E52"/>
    <w:rsid w:val="37710FF7"/>
    <w:rsid w:val="37712166"/>
    <w:rsid w:val="377203B8"/>
    <w:rsid w:val="37737C8C"/>
    <w:rsid w:val="377C2FE5"/>
    <w:rsid w:val="377E6643"/>
    <w:rsid w:val="37817626"/>
    <w:rsid w:val="3783452B"/>
    <w:rsid w:val="3784633D"/>
    <w:rsid w:val="37865C12"/>
    <w:rsid w:val="37873738"/>
    <w:rsid w:val="37883806"/>
    <w:rsid w:val="378B1022"/>
    <w:rsid w:val="378B147A"/>
    <w:rsid w:val="378C443E"/>
    <w:rsid w:val="378E1FD3"/>
    <w:rsid w:val="37902349"/>
    <w:rsid w:val="37904CE2"/>
    <w:rsid w:val="37920A5A"/>
    <w:rsid w:val="37931595"/>
    <w:rsid w:val="379540A7"/>
    <w:rsid w:val="37966DEB"/>
    <w:rsid w:val="37975B1F"/>
    <w:rsid w:val="37981296"/>
    <w:rsid w:val="379B0658"/>
    <w:rsid w:val="379C71E3"/>
    <w:rsid w:val="379F6CD3"/>
    <w:rsid w:val="37A048E7"/>
    <w:rsid w:val="37A1366D"/>
    <w:rsid w:val="37A147F9"/>
    <w:rsid w:val="37A36F00"/>
    <w:rsid w:val="37A8202C"/>
    <w:rsid w:val="37AB1B1C"/>
    <w:rsid w:val="37AB363A"/>
    <w:rsid w:val="37AC4A77"/>
    <w:rsid w:val="37B07132"/>
    <w:rsid w:val="37B12957"/>
    <w:rsid w:val="37B409D1"/>
    <w:rsid w:val="37B502A5"/>
    <w:rsid w:val="37B54749"/>
    <w:rsid w:val="37B564F7"/>
    <w:rsid w:val="37B61898"/>
    <w:rsid w:val="37B65D16"/>
    <w:rsid w:val="37BA58BB"/>
    <w:rsid w:val="37BB502D"/>
    <w:rsid w:val="37BD045A"/>
    <w:rsid w:val="37BD1B0F"/>
    <w:rsid w:val="37BD52CD"/>
    <w:rsid w:val="37BD6991"/>
    <w:rsid w:val="37BF2424"/>
    <w:rsid w:val="37C47A65"/>
    <w:rsid w:val="37C91FA2"/>
    <w:rsid w:val="37CA080F"/>
    <w:rsid w:val="37CB6DCA"/>
    <w:rsid w:val="37CE75B8"/>
    <w:rsid w:val="37D14EB4"/>
    <w:rsid w:val="37D20E57"/>
    <w:rsid w:val="37D21F2E"/>
    <w:rsid w:val="37D42E21"/>
    <w:rsid w:val="37D44BCF"/>
    <w:rsid w:val="37D51EA9"/>
    <w:rsid w:val="37D82076"/>
    <w:rsid w:val="37D8413D"/>
    <w:rsid w:val="37DA7619"/>
    <w:rsid w:val="37DC67C8"/>
    <w:rsid w:val="37DE4FB0"/>
    <w:rsid w:val="37E00298"/>
    <w:rsid w:val="37E1440F"/>
    <w:rsid w:val="37E25A25"/>
    <w:rsid w:val="37E4539D"/>
    <w:rsid w:val="37E45EE4"/>
    <w:rsid w:val="37E6019C"/>
    <w:rsid w:val="37E82428"/>
    <w:rsid w:val="37EA3D44"/>
    <w:rsid w:val="37ED3EE3"/>
    <w:rsid w:val="37ED7A3F"/>
    <w:rsid w:val="37EF603E"/>
    <w:rsid w:val="37F0752F"/>
    <w:rsid w:val="37FA09B2"/>
    <w:rsid w:val="38014BD6"/>
    <w:rsid w:val="3801798E"/>
    <w:rsid w:val="380331C7"/>
    <w:rsid w:val="38044D88"/>
    <w:rsid w:val="3805122C"/>
    <w:rsid w:val="38064FA4"/>
    <w:rsid w:val="38082ACA"/>
    <w:rsid w:val="38084596"/>
    <w:rsid w:val="380A6843"/>
    <w:rsid w:val="380B4033"/>
    <w:rsid w:val="38123949"/>
    <w:rsid w:val="38126320"/>
    <w:rsid w:val="38166494"/>
    <w:rsid w:val="381A45AC"/>
    <w:rsid w:val="381B155C"/>
    <w:rsid w:val="381C381E"/>
    <w:rsid w:val="381F0AA5"/>
    <w:rsid w:val="38237904"/>
    <w:rsid w:val="38255044"/>
    <w:rsid w:val="38262F51"/>
    <w:rsid w:val="382947EF"/>
    <w:rsid w:val="382C4A0B"/>
    <w:rsid w:val="382D1047"/>
    <w:rsid w:val="382D42DF"/>
    <w:rsid w:val="382E5979"/>
    <w:rsid w:val="383531CA"/>
    <w:rsid w:val="38390ED6"/>
    <w:rsid w:val="38392C84"/>
    <w:rsid w:val="38397128"/>
    <w:rsid w:val="383A6D0C"/>
    <w:rsid w:val="383B3820"/>
    <w:rsid w:val="383B3E0A"/>
    <w:rsid w:val="383C2774"/>
    <w:rsid w:val="383C4522"/>
    <w:rsid w:val="383D7282"/>
    <w:rsid w:val="383D75DF"/>
    <w:rsid w:val="3840003E"/>
    <w:rsid w:val="384004B6"/>
    <w:rsid w:val="38401827"/>
    <w:rsid w:val="384022E0"/>
    <w:rsid w:val="38420BA4"/>
    <w:rsid w:val="38420F66"/>
    <w:rsid w:val="384324C7"/>
    <w:rsid w:val="38437C1E"/>
    <w:rsid w:val="38471CDE"/>
    <w:rsid w:val="38483E2E"/>
    <w:rsid w:val="384A4E91"/>
    <w:rsid w:val="384A6C3F"/>
    <w:rsid w:val="384B29B7"/>
    <w:rsid w:val="384B62D1"/>
    <w:rsid w:val="38514471"/>
    <w:rsid w:val="38574A25"/>
    <w:rsid w:val="38575800"/>
    <w:rsid w:val="385C75EF"/>
    <w:rsid w:val="385E6B8E"/>
    <w:rsid w:val="38606463"/>
    <w:rsid w:val="3864018A"/>
    <w:rsid w:val="38653A79"/>
    <w:rsid w:val="3865621E"/>
    <w:rsid w:val="38664360"/>
    <w:rsid w:val="386A0704"/>
    <w:rsid w:val="386F35A5"/>
    <w:rsid w:val="387258D1"/>
    <w:rsid w:val="38726A86"/>
    <w:rsid w:val="38740160"/>
    <w:rsid w:val="3877232C"/>
    <w:rsid w:val="38773A91"/>
    <w:rsid w:val="387B34A3"/>
    <w:rsid w:val="387B504A"/>
    <w:rsid w:val="387E2096"/>
    <w:rsid w:val="38807E76"/>
    <w:rsid w:val="388A29B6"/>
    <w:rsid w:val="388A7983"/>
    <w:rsid w:val="388C4596"/>
    <w:rsid w:val="388F220D"/>
    <w:rsid w:val="38902794"/>
    <w:rsid w:val="38904D18"/>
    <w:rsid w:val="38926838"/>
    <w:rsid w:val="3897331A"/>
    <w:rsid w:val="38983954"/>
    <w:rsid w:val="38990B47"/>
    <w:rsid w:val="389A18D8"/>
    <w:rsid w:val="389C11C9"/>
    <w:rsid w:val="389D58F5"/>
    <w:rsid w:val="38A05E8D"/>
    <w:rsid w:val="38A20C92"/>
    <w:rsid w:val="38A327F3"/>
    <w:rsid w:val="38A3614B"/>
    <w:rsid w:val="38A41D37"/>
    <w:rsid w:val="38A65E3F"/>
    <w:rsid w:val="38A81F19"/>
    <w:rsid w:val="38AC6811"/>
    <w:rsid w:val="38AC78FA"/>
    <w:rsid w:val="38B24865"/>
    <w:rsid w:val="38B302F9"/>
    <w:rsid w:val="38B5187E"/>
    <w:rsid w:val="38B60778"/>
    <w:rsid w:val="38B975B4"/>
    <w:rsid w:val="38BE13DB"/>
    <w:rsid w:val="38C01768"/>
    <w:rsid w:val="38C13FA1"/>
    <w:rsid w:val="38C16E8D"/>
    <w:rsid w:val="38C235F6"/>
    <w:rsid w:val="38C25B60"/>
    <w:rsid w:val="38C369F1"/>
    <w:rsid w:val="38C5276A"/>
    <w:rsid w:val="38C8225A"/>
    <w:rsid w:val="38C91667"/>
    <w:rsid w:val="38CD22C8"/>
    <w:rsid w:val="38CD4030"/>
    <w:rsid w:val="38CE659A"/>
    <w:rsid w:val="38CF183A"/>
    <w:rsid w:val="38CF5396"/>
    <w:rsid w:val="38D21816"/>
    <w:rsid w:val="38D26C34"/>
    <w:rsid w:val="38D330D8"/>
    <w:rsid w:val="38D345B7"/>
    <w:rsid w:val="38DD7AB3"/>
    <w:rsid w:val="38DE1078"/>
    <w:rsid w:val="38E16290"/>
    <w:rsid w:val="38E43C81"/>
    <w:rsid w:val="38E452E6"/>
    <w:rsid w:val="38E45BE2"/>
    <w:rsid w:val="38E461E1"/>
    <w:rsid w:val="38E86458"/>
    <w:rsid w:val="38EC2D34"/>
    <w:rsid w:val="38ED1AB0"/>
    <w:rsid w:val="38F02E41"/>
    <w:rsid w:val="38F12CD3"/>
    <w:rsid w:val="38F55823"/>
    <w:rsid w:val="38F57E20"/>
    <w:rsid w:val="38F77FB0"/>
    <w:rsid w:val="38F94775"/>
    <w:rsid w:val="38FB052D"/>
    <w:rsid w:val="38FB230F"/>
    <w:rsid w:val="38FB4539"/>
    <w:rsid w:val="38FB618B"/>
    <w:rsid w:val="38FD0155"/>
    <w:rsid w:val="390019F4"/>
    <w:rsid w:val="390037A2"/>
    <w:rsid w:val="3902751A"/>
    <w:rsid w:val="390336A3"/>
    <w:rsid w:val="39035D36"/>
    <w:rsid w:val="390414E4"/>
    <w:rsid w:val="390423E1"/>
    <w:rsid w:val="39052747"/>
    <w:rsid w:val="39053BD7"/>
    <w:rsid w:val="390653C2"/>
    <w:rsid w:val="390A63CE"/>
    <w:rsid w:val="390E5B0E"/>
    <w:rsid w:val="39113C01"/>
    <w:rsid w:val="391174FF"/>
    <w:rsid w:val="391214F2"/>
    <w:rsid w:val="39131727"/>
    <w:rsid w:val="391334D5"/>
    <w:rsid w:val="391A2AB5"/>
    <w:rsid w:val="39216391"/>
    <w:rsid w:val="392971ED"/>
    <w:rsid w:val="392C27E9"/>
    <w:rsid w:val="3930066F"/>
    <w:rsid w:val="39325651"/>
    <w:rsid w:val="393414D2"/>
    <w:rsid w:val="39382F3B"/>
    <w:rsid w:val="393A11B2"/>
    <w:rsid w:val="393A70A4"/>
    <w:rsid w:val="393B2A2C"/>
    <w:rsid w:val="393F3D68"/>
    <w:rsid w:val="39417CCC"/>
    <w:rsid w:val="39423DBA"/>
    <w:rsid w:val="394274C5"/>
    <w:rsid w:val="3948282F"/>
    <w:rsid w:val="39496B0D"/>
    <w:rsid w:val="394C4177"/>
    <w:rsid w:val="395028E1"/>
    <w:rsid w:val="39526B57"/>
    <w:rsid w:val="395508AF"/>
    <w:rsid w:val="39553AED"/>
    <w:rsid w:val="39554894"/>
    <w:rsid w:val="39565AB7"/>
    <w:rsid w:val="39567866"/>
    <w:rsid w:val="3958538C"/>
    <w:rsid w:val="395B16C9"/>
    <w:rsid w:val="395B4E7C"/>
    <w:rsid w:val="395C1320"/>
    <w:rsid w:val="395D0BF4"/>
    <w:rsid w:val="395D208A"/>
    <w:rsid w:val="395D29A2"/>
    <w:rsid w:val="395E1EC2"/>
    <w:rsid w:val="39627FB8"/>
    <w:rsid w:val="39643D30"/>
    <w:rsid w:val="39673821"/>
    <w:rsid w:val="39691347"/>
    <w:rsid w:val="39697599"/>
    <w:rsid w:val="396A38FA"/>
    <w:rsid w:val="396A6F04"/>
    <w:rsid w:val="396C52DB"/>
    <w:rsid w:val="396E6589"/>
    <w:rsid w:val="396F31B2"/>
    <w:rsid w:val="396F3FAC"/>
    <w:rsid w:val="39730417"/>
    <w:rsid w:val="39772A69"/>
    <w:rsid w:val="397D27F8"/>
    <w:rsid w:val="397E6910"/>
    <w:rsid w:val="39810D86"/>
    <w:rsid w:val="39816DC7"/>
    <w:rsid w:val="39861EF9"/>
    <w:rsid w:val="39863197"/>
    <w:rsid w:val="39875C71"/>
    <w:rsid w:val="398A1DA4"/>
    <w:rsid w:val="398A1DD2"/>
    <w:rsid w:val="398C3287"/>
    <w:rsid w:val="398C4EAD"/>
    <w:rsid w:val="398E5251"/>
    <w:rsid w:val="39904820"/>
    <w:rsid w:val="39916AF0"/>
    <w:rsid w:val="399522D7"/>
    <w:rsid w:val="399668EA"/>
    <w:rsid w:val="39972358"/>
    <w:rsid w:val="39996CA9"/>
    <w:rsid w:val="399B0F5F"/>
    <w:rsid w:val="399B4601"/>
    <w:rsid w:val="399B6127"/>
    <w:rsid w:val="39A13205"/>
    <w:rsid w:val="39A318F9"/>
    <w:rsid w:val="39A607ED"/>
    <w:rsid w:val="39AE31FE"/>
    <w:rsid w:val="39B12CEE"/>
    <w:rsid w:val="39B13EDE"/>
    <w:rsid w:val="39B366ED"/>
    <w:rsid w:val="39B4157B"/>
    <w:rsid w:val="39B42A9C"/>
    <w:rsid w:val="39B42ACA"/>
    <w:rsid w:val="39B747A8"/>
    <w:rsid w:val="39B82CDD"/>
    <w:rsid w:val="39B87ABD"/>
    <w:rsid w:val="39BA4298"/>
    <w:rsid w:val="39BD02BF"/>
    <w:rsid w:val="39BE68A6"/>
    <w:rsid w:val="39BF502D"/>
    <w:rsid w:val="39C42A21"/>
    <w:rsid w:val="39C447DE"/>
    <w:rsid w:val="39C46EC5"/>
    <w:rsid w:val="39C67C1C"/>
    <w:rsid w:val="39C944DB"/>
    <w:rsid w:val="39CD7B28"/>
    <w:rsid w:val="39D27D8D"/>
    <w:rsid w:val="39D50CA8"/>
    <w:rsid w:val="39D569DC"/>
    <w:rsid w:val="39D818D0"/>
    <w:rsid w:val="39DA3FF3"/>
    <w:rsid w:val="39DC420F"/>
    <w:rsid w:val="39DD2CF4"/>
    <w:rsid w:val="39DD79F7"/>
    <w:rsid w:val="39DE5B45"/>
    <w:rsid w:val="39E20729"/>
    <w:rsid w:val="39E4269C"/>
    <w:rsid w:val="39ED648E"/>
    <w:rsid w:val="39EF0695"/>
    <w:rsid w:val="39F67E47"/>
    <w:rsid w:val="39F74362"/>
    <w:rsid w:val="39FB4E44"/>
    <w:rsid w:val="39FC665F"/>
    <w:rsid w:val="39FE34A6"/>
    <w:rsid w:val="3A00568B"/>
    <w:rsid w:val="3A035D23"/>
    <w:rsid w:val="3A0457B3"/>
    <w:rsid w:val="3A06367D"/>
    <w:rsid w:val="3A063B1B"/>
    <w:rsid w:val="3A065D24"/>
    <w:rsid w:val="3A0722B3"/>
    <w:rsid w:val="3A091088"/>
    <w:rsid w:val="3A093E42"/>
    <w:rsid w:val="3A0B4AF4"/>
    <w:rsid w:val="3A0C4AA7"/>
    <w:rsid w:val="3A0D0478"/>
    <w:rsid w:val="3A0D261A"/>
    <w:rsid w:val="3A0E06F6"/>
    <w:rsid w:val="3A10602C"/>
    <w:rsid w:val="3A125E82"/>
    <w:rsid w:val="3A1401CA"/>
    <w:rsid w:val="3A1A4D37"/>
    <w:rsid w:val="3A1E0BFB"/>
    <w:rsid w:val="3A221F8A"/>
    <w:rsid w:val="3A2309D0"/>
    <w:rsid w:val="3A270F8D"/>
    <w:rsid w:val="3A2A6AEF"/>
    <w:rsid w:val="3A2F07E2"/>
    <w:rsid w:val="3A30150C"/>
    <w:rsid w:val="3A322EC1"/>
    <w:rsid w:val="3A35391F"/>
    <w:rsid w:val="3A43603C"/>
    <w:rsid w:val="3A45014E"/>
    <w:rsid w:val="3A465B2C"/>
    <w:rsid w:val="3A4702F5"/>
    <w:rsid w:val="3A4A017C"/>
    <w:rsid w:val="3A4C4781"/>
    <w:rsid w:val="3A4D2A17"/>
    <w:rsid w:val="3A4D6EBA"/>
    <w:rsid w:val="3A4F2C33"/>
    <w:rsid w:val="3A502507"/>
    <w:rsid w:val="3A5169AB"/>
    <w:rsid w:val="3A5438F4"/>
    <w:rsid w:val="3A557B1D"/>
    <w:rsid w:val="3A563FC1"/>
    <w:rsid w:val="3A575643"/>
    <w:rsid w:val="3A5B15D7"/>
    <w:rsid w:val="3A5D3A13"/>
    <w:rsid w:val="3A5F4FFD"/>
    <w:rsid w:val="3A613CAA"/>
    <w:rsid w:val="3A6269D8"/>
    <w:rsid w:val="3A6670EA"/>
    <w:rsid w:val="3A690BDE"/>
    <w:rsid w:val="3A6E53CB"/>
    <w:rsid w:val="3A7064F7"/>
    <w:rsid w:val="3A710AEA"/>
    <w:rsid w:val="3A7358BB"/>
    <w:rsid w:val="3A777A93"/>
    <w:rsid w:val="3A791A5E"/>
    <w:rsid w:val="3A7C26B6"/>
    <w:rsid w:val="3A7C2B6C"/>
    <w:rsid w:val="3A7C32FC"/>
    <w:rsid w:val="3A7C3B02"/>
    <w:rsid w:val="3A7D6A5A"/>
    <w:rsid w:val="3A7E7074"/>
    <w:rsid w:val="3A7F0485"/>
    <w:rsid w:val="3A804156"/>
    <w:rsid w:val="3A824DB6"/>
    <w:rsid w:val="3A836438"/>
    <w:rsid w:val="3A8521B0"/>
    <w:rsid w:val="3A872856"/>
    <w:rsid w:val="3A8920C9"/>
    <w:rsid w:val="3A8C21A6"/>
    <w:rsid w:val="3A8C4A07"/>
    <w:rsid w:val="3A8C5680"/>
    <w:rsid w:val="3A8D30F8"/>
    <w:rsid w:val="3A9322BE"/>
    <w:rsid w:val="3A941089"/>
    <w:rsid w:val="3A94254B"/>
    <w:rsid w:val="3A952A57"/>
    <w:rsid w:val="3A9A0320"/>
    <w:rsid w:val="3A9B63D0"/>
    <w:rsid w:val="3A9C574C"/>
    <w:rsid w:val="3AA02EAA"/>
    <w:rsid w:val="3AA20FB4"/>
    <w:rsid w:val="3AA52F84"/>
    <w:rsid w:val="3AA702D4"/>
    <w:rsid w:val="3AA80595"/>
    <w:rsid w:val="3AA95AD0"/>
    <w:rsid w:val="3AAC77D3"/>
    <w:rsid w:val="3AAD1D66"/>
    <w:rsid w:val="3AAF722D"/>
    <w:rsid w:val="3AB254AA"/>
    <w:rsid w:val="3AB26D1E"/>
    <w:rsid w:val="3AB4391F"/>
    <w:rsid w:val="3AB776E9"/>
    <w:rsid w:val="3AB82D75"/>
    <w:rsid w:val="3AB94550"/>
    <w:rsid w:val="3ABB02C8"/>
    <w:rsid w:val="3ABB22FF"/>
    <w:rsid w:val="3ABD4759"/>
    <w:rsid w:val="3ABE1B66"/>
    <w:rsid w:val="3ABF2817"/>
    <w:rsid w:val="3ABF6B63"/>
    <w:rsid w:val="3AC0143A"/>
    <w:rsid w:val="3AC0768C"/>
    <w:rsid w:val="3AC105E8"/>
    <w:rsid w:val="3AC33738"/>
    <w:rsid w:val="3AC54CA3"/>
    <w:rsid w:val="3AC616DD"/>
    <w:rsid w:val="3AC76CFB"/>
    <w:rsid w:val="3AC80897"/>
    <w:rsid w:val="3ACA1581"/>
    <w:rsid w:val="3ACB0BC3"/>
    <w:rsid w:val="3AD06DCC"/>
    <w:rsid w:val="3AD36E75"/>
    <w:rsid w:val="3AD4138A"/>
    <w:rsid w:val="3AD46577"/>
    <w:rsid w:val="3AD61E2B"/>
    <w:rsid w:val="3AD9074E"/>
    <w:rsid w:val="3AD93464"/>
    <w:rsid w:val="3ADB0022"/>
    <w:rsid w:val="3ADB6B9C"/>
    <w:rsid w:val="3ADD7BDD"/>
    <w:rsid w:val="3ADE4A86"/>
    <w:rsid w:val="3AE07174"/>
    <w:rsid w:val="3AE2365A"/>
    <w:rsid w:val="3AE55345"/>
    <w:rsid w:val="3AEE6477"/>
    <w:rsid w:val="3AEE6D14"/>
    <w:rsid w:val="3AF30529"/>
    <w:rsid w:val="3AF4117B"/>
    <w:rsid w:val="3AF61300"/>
    <w:rsid w:val="3AF743EE"/>
    <w:rsid w:val="3AFD1AA2"/>
    <w:rsid w:val="3AFF289D"/>
    <w:rsid w:val="3B007F80"/>
    <w:rsid w:val="3B015129"/>
    <w:rsid w:val="3B03086B"/>
    <w:rsid w:val="3B0D1C2F"/>
    <w:rsid w:val="3B0D2D84"/>
    <w:rsid w:val="3B0F1B0C"/>
    <w:rsid w:val="3B106CFD"/>
    <w:rsid w:val="3B131EB2"/>
    <w:rsid w:val="3B133C60"/>
    <w:rsid w:val="3B183024"/>
    <w:rsid w:val="3B190B4B"/>
    <w:rsid w:val="3B1E43B3"/>
    <w:rsid w:val="3B247C1B"/>
    <w:rsid w:val="3B27471A"/>
    <w:rsid w:val="3B282520"/>
    <w:rsid w:val="3B2B6961"/>
    <w:rsid w:val="3B2D22F3"/>
    <w:rsid w:val="3B2F036E"/>
    <w:rsid w:val="3B3011C4"/>
    <w:rsid w:val="3B301651"/>
    <w:rsid w:val="3B325F45"/>
    <w:rsid w:val="3B337E5E"/>
    <w:rsid w:val="3B3616FD"/>
    <w:rsid w:val="3B366827"/>
    <w:rsid w:val="3B3763D1"/>
    <w:rsid w:val="3B39238D"/>
    <w:rsid w:val="3B3C505C"/>
    <w:rsid w:val="3B3D44C2"/>
    <w:rsid w:val="3B444E75"/>
    <w:rsid w:val="3B460691"/>
    <w:rsid w:val="3B47748C"/>
    <w:rsid w:val="3B493528"/>
    <w:rsid w:val="3B4A7152"/>
    <w:rsid w:val="3B4A71E3"/>
    <w:rsid w:val="3B4B00C9"/>
    <w:rsid w:val="3B4B6FD5"/>
    <w:rsid w:val="3B4C2247"/>
    <w:rsid w:val="3B4C22F3"/>
    <w:rsid w:val="3B4E3D82"/>
    <w:rsid w:val="3B527541"/>
    <w:rsid w:val="3B550268"/>
    <w:rsid w:val="3B556152"/>
    <w:rsid w:val="3B55654F"/>
    <w:rsid w:val="3B561D9F"/>
    <w:rsid w:val="3B563B4D"/>
    <w:rsid w:val="3B587744"/>
    <w:rsid w:val="3B5B544C"/>
    <w:rsid w:val="3B5C1252"/>
    <w:rsid w:val="3B5E2A01"/>
    <w:rsid w:val="3B5F6BA9"/>
    <w:rsid w:val="3B626996"/>
    <w:rsid w:val="3B660234"/>
    <w:rsid w:val="3B6953C8"/>
    <w:rsid w:val="3B6A1389"/>
    <w:rsid w:val="3B6B1C5D"/>
    <w:rsid w:val="3B6F3B9D"/>
    <w:rsid w:val="3B7010B2"/>
    <w:rsid w:val="3B703BBA"/>
    <w:rsid w:val="3B724733"/>
    <w:rsid w:val="3B735E9D"/>
    <w:rsid w:val="3B741447"/>
    <w:rsid w:val="3B742225"/>
    <w:rsid w:val="3B747D1E"/>
    <w:rsid w:val="3B7A5A8D"/>
    <w:rsid w:val="3B7C55E0"/>
    <w:rsid w:val="3B7D363A"/>
    <w:rsid w:val="3B7D5C3F"/>
    <w:rsid w:val="3B7E4D8F"/>
    <w:rsid w:val="3B841272"/>
    <w:rsid w:val="3B855F61"/>
    <w:rsid w:val="3B8810DA"/>
    <w:rsid w:val="3B8821FA"/>
    <w:rsid w:val="3B882384"/>
    <w:rsid w:val="3B892174"/>
    <w:rsid w:val="3B8A5951"/>
    <w:rsid w:val="3B8A5B24"/>
    <w:rsid w:val="3B8C57C0"/>
    <w:rsid w:val="3B8F6CF3"/>
    <w:rsid w:val="3B9033A3"/>
    <w:rsid w:val="3B92321D"/>
    <w:rsid w:val="3B92797A"/>
    <w:rsid w:val="3B94602E"/>
    <w:rsid w:val="3B9779F9"/>
    <w:rsid w:val="3B9B0DC0"/>
    <w:rsid w:val="3B9D177C"/>
    <w:rsid w:val="3B9E2F68"/>
    <w:rsid w:val="3BA05D77"/>
    <w:rsid w:val="3BA23700"/>
    <w:rsid w:val="3BA40D5C"/>
    <w:rsid w:val="3BA431F0"/>
    <w:rsid w:val="3BA763A5"/>
    <w:rsid w:val="3BA83053"/>
    <w:rsid w:val="3BAA6ABC"/>
    <w:rsid w:val="3BAA6E92"/>
    <w:rsid w:val="3BAB20EB"/>
    <w:rsid w:val="3BAC188C"/>
    <w:rsid w:val="3BAC1F88"/>
    <w:rsid w:val="3BAF0353"/>
    <w:rsid w:val="3BAF5609"/>
    <w:rsid w:val="3BB36270"/>
    <w:rsid w:val="3BB379F6"/>
    <w:rsid w:val="3BB821A2"/>
    <w:rsid w:val="3BBB7E54"/>
    <w:rsid w:val="3BBC68F5"/>
    <w:rsid w:val="3BC5343D"/>
    <w:rsid w:val="3BC85F47"/>
    <w:rsid w:val="3BC9431F"/>
    <w:rsid w:val="3BCA6163"/>
    <w:rsid w:val="3BCC0BCF"/>
    <w:rsid w:val="3BCC1CB7"/>
    <w:rsid w:val="3BD333EF"/>
    <w:rsid w:val="3BD57167"/>
    <w:rsid w:val="3BD66A3C"/>
    <w:rsid w:val="3BD67F84"/>
    <w:rsid w:val="3BD9439C"/>
    <w:rsid w:val="3BD96E63"/>
    <w:rsid w:val="3BDB16AA"/>
    <w:rsid w:val="3BDB4F23"/>
    <w:rsid w:val="3BDD52A9"/>
    <w:rsid w:val="3BE17FBF"/>
    <w:rsid w:val="3BE31DA8"/>
    <w:rsid w:val="3BE61375"/>
    <w:rsid w:val="3BE86E9B"/>
    <w:rsid w:val="3BE876F1"/>
    <w:rsid w:val="3BEB19FB"/>
    <w:rsid w:val="3BED44B1"/>
    <w:rsid w:val="3BEE48AF"/>
    <w:rsid w:val="3BEE71E0"/>
    <w:rsid w:val="3BF10009"/>
    <w:rsid w:val="3BF22804"/>
    <w:rsid w:val="3BF83FB1"/>
    <w:rsid w:val="3BFA097C"/>
    <w:rsid w:val="3BFF41E4"/>
    <w:rsid w:val="3C017F5D"/>
    <w:rsid w:val="3C045180"/>
    <w:rsid w:val="3C0607EC"/>
    <w:rsid w:val="3C0779A1"/>
    <w:rsid w:val="3C090BBF"/>
    <w:rsid w:val="3C095063"/>
    <w:rsid w:val="3C0C6F3F"/>
    <w:rsid w:val="3C0E2679"/>
    <w:rsid w:val="3C140892"/>
    <w:rsid w:val="3C1512D8"/>
    <w:rsid w:val="3C1627CB"/>
    <w:rsid w:val="3C172C68"/>
    <w:rsid w:val="3C194D75"/>
    <w:rsid w:val="3C196D32"/>
    <w:rsid w:val="3C1C3D9E"/>
    <w:rsid w:val="3C1C4D96"/>
    <w:rsid w:val="3C1E0B0E"/>
    <w:rsid w:val="3C225861"/>
    <w:rsid w:val="3C237ED3"/>
    <w:rsid w:val="3C247153"/>
    <w:rsid w:val="3C2974B3"/>
    <w:rsid w:val="3C2B4FD9"/>
    <w:rsid w:val="3C2F6E1E"/>
    <w:rsid w:val="3C3004E4"/>
    <w:rsid w:val="3C355E58"/>
    <w:rsid w:val="3C37789E"/>
    <w:rsid w:val="3C386B6F"/>
    <w:rsid w:val="3C3A5EC3"/>
    <w:rsid w:val="3C3C71E7"/>
    <w:rsid w:val="3C3D581D"/>
    <w:rsid w:val="3C3D643E"/>
    <w:rsid w:val="3C402FF5"/>
    <w:rsid w:val="3C434BA5"/>
    <w:rsid w:val="3C436275"/>
    <w:rsid w:val="3C461E13"/>
    <w:rsid w:val="3C4829FA"/>
    <w:rsid w:val="3C4936B2"/>
    <w:rsid w:val="3C495016"/>
    <w:rsid w:val="3C4B3255"/>
    <w:rsid w:val="3C4C6886"/>
    <w:rsid w:val="3C4F376F"/>
    <w:rsid w:val="3C4F468E"/>
    <w:rsid w:val="3C4F64BA"/>
    <w:rsid w:val="3C567117"/>
    <w:rsid w:val="3C595CE8"/>
    <w:rsid w:val="3C596A26"/>
    <w:rsid w:val="3C5A1FAA"/>
    <w:rsid w:val="3C5A3F3E"/>
    <w:rsid w:val="3C611B85"/>
    <w:rsid w:val="3C614939"/>
    <w:rsid w:val="3C647E97"/>
    <w:rsid w:val="3C6666A3"/>
    <w:rsid w:val="3C680C39"/>
    <w:rsid w:val="3C6A3F26"/>
    <w:rsid w:val="3C6B7C26"/>
    <w:rsid w:val="3C6B7C5C"/>
    <w:rsid w:val="3C6E4BDF"/>
    <w:rsid w:val="3C704C8B"/>
    <w:rsid w:val="3C704E67"/>
    <w:rsid w:val="3C706E90"/>
    <w:rsid w:val="3C7324DC"/>
    <w:rsid w:val="3C754226"/>
    <w:rsid w:val="3C76201B"/>
    <w:rsid w:val="3C7707DD"/>
    <w:rsid w:val="3C776C51"/>
    <w:rsid w:val="3C7B5F52"/>
    <w:rsid w:val="3C7C4B98"/>
    <w:rsid w:val="3C805E3C"/>
    <w:rsid w:val="3C860477"/>
    <w:rsid w:val="3C8666FD"/>
    <w:rsid w:val="3C8A4BCB"/>
    <w:rsid w:val="3C8B12F7"/>
    <w:rsid w:val="3C8B1B79"/>
    <w:rsid w:val="3C8D359E"/>
    <w:rsid w:val="3C922C42"/>
    <w:rsid w:val="3C940DD1"/>
    <w:rsid w:val="3C9708C1"/>
    <w:rsid w:val="3C982326"/>
    <w:rsid w:val="3C991539"/>
    <w:rsid w:val="3C9E57AB"/>
    <w:rsid w:val="3CA06148"/>
    <w:rsid w:val="3CA172FB"/>
    <w:rsid w:val="3CA32DC2"/>
    <w:rsid w:val="3CA408E8"/>
    <w:rsid w:val="3CA41700"/>
    <w:rsid w:val="3CA535A7"/>
    <w:rsid w:val="3CA84D99"/>
    <w:rsid w:val="3CA90EDB"/>
    <w:rsid w:val="3CA92ED7"/>
    <w:rsid w:val="3CAC611A"/>
    <w:rsid w:val="3CAF6F0E"/>
    <w:rsid w:val="3CB21D96"/>
    <w:rsid w:val="3CB44FCF"/>
    <w:rsid w:val="3CB925E5"/>
    <w:rsid w:val="3CB9505D"/>
    <w:rsid w:val="3CBD4D8B"/>
    <w:rsid w:val="3CBD4FB7"/>
    <w:rsid w:val="3CC22929"/>
    <w:rsid w:val="3CC23A80"/>
    <w:rsid w:val="3CC27EE0"/>
    <w:rsid w:val="3CC316B6"/>
    <w:rsid w:val="3CC32B42"/>
    <w:rsid w:val="3CC369E1"/>
    <w:rsid w:val="3CC50F8A"/>
    <w:rsid w:val="3CC60FE9"/>
    <w:rsid w:val="3CC61931"/>
    <w:rsid w:val="3CC835CF"/>
    <w:rsid w:val="3CC936F9"/>
    <w:rsid w:val="3CCB13E6"/>
    <w:rsid w:val="3CD16206"/>
    <w:rsid w:val="3CD1792F"/>
    <w:rsid w:val="3CD27226"/>
    <w:rsid w:val="3CD4485F"/>
    <w:rsid w:val="3CD70CBD"/>
    <w:rsid w:val="3CD92C87"/>
    <w:rsid w:val="3CD967E3"/>
    <w:rsid w:val="3CD969B8"/>
    <w:rsid w:val="3CDA245A"/>
    <w:rsid w:val="3CDC4526"/>
    <w:rsid w:val="3CDD2302"/>
    <w:rsid w:val="3CE514BB"/>
    <w:rsid w:val="3CE533DA"/>
    <w:rsid w:val="3CE615DE"/>
    <w:rsid w:val="3CE64C09"/>
    <w:rsid w:val="3CE84C78"/>
    <w:rsid w:val="3CEC29BB"/>
    <w:rsid w:val="3CF05B1C"/>
    <w:rsid w:val="3CF274BE"/>
    <w:rsid w:val="3CF361EB"/>
    <w:rsid w:val="3CF47AC1"/>
    <w:rsid w:val="3CF51CA6"/>
    <w:rsid w:val="3CF74EBC"/>
    <w:rsid w:val="3CF96E86"/>
    <w:rsid w:val="3CFB49AC"/>
    <w:rsid w:val="3CFC5325"/>
    <w:rsid w:val="3CFC64B9"/>
    <w:rsid w:val="3CFF6432"/>
    <w:rsid w:val="3D031AB2"/>
    <w:rsid w:val="3D0728F0"/>
    <w:rsid w:val="3D0A1093"/>
    <w:rsid w:val="3D0C0423"/>
    <w:rsid w:val="3D0C4E0B"/>
    <w:rsid w:val="3D0D4CAD"/>
    <w:rsid w:val="3D0D6790"/>
    <w:rsid w:val="3D0F5161"/>
    <w:rsid w:val="3D121CF5"/>
    <w:rsid w:val="3D143CBF"/>
    <w:rsid w:val="3D1B1D15"/>
    <w:rsid w:val="3D1E06B7"/>
    <w:rsid w:val="3D202664"/>
    <w:rsid w:val="3D20577B"/>
    <w:rsid w:val="3D22018A"/>
    <w:rsid w:val="3D265978"/>
    <w:rsid w:val="3D274E06"/>
    <w:rsid w:val="3D285EE9"/>
    <w:rsid w:val="3D2A5BFE"/>
    <w:rsid w:val="3D2E18B0"/>
    <w:rsid w:val="3D2E3A57"/>
    <w:rsid w:val="3D2F2275"/>
    <w:rsid w:val="3D30144A"/>
    <w:rsid w:val="3D313A79"/>
    <w:rsid w:val="3D3301C6"/>
    <w:rsid w:val="3D3305EA"/>
    <w:rsid w:val="3D330F63"/>
    <w:rsid w:val="3D3416EB"/>
    <w:rsid w:val="3D3608A2"/>
    <w:rsid w:val="3D36127C"/>
    <w:rsid w:val="3D36161A"/>
    <w:rsid w:val="3D363C36"/>
    <w:rsid w:val="3D371FCA"/>
    <w:rsid w:val="3D393726"/>
    <w:rsid w:val="3D3954D4"/>
    <w:rsid w:val="3D3A29BA"/>
    <w:rsid w:val="3D3C4B04"/>
    <w:rsid w:val="3D40218E"/>
    <w:rsid w:val="3D406863"/>
    <w:rsid w:val="3D436B9F"/>
    <w:rsid w:val="3D4715E3"/>
    <w:rsid w:val="3D4A1DAC"/>
    <w:rsid w:val="3D4B481D"/>
    <w:rsid w:val="3D4B5297"/>
    <w:rsid w:val="3D4D2D2E"/>
    <w:rsid w:val="3D516E82"/>
    <w:rsid w:val="3D531DCC"/>
    <w:rsid w:val="3D5347E8"/>
    <w:rsid w:val="3D583BAC"/>
    <w:rsid w:val="3D590BBD"/>
    <w:rsid w:val="3D5961F5"/>
    <w:rsid w:val="3D5D7415"/>
    <w:rsid w:val="3D5E4F3B"/>
    <w:rsid w:val="3D613D21"/>
    <w:rsid w:val="3D622C7D"/>
    <w:rsid w:val="3D645801"/>
    <w:rsid w:val="3D6764E5"/>
    <w:rsid w:val="3D6814C2"/>
    <w:rsid w:val="3D6D517E"/>
    <w:rsid w:val="3D6E4CFB"/>
    <w:rsid w:val="3D6F156B"/>
    <w:rsid w:val="3D7178D8"/>
    <w:rsid w:val="3D787A9E"/>
    <w:rsid w:val="3D796833"/>
    <w:rsid w:val="3D7B6A1C"/>
    <w:rsid w:val="3D7C3999"/>
    <w:rsid w:val="3D7D3613"/>
    <w:rsid w:val="3D7F282B"/>
    <w:rsid w:val="3D7F55DD"/>
    <w:rsid w:val="3D816E2B"/>
    <w:rsid w:val="3D8648DC"/>
    <w:rsid w:val="3D864BBD"/>
    <w:rsid w:val="3D876E0F"/>
    <w:rsid w:val="3D89645B"/>
    <w:rsid w:val="3D8A23B8"/>
    <w:rsid w:val="3D8A5D30"/>
    <w:rsid w:val="3D8D4ED4"/>
    <w:rsid w:val="3D9170BE"/>
    <w:rsid w:val="3D927C04"/>
    <w:rsid w:val="3D93315C"/>
    <w:rsid w:val="3D980F2D"/>
    <w:rsid w:val="3D987469"/>
    <w:rsid w:val="3D9A641E"/>
    <w:rsid w:val="3D9A6F66"/>
    <w:rsid w:val="3D9E3F76"/>
    <w:rsid w:val="3DA06A64"/>
    <w:rsid w:val="3DA0749B"/>
    <w:rsid w:val="3DA26902"/>
    <w:rsid w:val="3DA45043"/>
    <w:rsid w:val="3DA60DBB"/>
    <w:rsid w:val="3DA6590D"/>
    <w:rsid w:val="3DA96D91"/>
    <w:rsid w:val="3DA96FB1"/>
    <w:rsid w:val="3DAA37F9"/>
    <w:rsid w:val="3DAD1CC3"/>
    <w:rsid w:val="3DAF4CC8"/>
    <w:rsid w:val="3DB02AE0"/>
    <w:rsid w:val="3DB41589"/>
    <w:rsid w:val="3DB53B6B"/>
    <w:rsid w:val="3DB619A5"/>
    <w:rsid w:val="3DB86E01"/>
    <w:rsid w:val="3DBA3B3C"/>
    <w:rsid w:val="3DBA6615"/>
    <w:rsid w:val="3DBB1F49"/>
    <w:rsid w:val="3DBB7593"/>
    <w:rsid w:val="3DBE7452"/>
    <w:rsid w:val="3DBF3C2B"/>
    <w:rsid w:val="3DC67F88"/>
    <w:rsid w:val="3DC72AE0"/>
    <w:rsid w:val="3DC83193"/>
    <w:rsid w:val="3DCA1494"/>
    <w:rsid w:val="3DCA29D2"/>
    <w:rsid w:val="3DCC38CF"/>
    <w:rsid w:val="3DCC7559"/>
    <w:rsid w:val="3DD1570D"/>
    <w:rsid w:val="3DD220F2"/>
    <w:rsid w:val="3DD329E5"/>
    <w:rsid w:val="3DD34DBB"/>
    <w:rsid w:val="3DD408C3"/>
    <w:rsid w:val="3DD47DF1"/>
    <w:rsid w:val="3DD516A1"/>
    <w:rsid w:val="3DD643A6"/>
    <w:rsid w:val="3DDB4FC5"/>
    <w:rsid w:val="3DE0305F"/>
    <w:rsid w:val="3DE03F6E"/>
    <w:rsid w:val="3DE43BB5"/>
    <w:rsid w:val="3DE6290E"/>
    <w:rsid w:val="3DEA12F1"/>
    <w:rsid w:val="3DEC2546"/>
    <w:rsid w:val="3DED7156"/>
    <w:rsid w:val="3DEE0C81"/>
    <w:rsid w:val="3DEE20BD"/>
    <w:rsid w:val="3DEE7DD7"/>
    <w:rsid w:val="3DEF5A53"/>
    <w:rsid w:val="3DF00289"/>
    <w:rsid w:val="3DF17B5D"/>
    <w:rsid w:val="3DFB42AC"/>
    <w:rsid w:val="3DFC4E7F"/>
    <w:rsid w:val="3DFD45DA"/>
    <w:rsid w:val="3DFD4A8D"/>
    <w:rsid w:val="3E002082"/>
    <w:rsid w:val="3E022B23"/>
    <w:rsid w:val="3E02585D"/>
    <w:rsid w:val="3E034CBE"/>
    <w:rsid w:val="3E037592"/>
    <w:rsid w:val="3E046080"/>
    <w:rsid w:val="3E063608"/>
    <w:rsid w:val="3E0900DB"/>
    <w:rsid w:val="3E09759C"/>
    <w:rsid w:val="3E0A6226"/>
    <w:rsid w:val="3E0C31DA"/>
    <w:rsid w:val="3E0C3CE3"/>
    <w:rsid w:val="3E10092B"/>
    <w:rsid w:val="3E135D25"/>
    <w:rsid w:val="3E1878C6"/>
    <w:rsid w:val="3E1A70B4"/>
    <w:rsid w:val="3E1C2E2C"/>
    <w:rsid w:val="3E1D14A6"/>
    <w:rsid w:val="3E1E0D93"/>
    <w:rsid w:val="3E207235"/>
    <w:rsid w:val="3E246184"/>
    <w:rsid w:val="3E257731"/>
    <w:rsid w:val="3E26733D"/>
    <w:rsid w:val="3E2747A1"/>
    <w:rsid w:val="3E275ECE"/>
    <w:rsid w:val="3E2A7F1D"/>
    <w:rsid w:val="3E2C0EA9"/>
    <w:rsid w:val="3E2C6DE7"/>
    <w:rsid w:val="3E2E2B5F"/>
    <w:rsid w:val="3E3413B9"/>
    <w:rsid w:val="3E350FBB"/>
    <w:rsid w:val="3E363852"/>
    <w:rsid w:val="3E3B072B"/>
    <w:rsid w:val="3E3C1720"/>
    <w:rsid w:val="3E3F4D6C"/>
    <w:rsid w:val="3E410AE4"/>
    <w:rsid w:val="3E432AAE"/>
    <w:rsid w:val="3E48127B"/>
    <w:rsid w:val="3E4E3201"/>
    <w:rsid w:val="3E4F1283"/>
    <w:rsid w:val="3E4F479A"/>
    <w:rsid w:val="3E5042C6"/>
    <w:rsid w:val="3E527985"/>
    <w:rsid w:val="3E551B96"/>
    <w:rsid w:val="3E554590"/>
    <w:rsid w:val="3E55633E"/>
    <w:rsid w:val="3E5675A2"/>
    <w:rsid w:val="3E5768E1"/>
    <w:rsid w:val="3E58138D"/>
    <w:rsid w:val="3E5C147A"/>
    <w:rsid w:val="3E5C5D50"/>
    <w:rsid w:val="3E66081E"/>
    <w:rsid w:val="3E6624BD"/>
    <w:rsid w:val="3E663BFC"/>
    <w:rsid w:val="3E682515"/>
    <w:rsid w:val="3E693497"/>
    <w:rsid w:val="3E6E6D1C"/>
    <w:rsid w:val="3E714DEB"/>
    <w:rsid w:val="3E720982"/>
    <w:rsid w:val="3E722D3D"/>
    <w:rsid w:val="3E726EF0"/>
    <w:rsid w:val="3E734EAD"/>
    <w:rsid w:val="3E754361"/>
    <w:rsid w:val="3E764AE1"/>
    <w:rsid w:val="3E784BCD"/>
    <w:rsid w:val="3E792CEF"/>
    <w:rsid w:val="3E7975CC"/>
    <w:rsid w:val="3E797ACA"/>
    <w:rsid w:val="3E7A4AD6"/>
    <w:rsid w:val="3E820277"/>
    <w:rsid w:val="3E86299B"/>
    <w:rsid w:val="3E864749"/>
    <w:rsid w:val="3E895FE7"/>
    <w:rsid w:val="3E897B14"/>
    <w:rsid w:val="3E8A3535"/>
    <w:rsid w:val="3E8A511D"/>
    <w:rsid w:val="3E8B6203"/>
    <w:rsid w:val="3E8C0B40"/>
    <w:rsid w:val="3E90428F"/>
    <w:rsid w:val="3E951BF8"/>
    <w:rsid w:val="3E961130"/>
    <w:rsid w:val="3E99646B"/>
    <w:rsid w:val="3E996FED"/>
    <w:rsid w:val="3E9B0396"/>
    <w:rsid w:val="3E9C3F6D"/>
    <w:rsid w:val="3EA3354D"/>
    <w:rsid w:val="3EA56C2D"/>
    <w:rsid w:val="3EA648D0"/>
    <w:rsid w:val="3EA66B99"/>
    <w:rsid w:val="3EAD455B"/>
    <w:rsid w:val="3EAD58D5"/>
    <w:rsid w:val="3EAD5B30"/>
    <w:rsid w:val="3EAD7275"/>
    <w:rsid w:val="3EAF00B0"/>
    <w:rsid w:val="3EB05C6A"/>
    <w:rsid w:val="3EB0757A"/>
    <w:rsid w:val="3EBC460F"/>
    <w:rsid w:val="3EC11F69"/>
    <w:rsid w:val="3EC23D65"/>
    <w:rsid w:val="3EC32B25"/>
    <w:rsid w:val="3EC60FE9"/>
    <w:rsid w:val="3EC6723B"/>
    <w:rsid w:val="3EC7548D"/>
    <w:rsid w:val="3EC96B1D"/>
    <w:rsid w:val="3ECA1B1E"/>
    <w:rsid w:val="3ECA2E72"/>
    <w:rsid w:val="3ECC4B73"/>
    <w:rsid w:val="3ECF3527"/>
    <w:rsid w:val="3ECF41B6"/>
    <w:rsid w:val="3ED02D0E"/>
    <w:rsid w:val="3ED63AB3"/>
    <w:rsid w:val="3ED731F7"/>
    <w:rsid w:val="3ED80219"/>
    <w:rsid w:val="3ED90D1D"/>
    <w:rsid w:val="3ED951C1"/>
    <w:rsid w:val="3EDA0523"/>
    <w:rsid w:val="3EDC39D6"/>
    <w:rsid w:val="3EDD1C78"/>
    <w:rsid w:val="3EDF3E59"/>
    <w:rsid w:val="3EE020AB"/>
    <w:rsid w:val="3EE057AB"/>
    <w:rsid w:val="3EE4626A"/>
    <w:rsid w:val="3EE55977"/>
    <w:rsid w:val="3EE6168C"/>
    <w:rsid w:val="3EE85525"/>
    <w:rsid w:val="3EE9423A"/>
    <w:rsid w:val="3EEB139D"/>
    <w:rsid w:val="3EED6576"/>
    <w:rsid w:val="3EEF0540"/>
    <w:rsid w:val="3EEF6900"/>
    <w:rsid w:val="3EF47905"/>
    <w:rsid w:val="3EF539CD"/>
    <w:rsid w:val="3EF7710B"/>
    <w:rsid w:val="3EFC7E13"/>
    <w:rsid w:val="3F015396"/>
    <w:rsid w:val="3F035D9A"/>
    <w:rsid w:val="3F052628"/>
    <w:rsid w:val="3F073172"/>
    <w:rsid w:val="3F081602"/>
    <w:rsid w:val="3F083603"/>
    <w:rsid w:val="3F09182E"/>
    <w:rsid w:val="3F091E4F"/>
    <w:rsid w:val="3F0A35CC"/>
    <w:rsid w:val="3F0B2EA0"/>
    <w:rsid w:val="3F0B4C4E"/>
    <w:rsid w:val="3F0C61E9"/>
    <w:rsid w:val="3F0D4E6A"/>
    <w:rsid w:val="3F107F74"/>
    <w:rsid w:val="3F112F6C"/>
    <w:rsid w:val="3F1208E3"/>
    <w:rsid w:val="3F142569"/>
    <w:rsid w:val="3F164F50"/>
    <w:rsid w:val="3F1717BE"/>
    <w:rsid w:val="3F1A0F36"/>
    <w:rsid w:val="3F1B4D81"/>
    <w:rsid w:val="3F1E4982"/>
    <w:rsid w:val="3F1E6AC5"/>
    <w:rsid w:val="3F216F89"/>
    <w:rsid w:val="3F222850"/>
    <w:rsid w:val="3F224721"/>
    <w:rsid w:val="3F225086"/>
    <w:rsid w:val="3F25407F"/>
    <w:rsid w:val="3F273409"/>
    <w:rsid w:val="3F285800"/>
    <w:rsid w:val="3F2D72BA"/>
    <w:rsid w:val="3F2F3033"/>
    <w:rsid w:val="3F310586"/>
    <w:rsid w:val="3F340649"/>
    <w:rsid w:val="3F3900F4"/>
    <w:rsid w:val="3F390270"/>
    <w:rsid w:val="3F3A62A8"/>
    <w:rsid w:val="3F425C0C"/>
    <w:rsid w:val="3F4330FB"/>
    <w:rsid w:val="3F433241"/>
    <w:rsid w:val="3F4A7E6C"/>
    <w:rsid w:val="3F4C314B"/>
    <w:rsid w:val="3F4D4504"/>
    <w:rsid w:val="3F504B23"/>
    <w:rsid w:val="3F516B05"/>
    <w:rsid w:val="3F522D77"/>
    <w:rsid w:val="3F524454"/>
    <w:rsid w:val="3F5605BF"/>
    <w:rsid w:val="3F560A40"/>
    <w:rsid w:val="3F5A2F91"/>
    <w:rsid w:val="3F5A4804"/>
    <w:rsid w:val="3F5C54AA"/>
    <w:rsid w:val="3F5E3FB2"/>
    <w:rsid w:val="3F604F9A"/>
    <w:rsid w:val="3F626516"/>
    <w:rsid w:val="3F63555C"/>
    <w:rsid w:val="3F653925"/>
    <w:rsid w:val="3F655E6E"/>
    <w:rsid w:val="3F656A54"/>
    <w:rsid w:val="3F6A5E19"/>
    <w:rsid w:val="3F6B68D0"/>
    <w:rsid w:val="3F6C1B91"/>
    <w:rsid w:val="3F6D76B7"/>
    <w:rsid w:val="3F6E7BC4"/>
    <w:rsid w:val="3F6F0634"/>
    <w:rsid w:val="3F6F1681"/>
    <w:rsid w:val="3F744EE9"/>
    <w:rsid w:val="3F757BAD"/>
    <w:rsid w:val="3F76656C"/>
    <w:rsid w:val="3F7758D2"/>
    <w:rsid w:val="3F786788"/>
    <w:rsid w:val="3F7D5B4C"/>
    <w:rsid w:val="3F7E19F3"/>
    <w:rsid w:val="3F7E1E36"/>
    <w:rsid w:val="3F823162"/>
    <w:rsid w:val="3F830C89"/>
    <w:rsid w:val="3F8356B0"/>
    <w:rsid w:val="3F892743"/>
    <w:rsid w:val="3F9066A3"/>
    <w:rsid w:val="3F9133A5"/>
    <w:rsid w:val="3F92129F"/>
    <w:rsid w:val="3F980E7A"/>
    <w:rsid w:val="3F9966FE"/>
    <w:rsid w:val="3F9A0187"/>
    <w:rsid w:val="3F9D2492"/>
    <w:rsid w:val="3FA70E1B"/>
    <w:rsid w:val="3FA7313D"/>
    <w:rsid w:val="3FA7706D"/>
    <w:rsid w:val="3FA96BE5"/>
    <w:rsid w:val="3FAA090B"/>
    <w:rsid w:val="3FAA47D7"/>
    <w:rsid w:val="3FAF7CCF"/>
    <w:rsid w:val="3FB179AB"/>
    <w:rsid w:val="3FB955DB"/>
    <w:rsid w:val="3FB95832"/>
    <w:rsid w:val="3FBC7B83"/>
    <w:rsid w:val="3FBD063E"/>
    <w:rsid w:val="3FC47958"/>
    <w:rsid w:val="3FC80D3C"/>
    <w:rsid w:val="3FC90D91"/>
    <w:rsid w:val="3FCC262F"/>
    <w:rsid w:val="3FCE7DED"/>
    <w:rsid w:val="3FCF3ECE"/>
    <w:rsid w:val="3FCF4794"/>
    <w:rsid w:val="3FD34367"/>
    <w:rsid w:val="3FD373E5"/>
    <w:rsid w:val="3FD63366"/>
    <w:rsid w:val="3FD63CE1"/>
    <w:rsid w:val="3FDB62E6"/>
    <w:rsid w:val="3FDF32D6"/>
    <w:rsid w:val="3FDF49D5"/>
    <w:rsid w:val="3FE30C79"/>
    <w:rsid w:val="3FE4419D"/>
    <w:rsid w:val="3FE519E8"/>
    <w:rsid w:val="3FE56E4E"/>
    <w:rsid w:val="3FE623E8"/>
    <w:rsid w:val="3FE67B95"/>
    <w:rsid w:val="3FE94709"/>
    <w:rsid w:val="3FEB5E3A"/>
    <w:rsid w:val="3FF25C02"/>
    <w:rsid w:val="3FF51B86"/>
    <w:rsid w:val="3FF70C5D"/>
    <w:rsid w:val="3FFB35D2"/>
    <w:rsid w:val="3FFB45FE"/>
    <w:rsid w:val="3FFC7CD6"/>
    <w:rsid w:val="3FFD67F2"/>
    <w:rsid w:val="3FFF0C57"/>
    <w:rsid w:val="400224F5"/>
    <w:rsid w:val="4004001B"/>
    <w:rsid w:val="40051989"/>
    <w:rsid w:val="400712EB"/>
    <w:rsid w:val="40112738"/>
    <w:rsid w:val="401251B2"/>
    <w:rsid w:val="40127F50"/>
    <w:rsid w:val="40130763"/>
    <w:rsid w:val="40132A45"/>
    <w:rsid w:val="40140A3F"/>
    <w:rsid w:val="40180602"/>
    <w:rsid w:val="40196CDD"/>
    <w:rsid w:val="401A060A"/>
    <w:rsid w:val="401D10DD"/>
    <w:rsid w:val="401D2E8B"/>
    <w:rsid w:val="40204729"/>
    <w:rsid w:val="40237AA0"/>
    <w:rsid w:val="40272E18"/>
    <w:rsid w:val="40295CD4"/>
    <w:rsid w:val="40307062"/>
    <w:rsid w:val="403703F1"/>
    <w:rsid w:val="403726B6"/>
    <w:rsid w:val="40394E2C"/>
    <w:rsid w:val="403A282D"/>
    <w:rsid w:val="403B0109"/>
    <w:rsid w:val="403E177F"/>
    <w:rsid w:val="40424B3E"/>
    <w:rsid w:val="40436D96"/>
    <w:rsid w:val="404B3E9C"/>
    <w:rsid w:val="404B735C"/>
    <w:rsid w:val="404B7625"/>
    <w:rsid w:val="404B7F08"/>
    <w:rsid w:val="404F39CD"/>
    <w:rsid w:val="40517461"/>
    <w:rsid w:val="4052017C"/>
    <w:rsid w:val="40531551"/>
    <w:rsid w:val="40550877"/>
    <w:rsid w:val="40597727"/>
    <w:rsid w:val="405D76A1"/>
    <w:rsid w:val="405F2A4D"/>
    <w:rsid w:val="405F34A4"/>
    <w:rsid w:val="406023F5"/>
    <w:rsid w:val="4064187A"/>
    <w:rsid w:val="40644F5E"/>
    <w:rsid w:val="40694322"/>
    <w:rsid w:val="407371D3"/>
    <w:rsid w:val="40744DB6"/>
    <w:rsid w:val="407451A1"/>
    <w:rsid w:val="40747699"/>
    <w:rsid w:val="40760C3F"/>
    <w:rsid w:val="40770904"/>
    <w:rsid w:val="4077259B"/>
    <w:rsid w:val="40786313"/>
    <w:rsid w:val="407A6407"/>
    <w:rsid w:val="407C12F4"/>
    <w:rsid w:val="408A25FC"/>
    <w:rsid w:val="408B24EB"/>
    <w:rsid w:val="408C4833"/>
    <w:rsid w:val="408D25EE"/>
    <w:rsid w:val="40936B23"/>
    <w:rsid w:val="40953E25"/>
    <w:rsid w:val="409969B6"/>
    <w:rsid w:val="40996AAE"/>
    <w:rsid w:val="409D1EB1"/>
    <w:rsid w:val="409E381B"/>
    <w:rsid w:val="409F4959"/>
    <w:rsid w:val="40A018B0"/>
    <w:rsid w:val="40A23390"/>
    <w:rsid w:val="40A30CA9"/>
    <w:rsid w:val="40A315E2"/>
    <w:rsid w:val="40A44DF0"/>
    <w:rsid w:val="40AB66E9"/>
    <w:rsid w:val="40AD3775"/>
    <w:rsid w:val="40AD420F"/>
    <w:rsid w:val="40B05AAD"/>
    <w:rsid w:val="40B15989"/>
    <w:rsid w:val="40B25CC9"/>
    <w:rsid w:val="40B27A77"/>
    <w:rsid w:val="40B3559D"/>
    <w:rsid w:val="40BE466E"/>
    <w:rsid w:val="40BF2194"/>
    <w:rsid w:val="40C1415E"/>
    <w:rsid w:val="40C2495B"/>
    <w:rsid w:val="40C60B2D"/>
    <w:rsid w:val="40CB718C"/>
    <w:rsid w:val="40D21392"/>
    <w:rsid w:val="40D33D9B"/>
    <w:rsid w:val="40D356B8"/>
    <w:rsid w:val="40D414FD"/>
    <w:rsid w:val="40D519B8"/>
    <w:rsid w:val="40D8143B"/>
    <w:rsid w:val="40D914A8"/>
    <w:rsid w:val="40DA5214"/>
    <w:rsid w:val="40DA6CC6"/>
    <w:rsid w:val="40DA6FCE"/>
    <w:rsid w:val="40DB5AB7"/>
    <w:rsid w:val="40DC42C4"/>
    <w:rsid w:val="40DC4D4E"/>
    <w:rsid w:val="40DE086C"/>
    <w:rsid w:val="40DE261A"/>
    <w:rsid w:val="40DE3E35"/>
    <w:rsid w:val="40DE4D0F"/>
    <w:rsid w:val="40DF6392"/>
    <w:rsid w:val="40E06760"/>
    <w:rsid w:val="40E549CE"/>
    <w:rsid w:val="40E55B37"/>
    <w:rsid w:val="40E67391"/>
    <w:rsid w:val="40E77498"/>
    <w:rsid w:val="40EA5463"/>
    <w:rsid w:val="40EC17E1"/>
    <w:rsid w:val="40EC3634"/>
    <w:rsid w:val="40ED544E"/>
    <w:rsid w:val="40EE0B7B"/>
    <w:rsid w:val="40F26B4F"/>
    <w:rsid w:val="40F621C4"/>
    <w:rsid w:val="40F630DE"/>
    <w:rsid w:val="40F66761"/>
    <w:rsid w:val="40F962FD"/>
    <w:rsid w:val="40FA5AE6"/>
    <w:rsid w:val="40FE708E"/>
    <w:rsid w:val="4102550F"/>
    <w:rsid w:val="41073DF8"/>
    <w:rsid w:val="41075C9E"/>
    <w:rsid w:val="41076015"/>
    <w:rsid w:val="410858E9"/>
    <w:rsid w:val="410A3A7C"/>
    <w:rsid w:val="410A5980"/>
    <w:rsid w:val="410B6321"/>
    <w:rsid w:val="41117225"/>
    <w:rsid w:val="41127D08"/>
    <w:rsid w:val="41134D36"/>
    <w:rsid w:val="4114277F"/>
    <w:rsid w:val="411571E4"/>
    <w:rsid w:val="41181FC8"/>
    <w:rsid w:val="411958BA"/>
    <w:rsid w:val="411B2F29"/>
    <w:rsid w:val="411B386E"/>
    <w:rsid w:val="411C1276"/>
    <w:rsid w:val="411D488F"/>
    <w:rsid w:val="411D4BEA"/>
    <w:rsid w:val="41200E85"/>
    <w:rsid w:val="41206B58"/>
    <w:rsid w:val="41222DD8"/>
    <w:rsid w:val="412321E8"/>
    <w:rsid w:val="41237777"/>
    <w:rsid w:val="41243966"/>
    <w:rsid w:val="41247749"/>
    <w:rsid w:val="41257AB9"/>
    <w:rsid w:val="41257D97"/>
    <w:rsid w:val="412874EE"/>
    <w:rsid w:val="412A5860"/>
    <w:rsid w:val="412B15D8"/>
    <w:rsid w:val="412D70FE"/>
    <w:rsid w:val="412E1DC5"/>
    <w:rsid w:val="412F661E"/>
    <w:rsid w:val="41306BEE"/>
    <w:rsid w:val="4131397A"/>
    <w:rsid w:val="41344930"/>
    <w:rsid w:val="413705B1"/>
    <w:rsid w:val="41377F7D"/>
    <w:rsid w:val="41385F89"/>
    <w:rsid w:val="41397843"/>
    <w:rsid w:val="413B4295"/>
    <w:rsid w:val="413B7A6D"/>
    <w:rsid w:val="413E755D"/>
    <w:rsid w:val="41401846"/>
    <w:rsid w:val="4141359D"/>
    <w:rsid w:val="414231F5"/>
    <w:rsid w:val="41434B73"/>
    <w:rsid w:val="414B05A5"/>
    <w:rsid w:val="414C1C7A"/>
    <w:rsid w:val="414C51DB"/>
    <w:rsid w:val="414D1CD1"/>
    <w:rsid w:val="414D59F2"/>
    <w:rsid w:val="414F3518"/>
    <w:rsid w:val="41505F94"/>
    <w:rsid w:val="4153125A"/>
    <w:rsid w:val="4153436A"/>
    <w:rsid w:val="415360E4"/>
    <w:rsid w:val="41555E76"/>
    <w:rsid w:val="415B7967"/>
    <w:rsid w:val="415C3046"/>
    <w:rsid w:val="415C79E3"/>
    <w:rsid w:val="415E7FC1"/>
    <w:rsid w:val="41613255"/>
    <w:rsid w:val="4162149D"/>
    <w:rsid w:val="41636FC4"/>
    <w:rsid w:val="41656898"/>
    <w:rsid w:val="41676AB4"/>
    <w:rsid w:val="41687964"/>
    <w:rsid w:val="41687BCA"/>
    <w:rsid w:val="41691EF0"/>
    <w:rsid w:val="416B286A"/>
    <w:rsid w:val="416E7988"/>
    <w:rsid w:val="41725499"/>
    <w:rsid w:val="41727207"/>
    <w:rsid w:val="41727FE1"/>
    <w:rsid w:val="41742F7F"/>
    <w:rsid w:val="41762D0E"/>
    <w:rsid w:val="41774647"/>
    <w:rsid w:val="41790595"/>
    <w:rsid w:val="417967E7"/>
    <w:rsid w:val="417E23AB"/>
    <w:rsid w:val="417F2D7D"/>
    <w:rsid w:val="4183144D"/>
    <w:rsid w:val="4185291C"/>
    <w:rsid w:val="41905525"/>
    <w:rsid w:val="41906EA5"/>
    <w:rsid w:val="41920E1A"/>
    <w:rsid w:val="41922580"/>
    <w:rsid w:val="41931F28"/>
    <w:rsid w:val="419460EB"/>
    <w:rsid w:val="41950099"/>
    <w:rsid w:val="41962EF5"/>
    <w:rsid w:val="419A4476"/>
    <w:rsid w:val="419C03A5"/>
    <w:rsid w:val="419C65AB"/>
    <w:rsid w:val="419E624E"/>
    <w:rsid w:val="419E7FFC"/>
    <w:rsid w:val="41A01FC6"/>
    <w:rsid w:val="41A03D74"/>
    <w:rsid w:val="41A05B22"/>
    <w:rsid w:val="41A17103"/>
    <w:rsid w:val="41A67388"/>
    <w:rsid w:val="41A74A66"/>
    <w:rsid w:val="41AA4BF2"/>
    <w:rsid w:val="41AB11B7"/>
    <w:rsid w:val="41AB7285"/>
    <w:rsid w:val="41AC5038"/>
    <w:rsid w:val="41AC5633"/>
    <w:rsid w:val="41B27C16"/>
    <w:rsid w:val="41B651D4"/>
    <w:rsid w:val="41B65345"/>
    <w:rsid w:val="41B713B0"/>
    <w:rsid w:val="41B94E35"/>
    <w:rsid w:val="41BB2AAA"/>
    <w:rsid w:val="41BB2BC0"/>
    <w:rsid w:val="41BC3A74"/>
    <w:rsid w:val="41BF6190"/>
    <w:rsid w:val="41C04416"/>
    <w:rsid w:val="41C1290F"/>
    <w:rsid w:val="41C60834"/>
    <w:rsid w:val="41C74698"/>
    <w:rsid w:val="41D103D1"/>
    <w:rsid w:val="41D13F2D"/>
    <w:rsid w:val="41D42994"/>
    <w:rsid w:val="41D62248"/>
    <w:rsid w:val="41D81749"/>
    <w:rsid w:val="41D8350E"/>
    <w:rsid w:val="41D852BC"/>
    <w:rsid w:val="41DA225D"/>
    <w:rsid w:val="41DA3E6A"/>
    <w:rsid w:val="41DB2F33"/>
    <w:rsid w:val="41DD57A1"/>
    <w:rsid w:val="41E36796"/>
    <w:rsid w:val="41E40104"/>
    <w:rsid w:val="41E41EB2"/>
    <w:rsid w:val="41E427F7"/>
    <w:rsid w:val="41E579D9"/>
    <w:rsid w:val="41E7177E"/>
    <w:rsid w:val="41E77BF5"/>
    <w:rsid w:val="41E80B42"/>
    <w:rsid w:val="41E8605B"/>
    <w:rsid w:val="41E974C9"/>
    <w:rsid w:val="41EA3241"/>
    <w:rsid w:val="41EA6D52"/>
    <w:rsid w:val="41EC1907"/>
    <w:rsid w:val="41EF727E"/>
    <w:rsid w:val="41F160F2"/>
    <w:rsid w:val="41F4062A"/>
    <w:rsid w:val="41F540C0"/>
    <w:rsid w:val="41F60289"/>
    <w:rsid w:val="41F61BE6"/>
    <w:rsid w:val="41FB4DDE"/>
    <w:rsid w:val="41FD43F2"/>
    <w:rsid w:val="41FF0A9A"/>
    <w:rsid w:val="41FF30F9"/>
    <w:rsid w:val="41FF4DFA"/>
    <w:rsid w:val="41FF7B80"/>
    <w:rsid w:val="4200449D"/>
    <w:rsid w:val="42014C14"/>
    <w:rsid w:val="42022339"/>
    <w:rsid w:val="420460B1"/>
    <w:rsid w:val="42065DF1"/>
    <w:rsid w:val="42074206"/>
    <w:rsid w:val="42084AFD"/>
    <w:rsid w:val="420B186A"/>
    <w:rsid w:val="420C1D59"/>
    <w:rsid w:val="420C670C"/>
    <w:rsid w:val="420C6A14"/>
    <w:rsid w:val="420E5181"/>
    <w:rsid w:val="420E51DB"/>
    <w:rsid w:val="42106710"/>
    <w:rsid w:val="42112B13"/>
    <w:rsid w:val="42117A56"/>
    <w:rsid w:val="4214206C"/>
    <w:rsid w:val="421A55AA"/>
    <w:rsid w:val="421B33FA"/>
    <w:rsid w:val="421D4942"/>
    <w:rsid w:val="42221E6F"/>
    <w:rsid w:val="42246753"/>
    <w:rsid w:val="42266E99"/>
    <w:rsid w:val="422B7AE1"/>
    <w:rsid w:val="422C0A82"/>
    <w:rsid w:val="422F1318"/>
    <w:rsid w:val="42364D54"/>
    <w:rsid w:val="423817F4"/>
    <w:rsid w:val="4238604B"/>
    <w:rsid w:val="42387E21"/>
    <w:rsid w:val="423931A7"/>
    <w:rsid w:val="423A3BCC"/>
    <w:rsid w:val="423D5F17"/>
    <w:rsid w:val="423F3C9B"/>
    <w:rsid w:val="423F7B2F"/>
    <w:rsid w:val="4245613D"/>
    <w:rsid w:val="424566C9"/>
    <w:rsid w:val="424741EF"/>
    <w:rsid w:val="424768A0"/>
    <w:rsid w:val="424B2224"/>
    <w:rsid w:val="424D3EFC"/>
    <w:rsid w:val="424D7420"/>
    <w:rsid w:val="424E57D2"/>
    <w:rsid w:val="42552DB0"/>
    <w:rsid w:val="4255559C"/>
    <w:rsid w:val="42562684"/>
    <w:rsid w:val="42582CAE"/>
    <w:rsid w:val="42597BC0"/>
    <w:rsid w:val="425A0BFC"/>
    <w:rsid w:val="425A1C6B"/>
    <w:rsid w:val="425B286F"/>
    <w:rsid w:val="425B7C9B"/>
    <w:rsid w:val="425D3798"/>
    <w:rsid w:val="426052B1"/>
    <w:rsid w:val="42606938"/>
    <w:rsid w:val="42621029"/>
    <w:rsid w:val="42644DA1"/>
    <w:rsid w:val="42657147"/>
    <w:rsid w:val="42674891"/>
    <w:rsid w:val="42683E52"/>
    <w:rsid w:val="426866C4"/>
    <w:rsid w:val="4269060A"/>
    <w:rsid w:val="42697C7A"/>
    <w:rsid w:val="426C1EA8"/>
    <w:rsid w:val="426C648E"/>
    <w:rsid w:val="426E79CE"/>
    <w:rsid w:val="426F1F20"/>
    <w:rsid w:val="426F4B40"/>
    <w:rsid w:val="42723962"/>
    <w:rsid w:val="4272755D"/>
    <w:rsid w:val="42734613"/>
    <w:rsid w:val="42792BC6"/>
    <w:rsid w:val="427B20EB"/>
    <w:rsid w:val="427B43E3"/>
    <w:rsid w:val="427E1877"/>
    <w:rsid w:val="428216CB"/>
    <w:rsid w:val="4286740D"/>
    <w:rsid w:val="42892A5A"/>
    <w:rsid w:val="428E2378"/>
    <w:rsid w:val="428F443C"/>
    <w:rsid w:val="429054E1"/>
    <w:rsid w:val="4292190E"/>
    <w:rsid w:val="42927B60"/>
    <w:rsid w:val="42930B0E"/>
    <w:rsid w:val="42935E71"/>
    <w:rsid w:val="42936691"/>
    <w:rsid w:val="42942483"/>
    <w:rsid w:val="429733C9"/>
    <w:rsid w:val="429734C3"/>
    <w:rsid w:val="429970A4"/>
    <w:rsid w:val="429B7C71"/>
    <w:rsid w:val="429C28FF"/>
    <w:rsid w:val="429C43A0"/>
    <w:rsid w:val="429F5147"/>
    <w:rsid w:val="42A03FC3"/>
    <w:rsid w:val="42A41642"/>
    <w:rsid w:val="42A70DB3"/>
    <w:rsid w:val="42AB4095"/>
    <w:rsid w:val="42AD6748"/>
    <w:rsid w:val="42AE59C8"/>
    <w:rsid w:val="42B0448A"/>
    <w:rsid w:val="42B06238"/>
    <w:rsid w:val="42B2608F"/>
    <w:rsid w:val="42B26C49"/>
    <w:rsid w:val="42B36733"/>
    <w:rsid w:val="42B444A4"/>
    <w:rsid w:val="42B5384F"/>
    <w:rsid w:val="42B555FD"/>
    <w:rsid w:val="42B60BEE"/>
    <w:rsid w:val="42B7048F"/>
    <w:rsid w:val="42B70BE9"/>
    <w:rsid w:val="42B74DFB"/>
    <w:rsid w:val="42B86E9B"/>
    <w:rsid w:val="42BA1346"/>
    <w:rsid w:val="42BA550C"/>
    <w:rsid w:val="42BC2E2F"/>
    <w:rsid w:val="42BC6513"/>
    <w:rsid w:val="42BF022A"/>
    <w:rsid w:val="42C43A92"/>
    <w:rsid w:val="42C86713"/>
    <w:rsid w:val="42C90960"/>
    <w:rsid w:val="42C91E8E"/>
    <w:rsid w:val="42CB6BCE"/>
    <w:rsid w:val="42CC3960"/>
    <w:rsid w:val="42CD438E"/>
    <w:rsid w:val="42CE4E74"/>
    <w:rsid w:val="42D00689"/>
    <w:rsid w:val="42D25D3C"/>
    <w:rsid w:val="42D27F5D"/>
    <w:rsid w:val="42D63846"/>
    <w:rsid w:val="42D812EB"/>
    <w:rsid w:val="42D90367"/>
    <w:rsid w:val="42DA5CF4"/>
    <w:rsid w:val="42E12896"/>
    <w:rsid w:val="42E61C5A"/>
    <w:rsid w:val="42E77A79"/>
    <w:rsid w:val="42E83C24"/>
    <w:rsid w:val="42EA1516"/>
    <w:rsid w:val="42EA528A"/>
    <w:rsid w:val="42EA799C"/>
    <w:rsid w:val="42EB35A9"/>
    <w:rsid w:val="42EC2600"/>
    <w:rsid w:val="42ED2FE9"/>
    <w:rsid w:val="42ED4D97"/>
    <w:rsid w:val="42EF493F"/>
    <w:rsid w:val="42F0679C"/>
    <w:rsid w:val="42F12A0E"/>
    <w:rsid w:val="42F41591"/>
    <w:rsid w:val="42F55C86"/>
    <w:rsid w:val="42F702D2"/>
    <w:rsid w:val="42F779C3"/>
    <w:rsid w:val="42F92000"/>
    <w:rsid w:val="42FB3958"/>
    <w:rsid w:val="42FC322C"/>
    <w:rsid w:val="42FE28D0"/>
    <w:rsid w:val="4301285A"/>
    <w:rsid w:val="43016A94"/>
    <w:rsid w:val="430420E0"/>
    <w:rsid w:val="430461C5"/>
    <w:rsid w:val="43064506"/>
    <w:rsid w:val="430B7913"/>
    <w:rsid w:val="430D368B"/>
    <w:rsid w:val="430D39A8"/>
    <w:rsid w:val="430D5439"/>
    <w:rsid w:val="430E75BB"/>
    <w:rsid w:val="43117284"/>
    <w:rsid w:val="43145E0B"/>
    <w:rsid w:val="4315267D"/>
    <w:rsid w:val="431531D6"/>
    <w:rsid w:val="4316708E"/>
    <w:rsid w:val="43187689"/>
    <w:rsid w:val="431A71FD"/>
    <w:rsid w:val="431B1832"/>
    <w:rsid w:val="431C567C"/>
    <w:rsid w:val="431C58E7"/>
    <w:rsid w:val="431C742A"/>
    <w:rsid w:val="431E40D8"/>
    <w:rsid w:val="43215287"/>
    <w:rsid w:val="43232020"/>
    <w:rsid w:val="43242A4B"/>
    <w:rsid w:val="4324407A"/>
    <w:rsid w:val="4327064E"/>
    <w:rsid w:val="432804C5"/>
    <w:rsid w:val="432D5ADB"/>
    <w:rsid w:val="43300153"/>
    <w:rsid w:val="43320BB9"/>
    <w:rsid w:val="43351E85"/>
    <w:rsid w:val="4335673E"/>
    <w:rsid w:val="43362938"/>
    <w:rsid w:val="43370708"/>
    <w:rsid w:val="433A0F4D"/>
    <w:rsid w:val="433A6FE6"/>
    <w:rsid w:val="433E4E10"/>
    <w:rsid w:val="433F1508"/>
    <w:rsid w:val="434075BC"/>
    <w:rsid w:val="43432C09"/>
    <w:rsid w:val="43436D7A"/>
    <w:rsid w:val="434439AB"/>
    <w:rsid w:val="43443D74"/>
    <w:rsid w:val="4348021F"/>
    <w:rsid w:val="43480868"/>
    <w:rsid w:val="4348545D"/>
    <w:rsid w:val="4350713C"/>
    <w:rsid w:val="435234BD"/>
    <w:rsid w:val="43525063"/>
    <w:rsid w:val="435272F0"/>
    <w:rsid w:val="43551020"/>
    <w:rsid w:val="4355293C"/>
    <w:rsid w:val="435766B4"/>
    <w:rsid w:val="435A7F52"/>
    <w:rsid w:val="435C130E"/>
    <w:rsid w:val="435E2DC6"/>
    <w:rsid w:val="435F570B"/>
    <w:rsid w:val="43645C16"/>
    <w:rsid w:val="436653E0"/>
    <w:rsid w:val="436808C1"/>
    <w:rsid w:val="436866DD"/>
    <w:rsid w:val="43692BE1"/>
    <w:rsid w:val="436950AB"/>
    <w:rsid w:val="4369616C"/>
    <w:rsid w:val="436B405F"/>
    <w:rsid w:val="436C03B1"/>
    <w:rsid w:val="436C4574"/>
    <w:rsid w:val="436C5BCD"/>
    <w:rsid w:val="436D237B"/>
    <w:rsid w:val="43700132"/>
    <w:rsid w:val="43707785"/>
    <w:rsid w:val="43716302"/>
    <w:rsid w:val="43737557"/>
    <w:rsid w:val="43747266"/>
    <w:rsid w:val="4378111F"/>
    <w:rsid w:val="437A0237"/>
    <w:rsid w:val="43812EFE"/>
    <w:rsid w:val="438374A9"/>
    <w:rsid w:val="4385261F"/>
    <w:rsid w:val="438576C5"/>
    <w:rsid w:val="438629B9"/>
    <w:rsid w:val="43870374"/>
    <w:rsid w:val="438731E5"/>
    <w:rsid w:val="43880F63"/>
    <w:rsid w:val="43882D11"/>
    <w:rsid w:val="438B4930"/>
    <w:rsid w:val="438D20D6"/>
    <w:rsid w:val="4392410F"/>
    <w:rsid w:val="439535CE"/>
    <w:rsid w:val="43963680"/>
    <w:rsid w:val="43967588"/>
    <w:rsid w:val="43982CD1"/>
    <w:rsid w:val="439A31F6"/>
    <w:rsid w:val="439B2A45"/>
    <w:rsid w:val="439D3861"/>
    <w:rsid w:val="439D4A0F"/>
    <w:rsid w:val="439E0787"/>
    <w:rsid w:val="43A044FF"/>
    <w:rsid w:val="43A32C89"/>
    <w:rsid w:val="43A7763B"/>
    <w:rsid w:val="43A84F1D"/>
    <w:rsid w:val="43A86F10"/>
    <w:rsid w:val="43AD4526"/>
    <w:rsid w:val="43AF029E"/>
    <w:rsid w:val="43AF64F0"/>
    <w:rsid w:val="43B01659"/>
    <w:rsid w:val="43B42E83"/>
    <w:rsid w:val="43B86451"/>
    <w:rsid w:val="43BB1C98"/>
    <w:rsid w:val="43BE2B29"/>
    <w:rsid w:val="43C4431A"/>
    <w:rsid w:val="43CA332A"/>
    <w:rsid w:val="43CC755C"/>
    <w:rsid w:val="43CE22A6"/>
    <w:rsid w:val="43CF26EE"/>
    <w:rsid w:val="43CF6ABD"/>
    <w:rsid w:val="43D344A5"/>
    <w:rsid w:val="43D72702"/>
    <w:rsid w:val="43D76CE0"/>
    <w:rsid w:val="43D8342E"/>
    <w:rsid w:val="43D83C99"/>
    <w:rsid w:val="43D87AD1"/>
    <w:rsid w:val="43D91660"/>
    <w:rsid w:val="43D917BF"/>
    <w:rsid w:val="43D91F77"/>
    <w:rsid w:val="43D9356D"/>
    <w:rsid w:val="43D9531B"/>
    <w:rsid w:val="43DA6BD7"/>
    <w:rsid w:val="43E066A9"/>
    <w:rsid w:val="43E3619A"/>
    <w:rsid w:val="43E443EC"/>
    <w:rsid w:val="43E50164"/>
    <w:rsid w:val="43E53CC0"/>
    <w:rsid w:val="43E837B0"/>
    <w:rsid w:val="43EA39CC"/>
    <w:rsid w:val="43EB40FC"/>
    <w:rsid w:val="43EC1203"/>
    <w:rsid w:val="43F222ED"/>
    <w:rsid w:val="43F602B6"/>
    <w:rsid w:val="43F62371"/>
    <w:rsid w:val="43FA5069"/>
    <w:rsid w:val="43FC24A9"/>
    <w:rsid w:val="43FD1639"/>
    <w:rsid w:val="44017059"/>
    <w:rsid w:val="440440EB"/>
    <w:rsid w:val="44070F17"/>
    <w:rsid w:val="440920A4"/>
    <w:rsid w:val="440B7D97"/>
    <w:rsid w:val="440E76BA"/>
    <w:rsid w:val="440F4F24"/>
    <w:rsid w:val="44153450"/>
    <w:rsid w:val="441D2FA8"/>
    <w:rsid w:val="441F66C1"/>
    <w:rsid w:val="442038BB"/>
    <w:rsid w:val="44210FBE"/>
    <w:rsid w:val="44224F14"/>
    <w:rsid w:val="44225C33"/>
    <w:rsid w:val="44247871"/>
    <w:rsid w:val="44273BCE"/>
    <w:rsid w:val="442742D8"/>
    <w:rsid w:val="44283C5C"/>
    <w:rsid w:val="442C52ED"/>
    <w:rsid w:val="442C5D93"/>
    <w:rsid w:val="44333D82"/>
    <w:rsid w:val="44354C47"/>
    <w:rsid w:val="44381106"/>
    <w:rsid w:val="443A6FB3"/>
    <w:rsid w:val="443B31E6"/>
    <w:rsid w:val="443C41B4"/>
    <w:rsid w:val="443E057B"/>
    <w:rsid w:val="443E095B"/>
    <w:rsid w:val="443F7874"/>
    <w:rsid w:val="444210E3"/>
    <w:rsid w:val="44430C48"/>
    <w:rsid w:val="444416B4"/>
    <w:rsid w:val="4444502C"/>
    <w:rsid w:val="44451961"/>
    <w:rsid w:val="44452D52"/>
    <w:rsid w:val="44472BCC"/>
    <w:rsid w:val="444834B5"/>
    <w:rsid w:val="444D3659"/>
    <w:rsid w:val="444D4DDE"/>
    <w:rsid w:val="444E2219"/>
    <w:rsid w:val="444E5D09"/>
    <w:rsid w:val="4450382F"/>
    <w:rsid w:val="445175A7"/>
    <w:rsid w:val="44545E6E"/>
    <w:rsid w:val="445552E9"/>
    <w:rsid w:val="44555970"/>
    <w:rsid w:val="44583407"/>
    <w:rsid w:val="445E757F"/>
    <w:rsid w:val="445F306C"/>
    <w:rsid w:val="446077EA"/>
    <w:rsid w:val="44613C8E"/>
    <w:rsid w:val="44614D4A"/>
    <w:rsid w:val="44615A3C"/>
    <w:rsid w:val="4462201E"/>
    <w:rsid w:val="44624363"/>
    <w:rsid w:val="4465104C"/>
    <w:rsid w:val="44654E01"/>
    <w:rsid w:val="446612A5"/>
    <w:rsid w:val="44663053"/>
    <w:rsid w:val="44691FA7"/>
    <w:rsid w:val="446A4AB9"/>
    <w:rsid w:val="446C4582"/>
    <w:rsid w:val="4471166F"/>
    <w:rsid w:val="4471758D"/>
    <w:rsid w:val="44723FE4"/>
    <w:rsid w:val="44724C91"/>
    <w:rsid w:val="44742283"/>
    <w:rsid w:val="44760DBC"/>
    <w:rsid w:val="44761711"/>
    <w:rsid w:val="4476700E"/>
    <w:rsid w:val="4477760B"/>
    <w:rsid w:val="44780948"/>
    <w:rsid w:val="447E3337"/>
    <w:rsid w:val="447E751C"/>
    <w:rsid w:val="44815475"/>
    <w:rsid w:val="44846D60"/>
    <w:rsid w:val="44852ED8"/>
    <w:rsid w:val="448C6831"/>
    <w:rsid w:val="449000D0"/>
    <w:rsid w:val="4490444F"/>
    <w:rsid w:val="449D459A"/>
    <w:rsid w:val="449E796A"/>
    <w:rsid w:val="44A03126"/>
    <w:rsid w:val="44A13755"/>
    <w:rsid w:val="44A6195A"/>
    <w:rsid w:val="44A62EA8"/>
    <w:rsid w:val="44A64D1F"/>
    <w:rsid w:val="44AB4F09"/>
    <w:rsid w:val="44AD6A1D"/>
    <w:rsid w:val="44B00772"/>
    <w:rsid w:val="44B26298"/>
    <w:rsid w:val="44B27DAE"/>
    <w:rsid w:val="44B32363"/>
    <w:rsid w:val="44B57B36"/>
    <w:rsid w:val="44B62C16"/>
    <w:rsid w:val="44B93DF6"/>
    <w:rsid w:val="44B951CC"/>
    <w:rsid w:val="44BC5CD5"/>
    <w:rsid w:val="44BC7116"/>
    <w:rsid w:val="44BD11F5"/>
    <w:rsid w:val="44BD1E9C"/>
    <w:rsid w:val="44BE2E8F"/>
    <w:rsid w:val="44C22253"/>
    <w:rsid w:val="44C50125"/>
    <w:rsid w:val="44C61D43"/>
    <w:rsid w:val="44C61EF7"/>
    <w:rsid w:val="44C77996"/>
    <w:rsid w:val="44C8013D"/>
    <w:rsid w:val="44C82E67"/>
    <w:rsid w:val="44C849CA"/>
    <w:rsid w:val="44C9538F"/>
    <w:rsid w:val="44CA77E1"/>
    <w:rsid w:val="44CD14E0"/>
    <w:rsid w:val="44CD4E80"/>
    <w:rsid w:val="44D271E6"/>
    <w:rsid w:val="44D37FBC"/>
    <w:rsid w:val="44DA57EF"/>
    <w:rsid w:val="44DD00FD"/>
    <w:rsid w:val="44DE708D"/>
    <w:rsid w:val="44DF2E05"/>
    <w:rsid w:val="44E126D9"/>
    <w:rsid w:val="44E26451"/>
    <w:rsid w:val="44E328F5"/>
    <w:rsid w:val="44E42BA8"/>
    <w:rsid w:val="44E84CF1"/>
    <w:rsid w:val="44E90B85"/>
    <w:rsid w:val="44E95A32"/>
    <w:rsid w:val="44E977E0"/>
    <w:rsid w:val="44EA47C7"/>
    <w:rsid w:val="44EB79FC"/>
    <w:rsid w:val="44EC0A57"/>
    <w:rsid w:val="44EC107E"/>
    <w:rsid w:val="44ED011B"/>
    <w:rsid w:val="44ED5522"/>
    <w:rsid w:val="44F00088"/>
    <w:rsid w:val="44F20B0B"/>
    <w:rsid w:val="44F542BA"/>
    <w:rsid w:val="44F561AE"/>
    <w:rsid w:val="44F72AE1"/>
    <w:rsid w:val="44FC1E1F"/>
    <w:rsid w:val="44FC5765"/>
    <w:rsid w:val="44FD233C"/>
    <w:rsid w:val="44FE6029"/>
    <w:rsid w:val="45012D7B"/>
    <w:rsid w:val="45021540"/>
    <w:rsid w:val="45034B83"/>
    <w:rsid w:val="45062AD1"/>
    <w:rsid w:val="45093CFE"/>
    <w:rsid w:val="450B0646"/>
    <w:rsid w:val="450B206A"/>
    <w:rsid w:val="450D1E02"/>
    <w:rsid w:val="45116CBE"/>
    <w:rsid w:val="45170055"/>
    <w:rsid w:val="451707F1"/>
    <w:rsid w:val="451871A7"/>
    <w:rsid w:val="451956AB"/>
    <w:rsid w:val="4519642D"/>
    <w:rsid w:val="451973FC"/>
    <w:rsid w:val="451F7BFF"/>
    <w:rsid w:val="45212679"/>
    <w:rsid w:val="452148DE"/>
    <w:rsid w:val="45230F44"/>
    <w:rsid w:val="45244CBC"/>
    <w:rsid w:val="4525114C"/>
    <w:rsid w:val="45266160"/>
    <w:rsid w:val="45294080"/>
    <w:rsid w:val="452A355F"/>
    <w:rsid w:val="452B2421"/>
    <w:rsid w:val="452B429C"/>
    <w:rsid w:val="452C56B4"/>
    <w:rsid w:val="452D409F"/>
    <w:rsid w:val="452E5F4C"/>
    <w:rsid w:val="45356EC9"/>
    <w:rsid w:val="45367494"/>
    <w:rsid w:val="453857F0"/>
    <w:rsid w:val="453C2005"/>
    <w:rsid w:val="453E1C21"/>
    <w:rsid w:val="453E2B94"/>
    <w:rsid w:val="454053B1"/>
    <w:rsid w:val="4541586E"/>
    <w:rsid w:val="4541761C"/>
    <w:rsid w:val="454224D5"/>
    <w:rsid w:val="45424F2A"/>
    <w:rsid w:val="45435142"/>
    <w:rsid w:val="45451881"/>
    <w:rsid w:val="454964D0"/>
    <w:rsid w:val="45497D91"/>
    <w:rsid w:val="454B049A"/>
    <w:rsid w:val="454F545C"/>
    <w:rsid w:val="45505AB1"/>
    <w:rsid w:val="455201C2"/>
    <w:rsid w:val="455235D7"/>
    <w:rsid w:val="455410FD"/>
    <w:rsid w:val="455562C2"/>
    <w:rsid w:val="455A32BB"/>
    <w:rsid w:val="455A6FF1"/>
    <w:rsid w:val="455B592E"/>
    <w:rsid w:val="455E55CD"/>
    <w:rsid w:val="45603F46"/>
    <w:rsid w:val="45610008"/>
    <w:rsid w:val="45612018"/>
    <w:rsid w:val="45644E54"/>
    <w:rsid w:val="45675341"/>
    <w:rsid w:val="456A3581"/>
    <w:rsid w:val="456B4699"/>
    <w:rsid w:val="456B7017"/>
    <w:rsid w:val="456E64FB"/>
    <w:rsid w:val="45703A5D"/>
    <w:rsid w:val="45716A53"/>
    <w:rsid w:val="457447ED"/>
    <w:rsid w:val="4575417A"/>
    <w:rsid w:val="457570DA"/>
    <w:rsid w:val="4577128F"/>
    <w:rsid w:val="457B3B43"/>
    <w:rsid w:val="457D5E9B"/>
    <w:rsid w:val="457E617A"/>
    <w:rsid w:val="45833F05"/>
    <w:rsid w:val="45863281"/>
    <w:rsid w:val="45872044"/>
    <w:rsid w:val="458830C5"/>
    <w:rsid w:val="458946E9"/>
    <w:rsid w:val="458A679E"/>
    <w:rsid w:val="458C59F7"/>
    <w:rsid w:val="458D0AB3"/>
    <w:rsid w:val="458D13C7"/>
    <w:rsid w:val="458D32DA"/>
    <w:rsid w:val="458E1662"/>
    <w:rsid w:val="458E6575"/>
    <w:rsid w:val="458F40F0"/>
    <w:rsid w:val="45910135"/>
    <w:rsid w:val="45910A4F"/>
    <w:rsid w:val="45927709"/>
    <w:rsid w:val="45932816"/>
    <w:rsid w:val="4597548E"/>
    <w:rsid w:val="45993BC5"/>
    <w:rsid w:val="459B6D2C"/>
    <w:rsid w:val="45A214BB"/>
    <w:rsid w:val="45A33E32"/>
    <w:rsid w:val="45A40F53"/>
    <w:rsid w:val="45A47C0E"/>
    <w:rsid w:val="45A53D2D"/>
    <w:rsid w:val="45A71B75"/>
    <w:rsid w:val="45AA1AB9"/>
    <w:rsid w:val="45AA5E37"/>
    <w:rsid w:val="45AB11F6"/>
    <w:rsid w:val="45AD0121"/>
    <w:rsid w:val="45AD26EB"/>
    <w:rsid w:val="45AF1A69"/>
    <w:rsid w:val="45B536B4"/>
    <w:rsid w:val="45B608B1"/>
    <w:rsid w:val="45B845C7"/>
    <w:rsid w:val="45B918A8"/>
    <w:rsid w:val="45BB41EB"/>
    <w:rsid w:val="45BB5620"/>
    <w:rsid w:val="45BB73CE"/>
    <w:rsid w:val="45BC487D"/>
    <w:rsid w:val="45BD25F1"/>
    <w:rsid w:val="45BF0FF4"/>
    <w:rsid w:val="45BF625D"/>
    <w:rsid w:val="45C06792"/>
    <w:rsid w:val="45C118AB"/>
    <w:rsid w:val="45C469DF"/>
    <w:rsid w:val="45C47CD2"/>
    <w:rsid w:val="45C51836"/>
    <w:rsid w:val="45C52FDF"/>
    <w:rsid w:val="45C53DA9"/>
    <w:rsid w:val="45C65BB1"/>
    <w:rsid w:val="45C75D73"/>
    <w:rsid w:val="45CE4422"/>
    <w:rsid w:val="45CF4C28"/>
    <w:rsid w:val="45CF4D56"/>
    <w:rsid w:val="45D17E96"/>
    <w:rsid w:val="45D20C0E"/>
    <w:rsid w:val="45D264C6"/>
    <w:rsid w:val="45D53470"/>
    <w:rsid w:val="45D71B42"/>
    <w:rsid w:val="45D80517"/>
    <w:rsid w:val="45D958B6"/>
    <w:rsid w:val="45DB537A"/>
    <w:rsid w:val="45DF3E33"/>
    <w:rsid w:val="45E00FDB"/>
    <w:rsid w:val="45E211D6"/>
    <w:rsid w:val="45E87A97"/>
    <w:rsid w:val="45E968B0"/>
    <w:rsid w:val="45EA7C9B"/>
    <w:rsid w:val="45EC6061"/>
    <w:rsid w:val="45ED1B6B"/>
    <w:rsid w:val="45ED3300"/>
    <w:rsid w:val="45F01CA9"/>
    <w:rsid w:val="45F045D7"/>
    <w:rsid w:val="45F12DF0"/>
    <w:rsid w:val="45F17804"/>
    <w:rsid w:val="45F20C32"/>
    <w:rsid w:val="45F211F5"/>
    <w:rsid w:val="45F46D48"/>
    <w:rsid w:val="45F60406"/>
    <w:rsid w:val="45F66658"/>
    <w:rsid w:val="45FA0DF9"/>
    <w:rsid w:val="45FD035D"/>
    <w:rsid w:val="45FE20A2"/>
    <w:rsid w:val="45FF24DD"/>
    <w:rsid w:val="46025C12"/>
    <w:rsid w:val="460277B7"/>
    <w:rsid w:val="460348D1"/>
    <w:rsid w:val="46036C31"/>
    <w:rsid w:val="460871BF"/>
    <w:rsid w:val="460A6DE2"/>
    <w:rsid w:val="460C5630"/>
    <w:rsid w:val="460C7193"/>
    <w:rsid w:val="460F14C8"/>
    <w:rsid w:val="461007DB"/>
    <w:rsid w:val="4610181C"/>
    <w:rsid w:val="46126D8F"/>
    <w:rsid w:val="4613720A"/>
    <w:rsid w:val="461E3190"/>
    <w:rsid w:val="461E795D"/>
    <w:rsid w:val="462334F6"/>
    <w:rsid w:val="46243089"/>
    <w:rsid w:val="4625544D"/>
    <w:rsid w:val="4626297B"/>
    <w:rsid w:val="462722A6"/>
    <w:rsid w:val="462A6E4D"/>
    <w:rsid w:val="462F1B6A"/>
    <w:rsid w:val="463144E5"/>
    <w:rsid w:val="463158E2"/>
    <w:rsid w:val="46324B54"/>
    <w:rsid w:val="46344A72"/>
    <w:rsid w:val="463471FD"/>
    <w:rsid w:val="46375349"/>
    <w:rsid w:val="463D4287"/>
    <w:rsid w:val="463D71A7"/>
    <w:rsid w:val="463E096B"/>
    <w:rsid w:val="463E35D3"/>
    <w:rsid w:val="463E3995"/>
    <w:rsid w:val="46401681"/>
    <w:rsid w:val="4642364B"/>
    <w:rsid w:val="464354AC"/>
    <w:rsid w:val="46443540"/>
    <w:rsid w:val="464437EC"/>
    <w:rsid w:val="464624CF"/>
    <w:rsid w:val="46491B00"/>
    <w:rsid w:val="46496CF6"/>
    <w:rsid w:val="464C54BB"/>
    <w:rsid w:val="464D10DC"/>
    <w:rsid w:val="464E0242"/>
    <w:rsid w:val="464E3D9E"/>
    <w:rsid w:val="464F7F61"/>
    <w:rsid w:val="4654337F"/>
    <w:rsid w:val="46560EA5"/>
    <w:rsid w:val="46567232"/>
    <w:rsid w:val="46577FD6"/>
    <w:rsid w:val="465B295F"/>
    <w:rsid w:val="465B65A8"/>
    <w:rsid w:val="465D2233"/>
    <w:rsid w:val="465F6C1E"/>
    <w:rsid w:val="46610671"/>
    <w:rsid w:val="4663619D"/>
    <w:rsid w:val="46645C54"/>
    <w:rsid w:val="4665635D"/>
    <w:rsid w:val="46670C5E"/>
    <w:rsid w:val="466730B2"/>
    <w:rsid w:val="4667751E"/>
    <w:rsid w:val="466D6D5C"/>
    <w:rsid w:val="46705C5B"/>
    <w:rsid w:val="46713F31"/>
    <w:rsid w:val="467339BF"/>
    <w:rsid w:val="46735765"/>
    <w:rsid w:val="46737CA9"/>
    <w:rsid w:val="46774806"/>
    <w:rsid w:val="467D4E80"/>
    <w:rsid w:val="467D6D68"/>
    <w:rsid w:val="4681175F"/>
    <w:rsid w:val="4681257C"/>
    <w:rsid w:val="46827948"/>
    <w:rsid w:val="4687645B"/>
    <w:rsid w:val="46893028"/>
    <w:rsid w:val="468943D1"/>
    <w:rsid w:val="468A0B4E"/>
    <w:rsid w:val="468A6DA0"/>
    <w:rsid w:val="468E063F"/>
    <w:rsid w:val="468E7EED"/>
    <w:rsid w:val="469000A9"/>
    <w:rsid w:val="469043B7"/>
    <w:rsid w:val="46942A77"/>
    <w:rsid w:val="46943C3F"/>
    <w:rsid w:val="4698770F"/>
    <w:rsid w:val="469D0882"/>
    <w:rsid w:val="469D3A9C"/>
    <w:rsid w:val="469D6AD4"/>
    <w:rsid w:val="469E2191"/>
    <w:rsid w:val="46A27DEC"/>
    <w:rsid w:val="46A56CC0"/>
    <w:rsid w:val="46A57C23"/>
    <w:rsid w:val="46A77C72"/>
    <w:rsid w:val="46A968C0"/>
    <w:rsid w:val="46AA6B93"/>
    <w:rsid w:val="46AC14FA"/>
    <w:rsid w:val="46B0414A"/>
    <w:rsid w:val="46B04A59"/>
    <w:rsid w:val="46B121E7"/>
    <w:rsid w:val="46B3324E"/>
    <w:rsid w:val="46B34549"/>
    <w:rsid w:val="46B37631"/>
    <w:rsid w:val="46B959B2"/>
    <w:rsid w:val="46BB6361"/>
    <w:rsid w:val="46BC1650"/>
    <w:rsid w:val="46BD21D7"/>
    <w:rsid w:val="46BD2CD2"/>
    <w:rsid w:val="46BE4B63"/>
    <w:rsid w:val="46BE4DCE"/>
    <w:rsid w:val="46BF56D8"/>
    <w:rsid w:val="46C02A06"/>
    <w:rsid w:val="46C10A14"/>
    <w:rsid w:val="46C11F29"/>
    <w:rsid w:val="46C858F0"/>
    <w:rsid w:val="46C91677"/>
    <w:rsid w:val="46C91B7F"/>
    <w:rsid w:val="46C978C9"/>
    <w:rsid w:val="46CC37D6"/>
    <w:rsid w:val="46CC5FA7"/>
    <w:rsid w:val="46CD560B"/>
    <w:rsid w:val="46CE5D9A"/>
    <w:rsid w:val="46D0717E"/>
    <w:rsid w:val="46D40867"/>
    <w:rsid w:val="46D5626E"/>
    <w:rsid w:val="46D63EB1"/>
    <w:rsid w:val="46D76A89"/>
    <w:rsid w:val="46D85D5E"/>
    <w:rsid w:val="46D955A7"/>
    <w:rsid w:val="46DC3AA0"/>
    <w:rsid w:val="46DC584E"/>
    <w:rsid w:val="46DD15C6"/>
    <w:rsid w:val="46DD28B3"/>
    <w:rsid w:val="46DD3374"/>
    <w:rsid w:val="46DE64A3"/>
    <w:rsid w:val="46DE6A19"/>
    <w:rsid w:val="46DF70EC"/>
    <w:rsid w:val="46E14C12"/>
    <w:rsid w:val="46E41185"/>
    <w:rsid w:val="46E666CD"/>
    <w:rsid w:val="46E72D54"/>
    <w:rsid w:val="46E8101A"/>
    <w:rsid w:val="46E9401C"/>
    <w:rsid w:val="46EE732F"/>
    <w:rsid w:val="46F01252"/>
    <w:rsid w:val="46F32B98"/>
    <w:rsid w:val="46F677FD"/>
    <w:rsid w:val="46F81F5C"/>
    <w:rsid w:val="46FB6E1E"/>
    <w:rsid w:val="46FF651B"/>
    <w:rsid w:val="47013507"/>
    <w:rsid w:val="47016F91"/>
    <w:rsid w:val="470B2FF1"/>
    <w:rsid w:val="470D19F1"/>
    <w:rsid w:val="470E27CA"/>
    <w:rsid w:val="47133957"/>
    <w:rsid w:val="47134FE8"/>
    <w:rsid w:val="47151722"/>
    <w:rsid w:val="471825FE"/>
    <w:rsid w:val="471958DF"/>
    <w:rsid w:val="471C5CF1"/>
    <w:rsid w:val="471E1C48"/>
    <w:rsid w:val="471E7295"/>
    <w:rsid w:val="47215957"/>
    <w:rsid w:val="47226FD9"/>
    <w:rsid w:val="47234577"/>
    <w:rsid w:val="4723522B"/>
    <w:rsid w:val="47242D51"/>
    <w:rsid w:val="47283B33"/>
    <w:rsid w:val="472A2E54"/>
    <w:rsid w:val="472B0757"/>
    <w:rsid w:val="472B161F"/>
    <w:rsid w:val="472D6B05"/>
    <w:rsid w:val="472E475F"/>
    <w:rsid w:val="473137BB"/>
    <w:rsid w:val="473311E6"/>
    <w:rsid w:val="4735780C"/>
    <w:rsid w:val="47363223"/>
    <w:rsid w:val="473A5340"/>
    <w:rsid w:val="473A7E0E"/>
    <w:rsid w:val="473E397E"/>
    <w:rsid w:val="47431429"/>
    <w:rsid w:val="47460F19"/>
    <w:rsid w:val="474D22A8"/>
    <w:rsid w:val="474E6020"/>
    <w:rsid w:val="474F1055"/>
    <w:rsid w:val="474F4272"/>
    <w:rsid w:val="474F4FE4"/>
    <w:rsid w:val="47507FEA"/>
    <w:rsid w:val="475C698F"/>
    <w:rsid w:val="475E6263"/>
    <w:rsid w:val="475F1FDB"/>
    <w:rsid w:val="4760366E"/>
    <w:rsid w:val="47613FA5"/>
    <w:rsid w:val="47623B89"/>
    <w:rsid w:val="4765307D"/>
    <w:rsid w:val="4766336A"/>
    <w:rsid w:val="476C6D10"/>
    <w:rsid w:val="476D294A"/>
    <w:rsid w:val="476E221E"/>
    <w:rsid w:val="477041E8"/>
    <w:rsid w:val="47725A0C"/>
    <w:rsid w:val="47740076"/>
    <w:rsid w:val="47767A51"/>
    <w:rsid w:val="477737C9"/>
    <w:rsid w:val="477826A9"/>
    <w:rsid w:val="47787C1B"/>
    <w:rsid w:val="47794F7C"/>
    <w:rsid w:val="477A561E"/>
    <w:rsid w:val="477C493B"/>
    <w:rsid w:val="477E6905"/>
    <w:rsid w:val="47804720"/>
    <w:rsid w:val="47811F51"/>
    <w:rsid w:val="4783216D"/>
    <w:rsid w:val="47836A4D"/>
    <w:rsid w:val="47840199"/>
    <w:rsid w:val="47884A29"/>
    <w:rsid w:val="47887784"/>
    <w:rsid w:val="478B4B7E"/>
    <w:rsid w:val="478C5888"/>
    <w:rsid w:val="478E3315"/>
    <w:rsid w:val="47903B64"/>
    <w:rsid w:val="4791488A"/>
    <w:rsid w:val="4794161C"/>
    <w:rsid w:val="47951367"/>
    <w:rsid w:val="47980691"/>
    <w:rsid w:val="4799729B"/>
    <w:rsid w:val="479C1141"/>
    <w:rsid w:val="479E0D55"/>
    <w:rsid w:val="47A029AA"/>
    <w:rsid w:val="47A07E0C"/>
    <w:rsid w:val="47A10D37"/>
    <w:rsid w:val="47A143A2"/>
    <w:rsid w:val="47A15330"/>
    <w:rsid w:val="47A33473"/>
    <w:rsid w:val="47A76B82"/>
    <w:rsid w:val="47A8312D"/>
    <w:rsid w:val="47AC6458"/>
    <w:rsid w:val="47AF2F63"/>
    <w:rsid w:val="47B417CB"/>
    <w:rsid w:val="47B420B7"/>
    <w:rsid w:val="47B510ED"/>
    <w:rsid w:val="47B554A7"/>
    <w:rsid w:val="47B6609F"/>
    <w:rsid w:val="47B75973"/>
    <w:rsid w:val="47BA5E0B"/>
    <w:rsid w:val="47BB73F7"/>
    <w:rsid w:val="47BC11DC"/>
    <w:rsid w:val="47BC1400"/>
    <w:rsid w:val="47BC20D7"/>
    <w:rsid w:val="47C02A7A"/>
    <w:rsid w:val="47C12F88"/>
    <w:rsid w:val="47C20415"/>
    <w:rsid w:val="47C307BC"/>
    <w:rsid w:val="47C51FDE"/>
    <w:rsid w:val="47C6479A"/>
    <w:rsid w:val="47CB17C2"/>
    <w:rsid w:val="47CB7671"/>
    <w:rsid w:val="47D301A3"/>
    <w:rsid w:val="47D463A2"/>
    <w:rsid w:val="47D556D1"/>
    <w:rsid w:val="47D74267"/>
    <w:rsid w:val="47D8004A"/>
    <w:rsid w:val="47DC362C"/>
    <w:rsid w:val="47DE1152"/>
    <w:rsid w:val="47E00D5E"/>
    <w:rsid w:val="47E0311C"/>
    <w:rsid w:val="47E07D36"/>
    <w:rsid w:val="47E33FA5"/>
    <w:rsid w:val="47E50732"/>
    <w:rsid w:val="47E679DF"/>
    <w:rsid w:val="47EB6189"/>
    <w:rsid w:val="47ED7A7C"/>
    <w:rsid w:val="47EE6854"/>
    <w:rsid w:val="47F20A8C"/>
    <w:rsid w:val="47F21DAF"/>
    <w:rsid w:val="47F24BFD"/>
    <w:rsid w:val="47F40975"/>
    <w:rsid w:val="47F518DB"/>
    <w:rsid w:val="47F623C2"/>
    <w:rsid w:val="47FA175E"/>
    <w:rsid w:val="47FC782A"/>
    <w:rsid w:val="47FD6774"/>
    <w:rsid w:val="47FE0118"/>
    <w:rsid w:val="47FF2425"/>
    <w:rsid w:val="48002EF7"/>
    <w:rsid w:val="48026C30"/>
    <w:rsid w:val="480364CD"/>
    <w:rsid w:val="48052B82"/>
    <w:rsid w:val="480720C1"/>
    <w:rsid w:val="4808230F"/>
    <w:rsid w:val="480C2163"/>
    <w:rsid w:val="480D7228"/>
    <w:rsid w:val="4812529F"/>
    <w:rsid w:val="48131819"/>
    <w:rsid w:val="481608EC"/>
    <w:rsid w:val="48166B3E"/>
    <w:rsid w:val="48183F1A"/>
    <w:rsid w:val="48187501"/>
    <w:rsid w:val="481C46B9"/>
    <w:rsid w:val="481E3900"/>
    <w:rsid w:val="48217291"/>
    <w:rsid w:val="48217CBD"/>
    <w:rsid w:val="482374AD"/>
    <w:rsid w:val="4824120A"/>
    <w:rsid w:val="48241E24"/>
    <w:rsid w:val="48251665"/>
    <w:rsid w:val="48272AF9"/>
    <w:rsid w:val="48276F9D"/>
    <w:rsid w:val="4828270C"/>
    <w:rsid w:val="48284B07"/>
    <w:rsid w:val="482D1AEF"/>
    <w:rsid w:val="482D3D62"/>
    <w:rsid w:val="482D3E87"/>
    <w:rsid w:val="4830346F"/>
    <w:rsid w:val="48313978"/>
    <w:rsid w:val="48335209"/>
    <w:rsid w:val="48337E71"/>
    <w:rsid w:val="48340D27"/>
    <w:rsid w:val="48360F8E"/>
    <w:rsid w:val="4838031B"/>
    <w:rsid w:val="4839282C"/>
    <w:rsid w:val="483F3DD2"/>
    <w:rsid w:val="48401E0D"/>
    <w:rsid w:val="484026D8"/>
    <w:rsid w:val="48442F74"/>
    <w:rsid w:val="48453043"/>
    <w:rsid w:val="48457423"/>
    <w:rsid w:val="48457FB8"/>
    <w:rsid w:val="484C255F"/>
    <w:rsid w:val="484D0086"/>
    <w:rsid w:val="484F0D5F"/>
    <w:rsid w:val="4857574E"/>
    <w:rsid w:val="48643D4D"/>
    <w:rsid w:val="486C1848"/>
    <w:rsid w:val="486C41F5"/>
    <w:rsid w:val="4870272E"/>
    <w:rsid w:val="487408AD"/>
    <w:rsid w:val="48754A5C"/>
    <w:rsid w:val="487804C5"/>
    <w:rsid w:val="487C14A9"/>
    <w:rsid w:val="487D4E0F"/>
    <w:rsid w:val="48810CF5"/>
    <w:rsid w:val="48823B0D"/>
    <w:rsid w:val="48833B1A"/>
    <w:rsid w:val="48850923"/>
    <w:rsid w:val="48855A71"/>
    <w:rsid w:val="48897310"/>
    <w:rsid w:val="488B62B4"/>
    <w:rsid w:val="488C4B9F"/>
    <w:rsid w:val="488C73EC"/>
    <w:rsid w:val="488D33A5"/>
    <w:rsid w:val="488E4BCC"/>
    <w:rsid w:val="488F7B44"/>
    <w:rsid w:val="48925899"/>
    <w:rsid w:val="489747FF"/>
    <w:rsid w:val="48981C49"/>
    <w:rsid w:val="489839F7"/>
    <w:rsid w:val="489857A5"/>
    <w:rsid w:val="489A4B70"/>
    <w:rsid w:val="489A5711"/>
    <w:rsid w:val="489A776F"/>
    <w:rsid w:val="489B7043"/>
    <w:rsid w:val="489D725F"/>
    <w:rsid w:val="489E2BB7"/>
    <w:rsid w:val="48A26460"/>
    <w:rsid w:val="48A3401C"/>
    <w:rsid w:val="48A413AB"/>
    <w:rsid w:val="48A4239B"/>
    <w:rsid w:val="48A83CDE"/>
    <w:rsid w:val="48A90487"/>
    <w:rsid w:val="48A95DFE"/>
    <w:rsid w:val="48AB0AA2"/>
    <w:rsid w:val="48AC2FFE"/>
    <w:rsid w:val="48AD6C6A"/>
    <w:rsid w:val="48AF47C8"/>
    <w:rsid w:val="48B027F2"/>
    <w:rsid w:val="48B06F92"/>
    <w:rsid w:val="48B4470D"/>
    <w:rsid w:val="48B51431"/>
    <w:rsid w:val="48B7402C"/>
    <w:rsid w:val="48BA32A4"/>
    <w:rsid w:val="48BC7EE7"/>
    <w:rsid w:val="48BD4E0F"/>
    <w:rsid w:val="48BD6383"/>
    <w:rsid w:val="48C06F71"/>
    <w:rsid w:val="48C447EC"/>
    <w:rsid w:val="48C714A4"/>
    <w:rsid w:val="48C84669"/>
    <w:rsid w:val="48CA08A8"/>
    <w:rsid w:val="48CD4EB0"/>
    <w:rsid w:val="48CF115C"/>
    <w:rsid w:val="48D00B25"/>
    <w:rsid w:val="48D011F1"/>
    <w:rsid w:val="48D12A65"/>
    <w:rsid w:val="48D13609"/>
    <w:rsid w:val="48D6284A"/>
    <w:rsid w:val="48D63B37"/>
    <w:rsid w:val="48D82045"/>
    <w:rsid w:val="48D83DF3"/>
    <w:rsid w:val="48DD74CB"/>
    <w:rsid w:val="48DD7604"/>
    <w:rsid w:val="48DE5E6A"/>
    <w:rsid w:val="48DF25E7"/>
    <w:rsid w:val="48E24C72"/>
    <w:rsid w:val="48E44CC2"/>
    <w:rsid w:val="48E50AE5"/>
    <w:rsid w:val="48E53A4D"/>
    <w:rsid w:val="48E64762"/>
    <w:rsid w:val="48E924A4"/>
    <w:rsid w:val="48EA7714"/>
    <w:rsid w:val="48F350D1"/>
    <w:rsid w:val="48F51962"/>
    <w:rsid w:val="48F549A5"/>
    <w:rsid w:val="48F6562A"/>
    <w:rsid w:val="48F742FC"/>
    <w:rsid w:val="48F75FC9"/>
    <w:rsid w:val="48F86243"/>
    <w:rsid w:val="48F97310"/>
    <w:rsid w:val="48FA71E9"/>
    <w:rsid w:val="48FC3F85"/>
    <w:rsid w:val="48FD5F50"/>
    <w:rsid w:val="490177EE"/>
    <w:rsid w:val="4905518A"/>
    <w:rsid w:val="49060960"/>
    <w:rsid w:val="490746A0"/>
    <w:rsid w:val="4907678A"/>
    <w:rsid w:val="4908216E"/>
    <w:rsid w:val="49097D64"/>
    <w:rsid w:val="490A32C0"/>
    <w:rsid w:val="490B55D4"/>
    <w:rsid w:val="490E63B7"/>
    <w:rsid w:val="4913307D"/>
    <w:rsid w:val="49147AFB"/>
    <w:rsid w:val="491568B3"/>
    <w:rsid w:val="491633B3"/>
    <w:rsid w:val="4916491B"/>
    <w:rsid w:val="49172B6D"/>
    <w:rsid w:val="49186010"/>
    <w:rsid w:val="49247038"/>
    <w:rsid w:val="49256BFC"/>
    <w:rsid w:val="49267107"/>
    <w:rsid w:val="49267254"/>
    <w:rsid w:val="492A1C6F"/>
    <w:rsid w:val="492A1DF3"/>
    <w:rsid w:val="492C27EC"/>
    <w:rsid w:val="492D6D40"/>
    <w:rsid w:val="492E6109"/>
    <w:rsid w:val="492E7313"/>
    <w:rsid w:val="493035C1"/>
    <w:rsid w:val="49303C2F"/>
    <w:rsid w:val="49311755"/>
    <w:rsid w:val="49343C07"/>
    <w:rsid w:val="49393746"/>
    <w:rsid w:val="493A4AAE"/>
    <w:rsid w:val="493A5A83"/>
    <w:rsid w:val="493C4CB5"/>
    <w:rsid w:val="493C7D9B"/>
    <w:rsid w:val="493D1ACC"/>
    <w:rsid w:val="494119FD"/>
    <w:rsid w:val="49465201"/>
    <w:rsid w:val="4948654D"/>
    <w:rsid w:val="494A34B6"/>
    <w:rsid w:val="494B6B1F"/>
    <w:rsid w:val="494D705E"/>
    <w:rsid w:val="49504438"/>
    <w:rsid w:val="49507E2D"/>
    <w:rsid w:val="49522D5E"/>
    <w:rsid w:val="49543DC1"/>
    <w:rsid w:val="495518E8"/>
    <w:rsid w:val="49555444"/>
    <w:rsid w:val="49567166"/>
    <w:rsid w:val="495825DA"/>
    <w:rsid w:val="4958470A"/>
    <w:rsid w:val="495A0CAC"/>
    <w:rsid w:val="495A5150"/>
    <w:rsid w:val="495A5B62"/>
    <w:rsid w:val="495C67D2"/>
    <w:rsid w:val="495F2766"/>
    <w:rsid w:val="4961233B"/>
    <w:rsid w:val="49627B61"/>
    <w:rsid w:val="49645E24"/>
    <w:rsid w:val="496543F0"/>
    <w:rsid w:val="496A327D"/>
    <w:rsid w:val="496B110B"/>
    <w:rsid w:val="496E098D"/>
    <w:rsid w:val="49793828"/>
    <w:rsid w:val="497A30FC"/>
    <w:rsid w:val="497A7A75"/>
    <w:rsid w:val="497E6AFF"/>
    <w:rsid w:val="49831FB1"/>
    <w:rsid w:val="498875C7"/>
    <w:rsid w:val="49887B55"/>
    <w:rsid w:val="49897263"/>
    <w:rsid w:val="498D4336"/>
    <w:rsid w:val="49900B72"/>
    <w:rsid w:val="49905E56"/>
    <w:rsid w:val="49921D85"/>
    <w:rsid w:val="499248EA"/>
    <w:rsid w:val="49956188"/>
    <w:rsid w:val="499917D4"/>
    <w:rsid w:val="499E6DEB"/>
    <w:rsid w:val="499F15A7"/>
    <w:rsid w:val="49A357BB"/>
    <w:rsid w:val="49A401B9"/>
    <w:rsid w:val="49A50CD3"/>
    <w:rsid w:val="49A76A2C"/>
    <w:rsid w:val="49AB069D"/>
    <w:rsid w:val="49B31060"/>
    <w:rsid w:val="49B3171E"/>
    <w:rsid w:val="49B9146E"/>
    <w:rsid w:val="49B93C25"/>
    <w:rsid w:val="49BA6E46"/>
    <w:rsid w:val="49BD1E30"/>
    <w:rsid w:val="49C16F7D"/>
    <w:rsid w:val="49C36851"/>
    <w:rsid w:val="49C751FD"/>
    <w:rsid w:val="49C75F6D"/>
    <w:rsid w:val="49C83E68"/>
    <w:rsid w:val="49C9057B"/>
    <w:rsid w:val="49C9257B"/>
    <w:rsid w:val="49CA56CE"/>
    <w:rsid w:val="49CA7BE0"/>
    <w:rsid w:val="49CC7DFC"/>
    <w:rsid w:val="49D35EE3"/>
    <w:rsid w:val="49D547D7"/>
    <w:rsid w:val="49D5547B"/>
    <w:rsid w:val="49D7054F"/>
    <w:rsid w:val="49DC3DB7"/>
    <w:rsid w:val="49DC7715"/>
    <w:rsid w:val="49DE19DC"/>
    <w:rsid w:val="49DE368B"/>
    <w:rsid w:val="49DF11B1"/>
    <w:rsid w:val="49E219AC"/>
    <w:rsid w:val="49E75752"/>
    <w:rsid w:val="49E90192"/>
    <w:rsid w:val="49EA408D"/>
    <w:rsid w:val="49EB5DA8"/>
    <w:rsid w:val="49EC2EB7"/>
    <w:rsid w:val="49F033BE"/>
    <w:rsid w:val="49F27137"/>
    <w:rsid w:val="49F55AAB"/>
    <w:rsid w:val="49F66C27"/>
    <w:rsid w:val="49F70BF1"/>
    <w:rsid w:val="4A023139"/>
    <w:rsid w:val="4A037596"/>
    <w:rsid w:val="4A04007B"/>
    <w:rsid w:val="4A046BA5"/>
    <w:rsid w:val="4A0550BC"/>
    <w:rsid w:val="4A0561D3"/>
    <w:rsid w:val="4A080708"/>
    <w:rsid w:val="4A085C48"/>
    <w:rsid w:val="4A0B01F8"/>
    <w:rsid w:val="4A0D6200"/>
    <w:rsid w:val="4A0F38C2"/>
    <w:rsid w:val="4A0F6F94"/>
    <w:rsid w:val="4A123335"/>
    <w:rsid w:val="4A1276B0"/>
    <w:rsid w:val="4A13412F"/>
    <w:rsid w:val="4A1531CE"/>
    <w:rsid w:val="4A19201F"/>
    <w:rsid w:val="4A1C545E"/>
    <w:rsid w:val="4A1D5E2B"/>
    <w:rsid w:val="4A1E1CA4"/>
    <w:rsid w:val="4A215660"/>
    <w:rsid w:val="4A2B43F6"/>
    <w:rsid w:val="4A2E507D"/>
    <w:rsid w:val="4A2F1CF1"/>
    <w:rsid w:val="4A2F2139"/>
    <w:rsid w:val="4A3B2395"/>
    <w:rsid w:val="4A3B2C86"/>
    <w:rsid w:val="4A3C6604"/>
    <w:rsid w:val="4A447100"/>
    <w:rsid w:val="4A463FF3"/>
    <w:rsid w:val="4A484FA8"/>
    <w:rsid w:val="4A4937B8"/>
    <w:rsid w:val="4A4A3641"/>
    <w:rsid w:val="4A4E1756"/>
    <w:rsid w:val="4A4F6337"/>
    <w:rsid w:val="4A525050"/>
    <w:rsid w:val="4A531D3F"/>
    <w:rsid w:val="4A547DF1"/>
    <w:rsid w:val="4A551663"/>
    <w:rsid w:val="4A555FD8"/>
    <w:rsid w:val="4A58343D"/>
    <w:rsid w:val="4A5A1480"/>
    <w:rsid w:val="4A5B15A1"/>
    <w:rsid w:val="4A5C351A"/>
    <w:rsid w:val="4A5D195C"/>
    <w:rsid w:val="4A5F1A84"/>
    <w:rsid w:val="4A615B59"/>
    <w:rsid w:val="4A626740"/>
    <w:rsid w:val="4A652F9B"/>
    <w:rsid w:val="4A677B24"/>
    <w:rsid w:val="4A696261"/>
    <w:rsid w:val="4A6A4F1F"/>
    <w:rsid w:val="4A6B6EB6"/>
    <w:rsid w:val="4A703F2B"/>
    <w:rsid w:val="4A752E46"/>
    <w:rsid w:val="4A755A9B"/>
    <w:rsid w:val="4A78588E"/>
    <w:rsid w:val="4A7A50C6"/>
    <w:rsid w:val="4A7B537E"/>
    <w:rsid w:val="4A7B576F"/>
    <w:rsid w:val="4A800BE6"/>
    <w:rsid w:val="4A8403BF"/>
    <w:rsid w:val="4A851D59"/>
    <w:rsid w:val="4A85321F"/>
    <w:rsid w:val="4A871672"/>
    <w:rsid w:val="4A897A9B"/>
    <w:rsid w:val="4A946440"/>
    <w:rsid w:val="4A95108B"/>
    <w:rsid w:val="4A9621B8"/>
    <w:rsid w:val="4A9A45AB"/>
    <w:rsid w:val="4A9D619D"/>
    <w:rsid w:val="4A9F1253"/>
    <w:rsid w:val="4AA2122D"/>
    <w:rsid w:val="4AA444DD"/>
    <w:rsid w:val="4AA46B09"/>
    <w:rsid w:val="4AA64B9E"/>
    <w:rsid w:val="4AA930A2"/>
    <w:rsid w:val="4AA964B7"/>
    <w:rsid w:val="4AAC19DB"/>
    <w:rsid w:val="4AAC3789"/>
    <w:rsid w:val="4AAC52B0"/>
    <w:rsid w:val="4AB421E8"/>
    <w:rsid w:val="4AB4263E"/>
    <w:rsid w:val="4AB443EC"/>
    <w:rsid w:val="4AB54D91"/>
    <w:rsid w:val="4AB62460"/>
    <w:rsid w:val="4AB71446"/>
    <w:rsid w:val="4ABB39CC"/>
    <w:rsid w:val="4ABC7C42"/>
    <w:rsid w:val="4ABF34BD"/>
    <w:rsid w:val="4ABF4BE5"/>
    <w:rsid w:val="4ABF6616"/>
    <w:rsid w:val="4ABF6FE8"/>
    <w:rsid w:val="4AC02EE8"/>
    <w:rsid w:val="4AC35325"/>
    <w:rsid w:val="4AC46D25"/>
    <w:rsid w:val="4AC71766"/>
    <w:rsid w:val="4AC72371"/>
    <w:rsid w:val="4AC7795C"/>
    <w:rsid w:val="4ACE1FAA"/>
    <w:rsid w:val="4AD300DD"/>
    <w:rsid w:val="4AD625B4"/>
    <w:rsid w:val="4ADA4750"/>
    <w:rsid w:val="4ADA6804"/>
    <w:rsid w:val="4ADD08D6"/>
    <w:rsid w:val="4ADF7D9D"/>
    <w:rsid w:val="4AE00636"/>
    <w:rsid w:val="4AE02D5A"/>
    <w:rsid w:val="4AE03433"/>
    <w:rsid w:val="4AE53A14"/>
    <w:rsid w:val="4AE66C9B"/>
    <w:rsid w:val="4AF018C8"/>
    <w:rsid w:val="4AF047C9"/>
    <w:rsid w:val="4AF13892"/>
    <w:rsid w:val="4AF250C4"/>
    <w:rsid w:val="4AF34104"/>
    <w:rsid w:val="4AF42AA3"/>
    <w:rsid w:val="4AF561A9"/>
    <w:rsid w:val="4AF63674"/>
    <w:rsid w:val="4AFB026D"/>
    <w:rsid w:val="4AFB201B"/>
    <w:rsid w:val="4AFC0DE1"/>
    <w:rsid w:val="4AFE2EAB"/>
    <w:rsid w:val="4B035F18"/>
    <w:rsid w:val="4B051108"/>
    <w:rsid w:val="4B06022F"/>
    <w:rsid w:val="4B064BFC"/>
    <w:rsid w:val="4B06556F"/>
    <w:rsid w:val="4B06733D"/>
    <w:rsid w:val="4B076C12"/>
    <w:rsid w:val="4B091D6B"/>
    <w:rsid w:val="4B0E2345"/>
    <w:rsid w:val="4B0E2F22"/>
    <w:rsid w:val="4B1011B4"/>
    <w:rsid w:val="4B112D6F"/>
    <w:rsid w:val="4B1530DD"/>
    <w:rsid w:val="4B1A6945"/>
    <w:rsid w:val="4B1B3826"/>
    <w:rsid w:val="4B1E2F8C"/>
    <w:rsid w:val="4B221C9D"/>
    <w:rsid w:val="4B2468D3"/>
    <w:rsid w:val="4B296806"/>
    <w:rsid w:val="4B2A4A23"/>
    <w:rsid w:val="4B2B0B52"/>
    <w:rsid w:val="4B2B4105"/>
    <w:rsid w:val="4B2D09D0"/>
    <w:rsid w:val="4B2D5FD1"/>
    <w:rsid w:val="4B2E0642"/>
    <w:rsid w:val="4B311B01"/>
    <w:rsid w:val="4B3239C0"/>
    <w:rsid w:val="4B325ED5"/>
    <w:rsid w:val="4B326128"/>
    <w:rsid w:val="4B33502E"/>
    <w:rsid w:val="4B335C59"/>
    <w:rsid w:val="4B35377F"/>
    <w:rsid w:val="4B3662D0"/>
    <w:rsid w:val="4B372AF8"/>
    <w:rsid w:val="4B3767C2"/>
    <w:rsid w:val="4B3A2B43"/>
    <w:rsid w:val="4B3A6458"/>
    <w:rsid w:val="4B3D0885"/>
    <w:rsid w:val="4B3F0159"/>
    <w:rsid w:val="4B412124"/>
    <w:rsid w:val="4B447E66"/>
    <w:rsid w:val="4B4542D8"/>
    <w:rsid w:val="4B481704"/>
    <w:rsid w:val="4B4B0544"/>
    <w:rsid w:val="4B4E29AC"/>
    <w:rsid w:val="4B521AB0"/>
    <w:rsid w:val="4B5259DB"/>
    <w:rsid w:val="4B536D92"/>
    <w:rsid w:val="4B5736BC"/>
    <w:rsid w:val="4B57452A"/>
    <w:rsid w:val="4B5754AA"/>
    <w:rsid w:val="4B5868B4"/>
    <w:rsid w:val="4B5C0D0B"/>
    <w:rsid w:val="4B5D1C4B"/>
    <w:rsid w:val="4B5D43C3"/>
    <w:rsid w:val="4B5E653E"/>
    <w:rsid w:val="4B613AA9"/>
    <w:rsid w:val="4B667DDC"/>
    <w:rsid w:val="4B6722E6"/>
    <w:rsid w:val="4B676F0B"/>
    <w:rsid w:val="4B68071D"/>
    <w:rsid w:val="4B683A07"/>
    <w:rsid w:val="4B683D72"/>
    <w:rsid w:val="4B6B4373"/>
    <w:rsid w:val="4B6B76F8"/>
    <w:rsid w:val="4B72052F"/>
    <w:rsid w:val="4B7324F9"/>
    <w:rsid w:val="4B75001F"/>
    <w:rsid w:val="4B756271"/>
    <w:rsid w:val="4B7826B9"/>
    <w:rsid w:val="4B790E19"/>
    <w:rsid w:val="4B797B0F"/>
    <w:rsid w:val="4B7A14DD"/>
    <w:rsid w:val="4B7F1A52"/>
    <w:rsid w:val="4B810772"/>
    <w:rsid w:val="4B8521DF"/>
    <w:rsid w:val="4B860574"/>
    <w:rsid w:val="4B87419C"/>
    <w:rsid w:val="4B890B2B"/>
    <w:rsid w:val="4B8E2E8F"/>
    <w:rsid w:val="4B8F7CD0"/>
    <w:rsid w:val="4B92472D"/>
    <w:rsid w:val="4B981953"/>
    <w:rsid w:val="4B987984"/>
    <w:rsid w:val="4B9A1834"/>
    <w:rsid w:val="4B9F509C"/>
    <w:rsid w:val="4BA12BC2"/>
    <w:rsid w:val="4BA214AA"/>
    <w:rsid w:val="4BA42FA6"/>
    <w:rsid w:val="4BAB57EF"/>
    <w:rsid w:val="4BB02F65"/>
    <w:rsid w:val="4BB22442"/>
    <w:rsid w:val="4BB24DCF"/>
    <w:rsid w:val="4BBC3C2B"/>
    <w:rsid w:val="4BBC5D12"/>
    <w:rsid w:val="4BBE19C6"/>
    <w:rsid w:val="4BBE5810"/>
    <w:rsid w:val="4BC174BC"/>
    <w:rsid w:val="4BC17DA8"/>
    <w:rsid w:val="4BC30D8B"/>
    <w:rsid w:val="4BC32B39"/>
    <w:rsid w:val="4BC32E9B"/>
    <w:rsid w:val="4BC37421"/>
    <w:rsid w:val="4BC77B5C"/>
    <w:rsid w:val="4BC77E55"/>
    <w:rsid w:val="4BD05255"/>
    <w:rsid w:val="4BD20495"/>
    <w:rsid w:val="4BD27220"/>
    <w:rsid w:val="4BD411EA"/>
    <w:rsid w:val="4BD61F8D"/>
    <w:rsid w:val="4BD74836"/>
    <w:rsid w:val="4BDE0872"/>
    <w:rsid w:val="4BDF129B"/>
    <w:rsid w:val="4BDF36EB"/>
    <w:rsid w:val="4BE1027E"/>
    <w:rsid w:val="4BE265CB"/>
    <w:rsid w:val="4BE40D01"/>
    <w:rsid w:val="4BE4306D"/>
    <w:rsid w:val="4BE6453A"/>
    <w:rsid w:val="4BE71B0D"/>
    <w:rsid w:val="4BEA0B84"/>
    <w:rsid w:val="4BEF7DD1"/>
    <w:rsid w:val="4BF071E3"/>
    <w:rsid w:val="4BF33CA7"/>
    <w:rsid w:val="4BF4056C"/>
    <w:rsid w:val="4BF70A34"/>
    <w:rsid w:val="4BF736B2"/>
    <w:rsid w:val="4BF929FE"/>
    <w:rsid w:val="4BF94693"/>
    <w:rsid w:val="4BFA4E11"/>
    <w:rsid w:val="4BFB49C8"/>
    <w:rsid w:val="4BFB6776"/>
    <w:rsid w:val="4BFC773B"/>
    <w:rsid w:val="4BFF5B3B"/>
    <w:rsid w:val="4C010828"/>
    <w:rsid w:val="4C011946"/>
    <w:rsid w:val="4C013661"/>
    <w:rsid w:val="4C0205DB"/>
    <w:rsid w:val="4C0262D0"/>
    <w:rsid w:val="4C0575F5"/>
    <w:rsid w:val="4C0C5414"/>
    <w:rsid w:val="4C0F3FD0"/>
    <w:rsid w:val="4C107D48"/>
    <w:rsid w:val="4C111E55"/>
    <w:rsid w:val="4C134AC3"/>
    <w:rsid w:val="4C1415E6"/>
    <w:rsid w:val="4C1467AF"/>
    <w:rsid w:val="4C194B2B"/>
    <w:rsid w:val="4C1B4ECE"/>
    <w:rsid w:val="4C213D03"/>
    <w:rsid w:val="4C2178FD"/>
    <w:rsid w:val="4C2630C7"/>
    <w:rsid w:val="4C2A2AEA"/>
    <w:rsid w:val="4C2B4DFE"/>
    <w:rsid w:val="4C2B6930"/>
    <w:rsid w:val="4C324162"/>
    <w:rsid w:val="4C340BB3"/>
    <w:rsid w:val="4C35155C"/>
    <w:rsid w:val="4C371044"/>
    <w:rsid w:val="4C383BBF"/>
    <w:rsid w:val="4C3954F1"/>
    <w:rsid w:val="4C3A41FD"/>
    <w:rsid w:val="4C3C0FA9"/>
    <w:rsid w:val="4C3C6F4B"/>
    <w:rsid w:val="4C3E297F"/>
    <w:rsid w:val="4C3E48B5"/>
    <w:rsid w:val="4C404189"/>
    <w:rsid w:val="4C426389"/>
    <w:rsid w:val="4C43011D"/>
    <w:rsid w:val="4C4336BC"/>
    <w:rsid w:val="4C455C43"/>
    <w:rsid w:val="4C4579F1"/>
    <w:rsid w:val="4C463CC8"/>
    <w:rsid w:val="4C481C7A"/>
    <w:rsid w:val="4C4868A3"/>
    <w:rsid w:val="4C4874E2"/>
    <w:rsid w:val="4C4A0649"/>
    <w:rsid w:val="4C4E3BC9"/>
    <w:rsid w:val="4C51283A"/>
    <w:rsid w:val="4C5145E8"/>
    <w:rsid w:val="4C5172F3"/>
    <w:rsid w:val="4C523EBC"/>
    <w:rsid w:val="4C532DF5"/>
    <w:rsid w:val="4C545E87"/>
    <w:rsid w:val="4C553A26"/>
    <w:rsid w:val="4C561BFF"/>
    <w:rsid w:val="4C577725"/>
    <w:rsid w:val="4C59524B"/>
    <w:rsid w:val="4C5D7448"/>
    <w:rsid w:val="4C5F5DCD"/>
    <w:rsid w:val="4C605492"/>
    <w:rsid w:val="4C613FFA"/>
    <w:rsid w:val="4C653BF0"/>
    <w:rsid w:val="4C692C1C"/>
    <w:rsid w:val="4C6B0D0D"/>
    <w:rsid w:val="4C6F67B9"/>
    <w:rsid w:val="4C722035"/>
    <w:rsid w:val="4C726F56"/>
    <w:rsid w:val="4C742ECE"/>
    <w:rsid w:val="4C7463B4"/>
    <w:rsid w:val="4C76238B"/>
    <w:rsid w:val="4C76404F"/>
    <w:rsid w:val="4C79769B"/>
    <w:rsid w:val="4C7B2CEA"/>
    <w:rsid w:val="4C7D04DD"/>
    <w:rsid w:val="4C7E5ECA"/>
    <w:rsid w:val="4C806C7C"/>
    <w:rsid w:val="4C815C3A"/>
    <w:rsid w:val="4C844A90"/>
    <w:rsid w:val="4C86562C"/>
    <w:rsid w:val="4C876AA5"/>
    <w:rsid w:val="4C8A7AFA"/>
    <w:rsid w:val="4C8C04F1"/>
    <w:rsid w:val="4C8C1137"/>
    <w:rsid w:val="4C8C5620"/>
    <w:rsid w:val="4C8E6F47"/>
    <w:rsid w:val="4C91093A"/>
    <w:rsid w:val="4C910E89"/>
    <w:rsid w:val="4C96024D"/>
    <w:rsid w:val="4C9C350E"/>
    <w:rsid w:val="4C9C6118"/>
    <w:rsid w:val="4CA74AA1"/>
    <w:rsid w:val="4CA75D4B"/>
    <w:rsid w:val="4CAE0EF1"/>
    <w:rsid w:val="4CAE37E9"/>
    <w:rsid w:val="4CB2553B"/>
    <w:rsid w:val="4CB50DEB"/>
    <w:rsid w:val="4CB559AC"/>
    <w:rsid w:val="4CB608EF"/>
    <w:rsid w:val="4CB701C3"/>
    <w:rsid w:val="4CBE77A4"/>
    <w:rsid w:val="4CC240E6"/>
    <w:rsid w:val="4CC46A53"/>
    <w:rsid w:val="4CC53261"/>
    <w:rsid w:val="4CC5554C"/>
    <w:rsid w:val="4CC72166"/>
    <w:rsid w:val="4CC7234C"/>
    <w:rsid w:val="4CC748AA"/>
    <w:rsid w:val="4CC832C5"/>
    <w:rsid w:val="4CC84E24"/>
    <w:rsid w:val="4CCC1EC1"/>
    <w:rsid w:val="4CCC3C6F"/>
    <w:rsid w:val="4CCE3E8B"/>
    <w:rsid w:val="4CD05DDB"/>
    <w:rsid w:val="4CD31226"/>
    <w:rsid w:val="4CD31CDF"/>
    <w:rsid w:val="4CD40A84"/>
    <w:rsid w:val="4CD66B81"/>
    <w:rsid w:val="4CD733E9"/>
    <w:rsid w:val="4CDB6DCA"/>
    <w:rsid w:val="4CDD23C6"/>
    <w:rsid w:val="4CDE204D"/>
    <w:rsid w:val="4CDF1BF4"/>
    <w:rsid w:val="4CDF35A3"/>
    <w:rsid w:val="4CDF7E46"/>
    <w:rsid w:val="4CE12670"/>
    <w:rsid w:val="4CE4720A"/>
    <w:rsid w:val="4CE54D31"/>
    <w:rsid w:val="4CE649E2"/>
    <w:rsid w:val="4CE663D1"/>
    <w:rsid w:val="4CE70AA9"/>
    <w:rsid w:val="4CE75F56"/>
    <w:rsid w:val="4CE82578"/>
    <w:rsid w:val="4CE90CC5"/>
    <w:rsid w:val="4CE953ED"/>
    <w:rsid w:val="4CE9739F"/>
    <w:rsid w:val="4CEB5A4F"/>
    <w:rsid w:val="4CEB6D65"/>
    <w:rsid w:val="4CEC2ABA"/>
    <w:rsid w:val="4CEC56BF"/>
    <w:rsid w:val="4CED4D27"/>
    <w:rsid w:val="4CEE0089"/>
    <w:rsid w:val="4CEE1E37"/>
    <w:rsid w:val="4CF11556"/>
    <w:rsid w:val="4CF305FB"/>
    <w:rsid w:val="4CF4104C"/>
    <w:rsid w:val="4CF50E53"/>
    <w:rsid w:val="4CFB37C3"/>
    <w:rsid w:val="4CFC1232"/>
    <w:rsid w:val="4CFE125B"/>
    <w:rsid w:val="4CFE5DF2"/>
    <w:rsid w:val="4CFF4044"/>
    <w:rsid w:val="4D0034B6"/>
    <w:rsid w:val="4D021D86"/>
    <w:rsid w:val="4D04165B"/>
    <w:rsid w:val="4D0470DF"/>
    <w:rsid w:val="4D063868"/>
    <w:rsid w:val="4D0A684A"/>
    <w:rsid w:val="4D0E00FB"/>
    <w:rsid w:val="4D0E072B"/>
    <w:rsid w:val="4D0E4287"/>
    <w:rsid w:val="4D0E72DC"/>
    <w:rsid w:val="4D0F49B1"/>
    <w:rsid w:val="4D113D78"/>
    <w:rsid w:val="4D116B12"/>
    <w:rsid w:val="4D12532F"/>
    <w:rsid w:val="4D13390B"/>
    <w:rsid w:val="4D155616"/>
    <w:rsid w:val="4D176606"/>
    <w:rsid w:val="4D181501"/>
    <w:rsid w:val="4D185106"/>
    <w:rsid w:val="4D1859BE"/>
    <w:rsid w:val="4D18648F"/>
    <w:rsid w:val="4D1E33A1"/>
    <w:rsid w:val="4D1F33FA"/>
    <w:rsid w:val="4D212416"/>
    <w:rsid w:val="4D223721"/>
    <w:rsid w:val="4D225F85"/>
    <w:rsid w:val="4D241CFD"/>
    <w:rsid w:val="4D29413D"/>
    <w:rsid w:val="4D297313"/>
    <w:rsid w:val="4D2B1051"/>
    <w:rsid w:val="4D2D5662"/>
    <w:rsid w:val="4D2E0486"/>
    <w:rsid w:val="4D2E66D8"/>
    <w:rsid w:val="4D323D65"/>
    <w:rsid w:val="4D333CEE"/>
    <w:rsid w:val="4D36072D"/>
    <w:rsid w:val="4D36767A"/>
    <w:rsid w:val="4D3857A8"/>
    <w:rsid w:val="4D395F9E"/>
    <w:rsid w:val="4D3E1BE8"/>
    <w:rsid w:val="4D3E6445"/>
    <w:rsid w:val="4D447865"/>
    <w:rsid w:val="4D4503B0"/>
    <w:rsid w:val="4D467EC5"/>
    <w:rsid w:val="4D48046F"/>
    <w:rsid w:val="4D493322"/>
    <w:rsid w:val="4D4D4BC2"/>
    <w:rsid w:val="4D4E0B28"/>
    <w:rsid w:val="4D4F2FF7"/>
    <w:rsid w:val="4D525094"/>
    <w:rsid w:val="4D5325E2"/>
    <w:rsid w:val="4D541496"/>
    <w:rsid w:val="4D54701B"/>
    <w:rsid w:val="4D553C64"/>
    <w:rsid w:val="4D554C51"/>
    <w:rsid w:val="4D5B3435"/>
    <w:rsid w:val="4D5E47AA"/>
    <w:rsid w:val="4D5F7DC7"/>
    <w:rsid w:val="4D626381"/>
    <w:rsid w:val="4D6408A1"/>
    <w:rsid w:val="4D6420F9"/>
    <w:rsid w:val="4D692C4E"/>
    <w:rsid w:val="4D697710"/>
    <w:rsid w:val="4D6A4C53"/>
    <w:rsid w:val="4D6B16DA"/>
    <w:rsid w:val="4D6C0A51"/>
    <w:rsid w:val="4D6E5C69"/>
    <w:rsid w:val="4D700FFE"/>
    <w:rsid w:val="4D7367E0"/>
    <w:rsid w:val="4D74738C"/>
    <w:rsid w:val="4D76482F"/>
    <w:rsid w:val="4D77007F"/>
    <w:rsid w:val="4D772B8F"/>
    <w:rsid w:val="4D7762D0"/>
    <w:rsid w:val="4D782049"/>
    <w:rsid w:val="4D786184"/>
    <w:rsid w:val="4D7A36CB"/>
    <w:rsid w:val="4D7A7B6F"/>
    <w:rsid w:val="4D7B1212"/>
    <w:rsid w:val="4D7D31BB"/>
    <w:rsid w:val="4D7E765F"/>
    <w:rsid w:val="4D87403A"/>
    <w:rsid w:val="4D892D44"/>
    <w:rsid w:val="4D896004"/>
    <w:rsid w:val="4D897DB2"/>
    <w:rsid w:val="4D8A7988"/>
    <w:rsid w:val="4D8B1D7C"/>
    <w:rsid w:val="4D8B58D8"/>
    <w:rsid w:val="4D8C33FE"/>
    <w:rsid w:val="4D8F5347"/>
    <w:rsid w:val="4D94357F"/>
    <w:rsid w:val="4D976065"/>
    <w:rsid w:val="4D993FA6"/>
    <w:rsid w:val="4D995802"/>
    <w:rsid w:val="4D9A276A"/>
    <w:rsid w:val="4D9A5B1B"/>
    <w:rsid w:val="4D9A6372"/>
    <w:rsid w:val="4D9D38C7"/>
    <w:rsid w:val="4DA21078"/>
    <w:rsid w:val="4DA4585B"/>
    <w:rsid w:val="4DA47AEF"/>
    <w:rsid w:val="4DA5232F"/>
    <w:rsid w:val="4DAA7732"/>
    <w:rsid w:val="4DAD33FC"/>
    <w:rsid w:val="4DAF2AC6"/>
    <w:rsid w:val="4DAF6DA9"/>
    <w:rsid w:val="4DB043E9"/>
    <w:rsid w:val="4DB5079F"/>
    <w:rsid w:val="4DB8268B"/>
    <w:rsid w:val="4DB855AC"/>
    <w:rsid w:val="4DBB69D2"/>
    <w:rsid w:val="4DBC0187"/>
    <w:rsid w:val="4DBD424D"/>
    <w:rsid w:val="4DC22C1F"/>
    <w:rsid w:val="4DC31516"/>
    <w:rsid w:val="4DC34574"/>
    <w:rsid w:val="4DC35EE0"/>
    <w:rsid w:val="4DC7298F"/>
    <w:rsid w:val="4DC75E36"/>
    <w:rsid w:val="4DC83456"/>
    <w:rsid w:val="4DCA28A4"/>
    <w:rsid w:val="4DCD0A1B"/>
    <w:rsid w:val="4DCD32D4"/>
    <w:rsid w:val="4DCD4142"/>
    <w:rsid w:val="4DCD5EF0"/>
    <w:rsid w:val="4DD059E1"/>
    <w:rsid w:val="4DD0778F"/>
    <w:rsid w:val="4DD728CB"/>
    <w:rsid w:val="4DD92AE7"/>
    <w:rsid w:val="4DDA1BB1"/>
    <w:rsid w:val="4DDA4886"/>
    <w:rsid w:val="4DDC5260"/>
    <w:rsid w:val="4DDD7F60"/>
    <w:rsid w:val="4DDF5C24"/>
    <w:rsid w:val="4DE0420A"/>
    <w:rsid w:val="4DE1374A"/>
    <w:rsid w:val="4DE73252"/>
    <w:rsid w:val="4DEA7721"/>
    <w:rsid w:val="4DEB281B"/>
    <w:rsid w:val="4DEC3074"/>
    <w:rsid w:val="4DEC4FB0"/>
    <w:rsid w:val="4DED6593"/>
    <w:rsid w:val="4DEE5E67"/>
    <w:rsid w:val="4DEF5420"/>
    <w:rsid w:val="4DF119FC"/>
    <w:rsid w:val="4DF416CF"/>
    <w:rsid w:val="4DF47921"/>
    <w:rsid w:val="4DF73F88"/>
    <w:rsid w:val="4DF7794D"/>
    <w:rsid w:val="4DF87486"/>
    <w:rsid w:val="4DF91E95"/>
    <w:rsid w:val="4DFB6474"/>
    <w:rsid w:val="4DFD22D0"/>
    <w:rsid w:val="4E031912"/>
    <w:rsid w:val="4E0631B0"/>
    <w:rsid w:val="4E075D8A"/>
    <w:rsid w:val="4E0833CC"/>
    <w:rsid w:val="4E092CA1"/>
    <w:rsid w:val="4E093D0D"/>
    <w:rsid w:val="4E0D793D"/>
    <w:rsid w:val="4E0D7F7A"/>
    <w:rsid w:val="4E0F0D57"/>
    <w:rsid w:val="4E1166F2"/>
    <w:rsid w:val="4E130D1F"/>
    <w:rsid w:val="4E143B1F"/>
    <w:rsid w:val="4E150D2D"/>
    <w:rsid w:val="4E152D1B"/>
    <w:rsid w:val="4E17716C"/>
    <w:rsid w:val="4E1C0C26"/>
    <w:rsid w:val="4E1E69C2"/>
    <w:rsid w:val="4E1E70C0"/>
    <w:rsid w:val="4E227526"/>
    <w:rsid w:val="4E235B10"/>
    <w:rsid w:val="4E2A65C7"/>
    <w:rsid w:val="4E2B0E69"/>
    <w:rsid w:val="4E2B74D5"/>
    <w:rsid w:val="4E2D2E33"/>
    <w:rsid w:val="4E2D53D4"/>
    <w:rsid w:val="4E2F5E56"/>
    <w:rsid w:val="4E3046D1"/>
    <w:rsid w:val="4E306D07"/>
    <w:rsid w:val="4E327559"/>
    <w:rsid w:val="4E335445"/>
    <w:rsid w:val="4E353F87"/>
    <w:rsid w:val="4E382671"/>
    <w:rsid w:val="4E395868"/>
    <w:rsid w:val="4E3A44E6"/>
    <w:rsid w:val="4E3E64D3"/>
    <w:rsid w:val="4E4002CD"/>
    <w:rsid w:val="4E402B66"/>
    <w:rsid w:val="4E433CEC"/>
    <w:rsid w:val="4E45007C"/>
    <w:rsid w:val="4E451F2B"/>
    <w:rsid w:val="4E453CD9"/>
    <w:rsid w:val="4E470676"/>
    <w:rsid w:val="4E485577"/>
    <w:rsid w:val="4E4A5793"/>
    <w:rsid w:val="4E4B32B9"/>
    <w:rsid w:val="4E4E209C"/>
    <w:rsid w:val="4E4F2999"/>
    <w:rsid w:val="4E4F4B57"/>
    <w:rsid w:val="4E503A02"/>
    <w:rsid w:val="4E527EF0"/>
    <w:rsid w:val="4E5736EB"/>
    <w:rsid w:val="4E577EB0"/>
    <w:rsid w:val="4E5B79A0"/>
    <w:rsid w:val="4E5C169A"/>
    <w:rsid w:val="4E5D01C1"/>
    <w:rsid w:val="4E5F0D89"/>
    <w:rsid w:val="4E5F2B4A"/>
    <w:rsid w:val="4E603F9D"/>
    <w:rsid w:val="4E665DA9"/>
    <w:rsid w:val="4E677020"/>
    <w:rsid w:val="4E685C19"/>
    <w:rsid w:val="4E6E1B73"/>
    <w:rsid w:val="4E710F32"/>
    <w:rsid w:val="4E720112"/>
    <w:rsid w:val="4E723A14"/>
    <w:rsid w:val="4E751405"/>
    <w:rsid w:val="4E7711BD"/>
    <w:rsid w:val="4E773F35"/>
    <w:rsid w:val="4E7A48AB"/>
    <w:rsid w:val="4E7B76FB"/>
    <w:rsid w:val="4E8011B5"/>
    <w:rsid w:val="4E802F63"/>
    <w:rsid w:val="4E806BEA"/>
    <w:rsid w:val="4E8741C6"/>
    <w:rsid w:val="4E8B646C"/>
    <w:rsid w:val="4E8D5680"/>
    <w:rsid w:val="4E8F0E6B"/>
    <w:rsid w:val="4E905702"/>
    <w:rsid w:val="4E916F1E"/>
    <w:rsid w:val="4E9604D7"/>
    <w:rsid w:val="4E993527"/>
    <w:rsid w:val="4E9B354D"/>
    <w:rsid w:val="4E9B385D"/>
    <w:rsid w:val="4E9C01DF"/>
    <w:rsid w:val="4E9E3387"/>
    <w:rsid w:val="4EA01A1C"/>
    <w:rsid w:val="4EA03605"/>
    <w:rsid w:val="4EA2737D"/>
    <w:rsid w:val="4EA462C4"/>
    <w:rsid w:val="4EA824BA"/>
    <w:rsid w:val="4EAA3FF2"/>
    <w:rsid w:val="4EAC6965"/>
    <w:rsid w:val="4EAF1A9A"/>
    <w:rsid w:val="4EB12F00"/>
    <w:rsid w:val="4EB470B0"/>
    <w:rsid w:val="4EB809B9"/>
    <w:rsid w:val="4EB96475"/>
    <w:rsid w:val="4EBC1914"/>
    <w:rsid w:val="4EBC34BD"/>
    <w:rsid w:val="4EBD7874"/>
    <w:rsid w:val="4EC00FAD"/>
    <w:rsid w:val="4EC13788"/>
    <w:rsid w:val="4EC23786"/>
    <w:rsid w:val="4EC45545"/>
    <w:rsid w:val="4EC5306C"/>
    <w:rsid w:val="4EC5404A"/>
    <w:rsid w:val="4EC70B92"/>
    <w:rsid w:val="4ECD3713"/>
    <w:rsid w:val="4ECE153E"/>
    <w:rsid w:val="4ED060DD"/>
    <w:rsid w:val="4ED15379"/>
    <w:rsid w:val="4ED27537"/>
    <w:rsid w:val="4ED412A3"/>
    <w:rsid w:val="4ED66394"/>
    <w:rsid w:val="4ED84B4D"/>
    <w:rsid w:val="4EDA4496"/>
    <w:rsid w:val="4EDA769B"/>
    <w:rsid w:val="4EDE3D91"/>
    <w:rsid w:val="4EE150E7"/>
    <w:rsid w:val="4EE320D0"/>
    <w:rsid w:val="4EE4669E"/>
    <w:rsid w:val="4EE47996"/>
    <w:rsid w:val="4EE6206C"/>
    <w:rsid w:val="4EE655A5"/>
    <w:rsid w:val="4EE96D5A"/>
    <w:rsid w:val="4EEE6226"/>
    <w:rsid w:val="4EEF1E97"/>
    <w:rsid w:val="4EF15A33"/>
    <w:rsid w:val="4EF2357D"/>
    <w:rsid w:val="4EF42641"/>
    <w:rsid w:val="4EF4317B"/>
    <w:rsid w:val="4EF61477"/>
    <w:rsid w:val="4EF70D4B"/>
    <w:rsid w:val="4EF80C56"/>
    <w:rsid w:val="4EF851EF"/>
    <w:rsid w:val="4EF9289B"/>
    <w:rsid w:val="4EF94AC3"/>
    <w:rsid w:val="4EFA116C"/>
    <w:rsid w:val="4F021BCA"/>
    <w:rsid w:val="4F044627"/>
    <w:rsid w:val="4F0A0B7D"/>
    <w:rsid w:val="4F0C0C9A"/>
    <w:rsid w:val="4F0C215E"/>
    <w:rsid w:val="4F0E67C1"/>
    <w:rsid w:val="4F1418FD"/>
    <w:rsid w:val="4F1458DC"/>
    <w:rsid w:val="4F1522CE"/>
    <w:rsid w:val="4F1544ED"/>
    <w:rsid w:val="4F161E19"/>
    <w:rsid w:val="4F19007F"/>
    <w:rsid w:val="4F1D33E2"/>
    <w:rsid w:val="4F1E0DD0"/>
    <w:rsid w:val="4F1E495C"/>
    <w:rsid w:val="4F1F14C1"/>
    <w:rsid w:val="4F216536"/>
    <w:rsid w:val="4F217FCE"/>
    <w:rsid w:val="4F22226C"/>
    <w:rsid w:val="4F245FE4"/>
    <w:rsid w:val="4F247AC9"/>
    <w:rsid w:val="4F277721"/>
    <w:rsid w:val="4F292FF3"/>
    <w:rsid w:val="4F2953A8"/>
    <w:rsid w:val="4F2B6C8C"/>
    <w:rsid w:val="4F2F5D79"/>
    <w:rsid w:val="4F326126"/>
    <w:rsid w:val="4F336227"/>
    <w:rsid w:val="4F343230"/>
    <w:rsid w:val="4F360635"/>
    <w:rsid w:val="4F375B0B"/>
    <w:rsid w:val="4F376A2D"/>
    <w:rsid w:val="4F380CD8"/>
    <w:rsid w:val="4F3911A7"/>
    <w:rsid w:val="4F3A75B6"/>
    <w:rsid w:val="4F3B1949"/>
    <w:rsid w:val="4F3D2701"/>
    <w:rsid w:val="4F3E27E8"/>
    <w:rsid w:val="4F4046DE"/>
    <w:rsid w:val="4F427630"/>
    <w:rsid w:val="4F473A81"/>
    <w:rsid w:val="4F4A3571"/>
    <w:rsid w:val="4F4A7ACA"/>
    <w:rsid w:val="4F50502B"/>
    <w:rsid w:val="4F531488"/>
    <w:rsid w:val="4F532425"/>
    <w:rsid w:val="4F594B76"/>
    <w:rsid w:val="4F5A37B4"/>
    <w:rsid w:val="4F5A7C58"/>
    <w:rsid w:val="4F5B752C"/>
    <w:rsid w:val="4F5F0DCA"/>
    <w:rsid w:val="4F5F3A5B"/>
    <w:rsid w:val="4F6004A6"/>
    <w:rsid w:val="4F640DF0"/>
    <w:rsid w:val="4F644633"/>
    <w:rsid w:val="4F64664B"/>
    <w:rsid w:val="4F686034"/>
    <w:rsid w:val="4F69204E"/>
    <w:rsid w:val="4F6A3C91"/>
    <w:rsid w:val="4F6C48F5"/>
    <w:rsid w:val="4F6E3703"/>
    <w:rsid w:val="4F70523B"/>
    <w:rsid w:val="4F7066A3"/>
    <w:rsid w:val="4F710AFD"/>
    <w:rsid w:val="4F740093"/>
    <w:rsid w:val="4F7402DD"/>
    <w:rsid w:val="4F743212"/>
    <w:rsid w:val="4F751524"/>
    <w:rsid w:val="4F754690"/>
    <w:rsid w:val="4F781DF1"/>
    <w:rsid w:val="4F8057DE"/>
    <w:rsid w:val="4F836861"/>
    <w:rsid w:val="4F85053B"/>
    <w:rsid w:val="4F85631A"/>
    <w:rsid w:val="4F8A7ACB"/>
    <w:rsid w:val="4F8D1DDB"/>
    <w:rsid w:val="4F8D4BE3"/>
    <w:rsid w:val="4F8F7DF8"/>
    <w:rsid w:val="4F91005A"/>
    <w:rsid w:val="4F915B9A"/>
    <w:rsid w:val="4F967E5D"/>
    <w:rsid w:val="4F980780"/>
    <w:rsid w:val="4F9843DC"/>
    <w:rsid w:val="4F9B4283"/>
    <w:rsid w:val="4F9F482F"/>
    <w:rsid w:val="4FA52BA9"/>
    <w:rsid w:val="4FA859E2"/>
    <w:rsid w:val="4FAD306D"/>
    <w:rsid w:val="4FAD5711"/>
    <w:rsid w:val="4FAF16B8"/>
    <w:rsid w:val="4FAF6AB9"/>
    <w:rsid w:val="4FB00D89"/>
    <w:rsid w:val="4FB07878"/>
    <w:rsid w:val="4FB45BBA"/>
    <w:rsid w:val="4FB504B5"/>
    <w:rsid w:val="4FB94B15"/>
    <w:rsid w:val="4FBA06F6"/>
    <w:rsid w:val="4FBB578B"/>
    <w:rsid w:val="4FBD1F95"/>
    <w:rsid w:val="4FC12776"/>
    <w:rsid w:val="4FC13833"/>
    <w:rsid w:val="4FC43323"/>
    <w:rsid w:val="4FC5154F"/>
    <w:rsid w:val="4FC62A8C"/>
    <w:rsid w:val="4FC832C9"/>
    <w:rsid w:val="4FD35314"/>
    <w:rsid w:val="4FD71BD8"/>
    <w:rsid w:val="4FD73056"/>
    <w:rsid w:val="4FD83261"/>
    <w:rsid w:val="4FD96283"/>
    <w:rsid w:val="4FDB0BA1"/>
    <w:rsid w:val="4FDD2CCE"/>
    <w:rsid w:val="4FDD43E5"/>
    <w:rsid w:val="4FDD6685"/>
    <w:rsid w:val="4FE20F0D"/>
    <w:rsid w:val="4FE33639"/>
    <w:rsid w:val="4FE51552"/>
    <w:rsid w:val="4FE614EB"/>
    <w:rsid w:val="4FE63299"/>
    <w:rsid w:val="4FE8299F"/>
    <w:rsid w:val="4FEB08B0"/>
    <w:rsid w:val="4FED4900"/>
    <w:rsid w:val="4FEE65F2"/>
    <w:rsid w:val="4FF27E90"/>
    <w:rsid w:val="4FF4658B"/>
    <w:rsid w:val="4FF6136F"/>
    <w:rsid w:val="4FF82BEA"/>
    <w:rsid w:val="4FF84DDC"/>
    <w:rsid w:val="500270C6"/>
    <w:rsid w:val="500325DD"/>
    <w:rsid w:val="500656EA"/>
    <w:rsid w:val="50083210"/>
    <w:rsid w:val="500951DA"/>
    <w:rsid w:val="500B1455"/>
    <w:rsid w:val="500B3FC7"/>
    <w:rsid w:val="500C1890"/>
    <w:rsid w:val="500F1560"/>
    <w:rsid w:val="50106568"/>
    <w:rsid w:val="501309EA"/>
    <w:rsid w:val="50180925"/>
    <w:rsid w:val="50180ADE"/>
    <w:rsid w:val="501A73E7"/>
    <w:rsid w:val="501D1438"/>
    <w:rsid w:val="501D56D0"/>
    <w:rsid w:val="5022336F"/>
    <w:rsid w:val="50227B56"/>
    <w:rsid w:val="502618E8"/>
    <w:rsid w:val="5026444B"/>
    <w:rsid w:val="50265D73"/>
    <w:rsid w:val="50290785"/>
    <w:rsid w:val="502B4010"/>
    <w:rsid w:val="502E4ABD"/>
    <w:rsid w:val="50321F2A"/>
    <w:rsid w:val="5034529F"/>
    <w:rsid w:val="50383278"/>
    <w:rsid w:val="503A2907"/>
    <w:rsid w:val="503C110B"/>
    <w:rsid w:val="503F1FCF"/>
    <w:rsid w:val="50421C0E"/>
    <w:rsid w:val="50442C90"/>
    <w:rsid w:val="50444512"/>
    <w:rsid w:val="504601DC"/>
    <w:rsid w:val="504C55E7"/>
    <w:rsid w:val="504D156B"/>
    <w:rsid w:val="50504BB7"/>
    <w:rsid w:val="50504C4B"/>
    <w:rsid w:val="505267FA"/>
    <w:rsid w:val="505333D6"/>
    <w:rsid w:val="505850C7"/>
    <w:rsid w:val="505C4BD0"/>
    <w:rsid w:val="50650662"/>
    <w:rsid w:val="506568B4"/>
    <w:rsid w:val="50697A27"/>
    <w:rsid w:val="506C4336"/>
    <w:rsid w:val="506F09FA"/>
    <w:rsid w:val="506F146D"/>
    <w:rsid w:val="50724B2D"/>
    <w:rsid w:val="507401A7"/>
    <w:rsid w:val="507A2CD6"/>
    <w:rsid w:val="507B7A10"/>
    <w:rsid w:val="507C141B"/>
    <w:rsid w:val="508051C9"/>
    <w:rsid w:val="50811214"/>
    <w:rsid w:val="50812FC2"/>
    <w:rsid w:val="50831701"/>
    <w:rsid w:val="50844DEA"/>
    <w:rsid w:val="5085633B"/>
    <w:rsid w:val="5085706B"/>
    <w:rsid w:val="5086486D"/>
    <w:rsid w:val="508A631B"/>
    <w:rsid w:val="509073C9"/>
    <w:rsid w:val="50911776"/>
    <w:rsid w:val="50930AA5"/>
    <w:rsid w:val="50932486"/>
    <w:rsid w:val="509C6E7C"/>
    <w:rsid w:val="509E3B74"/>
    <w:rsid w:val="50A05F03"/>
    <w:rsid w:val="50A0743D"/>
    <w:rsid w:val="50A3118B"/>
    <w:rsid w:val="50A51569"/>
    <w:rsid w:val="50A5584E"/>
    <w:rsid w:val="50A70C7B"/>
    <w:rsid w:val="50AA44A9"/>
    <w:rsid w:val="50AF18DD"/>
    <w:rsid w:val="50B2543F"/>
    <w:rsid w:val="50B269FC"/>
    <w:rsid w:val="50B36F86"/>
    <w:rsid w:val="50B52214"/>
    <w:rsid w:val="50B76E2C"/>
    <w:rsid w:val="50B9275C"/>
    <w:rsid w:val="50BD019B"/>
    <w:rsid w:val="50BE4BA6"/>
    <w:rsid w:val="50BE5FC4"/>
    <w:rsid w:val="50C55DB0"/>
    <w:rsid w:val="50C8299F"/>
    <w:rsid w:val="50C90875"/>
    <w:rsid w:val="50CA44FA"/>
    <w:rsid w:val="50CF1F80"/>
    <w:rsid w:val="50CF30C7"/>
    <w:rsid w:val="50D0671E"/>
    <w:rsid w:val="50D15F22"/>
    <w:rsid w:val="50DB3FBC"/>
    <w:rsid w:val="50DC51C7"/>
    <w:rsid w:val="50DD28EE"/>
    <w:rsid w:val="50DE21C3"/>
    <w:rsid w:val="50DE57EF"/>
    <w:rsid w:val="50E12B5C"/>
    <w:rsid w:val="50E61077"/>
    <w:rsid w:val="50E75822"/>
    <w:rsid w:val="50E86611"/>
    <w:rsid w:val="50EA0B67"/>
    <w:rsid w:val="50EA6DB9"/>
    <w:rsid w:val="50EC48E0"/>
    <w:rsid w:val="50ED3BBA"/>
    <w:rsid w:val="50EE11C2"/>
    <w:rsid w:val="50EF1485"/>
    <w:rsid w:val="50EF2622"/>
    <w:rsid w:val="50F017F3"/>
    <w:rsid w:val="50F10148"/>
    <w:rsid w:val="50F204EF"/>
    <w:rsid w:val="50F419E6"/>
    <w:rsid w:val="50F7773F"/>
    <w:rsid w:val="50FA5BB2"/>
    <w:rsid w:val="50FA60E1"/>
    <w:rsid w:val="50FB2D75"/>
    <w:rsid w:val="50FC477A"/>
    <w:rsid w:val="50FE7426"/>
    <w:rsid w:val="51057AFC"/>
    <w:rsid w:val="5106201A"/>
    <w:rsid w:val="51071719"/>
    <w:rsid w:val="51081151"/>
    <w:rsid w:val="510913AD"/>
    <w:rsid w:val="510A120A"/>
    <w:rsid w:val="510C3FAD"/>
    <w:rsid w:val="51103C27"/>
    <w:rsid w:val="51143E36"/>
    <w:rsid w:val="51153915"/>
    <w:rsid w:val="51154E64"/>
    <w:rsid w:val="5119772D"/>
    <w:rsid w:val="511A0490"/>
    <w:rsid w:val="511C3662"/>
    <w:rsid w:val="511D0F3D"/>
    <w:rsid w:val="51200A2D"/>
    <w:rsid w:val="51222A60"/>
    <w:rsid w:val="51247732"/>
    <w:rsid w:val="5126473C"/>
    <w:rsid w:val="51271DBC"/>
    <w:rsid w:val="512E6655"/>
    <w:rsid w:val="512F6EC2"/>
    <w:rsid w:val="51312C3A"/>
    <w:rsid w:val="51376303"/>
    <w:rsid w:val="5139564B"/>
    <w:rsid w:val="513B23AF"/>
    <w:rsid w:val="513C3A78"/>
    <w:rsid w:val="513D1749"/>
    <w:rsid w:val="51403616"/>
    <w:rsid w:val="51404A06"/>
    <w:rsid w:val="514209A3"/>
    <w:rsid w:val="514344B8"/>
    <w:rsid w:val="51463CA4"/>
    <w:rsid w:val="51491D32"/>
    <w:rsid w:val="514B2844"/>
    <w:rsid w:val="514C35D0"/>
    <w:rsid w:val="5154100E"/>
    <w:rsid w:val="515532E5"/>
    <w:rsid w:val="515E7A28"/>
    <w:rsid w:val="516052CE"/>
    <w:rsid w:val="5162104E"/>
    <w:rsid w:val="51622DF4"/>
    <w:rsid w:val="516319D7"/>
    <w:rsid w:val="51635519"/>
    <w:rsid w:val="5164236E"/>
    <w:rsid w:val="51646B6C"/>
    <w:rsid w:val="51647203"/>
    <w:rsid w:val="51665C06"/>
    <w:rsid w:val="516721B8"/>
    <w:rsid w:val="516752CF"/>
    <w:rsid w:val="516A26E1"/>
    <w:rsid w:val="516F61D8"/>
    <w:rsid w:val="516F72BF"/>
    <w:rsid w:val="517324CD"/>
    <w:rsid w:val="51752B27"/>
    <w:rsid w:val="51764AF1"/>
    <w:rsid w:val="517A0905"/>
    <w:rsid w:val="517A638F"/>
    <w:rsid w:val="518014CC"/>
    <w:rsid w:val="518437FE"/>
    <w:rsid w:val="51850890"/>
    <w:rsid w:val="518A40F8"/>
    <w:rsid w:val="518A53BA"/>
    <w:rsid w:val="518A5F88"/>
    <w:rsid w:val="518C7E71"/>
    <w:rsid w:val="51905C8F"/>
    <w:rsid w:val="51941168"/>
    <w:rsid w:val="51976F41"/>
    <w:rsid w:val="51990D85"/>
    <w:rsid w:val="519B6CA1"/>
    <w:rsid w:val="519D6550"/>
    <w:rsid w:val="519F5DF6"/>
    <w:rsid w:val="51A16CC7"/>
    <w:rsid w:val="51A30F81"/>
    <w:rsid w:val="51A336FA"/>
    <w:rsid w:val="51A60F32"/>
    <w:rsid w:val="51A76A58"/>
    <w:rsid w:val="51A83BC0"/>
    <w:rsid w:val="51A927D1"/>
    <w:rsid w:val="51AA02F7"/>
    <w:rsid w:val="51AA2E61"/>
    <w:rsid w:val="51AA63E5"/>
    <w:rsid w:val="51AB0AD4"/>
    <w:rsid w:val="51AC540D"/>
    <w:rsid w:val="51AD0EF8"/>
    <w:rsid w:val="51AD6F7A"/>
    <w:rsid w:val="51AE2E78"/>
    <w:rsid w:val="51AE7E82"/>
    <w:rsid w:val="51B24DF5"/>
    <w:rsid w:val="51B36BED"/>
    <w:rsid w:val="51B4247E"/>
    <w:rsid w:val="51B44DED"/>
    <w:rsid w:val="51B51CF5"/>
    <w:rsid w:val="51B535C0"/>
    <w:rsid w:val="51B657C3"/>
    <w:rsid w:val="51B65E96"/>
    <w:rsid w:val="51B67325"/>
    <w:rsid w:val="51B7049F"/>
    <w:rsid w:val="51B947B1"/>
    <w:rsid w:val="51BE12C1"/>
    <w:rsid w:val="51C15F61"/>
    <w:rsid w:val="51C20581"/>
    <w:rsid w:val="51C24E26"/>
    <w:rsid w:val="51C33452"/>
    <w:rsid w:val="51C343B5"/>
    <w:rsid w:val="51C8020A"/>
    <w:rsid w:val="51CC4711"/>
    <w:rsid w:val="51CE1F51"/>
    <w:rsid w:val="51CE747C"/>
    <w:rsid w:val="51D052A0"/>
    <w:rsid w:val="51D05FAF"/>
    <w:rsid w:val="51D30528"/>
    <w:rsid w:val="51D51818"/>
    <w:rsid w:val="51DC4954"/>
    <w:rsid w:val="51DD06CC"/>
    <w:rsid w:val="51DD085F"/>
    <w:rsid w:val="51DD0FEB"/>
    <w:rsid w:val="51DE0CC5"/>
    <w:rsid w:val="51E11F6A"/>
    <w:rsid w:val="51E66974"/>
    <w:rsid w:val="51E70069"/>
    <w:rsid w:val="51E85000"/>
    <w:rsid w:val="51E87DDF"/>
    <w:rsid w:val="51E90EF4"/>
    <w:rsid w:val="51EB4B97"/>
    <w:rsid w:val="51ED538D"/>
    <w:rsid w:val="51F11DB2"/>
    <w:rsid w:val="51F31C9E"/>
    <w:rsid w:val="51F55A16"/>
    <w:rsid w:val="51F7178E"/>
    <w:rsid w:val="51F80232"/>
    <w:rsid w:val="51FA127E"/>
    <w:rsid w:val="51FC6DA4"/>
    <w:rsid w:val="51FE0D6E"/>
    <w:rsid w:val="51FF6894"/>
    <w:rsid w:val="52023B4B"/>
    <w:rsid w:val="5202696A"/>
    <w:rsid w:val="52031C51"/>
    <w:rsid w:val="52042DFD"/>
    <w:rsid w:val="52043EAB"/>
    <w:rsid w:val="52065FB6"/>
    <w:rsid w:val="5206798A"/>
    <w:rsid w:val="52081BED"/>
    <w:rsid w:val="521340EE"/>
    <w:rsid w:val="52171E30"/>
    <w:rsid w:val="521750F1"/>
    <w:rsid w:val="521831BB"/>
    <w:rsid w:val="52187956"/>
    <w:rsid w:val="521A0570"/>
    <w:rsid w:val="521B6489"/>
    <w:rsid w:val="521E77C4"/>
    <w:rsid w:val="521F3AA9"/>
    <w:rsid w:val="521F59EF"/>
    <w:rsid w:val="522120B3"/>
    <w:rsid w:val="5221680B"/>
    <w:rsid w:val="52230899"/>
    <w:rsid w:val="522665D0"/>
    <w:rsid w:val="52296785"/>
    <w:rsid w:val="522A2BE6"/>
    <w:rsid w:val="522B1438"/>
    <w:rsid w:val="522D1654"/>
    <w:rsid w:val="522E0F28"/>
    <w:rsid w:val="52304CA0"/>
    <w:rsid w:val="52326ADC"/>
    <w:rsid w:val="523429E2"/>
    <w:rsid w:val="523831BA"/>
    <w:rsid w:val="523C1C73"/>
    <w:rsid w:val="523C3645"/>
    <w:rsid w:val="523C53F3"/>
    <w:rsid w:val="52410999"/>
    <w:rsid w:val="52412A09"/>
    <w:rsid w:val="524405BA"/>
    <w:rsid w:val="5244074B"/>
    <w:rsid w:val="52447A1C"/>
    <w:rsid w:val="52463594"/>
    <w:rsid w:val="524644C3"/>
    <w:rsid w:val="524D13AE"/>
    <w:rsid w:val="524D5555"/>
    <w:rsid w:val="524E3378"/>
    <w:rsid w:val="524E7EB9"/>
    <w:rsid w:val="52504C79"/>
    <w:rsid w:val="525103D8"/>
    <w:rsid w:val="5251742F"/>
    <w:rsid w:val="525176FD"/>
    <w:rsid w:val="525241D2"/>
    <w:rsid w:val="52532A9E"/>
    <w:rsid w:val="525621D1"/>
    <w:rsid w:val="52584FB2"/>
    <w:rsid w:val="525C7843"/>
    <w:rsid w:val="525D6556"/>
    <w:rsid w:val="525E180D"/>
    <w:rsid w:val="525E1F09"/>
    <w:rsid w:val="525F5158"/>
    <w:rsid w:val="52636E23"/>
    <w:rsid w:val="52644907"/>
    <w:rsid w:val="526507F3"/>
    <w:rsid w:val="52655D23"/>
    <w:rsid w:val="52661AA1"/>
    <w:rsid w:val="52662091"/>
    <w:rsid w:val="526902F0"/>
    <w:rsid w:val="526D37FE"/>
    <w:rsid w:val="526D7CA2"/>
    <w:rsid w:val="526E5AC5"/>
    <w:rsid w:val="526E67F5"/>
    <w:rsid w:val="526E7576"/>
    <w:rsid w:val="526F6485"/>
    <w:rsid w:val="52701540"/>
    <w:rsid w:val="527144C2"/>
    <w:rsid w:val="5272350A"/>
    <w:rsid w:val="52735E02"/>
    <w:rsid w:val="527903F5"/>
    <w:rsid w:val="527A565A"/>
    <w:rsid w:val="527C206F"/>
    <w:rsid w:val="527E13D3"/>
    <w:rsid w:val="527E3C5D"/>
    <w:rsid w:val="527F1783"/>
    <w:rsid w:val="528047C4"/>
    <w:rsid w:val="528154D9"/>
    <w:rsid w:val="528424EA"/>
    <w:rsid w:val="52860D64"/>
    <w:rsid w:val="5287579B"/>
    <w:rsid w:val="52897340"/>
    <w:rsid w:val="528B0128"/>
    <w:rsid w:val="5290236F"/>
    <w:rsid w:val="52904F01"/>
    <w:rsid w:val="529067E1"/>
    <w:rsid w:val="5292173A"/>
    <w:rsid w:val="52931799"/>
    <w:rsid w:val="52943481"/>
    <w:rsid w:val="52971E9C"/>
    <w:rsid w:val="52992A59"/>
    <w:rsid w:val="529D47B4"/>
    <w:rsid w:val="529D6898"/>
    <w:rsid w:val="52A13E09"/>
    <w:rsid w:val="52A24EDF"/>
    <w:rsid w:val="52A32C24"/>
    <w:rsid w:val="52A35472"/>
    <w:rsid w:val="52A450E3"/>
    <w:rsid w:val="52A5743C"/>
    <w:rsid w:val="52A64F62"/>
    <w:rsid w:val="52A6631B"/>
    <w:rsid w:val="52AA4A52"/>
    <w:rsid w:val="52AB4326"/>
    <w:rsid w:val="52AD5614"/>
    <w:rsid w:val="52B07B8F"/>
    <w:rsid w:val="52B10398"/>
    <w:rsid w:val="52B12FC8"/>
    <w:rsid w:val="52B15DE1"/>
    <w:rsid w:val="52B50729"/>
    <w:rsid w:val="52B549D4"/>
    <w:rsid w:val="52B563A2"/>
    <w:rsid w:val="52B577D9"/>
    <w:rsid w:val="52B81FF3"/>
    <w:rsid w:val="52C04276"/>
    <w:rsid w:val="52C151A3"/>
    <w:rsid w:val="52C51CB5"/>
    <w:rsid w:val="52C655C1"/>
    <w:rsid w:val="52CF1681"/>
    <w:rsid w:val="52D03DB1"/>
    <w:rsid w:val="52D0439D"/>
    <w:rsid w:val="52D23FA9"/>
    <w:rsid w:val="52D4383A"/>
    <w:rsid w:val="52D4387D"/>
    <w:rsid w:val="52DA0E47"/>
    <w:rsid w:val="52DB0CF3"/>
    <w:rsid w:val="52DB2E5E"/>
    <w:rsid w:val="52DC1741"/>
    <w:rsid w:val="52DC5DD7"/>
    <w:rsid w:val="52DC6BD6"/>
    <w:rsid w:val="52DE17D2"/>
    <w:rsid w:val="52DE64AA"/>
    <w:rsid w:val="52E03DF3"/>
    <w:rsid w:val="52E837CD"/>
    <w:rsid w:val="52E84134"/>
    <w:rsid w:val="52E87329"/>
    <w:rsid w:val="52EC2E7F"/>
    <w:rsid w:val="52EE5B1F"/>
    <w:rsid w:val="52EE60C3"/>
    <w:rsid w:val="52F142C7"/>
    <w:rsid w:val="52F1545F"/>
    <w:rsid w:val="52F32E92"/>
    <w:rsid w:val="52F403B7"/>
    <w:rsid w:val="52F43F1F"/>
    <w:rsid w:val="52F55204"/>
    <w:rsid w:val="52F67C97"/>
    <w:rsid w:val="52FD70ED"/>
    <w:rsid w:val="52FF45DE"/>
    <w:rsid w:val="530064FE"/>
    <w:rsid w:val="53016EFE"/>
    <w:rsid w:val="53020268"/>
    <w:rsid w:val="53034162"/>
    <w:rsid w:val="53050450"/>
    <w:rsid w:val="53051C89"/>
    <w:rsid w:val="530571DB"/>
    <w:rsid w:val="530C1269"/>
    <w:rsid w:val="530F1712"/>
    <w:rsid w:val="530F48B5"/>
    <w:rsid w:val="531030E6"/>
    <w:rsid w:val="53110141"/>
    <w:rsid w:val="531159A5"/>
    <w:rsid w:val="5314011E"/>
    <w:rsid w:val="531661F3"/>
    <w:rsid w:val="53193986"/>
    <w:rsid w:val="531E2D4A"/>
    <w:rsid w:val="531E71EE"/>
    <w:rsid w:val="531F40E8"/>
    <w:rsid w:val="531F5156"/>
    <w:rsid w:val="53202F66"/>
    <w:rsid w:val="53206AC2"/>
    <w:rsid w:val="532145E9"/>
    <w:rsid w:val="532459D1"/>
    <w:rsid w:val="53277E51"/>
    <w:rsid w:val="53291051"/>
    <w:rsid w:val="53296821"/>
    <w:rsid w:val="532B50C8"/>
    <w:rsid w:val="532F384D"/>
    <w:rsid w:val="533169C0"/>
    <w:rsid w:val="53316F22"/>
    <w:rsid w:val="53325389"/>
    <w:rsid w:val="53336D63"/>
    <w:rsid w:val="53361138"/>
    <w:rsid w:val="53364EAF"/>
    <w:rsid w:val="533804A1"/>
    <w:rsid w:val="533934B4"/>
    <w:rsid w:val="53396991"/>
    <w:rsid w:val="533A313B"/>
    <w:rsid w:val="533C75C3"/>
    <w:rsid w:val="533E33EC"/>
    <w:rsid w:val="533E519B"/>
    <w:rsid w:val="533F163E"/>
    <w:rsid w:val="53400F13"/>
    <w:rsid w:val="53430A03"/>
    <w:rsid w:val="534558E3"/>
    <w:rsid w:val="53461D7D"/>
    <w:rsid w:val="534722A1"/>
    <w:rsid w:val="53494A9C"/>
    <w:rsid w:val="534D53DE"/>
    <w:rsid w:val="534F7FC7"/>
    <w:rsid w:val="53502577"/>
    <w:rsid w:val="535033B5"/>
    <w:rsid w:val="53566988"/>
    <w:rsid w:val="535749CF"/>
    <w:rsid w:val="53596AE2"/>
    <w:rsid w:val="535C6147"/>
    <w:rsid w:val="535F46F6"/>
    <w:rsid w:val="5360039B"/>
    <w:rsid w:val="5363530B"/>
    <w:rsid w:val="536524C3"/>
    <w:rsid w:val="5366017D"/>
    <w:rsid w:val="536D2550"/>
    <w:rsid w:val="537137C2"/>
    <w:rsid w:val="53737A7F"/>
    <w:rsid w:val="5378493D"/>
    <w:rsid w:val="537965E8"/>
    <w:rsid w:val="537A5AF6"/>
    <w:rsid w:val="537B7B01"/>
    <w:rsid w:val="537E0945"/>
    <w:rsid w:val="537E6482"/>
    <w:rsid w:val="537F1E88"/>
    <w:rsid w:val="53825BCE"/>
    <w:rsid w:val="538805B1"/>
    <w:rsid w:val="53890B0C"/>
    <w:rsid w:val="538B6027"/>
    <w:rsid w:val="538D0356"/>
    <w:rsid w:val="538E7ED0"/>
    <w:rsid w:val="539354E6"/>
    <w:rsid w:val="53941F79"/>
    <w:rsid w:val="53955C1B"/>
    <w:rsid w:val="53980D4F"/>
    <w:rsid w:val="53982AFD"/>
    <w:rsid w:val="539C3810"/>
    <w:rsid w:val="539F17E4"/>
    <w:rsid w:val="539F20DD"/>
    <w:rsid w:val="53A039CC"/>
    <w:rsid w:val="53A1505A"/>
    <w:rsid w:val="53A24350"/>
    <w:rsid w:val="53AE560E"/>
    <w:rsid w:val="53B220CB"/>
    <w:rsid w:val="53B25277"/>
    <w:rsid w:val="53BA37DA"/>
    <w:rsid w:val="53C1099C"/>
    <w:rsid w:val="53C17428"/>
    <w:rsid w:val="53C404FB"/>
    <w:rsid w:val="53C5249F"/>
    <w:rsid w:val="53C6268C"/>
    <w:rsid w:val="53C6731B"/>
    <w:rsid w:val="53C76A07"/>
    <w:rsid w:val="53D052F8"/>
    <w:rsid w:val="53D11EB9"/>
    <w:rsid w:val="53D8739D"/>
    <w:rsid w:val="53DD0E57"/>
    <w:rsid w:val="53DE4B6B"/>
    <w:rsid w:val="53E12E4D"/>
    <w:rsid w:val="53E17188"/>
    <w:rsid w:val="53E421E6"/>
    <w:rsid w:val="53E6050D"/>
    <w:rsid w:val="53E67D0C"/>
    <w:rsid w:val="53EE169C"/>
    <w:rsid w:val="53F027C7"/>
    <w:rsid w:val="53F1220D"/>
    <w:rsid w:val="53F266B1"/>
    <w:rsid w:val="53F425CF"/>
    <w:rsid w:val="53F4459D"/>
    <w:rsid w:val="53F50937"/>
    <w:rsid w:val="53F67036"/>
    <w:rsid w:val="53F91F4D"/>
    <w:rsid w:val="53FA5565"/>
    <w:rsid w:val="53FB308C"/>
    <w:rsid w:val="53FB3DF0"/>
    <w:rsid w:val="53FD6E04"/>
    <w:rsid w:val="53FE42EA"/>
    <w:rsid w:val="5400382F"/>
    <w:rsid w:val="54014B46"/>
    <w:rsid w:val="54053401"/>
    <w:rsid w:val="54063E08"/>
    <w:rsid w:val="54071A30"/>
    <w:rsid w:val="54077C82"/>
    <w:rsid w:val="54090732"/>
    <w:rsid w:val="540A3A7F"/>
    <w:rsid w:val="540C5299"/>
    <w:rsid w:val="540D34EB"/>
    <w:rsid w:val="540F674D"/>
    <w:rsid w:val="54134879"/>
    <w:rsid w:val="54154E48"/>
    <w:rsid w:val="5418733E"/>
    <w:rsid w:val="5419103D"/>
    <w:rsid w:val="5419609C"/>
    <w:rsid w:val="541A5C08"/>
    <w:rsid w:val="541B4C4E"/>
    <w:rsid w:val="541C1980"/>
    <w:rsid w:val="541C7B9F"/>
    <w:rsid w:val="541D3002"/>
    <w:rsid w:val="541F321E"/>
    <w:rsid w:val="5422686A"/>
    <w:rsid w:val="542328BC"/>
    <w:rsid w:val="54232F38"/>
    <w:rsid w:val="54233DBE"/>
    <w:rsid w:val="54240834"/>
    <w:rsid w:val="542459A2"/>
    <w:rsid w:val="54266784"/>
    <w:rsid w:val="54290299"/>
    <w:rsid w:val="5429588E"/>
    <w:rsid w:val="542A2645"/>
    <w:rsid w:val="54322F51"/>
    <w:rsid w:val="543437E8"/>
    <w:rsid w:val="543635C9"/>
    <w:rsid w:val="54374A2A"/>
    <w:rsid w:val="54383AE1"/>
    <w:rsid w:val="543C209D"/>
    <w:rsid w:val="543C60B0"/>
    <w:rsid w:val="543D36A4"/>
    <w:rsid w:val="543E4E4F"/>
    <w:rsid w:val="54402908"/>
    <w:rsid w:val="544043E3"/>
    <w:rsid w:val="544057C8"/>
    <w:rsid w:val="54467164"/>
    <w:rsid w:val="54495E44"/>
    <w:rsid w:val="544B5DC1"/>
    <w:rsid w:val="544D1B39"/>
    <w:rsid w:val="544D4633"/>
    <w:rsid w:val="544E765F"/>
    <w:rsid w:val="544F5A28"/>
    <w:rsid w:val="54505185"/>
    <w:rsid w:val="545365AD"/>
    <w:rsid w:val="545509EE"/>
    <w:rsid w:val="545804DE"/>
    <w:rsid w:val="545932BE"/>
    <w:rsid w:val="545B0E61"/>
    <w:rsid w:val="545E6621"/>
    <w:rsid w:val="5463135D"/>
    <w:rsid w:val="54647BC6"/>
    <w:rsid w:val="54667296"/>
    <w:rsid w:val="54686973"/>
    <w:rsid w:val="546B727B"/>
    <w:rsid w:val="546D3639"/>
    <w:rsid w:val="546E7D01"/>
    <w:rsid w:val="546F5BC6"/>
    <w:rsid w:val="54705828"/>
    <w:rsid w:val="54732E7B"/>
    <w:rsid w:val="5473580C"/>
    <w:rsid w:val="54747632"/>
    <w:rsid w:val="54764FB7"/>
    <w:rsid w:val="54765715"/>
    <w:rsid w:val="54785657"/>
    <w:rsid w:val="547A48F8"/>
    <w:rsid w:val="547A7BEB"/>
    <w:rsid w:val="547C1CB4"/>
    <w:rsid w:val="547D78E9"/>
    <w:rsid w:val="547E551D"/>
    <w:rsid w:val="547F1DE1"/>
    <w:rsid w:val="54800985"/>
    <w:rsid w:val="54824F15"/>
    <w:rsid w:val="5483555B"/>
    <w:rsid w:val="548412D3"/>
    <w:rsid w:val="54843389"/>
    <w:rsid w:val="548968E9"/>
    <w:rsid w:val="54896F92"/>
    <w:rsid w:val="548B3735"/>
    <w:rsid w:val="548C4DC5"/>
    <w:rsid w:val="548E3F00"/>
    <w:rsid w:val="548F34D3"/>
    <w:rsid w:val="549142A8"/>
    <w:rsid w:val="54925320"/>
    <w:rsid w:val="5492579E"/>
    <w:rsid w:val="54930205"/>
    <w:rsid w:val="54936727"/>
    <w:rsid w:val="54972DB4"/>
    <w:rsid w:val="54993E2C"/>
    <w:rsid w:val="549C486F"/>
    <w:rsid w:val="549D3414"/>
    <w:rsid w:val="549E05E7"/>
    <w:rsid w:val="54A13E2A"/>
    <w:rsid w:val="54A6280A"/>
    <w:rsid w:val="54AB6860"/>
    <w:rsid w:val="54AC38E1"/>
    <w:rsid w:val="54AE3D6E"/>
    <w:rsid w:val="54AE4E22"/>
    <w:rsid w:val="54B020C8"/>
    <w:rsid w:val="54B238DF"/>
    <w:rsid w:val="54B25E40"/>
    <w:rsid w:val="54B41BB8"/>
    <w:rsid w:val="54B5164D"/>
    <w:rsid w:val="54B524CA"/>
    <w:rsid w:val="54B53515"/>
    <w:rsid w:val="54B6174C"/>
    <w:rsid w:val="54B67D37"/>
    <w:rsid w:val="54BE5910"/>
    <w:rsid w:val="54BE6593"/>
    <w:rsid w:val="54C16083"/>
    <w:rsid w:val="54C27686"/>
    <w:rsid w:val="54C36370"/>
    <w:rsid w:val="54C438A2"/>
    <w:rsid w:val="54C620F1"/>
    <w:rsid w:val="54C6369A"/>
    <w:rsid w:val="54C94402"/>
    <w:rsid w:val="54CA3F70"/>
    <w:rsid w:val="54CF254E"/>
    <w:rsid w:val="54D1276A"/>
    <w:rsid w:val="54D47B64"/>
    <w:rsid w:val="54D507A1"/>
    <w:rsid w:val="54D538DD"/>
    <w:rsid w:val="54D66671"/>
    <w:rsid w:val="54D74CD6"/>
    <w:rsid w:val="54D77655"/>
    <w:rsid w:val="54DA0EF3"/>
    <w:rsid w:val="54DD7B6A"/>
    <w:rsid w:val="54E16725"/>
    <w:rsid w:val="54E1724C"/>
    <w:rsid w:val="54E34B30"/>
    <w:rsid w:val="54E35FFA"/>
    <w:rsid w:val="54E64986"/>
    <w:rsid w:val="54E81862"/>
    <w:rsid w:val="54EA5427"/>
    <w:rsid w:val="54EA55DA"/>
    <w:rsid w:val="54EE5714"/>
    <w:rsid w:val="54F2448F"/>
    <w:rsid w:val="54F55D2D"/>
    <w:rsid w:val="54F629AF"/>
    <w:rsid w:val="54F72836"/>
    <w:rsid w:val="54F73313"/>
    <w:rsid w:val="54F80955"/>
    <w:rsid w:val="54F82492"/>
    <w:rsid w:val="54F90D84"/>
    <w:rsid w:val="54FB73B2"/>
    <w:rsid w:val="54FC530D"/>
    <w:rsid w:val="54FF1457"/>
    <w:rsid w:val="54FF3343"/>
    <w:rsid w:val="55007E3F"/>
    <w:rsid w:val="55020B76"/>
    <w:rsid w:val="5505193C"/>
    <w:rsid w:val="550652C6"/>
    <w:rsid w:val="550B5550"/>
    <w:rsid w:val="550C1C8F"/>
    <w:rsid w:val="550D0010"/>
    <w:rsid w:val="550D3E5C"/>
    <w:rsid w:val="55110F25"/>
    <w:rsid w:val="55137380"/>
    <w:rsid w:val="5518747A"/>
    <w:rsid w:val="551A1DAC"/>
    <w:rsid w:val="551B736A"/>
    <w:rsid w:val="551C150B"/>
    <w:rsid w:val="551C4E89"/>
    <w:rsid w:val="551C74FF"/>
    <w:rsid w:val="551E4E3D"/>
    <w:rsid w:val="551F0D56"/>
    <w:rsid w:val="5520294D"/>
    <w:rsid w:val="55202DAA"/>
    <w:rsid w:val="55207ED1"/>
    <w:rsid w:val="5521499D"/>
    <w:rsid w:val="5523289A"/>
    <w:rsid w:val="552A3313"/>
    <w:rsid w:val="552A50F6"/>
    <w:rsid w:val="552D00E4"/>
    <w:rsid w:val="552F56E3"/>
    <w:rsid w:val="552F7491"/>
    <w:rsid w:val="553036C3"/>
    <w:rsid w:val="55326F81"/>
    <w:rsid w:val="55327448"/>
    <w:rsid w:val="553309FD"/>
    <w:rsid w:val="55331EB6"/>
    <w:rsid w:val="553578E7"/>
    <w:rsid w:val="553D7E00"/>
    <w:rsid w:val="554051FA"/>
    <w:rsid w:val="554441E7"/>
    <w:rsid w:val="554747DA"/>
    <w:rsid w:val="554903B5"/>
    <w:rsid w:val="55491124"/>
    <w:rsid w:val="554C3B9F"/>
    <w:rsid w:val="554C7487"/>
    <w:rsid w:val="554F18E1"/>
    <w:rsid w:val="555170A7"/>
    <w:rsid w:val="55517407"/>
    <w:rsid w:val="5555393B"/>
    <w:rsid w:val="555A514E"/>
    <w:rsid w:val="556047F1"/>
    <w:rsid w:val="556233C2"/>
    <w:rsid w:val="55630EE8"/>
    <w:rsid w:val="55674E7D"/>
    <w:rsid w:val="556765F3"/>
    <w:rsid w:val="556B56D2"/>
    <w:rsid w:val="556C3EC5"/>
    <w:rsid w:val="556F5ADF"/>
    <w:rsid w:val="55700A00"/>
    <w:rsid w:val="557222BA"/>
    <w:rsid w:val="557355CF"/>
    <w:rsid w:val="557B4484"/>
    <w:rsid w:val="557B78A9"/>
    <w:rsid w:val="557D17B4"/>
    <w:rsid w:val="5583158B"/>
    <w:rsid w:val="55836CDE"/>
    <w:rsid w:val="558567F0"/>
    <w:rsid w:val="5587536D"/>
    <w:rsid w:val="558772CD"/>
    <w:rsid w:val="55883651"/>
    <w:rsid w:val="55884CDF"/>
    <w:rsid w:val="558F337B"/>
    <w:rsid w:val="559150ED"/>
    <w:rsid w:val="559460F2"/>
    <w:rsid w:val="55967510"/>
    <w:rsid w:val="55985036"/>
    <w:rsid w:val="55991562"/>
    <w:rsid w:val="559B174B"/>
    <w:rsid w:val="559B4E20"/>
    <w:rsid w:val="559D089E"/>
    <w:rsid w:val="559E63C4"/>
    <w:rsid w:val="559F2A5D"/>
    <w:rsid w:val="55A04B75"/>
    <w:rsid w:val="55A14D8C"/>
    <w:rsid w:val="55A25A4F"/>
    <w:rsid w:val="55A61C63"/>
    <w:rsid w:val="55A66F5D"/>
    <w:rsid w:val="55A751C7"/>
    <w:rsid w:val="55A75279"/>
    <w:rsid w:val="55AA13FC"/>
    <w:rsid w:val="55AC0AE1"/>
    <w:rsid w:val="55AE098D"/>
    <w:rsid w:val="55AE3AD6"/>
    <w:rsid w:val="55AE5FA6"/>
    <w:rsid w:val="55AE6607"/>
    <w:rsid w:val="55B1434A"/>
    <w:rsid w:val="55B17635"/>
    <w:rsid w:val="55B27587"/>
    <w:rsid w:val="55B42D67"/>
    <w:rsid w:val="55B55BE8"/>
    <w:rsid w:val="55B939DA"/>
    <w:rsid w:val="55B95F54"/>
    <w:rsid w:val="55BA13B7"/>
    <w:rsid w:val="55BA31FE"/>
    <w:rsid w:val="55BB0D24"/>
    <w:rsid w:val="55BB7B39"/>
    <w:rsid w:val="55BF0815"/>
    <w:rsid w:val="55C26132"/>
    <w:rsid w:val="55C341DA"/>
    <w:rsid w:val="55C65100"/>
    <w:rsid w:val="55CB4AF9"/>
    <w:rsid w:val="55CB540B"/>
    <w:rsid w:val="55CB5ED3"/>
    <w:rsid w:val="55CC0ABE"/>
    <w:rsid w:val="55CE0CF4"/>
    <w:rsid w:val="55CF657E"/>
    <w:rsid w:val="55D43B94"/>
    <w:rsid w:val="55D52547"/>
    <w:rsid w:val="55D760FD"/>
    <w:rsid w:val="55DB1CF4"/>
    <w:rsid w:val="55DB3175"/>
    <w:rsid w:val="55DD084F"/>
    <w:rsid w:val="55DD513F"/>
    <w:rsid w:val="55E145BE"/>
    <w:rsid w:val="55E65483"/>
    <w:rsid w:val="55EB123E"/>
    <w:rsid w:val="55EB3A4C"/>
    <w:rsid w:val="55EC5382"/>
    <w:rsid w:val="55F83D27"/>
    <w:rsid w:val="55F9436D"/>
    <w:rsid w:val="55FA184D"/>
    <w:rsid w:val="55FA3400"/>
    <w:rsid w:val="55FD758F"/>
    <w:rsid w:val="55FF08BA"/>
    <w:rsid w:val="55FF423D"/>
    <w:rsid w:val="56000C0B"/>
    <w:rsid w:val="56003449"/>
    <w:rsid w:val="560426CB"/>
    <w:rsid w:val="56045DAB"/>
    <w:rsid w:val="56072502"/>
    <w:rsid w:val="560B702D"/>
    <w:rsid w:val="560C332E"/>
    <w:rsid w:val="560C6F4D"/>
    <w:rsid w:val="560D0885"/>
    <w:rsid w:val="560E18B8"/>
    <w:rsid w:val="560E7608"/>
    <w:rsid w:val="560F3C27"/>
    <w:rsid w:val="56116B96"/>
    <w:rsid w:val="5618214D"/>
    <w:rsid w:val="56184374"/>
    <w:rsid w:val="56187F25"/>
    <w:rsid w:val="56195611"/>
    <w:rsid w:val="561B59EB"/>
    <w:rsid w:val="561C787C"/>
    <w:rsid w:val="561D3432"/>
    <w:rsid w:val="561D371C"/>
    <w:rsid w:val="561D553B"/>
    <w:rsid w:val="56222349"/>
    <w:rsid w:val="56240FB7"/>
    <w:rsid w:val="562570A6"/>
    <w:rsid w:val="56284C34"/>
    <w:rsid w:val="562860D0"/>
    <w:rsid w:val="5629377A"/>
    <w:rsid w:val="562B41D1"/>
    <w:rsid w:val="562F3EBC"/>
    <w:rsid w:val="563026EF"/>
    <w:rsid w:val="56324007"/>
    <w:rsid w:val="56327239"/>
    <w:rsid w:val="56332FB1"/>
    <w:rsid w:val="56336B0D"/>
    <w:rsid w:val="56352885"/>
    <w:rsid w:val="563775D3"/>
    <w:rsid w:val="563F3AFC"/>
    <w:rsid w:val="5641747C"/>
    <w:rsid w:val="56431446"/>
    <w:rsid w:val="56446F6C"/>
    <w:rsid w:val="5645111A"/>
    <w:rsid w:val="5647080A"/>
    <w:rsid w:val="56494582"/>
    <w:rsid w:val="565151E5"/>
    <w:rsid w:val="56552316"/>
    <w:rsid w:val="56552F27"/>
    <w:rsid w:val="56586573"/>
    <w:rsid w:val="565C6CE2"/>
    <w:rsid w:val="565D002E"/>
    <w:rsid w:val="5661649F"/>
    <w:rsid w:val="566273F2"/>
    <w:rsid w:val="56674A08"/>
    <w:rsid w:val="56686DD2"/>
    <w:rsid w:val="566E6D5A"/>
    <w:rsid w:val="56707D61"/>
    <w:rsid w:val="56746F25"/>
    <w:rsid w:val="56797D13"/>
    <w:rsid w:val="567C04B4"/>
    <w:rsid w:val="567E4136"/>
    <w:rsid w:val="56811B04"/>
    <w:rsid w:val="56840B64"/>
    <w:rsid w:val="56847368"/>
    <w:rsid w:val="56856325"/>
    <w:rsid w:val="56887384"/>
    <w:rsid w:val="56890E23"/>
    <w:rsid w:val="568D469A"/>
    <w:rsid w:val="568E2847"/>
    <w:rsid w:val="56905D0D"/>
    <w:rsid w:val="56923A7D"/>
    <w:rsid w:val="56925F29"/>
    <w:rsid w:val="56935CDD"/>
    <w:rsid w:val="56982F01"/>
    <w:rsid w:val="569A63F6"/>
    <w:rsid w:val="569D0262"/>
    <w:rsid w:val="569D0731"/>
    <w:rsid w:val="56A1066D"/>
    <w:rsid w:val="56A17F1A"/>
    <w:rsid w:val="56A3023E"/>
    <w:rsid w:val="56A37D10"/>
    <w:rsid w:val="56A65531"/>
    <w:rsid w:val="56A80C28"/>
    <w:rsid w:val="56AA2922"/>
    <w:rsid w:val="56AB6FEB"/>
    <w:rsid w:val="56AD2D63"/>
    <w:rsid w:val="56AD4336"/>
    <w:rsid w:val="56AD525F"/>
    <w:rsid w:val="56AF005E"/>
    <w:rsid w:val="56AF14CB"/>
    <w:rsid w:val="56B01291"/>
    <w:rsid w:val="56B22A9C"/>
    <w:rsid w:val="56B23D6F"/>
    <w:rsid w:val="56B36C60"/>
    <w:rsid w:val="56B508FF"/>
    <w:rsid w:val="56B57E6A"/>
    <w:rsid w:val="56B709A2"/>
    <w:rsid w:val="56B92473"/>
    <w:rsid w:val="56BC36A2"/>
    <w:rsid w:val="56BD287A"/>
    <w:rsid w:val="56BF65F2"/>
    <w:rsid w:val="56C360E3"/>
    <w:rsid w:val="56C8650A"/>
    <w:rsid w:val="56CD51B3"/>
    <w:rsid w:val="56D13863"/>
    <w:rsid w:val="56D7393C"/>
    <w:rsid w:val="56D833AA"/>
    <w:rsid w:val="56DA09D8"/>
    <w:rsid w:val="56DA151A"/>
    <w:rsid w:val="56DF56F7"/>
    <w:rsid w:val="56E16569"/>
    <w:rsid w:val="56E21976"/>
    <w:rsid w:val="56E66275"/>
    <w:rsid w:val="56E765CE"/>
    <w:rsid w:val="56EA7B13"/>
    <w:rsid w:val="56EA7D17"/>
    <w:rsid w:val="56EC158B"/>
    <w:rsid w:val="56EC16BC"/>
    <w:rsid w:val="56ED0EC5"/>
    <w:rsid w:val="56EE61CB"/>
    <w:rsid w:val="56EE6EBD"/>
    <w:rsid w:val="56EF512A"/>
    <w:rsid w:val="56F1419A"/>
    <w:rsid w:val="56F40432"/>
    <w:rsid w:val="56F87BDE"/>
    <w:rsid w:val="56F94E12"/>
    <w:rsid w:val="56FA6D34"/>
    <w:rsid w:val="56FC6DC2"/>
    <w:rsid w:val="56FD0782"/>
    <w:rsid w:val="56FF338A"/>
    <w:rsid w:val="571056BB"/>
    <w:rsid w:val="57107EAC"/>
    <w:rsid w:val="571140F1"/>
    <w:rsid w:val="5711709A"/>
    <w:rsid w:val="57120E18"/>
    <w:rsid w:val="571905EA"/>
    <w:rsid w:val="571C3A45"/>
    <w:rsid w:val="571E4B77"/>
    <w:rsid w:val="571F749B"/>
    <w:rsid w:val="57203535"/>
    <w:rsid w:val="57207153"/>
    <w:rsid w:val="572144E3"/>
    <w:rsid w:val="572172AD"/>
    <w:rsid w:val="57247A0D"/>
    <w:rsid w:val="572746C7"/>
    <w:rsid w:val="572A43B4"/>
    <w:rsid w:val="572A52E7"/>
    <w:rsid w:val="572C0D39"/>
    <w:rsid w:val="572F4088"/>
    <w:rsid w:val="5731402B"/>
    <w:rsid w:val="573214BA"/>
    <w:rsid w:val="57332B6C"/>
    <w:rsid w:val="57366D5F"/>
    <w:rsid w:val="57384EA2"/>
    <w:rsid w:val="573A0AD0"/>
    <w:rsid w:val="573A56B8"/>
    <w:rsid w:val="573B6FBA"/>
    <w:rsid w:val="573D6EB5"/>
    <w:rsid w:val="574014E1"/>
    <w:rsid w:val="57407F61"/>
    <w:rsid w:val="574134AB"/>
    <w:rsid w:val="5741351C"/>
    <w:rsid w:val="574222A7"/>
    <w:rsid w:val="57457141"/>
    <w:rsid w:val="57460AC2"/>
    <w:rsid w:val="574B37AD"/>
    <w:rsid w:val="574B760E"/>
    <w:rsid w:val="574D46A5"/>
    <w:rsid w:val="574E7D3B"/>
    <w:rsid w:val="574F01C4"/>
    <w:rsid w:val="57522FFB"/>
    <w:rsid w:val="57533379"/>
    <w:rsid w:val="575431DF"/>
    <w:rsid w:val="57544F8D"/>
    <w:rsid w:val="575700B9"/>
    <w:rsid w:val="57572CCF"/>
    <w:rsid w:val="57596A47"/>
    <w:rsid w:val="576113C5"/>
    <w:rsid w:val="5765410E"/>
    <w:rsid w:val="576A2A02"/>
    <w:rsid w:val="576B70C4"/>
    <w:rsid w:val="576D42A0"/>
    <w:rsid w:val="576D7A60"/>
    <w:rsid w:val="577100D0"/>
    <w:rsid w:val="577132BE"/>
    <w:rsid w:val="577467E6"/>
    <w:rsid w:val="577675F9"/>
    <w:rsid w:val="57770C7B"/>
    <w:rsid w:val="577B69BD"/>
    <w:rsid w:val="577C4002"/>
    <w:rsid w:val="577F1E04"/>
    <w:rsid w:val="57803FD4"/>
    <w:rsid w:val="57805D82"/>
    <w:rsid w:val="578540DD"/>
    <w:rsid w:val="5786145F"/>
    <w:rsid w:val="578735B4"/>
    <w:rsid w:val="57875362"/>
    <w:rsid w:val="578A4E52"/>
    <w:rsid w:val="578C2C2C"/>
    <w:rsid w:val="578F4217"/>
    <w:rsid w:val="57954314"/>
    <w:rsid w:val="57983F44"/>
    <w:rsid w:val="5799351D"/>
    <w:rsid w:val="579A75FD"/>
    <w:rsid w:val="579B1288"/>
    <w:rsid w:val="579B6B27"/>
    <w:rsid w:val="579D6934"/>
    <w:rsid w:val="57A06424"/>
    <w:rsid w:val="57A203EE"/>
    <w:rsid w:val="57A34050"/>
    <w:rsid w:val="57A5170F"/>
    <w:rsid w:val="57A777B2"/>
    <w:rsid w:val="57A902FE"/>
    <w:rsid w:val="57A91116"/>
    <w:rsid w:val="57A9177C"/>
    <w:rsid w:val="57AA79A3"/>
    <w:rsid w:val="57B036AB"/>
    <w:rsid w:val="57B23025"/>
    <w:rsid w:val="57B25FFD"/>
    <w:rsid w:val="57B6568C"/>
    <w:rsid w:val="57B72A76"/>
    <w:rsid w:val="57B813CA"/>
    <w:rsid w:val="57B8376D"/>
    <w:rsid w:val="57B95737"/>
    <w:rsid w:val="57BB680E"/>
    <w:rsid w:val="57BF1470"/>
    <w:rsid w:val="57C04805"/>
    <w:rsid w:val="57C064D8"/>
    <w:rsid w:val="57C10041"/>
    <w:rsid w:val="57C12213"/>
    <w:rsid w:val="57C245EC"/>
    <w:rsid w:val="57C3426C"/>
    <w:rsid w:val="57C5380E"/>
    <w:rsid w:val="57C64A8F"/>
    <w:rsid w:val="57CA1CC6"/>
    <w:rsid w:val="57CA5802"/>
    <w:rsid w:val="57CE1F93"/>
    <w:rsid w:val="57CE2F91"/>
    <w:rsid w:val="57CE6BC2"/>
    <w:rsid w:val="57CF67EF"/>
    <w:rsid w:val="57D03CA4"/>
    <w:rsid w:val="57D14342"/>
    <w:rsid w:val="57D16A9C"/>
    <w:rsid w:val="57D305A7"/>
    <w:rsid w:val="57D51EFE"/>
    <w:rsid w:val="57D52B76"/>
    <w:rsid w:val="57D678F7"/>
    <w:rsid w:val="57D744C3"/>
    <w:rsid w:val="57D83E10"/>
    <w:rsid w:val="57D91936"/>
    <w:rsid w:val="57DA163A"/>
    <w:rsid w:val="57DA27E1"/>
    <w:rsid w:val="57DE2D30"/>
    <w:rsid w:val="57E44562"/>
    <w:rsid w:val="57E500DC"/>
    <w:rsid w:val="57E65C7B"/>
    <w:rsid w:val="57E74053"/>
    <w:rsid w:val="57E82A8B"/>
    <w:rsid w:val="57E9477A"/>
    <w:rsid w:val="57EA2456"/>
    <w:rsid w:val="57EC1669"/>
    <w:rsid w:val="57EC3417"/>
    <w:rsid w:val="57EC509F"/>
    <w:rsid w:val="57F01FFF"/>
    <w:rsid w:val="57F052E1"/>
    <w:rsid w:val="57F52B5F"/>
    <w:rsid w:val="57F52B8F"/>
    <w:rsid w:val="57F66044"/>
    <w:rsid w:val="57F97641"/>
    <w:rsid w:val="57FA1FD8"/>
    <w:rsid w:val="57FA28CF"/>
    <w:rsid w:val="57FA3D86"/>
    <w:rsid w:val="57FC42E6"/>
    <w:rsid w:val="57FC52CB"/>
    <w:rsid w:val="57FD5624"/>
    <w:rsid w:val="57FD7031"/>
    <w:rsid w:val="57FE0E61"/>
    <w:rsid w:val="57FF4EDB"/>
    <w:rsid w:val="58004F64"/>
    <w:rsid w:val="58007CE8"/>
    <w:rsid w:val="580249E9"/>
    <w:rsid w:val="58090A34"/>
    <w:rsid w:val="58091BF8"/>
    <w:rsid w:val="5809221B"/>
    <w:rsid w:val="58092D4F"/>
    <w:rsid w:val="580C1425"/>
    <w:rsid w:val="580D3E2E"/>
    <w:rsid w:val="58112E7E"/>
    <w:rsid w:val="581308F0"/>
    <w:rsid w:val="5814261D"/>
    <w:rsid w:val="58180BB5"/>
    <w:rsid w:val="58191B8F"/>
    <w:rsid w:val="58192A3D"/>
    <w:rsid w:val="581A61D6"/>
    <w:rsid w:val="581A7F84"/>
    <w:rsid w:val="581C4F82"/>
    <w:rsid w:val="5825620B"/>
    <w:rsid w:val="582E5B17"/>
    <w:rsid w:val="58315B41"/>
    <w:rsid w:val="5832292E"/>
    <w:rsid w:val="58386756"/>
    <w:rsid w:val="58395194"/>
    <w:rsid w:val="583E0693"/>
    <w:rsid w:val="583E6A25"/>
    <w:rsid w:val="5842572D"/>
    <w:rsid w:val="584630F4"/>
    <w:rsid w:val="584B2834"/>
    <w:rsid w:val="584C7F00"/>
    <w:rsid w:val="584E26C1"/>
    <w:rsid w:val="584E7C2E"/>
    <w:rsid w:val="58501BF8"/>
    <w:rsid w:val="585047E3"/>
    <w:rsid w:val="58507E4A"/>
    <w:rsid w:val="58515970"/>
    <w:rsid w:val="5853793A"/>
    <w:rsid w:val="585711D8"/>
    <w:rsid w:val="58577357"/>
    <w:rsid w:val="58580AAD"/>
    <w:rsid w:val="58595AF8"/>
    <w:rsid w:val="58597584"/>
    <w:rsid w:val="585A4825"/>
    <w:rsid w:val="585C67EF"/>
    <w:rsid w:val="585D0537"/>
    <w:rsid w:val="585D7196"/>
    <w:rsid w:val="585E661D"/>
    <w:rsid w:val="58615BB3"/>
    <w:rsid w:val="58627B48"/>
    <w:rsid w:val="58630BE7"/>
    <w:rsid w:val="586448D5"/>
    <w:rsid w:val="586631C9"/>
    <w:rsid w:val="586A2E51"/>
    <w:rsid w:val="586B7314"/>
    <w:rsid w:val="586C0B52"/>
    <w:rsid w:val="586D09FC"/>
    <w:rsid w:val="586F23FF"/>
    <w:rsid w:val="586F74D3"/>
    <w:rsid w:val="58705CD7"/>
    <w:rsid w:val="58766EA9"/>
    <w:rsid w:val="587E4D31"/>
    <w:rsid w:val="58820B7D"/>
    <w:rsid w:val="58823D7B"/>
    <w:rsid w:val="58866E9B"/>
    <w:rsid w:val="588743D1"/>
    <w:rsid w:val="5887701A"/>
    <w:rsid w:val="58886820"/>
    <w:rsid w:val="588907E0"/>
    <w:rsid w:val="58892D9A"/>
    <w:rsid w:val="588B47DD"/>
    <w:rsid w:val="588E4261"/>
    <w:rsid w:val="5891480F"/>
    <w:rsid w:val="58937D37"/>
    <w:rsid w:val="589870FB"/>
    <w:rsid w:val="58987F4D"/>
    <w:rsid w:val="589A2E73"/>
    <w:rsid w:val="589A4A4F"/>
    <w:rsid w:val="589F1C1B"/>
    <w:rsid w:val="589F492D"/>
    <w:rsid w:val="58A2499B"/>
    <w:rsid w:val="58A46136"/>
    <w:rsid w:val="58A47A5D"/>
    <w:rsid w:val="58A75253"/>
    <w:rsid w:val="58A77D02"/>
    <w:rsid w:val="58A837E2"/>
    <w:rsid w:val="58AA6100"/>
    <w:rsid w:val="58AB5622"/>
    <w:rsid w:val="58AC2BA6"/>
    <w:rsid w:val="58AC4285"/>
    <w:rsid w:val="58B06230"/>
    <w:rsid w:val="58B06B3A"/>
    <w:rsid w:val="58B273DC"/>
    <w:rsid w:val="58B32187"/>
    <w:rsid w:val="58B65955"/>
    <w:rsid w:val="58B73A25"/>
    <w:rsid w:val="58BB00C2"/>
    <w:rsid w:val="58BC2163"/>
    <w:rsid w:val="58C0554D"/>
    <w:rsid w:val="58C0608E"/>
    <w:rsid w:val="58C22475"/>
    <w:rsid w:val="58C77DF0"/>
    <w:rsid w:val="58CA7BFC"/>
    <w:rsid w:val="58CE0B46"/>
    <w:rsid w:val="58D11E96"/>
    <w:rsid w:val="58D2260D"/>
    <w:rsid w:val="58D371DB"/>
    <w:rsid w:val="58D42829"/>
    <w:rsid w:val="58D5034F"/>
    <w:rsid w:val="58D8399B"/>
    <w:rsid w:val="58DC713D"/>
    <w:rsid w:val="58DF4E52"/>
    <w:rsid w:val="58E10AA2"/>
    <w:rsid w:val="58E32841"/>
    <w:rsid w:val="58E32A6C"/>
    <w:rsid w:val="58E61872"/>
    <w:rsid w:val="58EA204C"/>
    <w:rsid w:val="58EA7712"/>
    <w:rsid w:val="58EC4342"/>
    <w:rsid w:val="58F033DB"/>
    <w:rsid w:val="58F122A7"/>
    <w:rsid w:val="58F217B1"/>
    <w:rsid w:val="58F50D38"/>
    <w:rsid w:val="58F73C2C"/>
    <w:rsid w:val="58F76517"/>
    <w:rsid w:val="58FA7DB6"/>
    <w:rsid w:val="58FC036E"/>
    <w:rsid w:val="58FC17B1"/>
    <w:rsid w:val="58FC1F93"/>
    <w:rsid w:val="58FC32E8"/>
    <w:rsid w:val="58FC58DC"/>
    <w:rsid w:val="58FF64E8"/>
    <w:rsid w:val="5900361E"/>
    <w:rsid w:val="5901420E"/>
    <w:rsid w:val="59015FE3"/>
    <w:rsid w:val="5903129B"/>
    <w:rsid w:val="590947BC"/>
    <w:rsid w:val="59097FF9"/>
    <w:rsid w:val="590C4B32"/>
    <w:rsid w:val="590D5D3B"/>
    <w:rsid w:val="590E18D8"/>
    <w:rsid w:val="590F022E"/>
    <w:rsid w:val="590F5DD5"/>
    <w:rsid w:val="591016AB"/>
    <w:rsid w:val="59121877"/>
    <w:rsid w:val="5915699E"/>
    <w:rsid w:val="591748AF"/>
    <w:rsid w:val="59181E06"/>
    <w:rsid w:val="5919023C"/>
    <w:rsid w:val="591D0760"/>
    <w:rsid w:val="59207B9B"/>
    <w:rsid w:val="59215926"/>
    <w:rsid w:val="59230CE9"/>
    <w:rsid w:val="59257FE9"/>
    <w:rsid w:val="59266DFD"/>
    <w:rsid w:val="59271D9C"/>
    <w:rsid w:val="59281F8A"/>
    <w:rsid w:val="592B33FC"/>
    <w:rsid w:val="592B356A"/>
    <w:rsid w:val="592B61C1"/>
    <w:rsid w:val="592E6C06"/>
    <w:rsid w:val="592F3F03"/>
    <w:rsid w:val="593121B4"/>
    <w:rsid w:val="59314365"/>
    <w:rsid w:val="59316AF8"/>
    <w:rsid w:val="593212FE"/>
    <w:rsid w:val="59350DEE"/>
    <w:rsid w:val="59367040"/>
    <w:rsid w:val="59372DB8"/>
    <w:rsid w:val="5938771A"/>
    <w:rsid w:val="59391C91"/>
    <w:rsid w:val="593C582B"/>
    <w:rsid w:val="593E7CA2"/>
    <w:rsid w:val="593F5612"/>
    <w:rsid w:val="59410EED"/>
    <w:rsid w:val="594279E0"/>
    <w:rsid w:val="59436F4D"/>
    <w:rsid w:val="59440756"/>
    <w:rsid w:val="59441031"/>
    <w:rsid w:val="5945356F"/>
    <w:rsid w:val="5949410C"/>
    <w:rsid w:val="59495168"/>
    <w:rsid w:val="594B3E71"/>
    <w:rsid w:val="594D25DB"/>
    <w:rsid w:val="594D6137"/>
    <w:rsid w:val="594F0101"/>
    <w:rsid w:val="594F3C5E"/>
    <w:rsid w:val="595474C6"/>
    <w:rsid w:val="59561AE4"/>
    <w:rsid w:val="59566980"/>
    <w:rsid w:val="59570D64"/>
    <w:rsid w:val="59576FB6"/>
    <w:rsid w:val="595924F8"/>
    <w:rsid w:val="595B766F"/>
    <w:rsid w:val="595D399C"/>
    <w:rsid w:val="595F036C"/>
    <w:rsid w:val="59601123"/>
    <w:rsid w:val="59603342"/>
    <w:rsid w:val="5960775C"/>
    <w:rsid w:val="59630B6C"/>
    <w:rsid w:val="59631FDE"/>
    <w:rsid w:val="5966544B"/>
    <w:rsid w:val="59675A35"/>
    <w:rsid w:val="596811C3"/>
    <w:rsid w:val="59685CFF"/>
    <w:rsid w:val="596D0588"/>
    <w:rsid w:val="59723DF0"/>
    <w:rsid w:val="59725073"/>
    <w:rsid w:val="5976318A"/>
    <w:rsid w:val="597B5200"/>
    <w:rsid w:val="597E77D3"/>
    <w:rsid w:val="598239FE"/>
    <w:rsid w:val="5983522D"/>
    <w:rsid w:val="59875EC5"/>
    <w:rsid w:val="598A113A"/>
    <w:rsid w:val="598B6C60"/>
    <w:rsid w:val="598C4EB2"/>
    <w:rsid w:val="598D671F"/>
    <w:rsid w:val="5991071A"/>
    <w:rsid w:val="59914276"/>
    <w:rsid w:val="5999137D"/>
    <w:rsid w:val="59993174"/>
    <w:rsid w:val="59A02823"/>
    <w:rsid w:val="59A044B9"/>
    <w:rsid w:val="59A13915"/>
    <w:rsid w:val="59A26483"/>
    <w:rsid w:val="59A3044D"/>
    <w:rsid w:val="59A46A50"/>
    <w:rsid w:val="59A512FF"/>
    <w:rsid w:val="59A87E76"/>
    <w:rsid w:val="59AA1C48"/>
    <w:rsid w:val="59AA4011"/>
    <w:rsid w:val="59AC5050"/>
    <w:rsid w:val="59AE62B6"/>
    <w:rsid w:val="59B12B6A"/>
    <w:rsid w:val="59B14918"/>
    <w:rsid w:val="59B26D28"/>
    <w:rsid w:val="59B424E7"/>
    <w:rsid w:val="59C0439F"/>
    <w:rsid w:val="59C13E89"/>
    <w:rsid w:val="59C26B97"/>
    <w:rsid w:val="59C27460"/>
    <w:rsid w:val="59C3464B"/>
    <w:rsid w:val="59C52172"/>
    <w:rsid w:val="59C53499"/>
    <w:rsid w:val="59C54F28"/>
    <w:rsid w:val="59C5512D"/>
    <w:rsid w:val="59C96A79"/>
    <w:rsid w:val="59CB1CDD"/>
    <w:rsid w:val="59CB7401"/>
    <w:rsid w:val="59CC3500"/>
    <w:rsid w:val="59CE1B50"/>
    <w:rsid w:val="59CE54CA"/>
    <w:rsid w:val="59CE7D0B"/>
    <w:rsid w:val="59CF119B"/>
    <w:rsid w:val="59D3226B"/>
    <w:rsid w:val="59D70503"/>
    <w:rsid w:val="59D878F6"/>
    <w:rsid w:val="59D91166"/>
    <w:rsid w:val="59D95C1D"/>
    <w:rsid w:val="59DA2D7C"/>
    <w:rsid w:val="59DA62AE"/>
    <w:rsid w:val="59E13BDC"/>
    <w:rsid w:val="59E20F76"/>
    <w:rsid w:val="59E24AD2"/>
    <w:rsid w:val="59E36089"/>
    <w:rsid w:val="59E36A9C"/>
    <w:rsid w:val="59E56843"/>
    <w:rsid w:val="59E82926"/>
    <w:rsid w:val="59E854F3"/>
    <w:rsid w:val="59E958B9"/>
    <w:rsid w:val="59EF3E31"/>
    <w:rsid w:val="59F05952"/>
    <w:rsid w:val="59F1740B"/>
    <w:rsid w:val="59F45643"/>
    <w:rsid w:val="59F51CC5"/>
    <w:rsid w:val="59F64A21"/>
    <w:rsid w:val="59F83946"/>
    <w:rsid w:val="59F842F5"/>
    <w:rsid w:val="59FB3DE5"/>
    <w:rsid w:val="59FC2766"/>
    <w:rsid w:val="5A025174"/>
    <w:rsid w:val="5A054A3C"/>
    <w:rsid w:val="5A056A12"/>
    <w:rsid w:val="5A061797"/>
    <w:rsid w:val="5A0815C1"/>
    <w:rsid w:val="5A093F52"/>
    <w:rsid w:val="5A0C5FF2"/>
    <w:rsid w:val="5A0E481F"/>
    <w:rsid w:val="5A103E85"/>
    <w:rsid w:val="5A105AE3"/>
    <w:rsid w:val="5A113609"/>
    <w:rsid w:val="5A117165"/>
    <w:rsid w:val="5A126C11"/>
    <w:rsid w:val="5A1629CD"/>
    <w:rsid w:val="5A1B253F"/>
    <w:rsid w:val="5A1C2B39"/>
    <w:rsid w:val="5A1D18EA"/>
    <w:rsid w:val="5A2570B4"/>
    <w:rsid w:val="5A2901F4"/>
    <w:rsid w:val="5A2A0227"/>
    <w:rsid w:val="5A2A10AB"/>
    <w:rsid w:val="5A2D2A6A"/>
    <w:rsid w:val="5A2E4AB3"/>
    <w:rsid w:val="5A2E7D17"/>
    <w:rsid w:val="5A33357F"/>
    <w:rsid w:val="5A33532D"/>
    <w:rsid w:val="5A38010A"/>
    <w:rsid w:val="5A3A15EA"/>
    <w:rsid w:val="5A44753A"/>
    <w:rsid w:val="5A4C4641"/>
    <w:rsid w:val="5A4D7D58"/>
    <w:rsid w:val="5A4E660B"/>
    <w:rsid w:val="5A552B2A"/>
    <w:rsid w:val="5A580AA5"/>
    <w:rsid w:val="5A592374"/>
    <w:rsid w:val="5A5A7B1B"/>
    <w:rsid w:val="5A5C0DF8"/>
    <w:rsid w:val="5A5C69D5"/>
    <w:rsid w:val="5A605FBD"/>
    <w:rsid w:val="5A624D7A"/>
    <w:rsid w:val="5A635A00"/>
    <w:rsid w:val="5A636759"/>
    <w:rsid w:val="5A647BDD"/>
    <w:rsid w:val="5A650C89"/>
    <w:rsid w:val="5A655703"/>
    <w:rsid w:val="5A663955"/>
    <w:rsid w:val="5A6776CD"/>
    <w:rsid w:val="5A6D3BD0"/>
    <w:rsid w:val="5A6E0A5B"/>
    <w:rsid w:val="5A7122F9"/>
    <w:rsid w:val="5A731A28"/>
    <w:rsid w:val="5A750133"/>
    <w:rsid w:val="5A76305A"/>
    <w:rsid w:val="5A79266F"/>
    <w:rsid w:val="5A7A11AE"/>
    <w:rsid w:val="5A7B0A82"/>
    <w:rsid w:val="5A7B6CD4"/>
    <w:rsid w:val="5A7D47FA"/>
    <w:rsid w:val="5A7D5455"/>
    <w:rsid w:val="5A8113F3"/>
    <w:rsid w:val="5A853638"/>
    <w:rsid w:val="5A873767"/>
    <w:rsid w:val="5A8A41E0"/>
    <w:rsid w:val="5A8D69CD"/>
    <w:rsid w:val="5A902780"/>
    <w:rsid w:val="5A90452E"/>
    <w:rsid w:val="5A910CA3"/>
    <w:rsid w:val="5A92474A"/>
    <w:rsid w:val="5A93183B"/>
    <w:rsid w:val="5A9467EA"/>
    <w:rsid w:val="5A960F77"/>
    <w:rsid w:val="5A983A1F"/>
    <w:rsid w:val="5A987886"/>
    <w:rsid w:val="5A9B3007"/>
    <w:rsid w:val="5A9B431A"/>
    <w:rsid w:val="5A9C51DA"/>
    <w:rsid w:val="5A9C7414"/>
    <w:rsid w:val="5A9F29C3"/>
    <w:rsid w:val="5A9F4096"/>
    <w:rsid w:val="5A9F6E67"/>
    <w:rsid w:val="5AA17030"/>
    <w:rsid w:val="5AA22116"/>
    <w:rsid w:val="5AA27CBA"/>
    <w:rsid w:val="5AA47FD9"/>
    <w:rsid w:val="5AA601F5"/>
    <w:rsid w:val="5AA71877"/>
    <w:rsid w:val="5AA75D1B"/>
    <w:rsid w:val="5AA81FFE"/>
    <w:rsid w:val="5AA91A93"/>
    <w:rsid w:val="5AA96AA2"/>
    <w:rsid w:val="5AAB1367"/>
    <w:rsid w:val="5AB02022"/>
    <w:rsid w:val="5AB12D79"/>
    <w:rsid w:val="5AB343F6"/>
    <w:rsid w:val="5AB622D0"/>
    <w:rsid w:val="5AB83A84"/>
    <w:rsid w:val="5ABA672F"/>
    <w:rsid w:val="5ABB6C46"/>
    <w:rsid w:val="5ABC5071"/>
    <w:rsid w:val="5ABD109B"/>
    <w:rsid w:val="5ABE2233"/>
    <w:rsid w:val="5ABF3065"/>
    <w:rsid w:val="5AC004A4"/>
    <w:rsid w:val="5AC16DDD"/>
    <w:rsid w:val="5AC3494E"/>
    <w:rsid w:val="5AC465D5"/>
    <w:rsid w:val="5AC54FBE"/>
    <w:rsid w:val="5AC575B3"/>
    <w:rsid w:val="5AC65BD0"/>
    <w:rsid w:val="5AC71F19"/>
    <w:rsid w:val="5AC73CC7"/>
    <w:rsid w:val="5AC8016B"/>
    <w:rsid w:val="5AC909C6"/>
    <w:rsid w:val="5ACB1A0A"/>
    <w:rsid w:val="5ACD5782"/>
    <w:rsid w:val="5AD05272"/>
    <w:rsid w:val="5AD275B0"/>
    <w:rsid w:val="5AD70459"/>
    <w:rsid w:val="5AD916A7"/>
    <w:rsid w:val="5ADF1011"/>
    <w:rsid w:val="5ADF7004"/>
    <w:rsid w:val="5AE44879"/>
    <w:rsid w:val="5AE64A95"/>
    <w:rsid w:val="5AE658FA"/>
    <w:rsid w:val="5AE73720"/>
    <w:rsid w:val="5AE8436A"/>
    <w:rsid w:val="5AE90D9A"/>
    <w:rsid w:val="5AEE1EC3"/>
    <w:rsid w:val="5AEE56F8"/>
    <w:rsid w:val="5AEE6C4B"/>
    <w:rsid w:val="5AF246FF"/>
    <w:rsid w:val="5AF30F60"/>
    <w:rsid w:val="5AF3186C"/>
    <w:rsid w:val="5AF34ABD"/>
    <w:rsid w:val="5AF37AEF"/>
    <w:rsid w:val="5AF436ED"/>
    <w:rsid w:val="5AF546C6"/>
    <w:rsid w:val="5AF54CD9"/>
    <w:rsid w:val="5AF56A87"/>
    <w:rsid w:val="5AF97F2F"/>
    <w:rsid w:val="5AFD533D"/>
    <w:rsid w:val="5AFE3C53"/>
    <w:rsid w:val="5AFE7C86"/>
    <w:rsid w:val="5B001F1E"/>
    <w:rsid w:val="5B01367D"/>
    <w:rsid w:val="5B022F52"/>
    <w:rsid w:val="5B03588E"/>
    <w:rsid w:val="5B0373F5"/>
    <w:rsid w:val="5B04129F"/>
    <w:rsid w:val="5B0501ED"/>
    <w:rsid w:val="5B05492C"/>
    <w:rsid w:val="5B0857C3"/>
    <w:rsid w:val="5B0B0058"/>
    <w:rsid w:val="5B0B44FC"/>
    <w:rsid w:val="5B0C1140"/>
    <w:rsid w:val="5B0C7282"/>
    <w:rsid w:val="5B0E69BC"/>
    <w:rsid w:val="5B0F0179"/>
    <w:rsid w:val="5B0F5D9A"/>
    <w:rsid w:val="5B1138D1"/>
    <w:rsid w:val="5B123741"/>
    <w:rsid w:val="5B12588A"/>
    <w:rsid w:val="5B130201"/>
    <w:rsid w:val="5B135B3A"/>
    <w:rsid w:val="5B160204"/>
    <w:rsid w:val="5B161E8F"/>
    <w:rsid w:val="5B164920"/>
    <w:rsid w:val="5B1A64ED"/>
    <w:rsid w:val="5B1D0AF7"/>
    <w:rsid w:val="5B1D7019"/>
    <w:rsid w:val="5B222C0B"/>
    <w:rsid w:val="5B2353A2"/>
    <w:rsid w:val="5B242EC8"/>
    <w:rsid w:val="5B294B97"/>
    <w:rsid w:val="5B2B15D2"/>
    <w:rsid w:val="5B2B7848"/>
    <w:rsid w:val="5B2D56CE"/>
    <w:rsid w:val="5B312070"/>
    <w:rsid w:val="5B3255E5"/>
    <w:rsid w:val="5B325CC6"/>
    <w:rsid w:val="5B332C7D"/>
    <w:rsid w:val="5B3427E5"/>
    <w:rsid w:val="5B354F25"/>
    <w:rsid w:val="5B362AEC"/>
    <w:rsid w:val="5B3756A6"/>
    <w:rsid w:val="5B3827CA"/>
    <w:rsid w:val="5B3A093D"/>
    <w:rsid w:val="5B3A6B8F"/>
    <w:rsid w:val="5B3C1F9E"/>
    <w:rsid w:val="5B3E34DB"/>
    <w:rsid w:val="5B3F0565"/>
    <w:rsid w:val="5B4041A6"/>
    <w:rsid w:val="5B4B66A7"/>
    <w:rsid w:val="5B4D05B6"/>
    <w:rsid w:val="5B4D0671"/>
    <w:rsid w:val="5B4F3460"/>
    <w:rsid w:val="5B525F8D"/>
    <w:rsid w:val="5B534FFD"/>
    <w:rsid w:val="5B547C51"/>
    <w:rsid w:val="5B57504B"/>
    <w:rsid w:val="5B595267"/>
    <w:rsid w:val="5B597257"/>
    <w:rsid w:val="5B5A4B3C"/>
    <w:rsid w:val="5B5F2152"/>
    <w:rsid w:val="5B6065F6"/>
    <w:rsid w:val="5B615ECA"/>
    <w:rsid w:val="5B624BD6"/>
    <w:rsid w:val="5B6339F0"/>
    <w:rsid w:val="5B63518C"/>
    <w:rsid w:val="5B660743"/>
    <w:rsid w:val="5B6743A2"/>
    <w:rsid w:val="5B6A1223"/>
    <w:rsid w:val="5B6D42B8"/>
    <w:rsid w:val="5B6F05E7"/>
    <w:rsid w:val="5B705474"/>
    <w:rsid w:val="5B7421E7"/>
    <w:rsid w:val="5B742A38"/>
    <w:rsid w:val="5B767BC7"/>
    <w:rsid w:val="5B796D7E"/>
    <w:rsid w:val="5B7976B8"/>
    <w:rsid w:val="5B7B7633"/>
    <w:rsid w:val="5B7C66B3"/>
    <w:rsid w:val="5B7D1048"/>
    <w:rsid w:val="5B7E353F"/>
    <w:rsid w:val="5B8027F4"/>
    <w:rsid w:val="5B8259C5"/>
    <w:rsid w:val="5B863DB8"/>
    <w:rsid w:val="5B865931"/>
    <w:rsid w:val="5B896841"/>
    <w:rsid w:val="5B8A71CF"/>
    <w:rsid w:val="5B901E27"/>
    <w:rsid w:val="5B92040F"/>
    <w:rsid w:val="5B920B84"/>
    <w:rsid w:val="5B927902"/>
    <w:rsid w:val="5B940D88"/>
    <w:rsid w:val="5B96492F"/>
    <w:rsid w:val="5B994812"/>
    <w:rsid w:val="5B9B1FEF"/>
    <w:rsid w:val="5B9B6CC5"/>
    <w:rsid w:val="5B9D622C"/>
    <w:rsid w:val="5BA07F30"/>
    <w:rsid w:val="5BA434D8"/>
    <w:rsid w:val="5BA83421"/>
    <w:rsid w:val="5BA8378D"/>
    <w:rsid w:val="5BA9172E"/>
    <w:rsid w:val="5BAC183B"/>
    <w:rsid w:val="5BAD65FD"/>
    <w:rsid w:val="5BB151BE"/>
    <w:rsid w:val="5BB66779"/>
    <w:rsid w:val="5BB8011D"/>
    <w:rsid w:val="5BB80E0E"/>
    <w:rsid w:val="5BB97AB4"/>
    <w:rsid w:val="5BBC69C7"/>
    <w:rsid w:val="5BBD7BA1"/>
    <w:rsid w:val="5BC64E37"/>
    <w:rsid w:val="5BC70D5E"/>
    <w:rsid w:val="5BC70EBF"/>
    <w:rsid w:val="5BC8216B"/>
    <w:rsid w:val="5BC9329B"/>
    <w:rsid w:val="5BC951EA"/>
    <w:rsid w:val="5BCB77E7"/>
    <w:rsid w:val="5BCE5CAB"/>
    <w:rsid w:val="5BCF72D8"/>
    <w:rsid w:val="5BD40D92"/>
    <w:rsid w:val="5BD668B8"/>
    <w:rsid w:val="5BD90156"/>
    <w:rsid w:val="5BDB3ECE"/>
    <w:rsid w:val="5BDB5C7C"/>
    <w:rsid w:val="5BDF5D95"/>
    <w:rsid w:val="5BDF6832"/>
    <w:rsid w:val="5BE02448"/>
    <w:rsid w:val="5BE05F3D"/>
    <w:rsid w:val="5BE07C05"/>
    <w:rsid w:val="5BE30FD5"/>
    <w:rsid w:val="5BE4724E"/>
    <w:rsid w:val="5BE70AC5"/>
    <w:rsid w:val="5BE80DB0"/>
    <w:rsid w:val="5BEA154C"/>
    <w:rsid w:val="5BEA2363"/>
    <w:rsid w:val="5BEC0075"/>
    <w:rsid w:val="5BED3C02"/>
    <w:rsid w:val="5BED775E"/>
    <w:rsid w:val="5BF037E6"/>
    <w:rsid w:val="5BF162DE"/>
    <w:rsid w:val="5BF35CE7"/>
    <w:rsid w:val="5BF3746A"/>
    <w:rsid w:val="5BF44FEF"/>
    <w:rsid w:val="5BF46D3E"/>
    <w:rsid w:val="5BF602F2"/>
    <w:rsid w:val="5BFB07DF"/>
    <w:rsid w:val="5BFB1E60"/>
    <w:rsid w:val="5BFC5BF3"/>
    <w:rsid w:val="5BFD2097"/>
    <w:rsid w:val="5BFE63A9"/>
    <w:rsid w:val="5BFE7528"/>
    <w:rsid w:val="5BFE7BBD"/>
    <w:rsid w:val="5C0045AA"/>
    <w:rsid w:val="5C0101A7"/>
    <w:rsid w:val="5C02145B"/>
    <w:rsid w:val="5C035064"/>
    <w:rsid w:val="5C0443D6"/>
    <w:rsid w:val="5C073450"/>
    <w:rsid w:val="5C076A71"/>
    <w:rsid w:val="5C09633A"/>
    <w:rsid w:val="5C0A4169"/>
    <w:rsid w:val="5C0A47B4"/>
    <w:rsid w:val="5C0F3B78"/>
    <w:rsid w:val="5C0F4A78"/>
    <w:rsid w:val="5C112C8C"/>
    <w:rsid w:val="5C115F95"/>
    <w:rsid w:val="5C1369BE"/>
    <w:rsid w:val="5C1631F6"/>
    <w:rsid w:val="5C1632B8"/>
    <w:rsid w:val="5C171F33"/>
    <w:rsid w:val="5C1774AA"/>
    <w:rsid w:val="5C177BFF"/>
    <w:rsid w:val="5C1967A5"/>
    <w:rsid w:val="5C1C158B"/>
    <w:rsid w:val="5C1F11BE"/>
    <w:rsid w:val="5C1F613A"/>
    <w:rsid w:val="5C205D85"/>
    <w:rsid w:val="5C207B33"/>
    <w:rsid w:val="5C235A01"/>
    <w:rsid w:val="5C2515ED"/>
    <w:rsid w:val="5C277114"/>
    <w:rsid w:val="5C2D0199"/>
    <w:rsid w:val="5C313AEE"/>
    <w:rsid w:val="5C315C3A"/>
    <w:rsid w:val="5C321615"/>
    <w:rsid w:val="5C34538D"/>
    <w:rsid w:val="5C393E3E"/>
    <w:rsid w:val="5C3A4998"/>
    <w:rsid w:val="5C3B4060"/>
    <w:rsid w:val="5C3B57B0"/>
    <w:rsid w:val="5C3D3309"/>
    <w:rsid w:val="5C3E7FB9"/>
    <w:rsid w:val="5C3F26AF"/>
    <w:rsid w:val="5C427AAA"/>
    <w:rsid w:val="5C447CC6"/>
    <w:rsid w:val="5C494A38"/>
    <w:rsid w:val="5C49592B"/>
    <w:rsid w:val="5C4A069B"/>
    <w:rsid w:val="5C4A5E50"/>
    <w:rsid w:val="5C4F7830"/>
    <w:rsid w:val="5C503558"/>
    <w:rsid w:val="5C5205B6"/>
    <w:rsid w:val="5C530099"/>
    <w:rsid w:val="5C535757"/>
    <w:rsid w:val="5C553B9A"/>
    <w:rsid w:val="5C5D6E1A"/>
    <w:rsid w:val="5C5D7F45"/>
    <w:rsid w:val="5C600CFC"/>
    <w:rsid w:val="5C602626"/>
    <w:rsid w:val="5C6134EE"/>
    <w:rsid w:val="5C6927EC"/>
    <w:rsid w:val="5C6969AA"/>
    <w:rsid w:val="5C6A0DAE"/>
    <w:rsid w:val="5C6A140E"/>
    <w:rsid w:val="5C6B5EBC"/>
    <w:rsid w:val="5C6D53D4"/>
    <w:rsid w:val="5C6E089F"/>
    <w:rsid w:val="5C6F2365"/>
    <w:rsid w:val="5C731040"/>
    <w:rsid w:val="5C780CE4"/>
    <w:rsid w:val="5C7B69D8"/>
    <w:rsid w:val="5C7E0F35"/>
    <w:rsid w:val="5C82259C"/>
    <w:rsid w:val="5C846314"/>
    <w:rsid w:val="5C8667D1"/>
    <w:rsid w:val="5C8E7193"/>
    <w:rsid w:val="5C8F202A"/>
    <w:rsid w:val="5C9157B5"/>
    <w:rsid w:val="5C94131A"/>
    <w:rsid w:val="5C950556"/>
    <w:rsid w:val="5C974299"/>
    <w:rsid w:val="5C97682F"/>
    <w:rsid w:val="5C98591B"/>
    <w:rsid w:val="5C9B25EE"/>
    <w:rsid w:val="5C9C138B"/>
    <w:rsid w:val="5C9D1184"/>
    <w:rsid w:val="5CA01B3E"/>
    <w:rsid w:val="5CA02A22"/>
    <w:rsid w:val="5CA22C3E"/>
    <w:rsid w:val="5CA45239"/>
    <w:rsid w:val="5CA57E12"/>
    <w:rsid w:val="5CA66F39"/>
    <w:rsid w:val="5CAC7146"/>
    <w:rsid w:val="5CAF58E3"/>
    <w:rsid w:val="5CB00EB7"/>
    <w:rsid w:val="5CB24994"/>
    <w:rsid w:val="5CB5471F"/>
    <w:rsid w:val="5CB658DA"/>
    <w:rsid w:val="5CB70FD7"/>
    <w:rsid w:val="5CBD1826"/>
    <w:rsid w:val="5CBD35D4"/>
    <w:rsid w:val="5CBE260A"/>
    <w:rsid w:val="5CC3183D"/>
    <w:rsid w:val="5CC46711"/>
    <w:rsid w:val="5CC61549"/>
    <w:rsid w:val="5CC71033"/>
    <w:rsid w:val="5CCA0779"/>
    <w:rsid w:val="5CCA732B"/>
    <w:rsid w:val="5CCC3817"/>
    <w:rsid w:val="5CCE758F"/>
    <w:rsid w:val="5CCE7744"/>
    <w:rsid w:val="5CCF456B"/>
    <w:rsid w:val="5CCF5B18"/>
    <w:rsid w:val="5CD050B5"/>
    <w:rsid w:val="5CD21575"/>
    <w:rsid w:val="5CD252D1"/>
    <w:rsid w:val="5CD755AA"/>
    <w:rsid w:val="5CD8040E"/>
    <w:rsid w:val="5CD80B69"/>
    <w:rsid w:val="5CDB0B4D"/>
    <w:rsid w:val="5CDF354A"/>
    <w:rsid w:val="5CE15D2E"/>
    <w:rsid w:val="5CE24DE9"/>
    <w:rsid w:val="5CE844B5"/>
    <w:rsid w:val="5CEB5E28"/>
    <w:rsid w:val="5CEE19DF"/>
    <w:rsid w:val="5CF07506"/>
    <w:rsid w:val="5CF176E9"/>
    <w:rsid w:val="5CF21037"/>
    <w:rsid w:val="5CF52D6E"/>
    <w:rsid w:val="5CF60894"/>
    <w:rsid w:val="5CF91EC6"/>
    <w:rsid w:val="5CFC40FC"/>
    <w:rsid w:val="5CFC608A"/>
    <w:rsid w:val="5CFD310D"/>
    <w:rsid w:val="5CFD4FA9"/>
    <w:rsid w:val="5CFF599B"/>
    <w:rsid w:val="5D0429F3"/>
    <w:rsid w:val="5D042FB1"/>
    <w:rsid w:val="5D05571E"/>
    <w:rsid w:val="5D0B1E35"/>
    <w:rsid w:val="5D0C0544"/>
    <w:rsid w:val="5D0C1003"/>
    <w:rsid w:val="5D0D6309"/>
    <w:rsid w:val="5D0E64BE"/>
    <w:rsid w:val="5D0E70DE"/>
    <w:rsid w:val="5D0F18E8"/>
    <w:rsid w:val="5D121B72"/>
    <w:rsid w:val="5D1436A3"/>
    <w:rsid w:val="5D153410"/>
    <w:rsid w:val="5D1567E0"/>
    <w:rsid w:val="5D185E61"/>
    <w:rsid w:val="5D1D22C5"/>
    <w:rsid w:val="5D1F7DEB"/>
    <w:rsid w:val="5D213B63"/>
    <w:rsid w:val="5D26066C"/>
    <w:rsid w:val="5D26561D"/>
    <w:rsid w:val="5D2B49E2"/>
    <w:rsid w:val="5D2C15D3"/>
    <w:rsid w:val="5D2F5972"/>
    <w:rsid w:val="5D330D0C"/>
    <w:rsid w:val="5D3756E5"/>
    <w:rsid w:val="5D3C274B"/>
    <w:rsid w:val="5D40739C"/>
    <w:rsid w:val="5D415FB3"/>
    <w:rsid w:val="5D417D61"/>
    <w:rsid w:val="5D452FDB"/>
    <w:rsid w:val="5D466D0B"/>
    <w:rsid w:val="5D4A253D"/>
    <w:rsid w:val="5D4B6E32"/>
    <w:rsid w:val="5D4C2508"/>
    <w:rsid w:val="5D4D2BAA"/>
    <w:rsid w:val="5D4D6748"/>
    <w:rsid w:val="5D4F5E62"/>
    <w:rsid w:val="5D516341"/>
    <w:rsid w:val="5D544026"/>
    <w:rsid w:val="5D554393"/>
    <w:rsid w:val="5D573A29"/>
    <w:rsid w:val="5D582D58"/>
    <w:rsid w:val="5D5A0E23"/>
    <w:rsid w:val="5D5E0913"/>
    <w:rsid w:val="5D6121B1"/>
    <w:rsid w:val="5D631D6D"/>
    <w:rsid w:val="5D63417B"/>
    <w:rsid w:val="5D6344E6"/>
    <w:rsid w:val="5D6677C8"/>
    <w:rsid w:val="5D6717DD"/>
    <w:rsid w:val="5D69549F"/>
    <w:rsid w:val="5D6A0D1D"/>
    <w:rsid w:val="5D6A4387"/>
    <w:rsid w:val="5D6D0B56"/>
    <w:rsid w:val="5D735BCD"/>
    <w:rsid w:val="5D765574"/>
    <w:rsid w:val="5D7F0E6F"/>
    <w:rsid w:val="5D804D2D"/>
    <w:rsid w:val="5D814602"/>
    <w:rsid w:val="5D822408"/>
    <w:rsid w:val="5D8255A5"/>
    <w:rsid w:val="5D8440F2"/>
    <w:rsid w:val="5D8A1C9D"/>
    <w:rsid w:val="5D8A533D"/>
    <w:rsid w:val="5D8A67A8"/>
    <w:rsid w:val="5D8A795A"/>
    <w:rsid w:val="5D8B06FF"/>
    <w:rsid w:val="5D8F2DAE"/>
    <w:rsid w:val="5D92680F"/>
    <w:rsid w:val="5D933296"/>
    <w:rsid w:val="5D946B4F"/>
    <w:rsid w:val="5D9559A1"/>
    <w:rsid w:val="5D9562FF"/>
    <w:rsid w:val="5D9702C9"/>
    <w:rsid w:val="5D9B32ED"/>
    <w:rsid w:val="5DA402F0"/>
    <w:rsid w:val="5DA47D7C"/>
    <w:rsid w:val="5DA6190E"/>
    <w:rsid w:val="5DAB26BC"/>
    <w:rsid w:val="5DAD3C44"/>
    <w:rsid w:val="5DAF73C1"/>
    <w:rsid w:val="5DB0643F"/>
    <w:rsid w:val="5DB20C5F"/>
    <w:rsid w:val="5DB24709"/>
    <w:rsid w:val="5DB33676"/>
    <w:rsid w:val="5DB33819"/>
    <w:rsid w:val="5DB46785"/>
    <w:rsid w:val="5DB81923"/>
    <w:rsid w:val="5DB8755B"/>
    <w:rsid w:val="5DBC1A48"/>
    <w:rsid w:val="5DBE2D9F"/>
    <w:rsid w:val="5DBF27D4"/>
    <w:rsid w:val="5DBF35AB"/>
    <w:rsid w:val="5DC01AE7"/>
    <w:rsid w:val="5DC04047"/>
    <w:rsid w:val="5DC34C1A"/>
    <w:rsid w:val="5DCA1E72"/>
    <w:rsid w:val="5DCD08C2"/>
    <w:rsid w:val="5DCF1811"/>
    <w:rsid w:val="5DD14E15"/>
    <w:rsid w:val="5DD21301"/>
    <w:rsid w:val="5DD271B8"/>
    <w:rsid w:val="5DD3211E"/>
    <w:rsid w:val="5DD32512"/>
    <w:rsid w:val="5DD45079"/>
    <w:rsid w:val="5DD45AD3"/>
    <w:rsid w:val="5DD469F9"/>
    <w:rsid w:val="5DD64934"/>
    <w:rsid w:val="5DD738CB"/>
    <w:rsid w:val="5DD866EE"/>
    <w:rsid w:val="5DDB1957"/>
    <w:rsid w:val="5DE04538"/>
    <w:rsid w:val="5DE22614"/>
    <w:rsid w:val="5DE25B35"/>
    <w:rsid w:val="5DE74DAC"/>
    <w:rsid w:val="5DEA0176"/>
    <w:rsid w:val="5DEA1F3C"/>
    <w:rsid w:val="5DEA664B"/>
    <w:rsid w:val="5DEB4069"/>
    <w:rsid w:val="5DEB5F1F"/>
    <w:rsid w:val="5DF03EA3"/>
    <w:rsid w:val="5DF23751"/>
    <w:rsid w:val="5DF43025"/>
    <w:rsid w:val="5DF5112D"/>
    <w:rsid w:val="5DF609DE"/>
    <w:rsid w:val="5DF7575D"/>
    <w:rsid w:val="5DF76701"/>
    <w:rsid w:val="5DF76979"/>
    <w:rsid w:val="5DFB63F2"/>
    <w:rsid w:val="5DFB79E8"/>
    <w:rsid w:val="5DFC199F"/>
    <w:rsid w:val="5DFC1B8F"/>
    <w:rsid w:val="5DFC285F"/>
    <w:rsid w:val="5DFF09CF"/>
    <w:rsid w:val="5E007CB6"/>
    <w:rsid w:val="5E05656F"/>
    <w:rsid w:val="5E056F00"/>
    <w:rsid w:val="5E062D59"/>
    <w:rsid w:val="5E0B42D7"/>
    <w:rsid w:val="5E0C1FC5"/>
    <w:rsid w:val="5E11578E"/>
    <w:rsid w:val="5E1216FE"/>
    <w:rsid w:val="5E127950"/>
    <w:rsid w:val="5E145476"/>
    <w:rsid w:val="5E163906"/>
    <w:rsid w:val="5E176D14"/>
    <w:rsid w:val="5E180911"/>
    <w:rsid w:val="5E1A367B"/>
    <w:rsid w:val="5E1A7F3C"/>
    <w:rsid w:val="5E1C257C"/>
    <w:rsid w:val="5E1E62F4"/>
    <w:rsid w:val="5E2467F1"/>
    <w:rsid w:val="5E270198"/>
    <w:rsid w:val="5E271E6F"/>
    <w:rsid w:val="5E2733FB"/>
    <w:rsid w:val="5E287173"/>
    <w:rsid w:val="5E2A4C99"/>
    <w:rsid w:val="5E2B477E"/>
    <w:rsid w:val="5E2B5161"/>
    <w:rsid w:val="5E2C0549"/>
    <w:rsid w:val="5E2C27BF"/>
    <w:rsid w:val="5E2C3CCA"/>
    <w:rsid w:val="5E2C652E"/>
    <w:rsid w:val="5E2F744B"/>
    <w:rsid w:val="5E30540C"/>
    <w:rsid w:val="5E337FF2"/>
    <w:rsid w:val="5E361890"/>
    <w:rsid w:val="5E39312E"/>
    <w:rsid w:val="5E3A26C1"/>
    <w:rsid w:val="5E3C677A"/>
    <w:rsid w:val="5E401BFB"/>
    <w:rsid w:val="5E451AD3"/>
    <w:rsid w:val="5E453881"/>
    <w:rsid w:val="5E4775F9"/>
    <w:rsid w:val="5E4A5770"/>
    <w:rsid w:val="5E4F7610"/>
    <w:rsid w:val="5E512226"/>
    <w:rsid w:val="5E535CF2"/>
    <w:rsid w:val="5E536452"/>
    <w:rsid w:val="5E554120"/>
    <w:rsid w:val="5E575619"/>
    <w:rsid w:val="5E581544"/>
    <w:rsid w:val="5E5A50F5"/>
    <w:rsid w:val="5E5B31F3"/>
    <w:rsid w:val="5E5C21ED"/>
    <w:rsid w:val="5E5E6F76"/>
    <w:rsid w:val="5E6007EF"/>
    <w:rsid w:val="5E606D60"/>
    <w:rsid w:val="5E630057"/>
    <w:rsid w:val="5E643FA6"/>
    <w:rsid w:val="5E652175"/>
    <w:rsid w:val="5E665006"/>
    <w:rsid w:val="5E6A421A"/>
    <w:rsid w:val="5E6C0994"/>
    <w:rsid w:val="5E6C52B2"/>
    <w:rsid w:val="5E750A33"/>
    <w:rsid w:val="5E7542FA"/>
    <w:rsid w:val="5E755DDF"/>
    <w:rsid w:val="5E767015"/>
    <w:rsid w:val="5E7B5DC0"/>
    <w:rsid w:val="5E7E2CD7"/>
    <w:rsid w:val="5E81535E"/>
    <w:rsid w:val="5E825B0B"/>
    <w:rsid w:val="5E83582A"/>
    <w:rsid w:val="5E8405B2"/>
    <w:rsid w:val="5E865105"/>
    <w:rsid w:val="5E8720EC"/>
    <w:rsid w:val="5E8773F0"/>
    <w:rsid w:val="5E8A4D34"/>
    <w:rsid w:val="5E8A5738"/>
    <w:rsid w:val="5E8B2D5F"/>
    <w:rsid w:val="5E8C207F"/>
    <w:rsid w:val="5E8F2D4E"/>
    <w:rsid w:val="5E93283E"/>
    <w:rsid w:val="5E95169B"/>
    <w:rsid w:val="5E9C006A"/>
    <w:rsid w:val="5E9C690E"/>
    <w:rsid w:val="5EA43232"/>
    <w:rsid w:val="5EA56A84"/>
    <w:rsid w:val="5EA57670"/>
    <w:rsid w:val="5EA61E5C"/>
    <w:rsid w:val="5EA66A16"/>
    <w:rsid w:val="5EA70BB1"/>
    <w:rsid w:val="5EA80CAD"/>
    <w:rsid w:val="5EAA43BB"/>
    <w:rsid w:val="5EAC5275"/>
    <w:rsid w:val="5EAE1426"/>
    <w:rsid w:val="5EB34C8F"/>
    <w:rsid w:val="5EB64AFE"/>
    <w:rsid w:val="5EB9124F"/>
    <w:rsid w:val="5EBE53E1"/>
    <w:rsid w:val="5EC30D0F"/>
    <w:rsid w:val="5EC53DDE"/>
    <w:rsid w:val="5EC6190A"/>
    <w:rsid w:val="5EC62C14"/>
    <w:rsid w:val="5EC7106D"/>
    <w:rsid w:val="5EC831A0"/>
    <w:rsid w:val="5EC96260"/>
    <w:rsid w:val="5ECC0703"/>
    <w:rsid w:val="5ED040A7"/>
    <w:rsid w:val="5ED4263B"/>
    <w:rsid w:val="5ED46544"/>
    <w:rsid w:val="5ED7072C"/>
    <w:rsid w:val="5ED73508"/>
    <w:rsid w:val="5EE07429"/>
    <w:rsid w:val="5EE1310A"/>
    <w:rsid w:val="5EE31FD0"/>
    <w:rsid w:val="5EE77465"/>
    <w:rsid w:val="5EE80892"/>
    <w:rsid w:val="5EEB5827"/>
    <w:rsid w:val="5EED3399"/>
    <w:rsid w:val="5EEE216B"/>
    <w:rsid w:val="5EEF1CDA"/>
    <w:rsid w:val="5EF136F1"/>
    <w:rsid w:val="5EF15791"/>
    <w:rsid w:val="5EF17565"/>
    <w:rsid w:val="5EF323EB"/>
    <w:rsid w:val="5EF426A8"/>
    <w:rsid w:val="5EF72A85"/>
    <w:rsid w:val="5EF82496"/>
    <w:rsid w:val="5EF8366F"/>
    <w:rsid w:val="5EFD5F0A"/>
    <w:rsid w:val="5EFE4AC2"/>
    <w:rsid w:val="5F04330E"/>
    <w:rsid w:val="5F051C27"/>
    <w:rsid w:val="5F062DC6"/>
    <w:rsid w:val="5F0821BD"/>
    <w:rsid w:val="5F090D52"/>
    <w:rsid w:val="5F09454F"/>
    <w:rsid w:val="5F0B5288"/>
    <w:rsid w:val="5F0C6FF2"/>
    <w:rsid w:val="5F0E276E"/>
    <w:rsid w:val="5F1160F4"/>
    <w:rsid w:val="5F131BD1"/>
    <w:rsid w:val="5F1321CA"/>
    <w:rsid w:val="5F140CEC"/>
    <w:rsid w:val="5F14677E"/>
    <w:rsid w:val="5F16521D"/>
    <w:rsid w:val="5F1877CC"/>
    <w:rsid w:val="5F195A58"/>
    <w:rsid w:val="5F1A2B43"/>
    <w:rsid w:val="5F1C27DE"/>
    <w:rsid w:val="5F1E20CE"/>
    <w:rsid w:val="5F21415F"/>
    <w:rsid w:val="5F223BC2"/>
    <w:rsid w:val="5F255B15"/>
    <w:rsid w:val="5F287EFE"/>
    <w:rsid w:val="5F293152"/>
    <w:rsid w:val="5F2931A3"/>
    <w:rsid w:val="5F2B0CC9"/>
    <w:rsid w:val="5F2B2A77"/>
    <w:rsid w:val="5F3202A9"/>
    <w:rsid w:val="5F324493"/>
    <w:rsid w:val="5F3453BD"/>
    <w:rsid w:val="5F361F8B"/>
    <w:rsid w:val="5F3B4D73"/>
    <w:rsid w:val="5F3D09FC"/>
    <w:rsid w:val="5F3F29C6"/>
    <w:rsid w:val="5F421A90"/>
    <w:rsid w:val="5F426012"/>
    <w:rsid w:val="5F43584A"/>
    <w:rsid w:val="5F4B1762"/>
    <w:rsid w:val="5F4F315D"/>
    <w:rsid w:val="5F5005E1"/>
    <w:rsid w:val="5F57386C"/>
    <w:rsid w:val="5F583830"/>
    <w:rsid w:val="5F58396C"/>
    <w:rsid w:val="5F5879C2"/>
    <w:rsid w:val="5F594B10"/>
    <w:rsid w:val="5F5B219C"/>
    <w:rsid w:val="5F5D21AC"/>
    <w:rsid w:val="5F5D4BFA"/>
    <w:rsid w:val="5F5F23E0"/>
    <w:rsid w:val="5F5F4E16"/>
    <w:rsid w:val="5F6256BA"/>
    <w:rsid w:val="5F6917F1"/>
    <w:rsid w:val="5F697A43"/>
    <w:rsid w:val="5F7956BB"/>
    <w:rsid w:val="5F79632B"/>
    <w:rsid w:val="5F7A1C50"/>
    <w:rsid w:val="5F7B61C1"/>
    <w:rsid w:val="5F7C7776"/>
    <w:rsid w:val="5F7D704B"/>
    <w:rsid w:val="5F7E4DC6"/>
    <w:rsid w:val="5F806589"/>
    <w:rsid w:val="5F812FDF"/>
    <w:rsid w:val="5F855395"/>
    <w:rsid w:val="5F855C49"/>
    <w:rsid w:val="5F866AFB"/>
    <w:rsid w:val="5F88611B"/>
    <w:rsid w:val="5F8A0881"/>
    <w:rsid w:val="5F8A1E93"/>
    <w:rsid w:val="5F8B2F9F"/>
    <w:rsid w:val="5F8B79B9"/>
    <w:rsid w:val="5F8D54E0"/>
    <w:rsid w:val="5F920D48"/>
    <w:rsid w:val="5F925C3F"/>
    <w:rsid w:val="5F942D12"/>
    <w:rsid w:val="5F977C3D"/>
    <w:rsid w:val="5F9A2F00"/>
    <w:rsid w:val="5F9C3975"/>
    <w:rsid w:val="5F9C6C2C"/>
    <w:rsid w:val="5F9F4F13"/>
    <w:rsid w:val="5FA347AB"/>
    <w:rsid w:val="5FA40A7B"/>
    <w:rsid w:val="5FA44BCC"/>
    <w:rsid w:val="5FA62F8A"/>
    <w:rsid w:val="5FA66BA7"/>
    <w:rsid w:val="5FA720F0"/>
    <w:rsid w:val="5FA97E40"/>
    <w:rsid w:val="5FAB1E0A"/>
    <w:rsid w:val="5FAB22BD"/>
    <w:rsid w:val="5FAB3BB8"/>
    <w:rsid w:val="5FAB6537"/>
    <w:rsid w:val="5FAC3076"/>
    <w:rsid w:val="5FB40DDE"/>
    <w:rsid w:val="5FB52C88"/>
    <w:rsid w:val="5FB837BB"/>
    <w:rsid w:val="5FB92683"/>
    <w:rsid w:val="5FBA6BA5"/>
    <w:rsid w:val="5FBC4443"/>
    <w:rsid w:val="5FBD52CD"/>
    <w:rsid w:val="5FBE634E"/>
    <w:rsid w:val="5FBF7663"/>
    <w:rsid w:val="5FC15A7B"/>
    <w:rsid w:val="5FC66C44"/>
    <w:rsid w:val="5FC77DB1"/>
    <w:rsid w:val="5FC96C18"/>
    <w:rsid w:val="5FCA7AFB"/>
    <w:rsid w:val="5FCB1C66"/>
    <w:rsid w:val="5FCC42DA"/>
    <w:rsid w:val="5FCF3536"/>
    <w:rsid w:val="5FD02F79"/>
    <w:rsid w:val="5FD1536C"/>
    <w:rsid w:val="5FD24315"/>
    <w:rsid w:val="5FD25D65"/>
    <w:rsid w:val="5FD44EBD"/>
    <w:rsid w:val="5FD50C35"/>
    <w:rsid w:val="5FD6374A"/>
    <w:rsid w:val="5FD64C3D"/>
    <w:rsid w:val="5FD72BFF"/>
    <w:rsid w:val="5FD924D3"/>
    <w:rsid w:val="5FD94A4B"/>
    <w:rsid w:val="5FDC1FC3"/>
    <w:rsid w:val="5FE05CA8"/>
    <w:rsid w:val="5FE67A8B"/>
    <w:rsid w:val="5FE951D0"/>
    <w:rsid w:val="5FEC2846"/>
    <w:rsid w:val="5FED338A"/>
    <w:rsid w:val="5FF041ED"/>
    <w:rsid w:val="5FF134AB"/>
    <w:rsid w:val="5FF46848"/>
    <w:rsid w:val="5FF612D7"/>
    <w:rsid w:val="5FFB6F59"/>
    <w:rsid w:val="5FFC3BC2"/>
    <w:rsid w:val="5FFE63DD"/>
    <w:rsid w:val="6004145E"/>
    <w:rsid w:val="60061817"/>
    <w:rsid w:val="600734E4"/>
    <w:rsid w:val="600819C6"/>
    <w:rsid w:val="600867EC"/>
    <w:rsid w:val="600B4656"/>
    <w:rsid w:val="600C0AFA"/>
    <w:rsid w:val="600F05EB"/>
    <w:rsid w:val="60101380"/>
    <w:rsid w:val="60121749"/>
    <w:rsid w:val="601479AF"/>
    <w:rsid w:val="60163727"/>
    <w:rsid w:val="6017124D"/>
    <w:rsid w:val="60173597"/>
    <w:rsid w:val="6017784D"/>
    <w:rsid w:val="6018463B"/>
    <w:rsid w:val="601B0D3D"/>
    <w:rsid w:val="601B6F8F"/>
    <w:rsid w:val="60236BB0"/>
    <w:rsid w:val="60237BF2"/>
    <w:rsid w:val="60271BAF"/>
    <w:rsid w:val="602776E2"/>
    <w:rsid w:val="602A01BA"/>
    <w:rsid w:val="602A6E6B"/>
    <w:rsid w:val="602C2605"/>
    <w:rsid w:val="602C3611"/>
    <w:rsid w:val="602D1E0C"/>
    <w:rsid w:val="602D71EB"/>
    <w:rsid w:val="602E027F"/>
    <w:rsid w:val="602E338E"/>
    <w:rsid w:val="602F6597"/>
    <w:rsid w:val="6030261E"/>
    <w:rsid w:val="6036553B"/>
    <w:rsid w:val="60386BF3"/>
    <w:rsid w:val="60396175"/>
    <w:rsid w:val="603967D8"/>
    <w:rsid w:val="603A423E"/>
    <w:rsid w:val="603B32E6"/>
    <w:rsid w:val="603D6F06"/>
    <w:rsid w:val="603E2C7E"/>
    <w:rsid w:val="603E3802"/>
    <w:rsid w:val="604069F6"/>
    <w:rsid w:val="60430294"/>
    <w:rsid w:val="60433DF0"/>
    <w:rsid w:val="60484ED2"/>
    <w:rsid w:val="604E6FE6"/>
    <w:rsid w:val="604E7BB9"/>
    <w:rsid w:val="604F0BAA"/>
    <w:rsid w:val="605048DC"/>
    <w:rsid w:val="60510863"/>
    <w:rsid w:val="6051475F"/>
    <w:rsid w:val="60575AEE"/>
    <w:rsid w:val="6057789C"/>
    <w:rsid w:val="605A2C22"/>
    <w:rsid w:val="605B55DE"/>
    <w:rsid w:val="6060063C"/>
    <w:rsid w:val="6062295E"/>
    <w:rsid w:val="60627A34"/>
    <w:rsid w:val="60673F83"/>
    <w:rsid w:val="606827A2"/>
    <w:rsid w:val="60687CFB"/>
    <w:rsid w:val="606A0D37"/>
    <w:rsid w:val="606A31BC"/>
    <w:rsid w:val="606A3A73"/>
    <w:rsid w:val="606A7713"/>
    <w:rsid w:val="606D70BF"/>
    <w:rsid w:val="606E3563"/>
    <w:rsid w:val="60710E43"/>
    <w:rsid w:val="60732927"/>
    <w:rsid w:val="60741509"/>
    <w:rsid w:val="60750F45"/>
    <w:rsid w:val="60771CEC"/>
    <w:rsid w:val="60786190"/>
    <w:rsid w:val="607D2515"/>
    <w:rsid w:val="607D37A6"/>
    <w:rsid w:val="60846CF1"/>
    <w:rsid w:val="60874625"/>
    <w:rsid w:val="608B32B6"/>
    <w:rsid w:val="608B41C0"/>
    <w:rsid w:val="608C2AE7"/>
    <w:rsid w:val="608F34D9"/>
    <w:rsid w:val="60956D42"/>
    <w:rsid w:val="609805E0"/>
    <w:rsid w:val="60996106"/>
    <w:rsid w:val="609A7A64"/>
    <w:rsid w:val="609E123D"/>
    <w:rsid w:val="60A16F61"/>
    <w:rsid w:val="60A33B54"/>
    <w:rsid w:val="60A35B69"/>
    <w:rsid w:val="60A807B2"/>
    <w:rsid w:val="60AA20C1"/>
    <w:rsid w:val="60AD17EC"/>
    <w:rsid w:val="60AF4B9F"/>
    <w:rsid w:val="60B109C2"/>
    <w:rsid w:val="60B13450"/>
    <w:rsid w:val="60B151FE"/>
    <w:rsid w:val="60B24D21"/>
    <w:rsid w:val="60B30F7F"/>
    <w:rsid w:val="60B3409C"/>
    <w:rsid w:val="60B371C8"/>
    <w:rsid w:val="60BA4B3A"/>
    <w:rsid w:val="60BC6AE8"/>
    <w:rsid w:val="60BD7C9B"/>
    <w:rsid w:val="60C018E5"/>
    <w:rsid w:val="60C413D5"/>
    <w:rsid w:val="60C455C4"/>
    <w:rsid w:val="60C50CA9"/>
    <w:rsid w:val="60C70EC5"/>
    <w:rsid w:val="60C74A21"/>
    <w:rsid w:val="60CC405A"/>
    <w:rsid w:val="60CE4002"/>
    <w:rsid w:val="60CE7B5E"/>
    <w:rsid w:val="60CF6813"/>
    <w:rsid w:val="60D03429"/>
    <w:rsid w:val="60D13AF2"/>
    <w:rsid w:val="60D1764E"/>
    <w:rsid w:val="60D243D2"/>
    <w:rsid w:val="60D40EEC"/>
    <w:rsid w:val="60D44AF2"/>
    <w:rsid w:val="60D4533B"/>
    <w:rsid w:val="60D52AEF"/>
    <w:rsid w:val="60D55658"/>
    <w:rsid w:val="60D61108"/>
    <w:rsid w:val="60D73EE7"/>
    <w:rsid w:val="60D76D80"/>
    <w:rsid w:val="60DA490D"/>
    <w:rsid w:val="60DA4E2A"/>
    <w:rsid w:val="60DD5FF3"/>
    <w:rsid w:val="60E07891"/>
    <w:rsid w:val="60E455D3"/>
    <w:rsid w:val="60EA7638"/>
    <w:rsid w:val="60EC09E4"/>
    <w:rsid w:val="60ED4365"/>
    <w:rsid w:val="60EE09D4"/>
    <w:rsid w:val="60F264B9"/>
    <w:rsid w:val="60F31AFD"/>
    <w:rsid w:val="60F670B5"/>
    <w:rsid w:val="60FB0B6F"/>
    <w:rsid w:val="60FB291D"/>
    <w:rsid w:val="60FF5A72"/>
    <w:rsid w:val="60FF716A"/>
    <w:rsid w:val="610255E1"/>
    <w:rsid w:val="610417D1"/>
    <w:rsid w:val="610812C3"/>
    <w:rsid w:val="61093740"/>
    <w:rsid w:val="610A23B8"/>
    <w:rsid w:val="610A3E10"/>
    <w:rsid w:val="610B0DB2"/>
    <w:rsid w:val="610B68FE"/>
    <w:rsid w:val="610C1EF1"/>
    <w:rsid w:val="610C7F49"/>
    <w:rsid w:val="610D1D5D"/>
    <w:rsid w:val="610E7B4A"/>
    <w:rsid w:val="610F24E0"/>
    <w:rsid w:val="61102D0E"/>
    <w:rsid w:val="61112140"/>
    <w:rsid w:val="61120392"/>
    <w:rsid w:val="61135EB8"/>
    <w:rsid w:val="6114628E"/>
    <w:rsid w:val="61161505"/>
    <w:rsid w:val="61191ADC"/>
    <w:rsid w:val="611C2FBF"/>
    <w:rsid w:val="61203BEF"/>
    <w:rsid w:val="61222ECC"/>
    <w:rsid w:val="6123468A"/>
    <w:rsid w:val="61243C22"/>
    <w:rsid w:val="61252D4D"/>
    <w:rsid w:val="6126799A"/>
    <w:rsid w:val="612760D2"/>
    <w:rsid w:val="612956DC"/>
    <w:rsid w:val="612A1278"/>
    <w:rsid w:val="612D3BA1"/>
    <w:rsid w:val="612E54E9"/>
    <w:rsid w:val="612E684E"/>
    <w:rsid w:val="612F7E00"/>
    <w:rsid w:val="61304E23"/>
    <w:rsid w:val="6132389B"/>
    <w:rsid w:val="613242CE"/>
    <w:rsid w:val="61326FFC"/>
    <w:rsid w:val="61341954"/>
    <w:rsid w:val="6137529D"/>
    <w:rsid w:val="613A1697"/>
    <w:rsid w:val="613C71BD"/>
    <w:rsid w:val="613D0F3B"/>
    <w:rsid w:val="613E0C7C"/>
    <w:rsid w:val="613E7694"/>
    <w:rsid w:val="613F2026"/>
    <w:rsid w:val="61401825"/>
    <w:rsid w:val="6142679E"/>
    <w:rsid w:val="61437A80"/>
    <w:rsid w:val="614442C4"/>
    <w:rsid w:val="61475BA3"/>
    <w:rsid w:val="61493688"/>
    <w:rsid w:val="614B5A02"/>
    <w:rsid w:val="614D5CC8"/>
    <w:rsid w:val="614F7B1E"/>
    <w:rsid w:val="61504A17"/>
    <w:rsid w:val="61553630"/>
    <w:rsid w:val="6158645B"/>
    <w:rsid w:val="615A1DBC"/>
    <w:rsid w:val="615B0E15"/>
    <w:rsid w:val="615F322A"/>
    <w:rsid w:val="615F5CEB"/>
    <w:rsid w:val="61631AF8"/>
    <w:rsid w:val="61671D60"/>
    <w:rsid w:val="61675733"/>
    <w:rsid w:val="61686204"/>
    <w:rsid w:val="61693D2A"/>
    <w:rsid w:val="616B7AA3"/>
    <w:rsid w:val="6170330B"/>
    <w:rsid w:val="61720E31"/>
    <w:rsid w:val="61727183"/>
    <w:rsid w:val="61727C75"/>
    <w:rsid w:val="61742209"/>
    <w:rsid w:val="6175447D"/>
    <w:rsid w:val="617701F5"/>
    <w:rsid w:val="61774DC9"/>
    <w:rsid w:val="617768DC"/>
    <w:rsid w:val="617D082F"/>
    <w:rsid w:val="617D2248"/>
    <w:rsid w:val="61804731"/>
    <w:rsid w:val="61811074"/>
    <w:rsid w:val="61840B64"/>
    <w:rsid w:val="61873205"/>
    <w:rsid w:val="618D7A19"/>
    <w:rsid w:val="618F19E3"/>
    <w:rsid w:val="618F43A1"/>
    <w:rsid w:val="61903065"/>
    <w:rsid w:val="61907509"/>
    <w:rsid w:val="61915869"/>
    <w:rsid w:val="61925D7D"/>
    <w:rsid w:val="6192646A"/>
    <w:rsid w:val="619442F3"/>
    <w:rsid w:val="6195412E"/>
    <w:rsid w:val="619863BE"/>
    <w:rsid w:val="61996958"/>
    <w:rsid w:val="61AA3D9D"/>
    <w:rsid w:val="61AB6066"/>
    <w:rsid w:val="61AC19E3"/>
    <w:rsid w:val="61AC65D6"/>
    <w:rsid w:val="61AE798F"/>
    <w:rsid w:val="61B01959"/>
    <w:rsid w:val="61B043B7"/>
    <w:rsid w:val="61B054B5"/>
    <w:rsid w:val="61B302D0"/>
    <w:rsid w:val="61B431F8"/>
    <w:rsid w:val="61B66CB9"/>
    <w:rsid w:val="61B72527"/>
    <w:rsid w:val="61BA6AEC"/>
    <w:rsid w:val="61BC029A"/>
    <w:rsid w:val="61BF4F16"/>
    <w:rsid w:val="61C10698"/>
    <w:rsid w:val="61C13B66"/>
    <w:rsid w:val="61C3343B"/>
    <w:rsid w:val="61C76918"/>
    <w:rsid w:val="61C86CA3"/>
    <w:rsid w:val="61C947C9"/>
    <w:rsid w:val="61CB7801"/>
    <w:rsid w:val="61CC03E8"/>
    <w:rsid w:val="61CD42B9"/>
    <w:rsid w:val="61CE2A1A"/>
    <w:rsid w:val="61D02B26"/>
    <w:rsid w:val="61D24A55"/>
    <w:rsid w:val="61D37A30"/>
    <w:rsid w:val="61D555D8"/>
    <w:rsid w:val="61D560DA"/>
    <w:rsid w:val="61D70C94"/>
    <w:rsid w:val="61D77E9A"/>
    <w:rsid w:val="61DA0784"/>
    <w:rsid w:val="61DA37FE"/>
    <w:rsid w:val="61DE0EB4"/>
    <w:rsid w:val="61DF1952"/>
    <w:rsid w:val="61E215D8"/>
    <w:rsid w:val="61E722EC"/>
    <w:rsid w:val="61EA5982"/>
    <w:rsid w:val="61ED3CB1"/>
    <w:rsid w:val="61F061FA"/>
    <w:rsid w:val="61F07FA8"/>
    <w:rsid w:val="61F16733"/>
    <w:rsid w:val="61F21F72"/>
    <w:rsid w:val="61F41846"/>
    <w:rsid w:val="61F56B79"/>
    <w:rsid w:val="61F5736C"/>
    <w:rsid w:val="61F623AC"/>
    <w:rsid w:val="61F71336"/>
    <w:rsid w:val="61F8538C"/>
    <w:rsid w:val="61F87027"/>
    <w:rsid w:val="61FB7D5B"/>
    <w:rsid w:val="61FC2DEA"/>
    <w:rsid w:val="61FC7F3D"/>
    <w:rsid w:val="61FE0917"/>
    <w:rsid w:val="61FE4473"/>
    <w:rsid w:val="61FE5649"/>
    <w:rsid w:val="61FF043B"/>
    <w:rsid w:val="61FF2350"/>
    <w:rsid w:val="62031DAE"/>
    <w:rsid w:val="62035F2D"/>
    <w:rsid w:val="62053F0E"/>
    <w:rsid w:val="62056970"/>
    <w:rsid w:val="62061579"/>
    <w:rsid w:val="620805C1"/>
    <w:rsid w:val="620876C4"/>
    <w:rsid w:val="620B0963"/>
    <w:rsid w:val="620C04CC"/>
    <w:rsid w:val="620D2908"/>
    <w:rsid w:val="620E49EA"/>
    <w:rsid w:val="620F3203"/>
    <w:rsid w:val="621041A6"/>
    <w:rsid w:val="62123C8A"/>
    <w:rsid w:val="6213505D"/>
    <w:rsid w:val="621719D8"/>
    <w:rsid w:val="62195726"/>
    <w:rsid w:val="621A5025"/>
    <w:rsid w:val="621B2F8D"/>
    <w:rsid w:val="621B3775"/>
    <w:rsid w:val="621B7E77"/>
    <w:rsid w:val="621C0D9D"/>
    <w:rsid w:val="621D646D"/>
    <w:rsid w:val="62200BC0"/>
    <w:rsid w:val="622175EA"/>
    <w:rsid w:val="622235DD"/>
    <w:rsid w:val="622302A6"/>
    <w:rsid w:val="622540F5"/>
    <w:rsid w:val="62257C51"/>
    <w:rsid w:val="62260951"/>
    <w:rsid w:val="622639C9"/>
    <w:rsid w:val="622A342E"/>
    <w:rsid w:val="622C5484"/>
    <w:rsid w:val="622D1904"/>
    <w:rsid w:val="62306FEE"/>
    <w:rsid w:val="62311B78"/>
    <w:rsid w:val="62312A9A"/>
    <w:rsid w:val="62314848"/>
    <w:rsid w:val="62326812"/>
    <w:rsid w:val="62364782"/>
    <w:rsid w:val="62364CA3"/>
    <w:rsid w:val="62373408"/>
    <w:rsid w:val="62384D07"/>
    <w:rsid w:val="623E51B7"/>
    <w:rsid w:val="624478B9"/>
    <w:rsid w:val="624502F4"/>
    <w:rsid w:val="62452070"/>
    <w:rsid w:val="624647B5"/>
    <w:rsid w:val="62465E1A"/>
    <w:rsid w:val="62484332"/>
    <w:rsid w:val="624C1769"/>
    <w:rsid w:val="625109EB"/>
    <w:rsid w:val="62513A5F"/>
    <w:rsid w:val="62535C2C"/>
    <w:rsid w:val="62540D74"/>
    <w:rsid w:val="625422E5"/>
    <w:rsid w:val="625767E6"/>
    <w:rsid w:val="62596E22"/>
    <w:rsid w:val="625B7B17"/>
    <w:rsid w:val="625D3B73"/>
    <w:rsid w:val="6260512D"/>
    <w:rsid w:val="62610BD3"/>
    <w:rsid w:val="62642590"/>
    <w:rsid w:val="62660EA1"/>
    <w:rsid w:val="62674A74"/>
    <w:rsid w:val="626812F7"/>
    <w:rsid w:val="62681556"/>
    <w:rsid w:val="626A1B08"/>
    <w:rsid w:val="626A6E80"/>
    <w:rsid w:val="626A7CBE"/>
    <w:rsid w:val="626C5880"/>
    <w:rsid w:val="626E4E2D"/>
    <w:rsid w:val="626E6F4F"/>
    <w:rsid w:val="626F5370"/>
    <w:rsid w:val="62712BC0"/>
    <w:rsid w:val="62741CE8"/>
    <w:rsid w:val="627806C9"/>
    <w:rsid w:val="62783D6B"/>
    <w:rsid w:val="627C6489"/>
    <w:rsid w:val="627E55B4"/>
    <w:rsid w:val="627E5D0A"/>
    <w:rsid w:val="62800073"/>
    <w:rsid w:val="6281761D"/>
    <w:rsid w:val="62823274"/>
    <w:rsid w:val="628250A4"/>
    <w:rsid w:val="62845119"/>
    <w:rsid w:val="628457DB"/>
    <w:rsid w:val="62853252"/>
    <w:rsid w:val="62856942"/>
    <w:rsid w:val="62856C82"/>
    <w:rsid w:val="628752D0"/>
    <w:rsid w:val="628A21AA"/>
    <w:rsid w:val="628B1E20"/>
    <w:rsid w:val="628B6140"/>
    <w:rsid w:val="628D4D50"/>
    <w:rsid w:val="628F2BB1"/>
    <w:rsid w:val="62907530"/>
    <w:rsid w:val="62915394"/>
    <w:rsid w:val="62922349"/>
    <w:rsid w:val="6295036F"/>
    <w:rsid w:val="62950CCC"/>
    <w:rsid w:val="629628FD"/>
    <w:rsid w:val="62966DA1"/>
    <w:rsid w:val="629B35FF"/>
    <w:rsid w:val="629B683F"/>
    <w:rsid w:val="629E27EB"/>
    <w:rsid w:val="629F115D"/>
    <w:rsid w:val="62A00107"/>
    <w:rsid w:val="62A019CE"/>
    <w:rsid w:val="62A05106"/>
    <w:rsid w:val="62A212A2"/>
    <w:rsid w:val="62A3326C"/>
    <w:rsid w:val="62A61D4C"/>
    <w:rsid w:val="62A768B8"/>
    <w:rsid w:val="62AA352A"/>
    <w:rsid w:val="62AA63A9"/>
    <w:rsid w:val="62AF1A33"/>
    <w:rsid w:val="62B34753"/>
    <w:rsid w:val="62B45479"/>
    <w:rsid w:val="62B55463"/>
    <w:rsid w:val="62B674C8"/>
    <w:rsid w:val="62B92A90"/>
    <w:rsid w:val="62BD2580"/>
    <w:rsid w:val="62BD432E"/>
    <w:rsid w:val="62BE15E3"/>
    <w:rsid w:val="62BF00A6"/>
    <w:rsid w:val="62BF0AB4"/>
    <w:rsid w:val="62C236F2"/>
    <w:rsid w:val="62C819A9"/>
    <w:rsid w:val="62CB3EFE"/>
    <w:rsid w:val="62CC1286"/>
    <w:rsid w:val="62CD351A"/>
    <w:rsid w:val="62D653F0"/>
    <w:rsid w:val="62D65BFF"/>
    <w:rsid w:val="62D726F4"/>
    <w:rsid w:val="62DA362E"/>
    <w:rsid w:val="62DB2770"/>
    <w:rsid w:val="62DB47B4"/>
    <w:rsid w:val="62DB6768"/>
    <w:rsid w:val="62DC2632"/>
    <w:rsid w:val="62E23D94"/>
    <w:rsid w:val="62E66D40"/>
    <w:rsid w:val="62E841C1"/>
    <w:rsid w:val="62EB0D28"/>
    <w:rsid w:val="62EE05E7"/>
    <w:rsid w:val="62EE553D"/>
    <w:rsid w:val="62F37504"/>
    <w:rsid w:val="62F833DD"/>
    <w:rsid w:val="62F941DD"/>
    <w:rsid w:val="62FD4670"/>
    <w:rsid w:val="62FE1345"/>
    <w:rsid w:val="62FE4B35"/>
    <w:rsid w:val="630019C5"/>
    <w:rsid w:val="630755A9"/>
    <w:rsid w:val="630952E0"/>
    <w:rsid w:val="630C0710"/>
    <w:rsid w:val="630C7063"/>
    <w:rsid w:val="6310019E"/>
    <w:rsid w:val="63114522"/>
    <w:rsid w:val="631619D1"/>
    <w:rsid w:val="631877B6"/>
    <w:rsid w:val="631A3CF6"/>
    <w:rsid w:val="631B1054"/>
    <w:rsid w:val="631D6B7A"/>
    <w:rsid w:val="63213CF4"/>
    <w:rsid w:val="63250F5C"/>
    <w:rsid w:val="63251ED3"/>
    <w:rsid w:val="63291CD4"/>
    <w:rsid w:val="632949E9"/>
    <w:rsid w:val="63314D0E"/>
    <w:rsid w:val="63350368"/>
    <w:rsid w:val="63355DC0"/>
    <w:rsid w:val="633600B8"/>
    <w:rsid w:val="633640E0"/>
    <w:rsid w:val="63365E37"/>
    <w:rsid w:val="633A3BD0"/>
    <w:rsid w:val="633B08AE"/>
    <w:rsid w:val="633D546F"/>
    <w:rsid w:val="63400ABB"/>
    <w:rsid w:val="63402869"/>
    <w:rsid w:val="63404014"/>
    <w:rsid w:val="63415F11"/>
    <w:rsid w:val="634167BC"/>
    <w:rsid w:val="63442359"/>
    <w:rsid w:val="63443BFB"/>
    <w:rsid w:val="634467FD"/>
    <w:rsid w:val="6346578C"/>
    <w:rsid w:val="63495BC1"/>
    <w:rsid w:val="63497970"/>
    <w:rsid w:val="634A4A81"/>
    <w:rsid w:val="634E142A"/>
    <w:rsid w:val="634F472E"/>
    <w:rsid w:val="635115A5"/>
    <w:rsid w:val="63520F1A"/>
    <w:rsid w:val="635431A4"/>
    <w:rsid w:val="635567AC"/>
    <w:rsid w:val="63557D98"/>
    <w:rsid w:val="635772B3"/>
    <w:rsid w:val="63585E05"/>
    <w:rsid w:val="635946C8"/>
    <w:rsid w:val="63596DB3"/>
    <w:rsid w:val="63597A45"/>
    <w:rsid w:val="635A392B"/>
    <w:rsid w:val="635A6F7B"/>
    <w:rsid w:val="635C3B47"/>
    <w:rsid w:val="635D134E"/>
    <w:rsid w:val="63620A31"/>
    <w:rsid w:val="63632362"/>
    <w:rsid w:val="636447A9"/>
    <w:rsid w:val="636A103D"/>
    <w:rsid w:val="636A4C14"/>
    <w:rsid w:val="636B5B38"/>
    <w:rsid w:val="636D792C"/>
    <w:rsid w:val="637013A0"/>
    <w:rsid w:val="63712545"/>
    <w:rsid w:val="637344CF"/>
    <w:rsid w:val="63740486"/>
    <w:rsid w:val="637468FE"/>
    <w:rsid w:val="63756FC4"/>
    <w:rsid w:val="63784484"/>
    <w:rsid w:val="637853F7"/>
    <w:rsid w:val="637D4A9A"/>
    <w:rsid w:val="637D4F3F"/>
    <w:rsid w:val="637E566E"/>
    <w:rsid w:val="637F3391"/>
    <w:rsid w:val="637F33AF"/>
    <w:rsid w:val="637F7835"/>
    <w:rsid w:val="638007B0"/>
    <w:rsid w:val="63814D93"/>
    <w:rsid w:val="63837F10"/>
    <w:rsid w:val="63861D45"/>
    <w:rsid w:val="63864064"/>
    <w:rsid w:val="63882ED5"/>
    <w:rsid w:val="638F65E8"/>
    <w:rsid w:val="6392460E"/>
    <w:rsid w:val="639332E1"/>
    <w:rsid w:val="6394356A"/>
    <w:rsid w:val="639739B7"/>
    <w:rsid w:val="6397692D"/>
    <w:rsid w:val="639775B1"/>
    <w:rsid w:val="63980DD3"/>
    <w:rsid w:val="63A036B9"/>
    <w:rsid w:val="63A159FD"/>
    <w:rsid w:val="63AA63AE"/>
    <w:rsid w:val="63B05C41"/>
    <w:rsid w:val="63B079EF"/>
    <w:rsid w:val="63B131A9"/>
    <w:rsid w:val="63B21C21"/>
    <w:rsid w:val="63B23767"/>
    <w:rsid w:val="63B55005"/>
    <w:rsid w:val="63B84AF5"/>
    <w:rsid w:val="63B868A3"/>
    <w:rsid w:val="63B95CC0"/>
    <w:rsid w:val="63BA20F6"/>
    <w:rsid w:val="63BC47CB"/>
    <w:rsid w:val="63BF40D6"/>
    <w:rsid w:val="63C05570"/>
    <w:rsid w:val="63C12C21"/>
    <w:rsid w:val="63C379E3"/>
    <w:rsid w:val="63C60DD8"/>
    <w:rsid w:val="63C61B2C"/>
    <w:rsid w:val="63C80413"/>
    <w:rsid w:val="63C811DC"/>
    <w:rsid w:val="63CA01D3"/>
    <w:rsid w:val="63CB3B75"/>
    <w:rsid w:val="63CC0145"/>
    <w:rsid w:val="63CC4998"/>
    <w:rsid w:val="63D07A1D"/>
    <w:rsid w:val="63D23E09"/>
    <w:rsid w:val="63D336DD"/>
    <w:rsid w:val="63D40BE9"/>
    <w:rsid w:val="63D41FBE"/>
    <w:rsid w:val="63D829CE"/>
    <w:rsid w:val="63D91C03"/>
    <w:rsid w:val="63DB5069"/>
    <w:rsid w:val="63DC0961"/>
    <w:rsid w:val="63E15DFA"/>
    <w:rsid w:val="63E30E5D"/>
    <w:rsid w:val="63E37DC4"/>
    <w:rsid w:val="63E73C75"/>
    <w:rsid w:val="63EA7439"/>
    <w:rsid w:val="63EC4B28"/>
    <w:rsid w:val="63ED29F1"/>
    <w:rsid w:val="63F0603D"/>
    <w:rsid w:val="63F41FD1"/>
    <w:rsid w:val="63F50E81"/>
    <w:rsid w:val="63F851F7"/>
    <w:rsid w:val="63FB1F32"/>
    <w:rsid w:val="63FB4653"/>
    <w:rsid w:val="63FC0384"/>
    <w:rsid w:val="63FF0976"/>
    <w:rsid w:val="64025D70"/>
    <w:rsid w:val="640371FD"/>
    <w:rsid w:val="64074337"/>
    <w:rsid w:val="64076B35"/>
    <w:rsid w:val="64095E25"/>
    <w:rsid w:val="640B731B"/>
    <w:rsid w:val="640F3465"/>
    <w:rsid w:val="64102431"/>
    <w:rsid w:val="64106345"/>
    <w:rsid w:val="64124205"/>
    <w:rsid w:val="64124293"/>
    <w:rsid w:val="64161A05"/>
    <w:rsid w:val="64184A1C"/>
    <w:rsid w:val="64187BAE"/>
    <w:rsid w:val="641D5CD2"/>
    <w:rsid w:val="64227A2B"/>
    <w:rsid w:val="64244D04"/>
    <w:rsid w:val="642A32E8"/>
    <w:rsid w:val="642D0CB0"/>
    <w:rsid w:val="642D3C91"/>
    <w:rsid w:val="642E756D"/>
    <w:rsid w:val="643028DD"/>
    <w:rsid w:val="64363911"/>
    <w:rsid w:val="643877A8"/>
    <w:rsid w:val="643C74D4"/>
    <w:rsid w:val="643E0CE9"/>
    <w:rsid w:val="6440048A"/>
    <w:rsid w:val="64461085"/>
    <w:rsid w:val="6448239D"/>
    <w:rsid w:val="644D348F"/>
    <w:rsid w:val="64522D91"/>
    <w:rsid w:val="645262CB"/>
    <w:rsid w:val="64566D4F"/>
    <w:rsid w:val="64571318"/>
    <w:rsid w:val="64575441"/>
    <w:rsid w:val="645A12EA"/>
    <w:rsid w:val="645C5F79"/>
    <w:rsid w:val="645E569D"/>
    <w:rsid w:val="645E744B"/>
    <w:rsid w:val="645F3BA5"/>
    <w:rsid w:val="64602898"/>
    <w:rsid w:val="646031C3"/>
    <w:rsid w:val="64616F3B"/>
    <w:rsid w:val="64634A61"/>
    <w:rsid w:val="646507D9"/>
    <w:rsid w:val="646A106A"/>
    <w:rsid w:val="646C4260"/>
    <w:rsid w:val="646E1D61"/>
    <w:rsid w:val="646F3ABD"/>
    <w:rsid w:val="646F4D3E"/>
    <w:rsid w:val="6470717E"/>
    <w:rsid w:val="64715DE8"/>
    <w:rsid w:val="6475575D"/>
    <w:rsid w:val="647A1DAB"/>
    <w:rsid w:val="647B7FFD"/>
    <w:rsid w:val="647C5145"/>
    <w:rsid w:val="64813139"/>
    <w:rsid w:val="64833355"/>
    <w:rsid w:val="648377EF"/>
    <w:rsid w:val="648570CD"/>
    <w:rsid w:val="64863D96"/>
    <w:rsid w:val="6489511A"/>
    <w:rsid w:val="64897E3C"/>
    <w:rsid w:val="648C045C"/>
    <w:rsid w:val="648C07EF"/>
    <w:rsid w:val="648D7D30"/>
    <w:rsid w:val="648F2B45"/>
    <w:rsid w:val="6490405E"/>
    <w:rsid w:val="64915F34"/>
    <w:rsid w:val="649209E3"/>
    <w:rsid w:val="64925346"/>
    <w:rsid w:val="64964E36"/>
    <w:rsid w:val="649A0A7E"/>
    <w:rsid w:val="649B4B38"/>
    <w:rsid w:val="649C61C5"/>
    <w:rsid w:val="649D4417"/>
    <w:rsid w:val="649F18C5"/>
    <w:rsid w:val="649F4035"/>
    <w:rsid w:val="64A10149"/>
    <w:rsid w:val="64A5243A"/>
    <w:rsid w:val="64A82488"/>
    <w:rsid w:val="64A87E89"/>
    <w:rsid w:val="64AA6315"/>
    <w:rsid w:val="64AB1FAB"/>
    <w:rsid w:val="64AC28AC"/>
    <w:rsid w:val="64AD31F8"/>
    <w:rsid w:val="64AF43F5"/>
    <w:rsid w:val="64B1669D"/>
    <w:rsid w:val="64B36C20"/>
    <w:rsid w:val="64B60701"/>
    <w:rsid w:val="64B654D9"/>
    <w:rsid w:val="64BA561A"/>
    <w:rsid w:val="64BD3B75"/>
    <w:rsid w:val="64BD4C50"/>
    <w:rsid w:val="64BE438D"/>
    <w:rsid w:val="64BF1F66"/>
    <w:rsid w:val="64BF5935"/>
    <w:rsid w:val="64C37BF6"/>
    <w:rsid w:val="64C429B5"/>
    <w:rsid w:val="64C64FF0"/>
    <w:rsid w:val="64C91AC7"/>
    <w:rsid w:val="64CF0CE1"/>
    <w:rsid w:val="64CF2EA6"/>
    <w:rsid w:val="64CF659A"/>
    <w:rsid w:val="64D324CB"/>
    <w:rsid w:val="64D52220"/>
    <w:rsid w:val="64DC045E"/>
    <w:rsid w:val="64DF4A2F"/>
    <w:rsid w:val="64E04304"/>
    <w:rsid w:val="64E2007C"/>
    <w:rsid w:val="64E54A2C"/>
    <w:rsid w:val="64EC4A56"/>
    <w:rsid w:val="64EE225C"/>
    <w:rsid w:val="64EE2C8E"/>
    <w:rsid w:val="64F102BF"/>
    <w:rsid w:val="64F23632"/>
    <w:rsid w:val="64F34AA0"/>
    <w:rsid w:val="64F35C8B"/>
    <w:rsid w:val="64F41B5D"/>
    <w:rsid w:val="64F531DE"/>
    <w:rsid w:val="64F537D4"/>
    <w:rsid w:val="64F658D5"/>
    <w:rsid w:val="64FB52A4"/>
    <w:rsid w:val="64FD32CA"/>
    <w:rsid w:val="65006754"/>
    <w:rsid w:val="6502213B"/>
    <w:rsid w:val="65040919"/>
    <w:rsid w:val="6505168F"/>
    <w:rsid w:val="65055B18"/>
    <w:rsid w:val="65071890"/>
    <w:rsid w:val="65074B5F"/>
    <w:rsid w:val="6509385A"/>
    <w:rsid w:val="65095BA8"/>
    <w:rsid w:val="650B169A"/>
    <w:rsid w:val="650C4B6B"/>
    <w:rsid w:val="650E2813"/>
    <w:rsid w:val="650F0ABA"/>
    <w:rsid w:val="65181CEF"/>
    <w:rsid w:val="65185987"/>
    <w:rsid w:val="65197815"/>
    <w:rsid w:val="651B7620"/>
    <w:rsid w:val="65206DF6"/>
    <w:rsid w:val="65235B1A"/>
    <w:rsid w:val="65242442"/>
    <w:rsid w:val="652473FA"/>
    <w:rsid w:val="65273CE0"/>
    <w:rsid w:val="65274A7F"/>
    <w:rsid w:val="652A1A23"/>
    <w:rsid w:val="652A37D1"/>
    <w:rsid w:val="652A469E"/>
    <w:rsid w:val="652C0F2A"/>
    <w:rsid w:val="652E1513"/>
    <w:rsid w:val="65304D16"/>
    <w:rsid w:val="65312DB1"/>
    <w:rsid w:val="6532746F"/>
    <w:rsid w:val="653625A2"/>
    <w:rsid w:val="65371597"/>
    <w:rsid w:val="65373578"/>
    <w:rsid w:val="653D4140"/>
    <w:rsid w:val="653E102A"/>
    <w:rsid w:val="653F6B42"/>
    <w:rsid w:val="65405684"/>
    <w:rsid w:val="65406110"/>
    <w:rsid w:val="65475F7A"/>
    <w:rsid w:val="65490F08"/>
    <w:rsid w:val="654A387B"/>
    <w:rsid w:val="654A6CD7"/>
    <w:rsid w:val="654C49B0"/>
    <w:rsid w:val="65501489"/>
    <w:rsid w:val="65530F79"/>
    <w:rsid w:val="65574157"/>
    <w:rsid w:val="65574630"/>
    <w:rsid w:val="65587918"/>
    <w:rsid w:val="655A374A"/>
    <w:rsid w:val="655C79FF"/>
    <w:rsid w:val="655D7702"/>
    <w:rsid w:val="655F2BD6"/>
    <w:rsid w:val="6560169D"/>
    <w:rsid w:val="65603427"/>
    <w:rsid w:val="656162C8"/>
    <w:rsid w:val="65621EDC"/>
    <w:rsid w:val="65622F6B"/>
    <w:rsid w:val="65646CE3"/>
    <w:rsid w:val="65674A25"/>
    <w:rsid w:val="6569254B"/>
    <w:rsid w:val="656942F9"/>
    <w:rsid w:val="656A027C"/>
    <w:rsid w:val="656A6DB7"/>
    <w:rsid w:val="656C225A"/>
    <w:rsid w:val="656F796C"/>
    <w:rsid w:val="65754128"/>
    <w:rsid w:val="657B402C"/>
    <w:rsid w:val="65812BE8"/>
    <w:rsid w:val="6582360D"/>
    <w:rsid w:val="65841133"/>
    <w:rsid w:val="65870C23"/>
    <w:rsid w:val="6587782E"/>
    <w:rsid w:val="65883C7E"/>
    <w:rsid w:val="658B56A9"/>
    <w:rsid w:val="658D52B6"/>
    <w:rsid w:val="658E1FB1"/>
    <w:rsid w:val="658E6816"/>
    <w:rsid w:val="658F073C"/>
    <w:rsid w:val="658F1634"/>
    <w:rsid w:val="658F596B"/>
    <w:rsid w:val="658F645E"/>
    <w:rsid w:val="65907AD8"/>
    <w:rsid w:val="65910424"/>
    <w:rsid w:val="65931376"/>
    <w:rsid w:val="6594184F"/>
    <w:rsid w:val="659770B8"/>
    <w:rsid w:val="659C7407"/>
    <w:rsid w:val="659D21F5"/>
    <w:rsid w:val="659E3FF5"/>
    <w:rsid w:val="659F479B"/>
    <w:rsid w:val="659F5F6D"/>
    <w:rsid w:val="65A06B78"/>
    <w:rsid w:val="65A13834"/>
    <w:rsid w:val="65A73073"/>
    <w:rsid w:val="65A81AA0"/>
    <w:rsid w:val="65AD2209"/>
    <w:rsid w:val="65B0017A"/>
    <w:rsid w:val="65B247A9"/>
    <w:rsid w:val="65B25CA0"/>
    <w:rsid w:val="65B41784"/>
    <w:rsid w:val="65B7553D"/>
    <w:rsid w:val="65BE7529"/>
    <w:rsid w:val="65C07C91"/>
    <w:rsid w:val="65C21C5B"/>
    <w:rsid w:val="65C33FE9"/>
    <w:rsid w:val="65C475C9"/>
    <w:rsid w:val="65C6799D"/>
    <w:rsid w:val="65CA1251"/>
    <w:rsid w:val="65CB4FB4"/>
    <w:rsid w:val="65CB53EE"/>
    <w:rsid w:val="65CC00EF"/>
    <w:rsid w:val="65CD092D"/>
    <w:rsid w:val="65CE2F57"/>
    <w:rsid w:val="65D20C2D"/>
    <w:rsid w:val="65D31F89"/>
    <w:rsid w:val="65D556C2"/>
    <w:rsid w:val="65D75FCA"/>
    <w:rsid w:val="65DA731C"/>
    <w:rsid w:val="65DC0E5F"/>
    <w:rsid w:val="65DF280D"/>
    <w:rsid w:val="65DF7F6F"/>
    <w:rsid w:val="65E10333"/>
    <w:rsid w:val="65E16585"/>
    <w:rsid w:val="65E21EFF"/>
    <w:rsid w:val="65E60E74"/>
    <w:rsid w:val="65E73470"/>
    <w:rsid w:val="65E90CAD"/>
    <w:rsid w:val="65E9543A"/>
    <w:rsid w:val="65E966F5"/>
    <w:rsid w:val="65EA4600"/>
    <w:rsid w:val="65ED177F"/>
    <w:rsid w:val="65ED4F2A"/>
    <w:rsid w:val="65F36838"/>
    <w:rsid w:val="65F443AC"/>
    <w:rsid w:val="65FC0987"/>
    <w:rsid w:val="65FC33BF"/>
    <w:rsid w:val="65FE7137"/>
    <w:rsid w:val="65FF1978"/>
    <w:rsid w:val="660014C1"/>
    <w:rsid w:val="6600541D"/>
    <w:rsid w:val="660109D5"/>
    <w:rsid w:val="6602389C"/>
    <w:rsid w:val="66031465"/>
    <w:rsid w:val="66042274"/>
    <w:rsid w:val="660467D4"/>
    <w:rsid w:val="660A7F79"/>
    <w:rsid w:val="660B1D22"/>
    <w:rsid w:val="660E3608"/>
    <w:rsid w:val="6611549B"/>
    <w:rsid w:val="66117555"/>
    <w:rsid w:val="66156E8A"/>
    <w:rsid w:val="66156FD1"/>
    <w:rsid w:val="66160D38"/>
    <w:rsid w:val="66173D55"/>
    <w:rsid w:val="6618187B"/>
    <w:rsid w:val="661852A9"/>
    <w:rsid w:val="661A50B7"/>
    <w:rsid w:val="661E1587"/>
    <w:rsid w:val="661E5F23"/>
    <w:rsid w:val="66212E26"/>
    <w:rsid w:val="66241FD5"/>
    <w:rsid w:val="662446C4"/>
    <w:rsid w:val="66253AF4"/>
    <w:rsid w:val="662841B4"/>
    <w:rsid w:val="66284299"/>
    <w:rsid w:val="662A5F7E"/>
    <w:rsid w:val="662B7E7F"/>
    <w:rsid w:val="662E3A05"/>
    <w:rsid w:val="66303069"/>
    <w:rsid w:val="66306A4E"/>
    <w:rsid w:val="66344907"/>
    <w:rsid w:val="663568D1"/>
    <w:rsid w:val="663812EA"/>
    <w:rsid w:val="663969A5"/>
    <w:rsid w:val="663A164B"/>
    <w:rsid w:val="663F2B6C"/>
    <w:rsid w:val="66426AF0"/>
    <w:rsid w:val="66433CA0"/>
    <w:rsid w:val="6645325E"/>
    <w:rsid w:val="6646288C"/>
    <w:rsid w:val="6646463A"/>
    <w:rsid w:val="66482160"/>
    <w:rsid w:val="664856F2"/>
    <w:rsid w:val="66494B50"/>
    <w:rsid w:val="664F7993"/>
    <w:rsid w:val="66545815"/>
    <w:rsid w:val="66551CB0"/>
    <w:rsid w:val="6655487D"/>
    <w:rsid w:val="66575996"/>
    <w:rsid w:val="665D5C3B"/>
    <w:rsid w:val="665E1984"/>
    <w:rsid w:val="665E3005"/>
    <w:rsid w:val="665F2CBF"/>
    <w:rsid w:val="66604436"/>
    <w:rsid w:val="666176C6"/>
    <w:rsid w:val="66664CDC"/>
    <w:rsid w:val="66675D6A"/>
    <w:rsid w:val="666859EF"/>
    <w:rsid w:val="666878A0"/>
    <w:rsid w:val="666A0329"/>
    <w:rsid w:val="66715727"/>
    <w:rsid w:val="667465EF"/>
    <w:rsid w:val="66772A46"/>
    <w:rsid w:val="667A70C9"/>
    <w:rsid w:val="667B4785"/>
    <w:rsid w:val="667C27FA"/>
    <w:rsid w:val="667E3DD4"/>
    <w:rsid w:val="667F18FA"/>
    <w:rsid w:val="66812FD8"/>
    <w:rsid w:val="66824DA3"/>
    <w:rsid w:val="66825E45"/>
    <w:rsid w:val="66826E4B"/>
    <w:rsid w:val="66862C89"/>
    <w:rsid w:val="66884C53"/>
    <w:rsid w:val="668A10F8"/>
    <w:rsid w:val="668C4743"/>
    <w:rsid w:val="66925AD1"/>
    <w:rsid w:val="669453A6"/>
    <w:rsid w:val="669911AB"/>
    <w:rsid w:val="669B2BD8"/>
    <w:rsid w:val="669C70D0"/>
    <w:rsid w:val="669F3F18"/>
    <w:rsid w:val="66A176A4"/>
    <w:rsid w:val="66A331AC"/>
    <w:rsid w:val="66A3383B"/>
    <w:rsid w:val="66A51361"/>
    <w:rsid w:val="66A555B8"/>
    <w:rsid w:val="66A620D8"/>
    <w:rsid w:val="66A856DB"/>
    <w:rsid w:val="66A85D3D"/>
    <w:rsid w:val="66AB7F00"/>
    <w:rsid w:val="66AD0CEA"/>
    <w:rsid w:val="66AF38A9"/>
    <w:rsid w:val="66B07D06"/>
    <w:rsid w:val="66B14BDF"/>
    <w:rsid w:val="66BB1227"/>
    <w:rsid w:val="66BC7F09"/>
    <w:rsid w:val="66BE0674"/>
    <w:rsid w:val="66C739CD"/>
    <w:rsid w:val="66C8504F"/>
    <w:rsid w:val="66CB2EBE"/>
    <w:rsid w:val="66CC2D91"/>
    <w:rsid w:val="66CC34BD"/>
    <w:rsid w:val="66CD6B09"/>
    <w:rsid w:val="66CE09D8"/>
    <w:rsid w:val="66CE5972"/>
    <w:rsid w:val="66D20DB5"/>
    <w:rsid w:val="66D25ECE"/>
    <w:rsid w:val="66DA7BF7"/>
    <w:rsid w:val="66DC6D4D"/>
    <w:rsid w:val="66DE2AC5"/>
    <w:rsid w:val="66E51F8A"/>
    <w:rsid w:val="66E55C01"/>
    <w:rsid w:val="66ED3E26"/>
    <w:rsid w:val="66EF64D6"/>
    <w:rsid w:val="66F33CB1"/>
    <w:rsid w:val="66F37153"/>
    <w:rsid w:val="66F5123C"/>
    <w:rsid w:val="66F77C12"/>
    <w:rsid w:val="66F81DD8"/>
    <w:rsid w:val="66FB770B"/>
    <w:rsid w:val="66FD73EF"/>
    <w:rsid w:val="66FD7880"/>
    <w:rsid w:val="66FE3167"/>
    <w:rsid w:val="66FF0FD3"/>
    <w:rsid w:val="670047E9"/>
    <w:rsid w:val="670267B3"/>
    <w:rsid w:val="67042721"/>
    <w:rsid w:val="67074A02"/>
    <w:rsid w:val="6708172D"/>
    <w:rsid w:val="67097606"/>
    <w:rsid w:val="6710566C"/>
    <w:rsid w:val="671309C0"/>
    <w:rsid w:val="67193AFD"/>
    <w:rsid w:val="671B1CDB"/>
    <w:rsid w:val="671B3EC9"/>
    <w:rsid w:val="671C049D"/>
    <w:rsid w:val="671C12D7"/>
    <w:rsid w:val="671F124A"/>
    <w:rsid w:val="67201DC6"/>
    <w:rsid w:val="672030DD"/>
    <w:rsid w:val="67256946"/>
    <w:rsid w:val="67266CD2"/>
    <w:rsid w:val="67283D40"/>
    <w:rsid w:val="672A225C"/>
    <w:rsid w:val="672A348A"/>
    <w:rsid w:val="672D5B1F"/>
    <w:rsid w:val="67315CD0"/>
    <w:rsid w:val="673319A1"/>
    <w:rsid w:val="67340937"/>
    <w:rsid w:val="67351044"/>
    <w:rsid w:val="673821D5"/>
    <w:rsid w:val="673D3C8F"/>
    <w:rsid w:val="674072D3"/>
    <w:rsid w:val="67414503"/>
    <w:rsid w:val="674212A6"/>
    <w:rsid w:val="67442C38"/>
    <w:rsid w:val="674529B3"/>
    <w:rsid w:val="6747356F"/>
    <w:rsid w:val="674943E2"/>
    <w:rsid w:val="674A3230"/>
    <w:rsid w:val="674D2D83"/>
    <w:rsid w:val="674D72CB"/>
    <w:rsid w:val="674E690B"/>
    <w:rsid w:val="674F5770"/>
    <w:rsid w:val="67525382"/>
    <w:rsid w:val="67526993"/>
    <w:rsid w:val="67572A82"/>
    <w:rsid w:val="675B18CF"/>
    <w:rsid w:val="675B4115"/>
    <w:rsid w:val="675B5EC3"/>
    <w:rsid w:val="675C04AD"/>
    <w:rsid w:val="67643E6C"/>
    <w:rsid w:val="67674868"/>
    <w:rsid w:val="6768015D"/>
    <w:rsid w:val="676C1E7F"/>
    <w:rsid w:val="67725B33"/>
    <w:rsid w:val="677671A1"/>
    <w:rsid w:val="67797A6F"/>
    <w:rsid w:val="677A33C6"/>
    <w:rsid w:val="677E27F0"/>
    <w:rsid w:val="6782291F"/>
    <w:rsid w:val="678261B8"/>
    <w:rsid w:val="67851192"/>
    <w:rsid w:val="678B49FB"/>
    <w:rsid w:val="678F3DBF"/>
    <w:rsid w:val="67932D08"/>
    <w:rsid w:val="67942CB6"/>
    <w:rsid w:val="679574C7"/>
    <w:rsid w:val="67964B1E"/>
    <w:rsid w:val="6796514D"/>
    <w:rsid w:val="67966EFB"/>
    <w:rsid w:val="679877B4"/>
    <w:rsid w:val="679A164F"/>
    <w:rsid w:val="67A4786A"/>
    <w:rsid w:val="67A50C1E"/>
    <w:rsid w:val="67A9459A"/>
    <w:rsid w:val="67A94639"/>
    <w:rsid w:val="67AC2BC3"/>
    <w:rsid w:val="67B13D35"/>
    <w:rsid w:val="67BA0D40"/>
    <w:rsid w:val="67BA56E4"/>
    <w:rsid w:val="67BC0C6C"/>
    <w:rsid w:val="67C01433"/>
    <w:rsid w:val="67C25743"/>
    <w:rsid w:val="67CA0ED0"/>
    <w:rsid w:val="67CA2C09"/>
    <w:rsid w:val="67CA33A0"/>
    <w:rsid w:val="67CB703A"/>
    <w:rsid w:val="67CC4EBD"/>
    <w:rsid w:val="67CD5013"/>
    <w:rsid w:val="67D048A5"/>
    <w:rsid w:val="67D11B85"/>
    <w:rsid w:val="67D16185"/>
    <w:rsid w:val="67D45A61"/>
    <w:rsid w:val="67D53EC8"/>
    <w:rsid w:val="67D55C58"/>
    <w:rsid w:val="67D73004"/>
    <w:rsid w:val="67D77B33"/>
    <w:rsid w:val="67DA7730"/>
    <w:rsid w:val="67DF5160"/>
    <w:rsid w:val="67E31C5C"/>
    <w:rsid w:val="67E660D5"/>
    <w:rsid w:val="67EA34C8"/>
    <w:rsid w:val="67EC2CC9"/>
    <w:rsid w:val="67EC6E40"/>
    <w:rsid w:val="67EC7222"/>
    <w:rsid w:val="67EE0FC7"/>
    <w:rsid w:val="67EE24B8"/>
    <w:rsid w:val="67F26828"/>
    <w:rsid w:val="67F32359"/>
    <w:rsid w:val="67F325A0"/>
    <w:rsid w:val="67F3434E"/>
    <w:rsid w:val="67F35BEC"/>
    <w:rsid w:val="67F370FE"/>
    <w:rsid w:val="67F44D9B"/>
    <w:rsid w:val="67F62E11"/>
    <w:rsid w:val="67F64180"/>
    <w:rsid w:val="67F72FE5"/>
    <w:rsid w:val="67FA29E9"/>
    <w:rsid w:val="67FE215F"/>
    <w:rsid w:val="67FF2CF3"/>
    <w:rsid w:val="68016A6B"/>
    <w:rsid w:val="68071BA7"/>
    <w:rsid w:val="68075E96"/>
    <w:rsid w:val="68091DC3"/>
    <w:rsid w:val="6809659F"/>
    <w:rsid w:val="680C4C9B"/>
    <w:rsid w:val="680E7FD0"/>
    <w:rsid w:val="681214F5"/>
    <w:rsid w:val="681542C4"/>
    <w:rsid w:val="6817628E"/>
    <w:rsid w:val="68190258"/>
    <w:rsid w:val="681917DC"/>
    <w:rsid w:val="681C6E28"/>
    <w:rsid w:val="681F6961"/>
    <w:rsid w:val="6825638F"/>
    <w:rsid w:val="68273FF7"/>
    <w:rsid w:val="68282249"/>
    <w:rsid w:val="68286083"/>
    <w:rsid w:val="68290E37"/>
    <w:rsid w:val="682930B6"/>
    <w:rsid w:val="682940CA"/>
    <w:rsid w:val="68297D70"/>
    <w:rsid w:val="682B1D3A"/>
    <w:rsid w:val="6832184E"/>
    <w:rsid w:val="6833299C"/>
    <w:rsid w:val="68336E43"/>
    <w:rsid w:val="68343D65"/>
    <w:rsid w:val="68361123"/>
    <w:rsid w:val="6837248C"/>
    <w:rsid w:val="68376930"/>
    <w:rsid w:val="6838524A"/>
    <w:rsid w:val="683873C8"/>
    <w:rsid w:val="683A2C26"/>
    <w:rsid w:val="683D0227"/>
    <w:rsid w:val="6841330B"/>
    <w:rsid w:val="68460921"/>
    <w:rsid w:val="68470B9C"/>
    <w:rsid w:val="684B418A"/>
    <w:rsid w:val="684B5661"/>
    <w:rsid w:val="684D1C5E"/>
    <w:rsid w:val="684D7AF1"/>
    <w:rsid w:val="684E32D1"/>
    <w:rsid w:val="685272C6"/>
    <w:rsid w:val="68537863"/>
    <w:rsid w:val="68545A07"/>
    <w:rsid w:val="68572B2F"/>
    <w:rsid w:val="685A43CD"/>
    <w:rsid w:val="685C6397"/>
    <w:rsid w:val="685E5E67"/>
    <w:rsid w:val="685F638F"/>
    <w:rsid w:val="685F7C35"/>
    <w:rsid w:val="68610A2F"/>
    <w:rsid w:val="68660832"/>
    <w:rsid w:val="68663B55"/>
    <w:rsid w:val="686B1BB9"/>
    <w:rsid w:val="686C3489"/>
    <w:rsid w:val="686F60CA"/>
    <w:rsid w:val="68702721"/>
    <w:rsid w:val="68725BBA"/>
    <w:rsid w:val="68727968"/>
    <w:rsid w:val="68750223"/>
    <w:rsid w:val="68751207"/>
    <w:rsid w:val="68752FB5"/>
    <w:rsid w:val="68777CD5"/>
    <w:rsid w:val="68784CB5"/>
    <w:rsid w:val="68792AA5"/>
    <w:rsid w:val="687A05CB"/>
    <w:rsid w:val="687D2886"/>
    <w:rsid w:val="687E630D"/>
    <w:rsid w:val="68805514"/>
    <w:rsid w:val="68815DFE"/>
    <w:rsid w:val="688250C5"/>
    <w:rsid w:val="68831B76"/>
    <w:rsid w:val="6884144A"/>
    <w:rsid w:val="688603FF"/>
    <w:rsid w:val="68882CE8"/>
    <w:rsid w:val="688A75A5"/>
    <w:rsid w:val="688B4586"/>
    <w:rsid w:val="688C0B0A"/>
    <w:rsid w:val="688C79F5"/>
    <w:rsid w:val="688D36E5"/>
    <w:rsid w:val="688F051A"/>
    <w:rsid w:val="688F5FA5"/>
    <w:rsid w:val="6894168D"/>
    <w:rsid w:val="689478DF"/>
    <w:rsid w:val="689556A6"/>
    <w:rsid w:val="68993147"/>
    <w:rsid w:val="689968E3"/>
    <w:rsid w:val="68996B75"/>
    <w:rsid w:val="689B4BE3"/>
    <w:rsid w:val="689C23CA"/>
    <w:rsid w:val="689E29A9"/>
    <w:rsid w:val="68A24402"/>
    <w:rsid w:val="68A45648"/>
    <w:rsid w:val="68A610C0"/>
    <w:rsid w:val="68A613C0"/>
    <w:rsid w:val="68A828B7"/>
    <w:rsid w:val="68AA7C5D"/>
    <w:rsid w:val="68AC071F"/>
    <w:rsid w:val="68AD6BF3"/>
    <w:rsid w:val="68B967F3"/>
    <w:rsid w:val="68B97536"/>
    <w:rsid w:val="68BD10E3"/>
    <w:rsid w:val="68BF0456"/>
    <w:rsid w:val="68C006D4"/>
    <w:rsid w:val="68C057CD"/>
    <w:rsid w:val="68C11B28"/>
    <w:rsid w:val="68C161FA"/>
    <w:rsid w:val="68C31F72"/>
    <w:rsid w:val="68C43F8C"/>
    <w:rsid w:val="68C44649"/>
    <w:rsid w:val="68C47A98"/>
    <w:rsid w:val="68C771A8"/>
    <w:rsid w:val="68CA1BBE"/>
    <w:rsid w:val="68CD2DF1"/>
    <w:rsid w:val="68D13E93"/>
    <w:rsid w:val="68D21128"/>
    <w:rsid w:val="68D40557"/>
    <w:rsid w:val="68D517DA"/>
    <w:rsid w:val="68D65277"/>
    <w:rsid w:val="68D67C32"/>
    <w:rsid w:val="68D979E8"/>
    <w:rsid w:val="68DE7682"/>
    <w:rsid w:val="68E12D14"/>
    <w:rsid w:val="68E1689C"/>
    <w:rsid w:val="68E31224"/>
    <w:rsid w:val="68E42335"/>
    <w:rsid w:val="68E548CC"/>
    <w:rsid w:val="68E5638C"/>
    <w:rsid w:val="68E87C2B"/>
    <w:rsid w:val="68EB5C39"/>
    <w:rsid w:val="68EC4CA4"/>
    <w:rsid w:val="68F14D31"/>
    <w:rsid w:val="68F6059A"/>
    <w:rsid w:val="68F9347B"/>
    <w:rsid w:val="68F93DCE"/>
    <w:rsid w:val="68FA530E"/>
    <w:rsid w:val="68FA78A4"/>
    <w:rsid w:val="68FE38A5"/>
    <w:rsid w:val="68FF2338"/>
    <w:rsid w:val="68FF2C76"/>
    <w:rsid w:val="6900033B"/>
    <w:rsid w:val="690760DC"/>
    <w:rsid w:val="69090020"/>
    <w:rsid w:val="69092B05"/>
    <w:rsid w:val="69092DF3"/>
    <w:rsid w:val="690A45F5"/>
    <w:rsid w:val="690D143F"/>
    <w:rsid w:val="690D5BC9"/>
    <w:rsid w:val="690E5004"/>
    <w:rsid w:val="690F6F65"/>
    <w:rsid w:val="69117181"/>
    <w:rsid w:val="69126A56"/>
    <w:rsid w:val="69152AA2"/>
    <w:rsid w:val="69165DB8"/>
    <w:rsid w:val="69175F4C"/>
    <w:rsid w:val="69182EEF"/>
    <w:rsid w:val="691879C4"/>
    <w:rsid w:val="69192320"/>
    <w:rsid w:val="691C75DB"/>
    <w:rsid w:val="691C78D4"/>
    <w:rsid w:val="691D5B26"/>
    <w:rsid w:val="691E2146"/>
    <w:rsid w:val="691E555C"/>
    <w:rsid w:val="6921630D"/>
    <w:rsid w:val="692364C7"/>
    <w:rsid w:val="69270753"/>
    <w:rsid w:val="69286279"/>
    <w:rsid w:val="692C14E1"/>
    <w:rsid w:val="692D72DA"/>
    <w:rsid w:val="69310C2E"/>
    <w:rsid w:val="69316E2F"/>
    <w:rsid w:val="6934554E"/>
    <w:rsid w:val="693568D4"/>
    <w:rsid w:val="69386786"/>
    <w:rsid w:val="693B0C44"/>
    <w:rsid w:val="69435938"/>
    <w:rsid w:val="69437FBC"/>
    <w:rsid w:val="69454A7B"/>
    <w:rsid w:val="69456E2B"/>
    <w:rsid w:val="69465A84"/>
    <w:rsid w:val="69477CF4"/>
    <w:rsid w:val="694806C9"/>
    <w:rsid w:val="69480AA1"/>
    <w:rsid w:val="69482477"/>
    <w:rsid w:val="6949563F"/>
    <w:rsid w:val="694B4F12"/>
    <w:rsid w:val="694D5C24"/>
    <w:rsid w:val="694E2071"/>
    <w:rsid w:val="694F7CAA"/>
    <w:rsid w:val="69527E32"/>
    <w:rsid w:val="69556C14"/>
    <w:rsid w:val="69564B94"/>
    <w:rsid w:val="696319E0"/>
    <w:rsid w:val="69635503"/>
    <w:rsid w:val="696562A7"/>
    <w:rsid w:val="6969421A"/>
    <w:rsid w:val="69697358"/>
    <w:rsid w:val="696C085C"/>
    <w:rsid w:val="696C260A"/>
    <w:rsid w:val="696D5660"/>
    <w:rsid w:val="696E145B"/>
    <w:rsid w:val="697274F4"/>
    <w:rsid w:val="6974326C"/>
    <w:rsid w:val="69765236"/>
    <w:rsid w:val="69766163"/>
    <w:rsid w:val="69796AD5"/>
    <w:rsid w:val="697A3B33"/>
    <w:rsid w:val="697E444E"/>
    <w:rsid w:val="69800387"/>
    <w:rsid w:val="69842DCC"/>
    <w:rsid w:val="6987410D"/>
    <w:rsid w:val="6989287D"/>
    <w:rsid w:val="698943BD"/>
    <w:rsid w:val="698973A3"/>
    <w:rsid w:val="698A5BC9"/>
    <w:rsid w:val="698C2CAC"/>
    <w:rsid w:val="698E0265"/>
    <w:rsid w:val="69927F0F"/>
    <w:rsid w:val="69936875"/>
    <w:rsid w:val="699371E6"/>
    <w:rsid w:val="699456BD"/>
    <w:rsid w:val="6995125C"/>
    <w:rsid w:val="69953C45"/>
    <w:rsid w:val="6998412E"/>
    <w:rsid w:val="699C1031"/>
    <w:rsid w:val="69A04061"/>
    <w:rsid w:val="69A078C8"/>
    <w:rsid w:val="69A173E4"/>
    <w:rsid w:val="69A51678"/>
    <w:rsid w:val="69A524D5"/>
    <w:rsid w:val="69A7779B"/>
    <w:rsid w:val="69AA39F0"/>
    <w:rsid w:val="69AA4EE0"/>
    <w:rsid w:val="69B07FE0"/>
    <w:rsid w:val="69B25DB1"/>
    <w:rsid w:val="69B3007F"/>
    <w:rsid w:val="69B47C21"/>
    <w:rsid w:val="69B800F1"/>
    <w:rsid w:val="69BE2583"/>
    <w:rsid w:val="69BF098B"/>
    <w:rsid w:val="69C40C04"/>
    <w:rsid w:val="69C51D1A"/>
    <w:rsid w:val="69C557E4"/>
    <w:rsid w:val="69C67F6C"/>
    <w:rsid w:val="69C719CD"/>
    <w:rsid w:val="69C778BE"/>
    <w:rsid w:val="69C935B8"/>
    <w:rsid w:val="69CA01D2"/>
    <w:rsid w:val="69CD09F4"/>
    <w:rsid w:val="69CD5EEA"/>
    <w:rsid w:val="69CD6696"/>
    <w:rsid w:val="69D27A88"/>
    <w:rsid w:val="69D44760"/>
    <w:rsid w:val="69D65CD5"/>
    <w:rsid w:val="69D6659B"/>
    <w:rsid w:val="69D80BC6"/>
    <w:rsid w:val="69DA7573"/>
    <w:rsid w:val="69DB153D"/>
    <w:rsid w:val="69DC6E6F"/>
    <w:rsid w:val="69DD3507"/>
    <w:rsid w:val="69DD52B6"/>
    <w:rsid w:val="69DF2DDC"/>
    <w:rsid w:val="69E10789"/>
    <w:rsid w:val="69E35941"/>
    <w:rsid w:val="69E403F2"/>
    <w:rsid w:val="69E77EE2"/>
    <w:rsid w:val="69E85AA4"/>
    <w:rsid w:val="69E96249"/>
    <w:rsid w:val="69ED3060"/>
    <w:rsid w:val="69ED387F"/>
    <w:rsid w:val="69EE2B4F"/>
    <w:rsid w:val="69EF4136"/>
    <w:rsid w:val="69F04FE9"/>
    <w:rsid w:val="69F159FF"/>
    <w:rsid w:val="69F4103E"/>
    <w:rsid w:val="69F50851"/>
    <w:rsid w:val="69F6715F"/>
    <w:rsid w:val="69F73C39"/>
    <w:rsid w:val="69FA5E67"/>
    <w:rsid w:val="69FB5540"/>
    <w:rsid w:val="6A06041A"/>
    <w:rsid w:val="6A072332"/>
    <w:rsid w:val="6A082821"/>
    <w:rsid w:val="6A0B1E23"/>
    <w:rsid w:val="6A0B51DC"/>
    <w:rsid w:val="6A106897"/>
    <w:rsid w:val="6A1421F5"/>
    <w:rsid w:val="6A177DAC"/>
    <w:rsid w:val="6A1A3E14"/>
    <w:rsid w:val="6A1B6CB4"/>
    <w:rsid w:val="6A1C3809"/>
    <w:rsid w:val="6A1D52DB"/>
    <w:rsid w:val="6A204355"/>
    <w:rsid w:val="6A2340BC"/>
    <w:rsid w:val="6A250805"/>
    <w:rsid w:val="6A25140B"/>
    <w:rsid w:val="6A2574F4"/>
    <w:rsid w:val="6A276531"/>
    <w:rsid w:val="6A2B0AEE"/>
    <w:rsid w:val="6A2B6021"/>
    <w:rsid w:val="6A2C761D"/>
    <w:rsid w:val="6A2D7812"/>
    <w:rsid w:val="6A2E2B29"/>
    <w:rsid w:val="6A2E38D5"/>
    <w:rsid w:val="6A30031F"/>
    <w:rsid w:val="6A31115D"/>
    <w:rsid w:val="6A334ED5"/>
    <w:rsid w:val="6A356EA0"/>
    <w:rsid w:val="6A382A33"/>
    <w:rsid w:val="6A387554"/>
    <w:rsid w:val="6A3B5E4E"/>
    <w:rsid w:val="6A3D4432"/>
    <w:rsid w:val="6A3E1967"/>
    <w:rsid w:val="6A3F387A"/>
    <w:rsid w:val="6A440E91"/>
    <w:rsid w:val="6A447FD1"/>
    <w:rsid w:val="6A49294B"/>
    <w:rsid w:val="6A4B0EE9"/>
    <w:rsid w:val="6A4B221F"/>
    <w:rsid w:val="6A4D10FF"/>
    <w:rsid w:val="6A4E1D0F"/>
    <w:rsid w:val="6A520EC7"/>
    <w:rsid w:val="6A570E38"/>
    <w:rsid w:val="6A5A1261"/>
    <w:rsid w:val="6A5C267E"/>
    <w:rsid w:val="6A5C442C"/>
    <w:rsid w:val="6A5E478E"/>
    <w:rsid w:val="6A5F216E"/>
    <w:rsid w:val="6A6177B6"/>
    <w:rsid w:val="6A641E66"/>
    <w:rsid w:val="6A646723"/>
    <w:rsid w:val="6A65681C"/>
    <w:rsid w:val="6A681023"/>
    <w:rsid w:val="6A6B0B13"/>
    <w:rsid w:val="6A716B7C"/>
    <w:rsid w:val="6A731776"/>
    <w:rsid w:val="6A747723"/>
    <w:rsid w:val="6A753740"/>
    <w:rsid w:val="6A757923"/>
    <w:rsid w:val="6A771266"/>
    <w:rsid w:val="6A7F45BF"/>
    <w:rsid w:val="6A810631"/>
    <w:rsid w:val="6A813E93"/>
    <w:rsid w:val="6A815C41"/>
    <w:rsid w:val="6A835E5D"/>
    <w:rsid w:val="6A8573D9"/>
    <w:rsid w:val="6A876FCF"/>
    <w:rsid w:val="6A892D47"/>
    <w:rsid w:val="6A8B45F6"/>
    <w:rsid w:val="6A8B64D9"/>
    <w:rsid w:val="6A9B3BE7"/>
    <w:rsid w:val="6A9D17EA"/>
    <w:rsid w:val="6A9D49CB"/>
    <w:rsid w:val="6A9F256B"/>
    <w:rsid w:val="6AA121D3"/>
    <w:rsid w:val="6AA14535"/>
    <w:rsid w:val="6AB2229E"/>
    <w:rsid w:val="6AB7165D"/>
    <w:rsid w:val="6AB73378"/>
    <w:rsid w:val="6AB75B07"/>
    <w:rsid w:val="6AB83133"/>
    <w:rsid w:val="6ABE65D4"/>
    <w:rsid w:val="6AC1126E"/>
    <w:rsid w:val="6AC36259"/>
    <w:rsid w:val="6AC5539F"/>
    <w:rsid w:val="6ACD0E86"/>
    <w:rsid w:val="6AD22940"/>
    <w:rsid w:val="6AD246EE"/>
    <w:rsid w:val="6AD63E15"/>
    <w:rsid w:val="6AD6457E"/>
    <w:rsid w:val="6AD9782B"/>
    <w:rsid w:val="6ADA17F5"/>
    <w:rsid w:val="6ADF2955"/>
    <w:rsid w:val="6AE172C9"/>
    <w:rsid w:val="6AE1731D"/>
    <w:rsid w:val="6AE6019A"/>
    <w:rsid w:val="6AE61F48"/>
    <w:rsid w:val="6AE80457"/>
    <w:rsid w:val="6AE9424C"/>
    <w:rsid w:val="6AEF52A0"/>
    <w:rsid w:val="6AF26B3F"/>
    <w:rsid w:val="6AF30B62"/>
    <w:rsid w:val="6AF55859"/>
    <w:rsid w:val="6AF60E36"/>
    <w:rsid w:val="6AF6535D"/>
    <w:rsid w:val="6AF87E20"/>
    <w:rsid w:val="6AF90EB0"/>
    <w:rsid w:val="6AF922D3"/>
    <w:rsid w:val="6AF93983"/>
    <w:rsid w:val="6AFB1E97"/>
    <w:rsid w:val="6AFC5236"/>
    <w:rsid w:val="6AFE1987"/>
    <w:rsid w:val="6AFE7291"/>
    <w:rsid w:val="6AFF4127"/>
    <w:rsid w:val="6B0108EE"/>
    <w:rsid w:val="6B045001"/>
    <w:rsid w:val="6B057532"/>
    <w:rsid w:val="6B0625EA"/>
    <w:rsid w:val="6B0A1759"/>
    <w:rsid w:val="6B0B6105"/>
    <w:rsid w:val="6B0C5D0F"/>
    <w:rsid w:val="6B0D1E50"/>
    <w:rsid w:val="6B10351D"/>
    <w:rsid w:val="6B155434"/>
    <w:rsid w:val="6B166CD1"/>
    <w:rsid w:val="6B1A3837"/>
    <w:rsid w:val="6B1B0741"/>
    <w:rsid w:val="6B1B6095"/>
    <w:rsid w:val="6B1C2F08"/>
    <w:rsid w:val="6B1F28E2"/>
    <w:rsid w:val="6B1F5CAF"/>
    <w:rsid w:val="6B2036AC"/>
    <w:rsid w:val="6B2677F2"/>
    <w:rsid w:val="6B272C8C"/>
    <w:rsid w:val="6B2F1B41"/>
    <w:rsid w:val="6B3167D5"/>
    <w:rsid w:val="6B322639"/>
    <w:rsid w:val="6B3233DF"/>
    <w:rsid w:val="6B350141"/>
    <w:rsid w:val="6B367304"/>
    <w:rsid w:val="6B39311D"/>
    <w:rsid w:val="6B39679C"/>
    <w:rsid w:val="6B3E1C4A"/>
    <w:rsid w:val="6B3E7FD6"/>
    <w:rsid w:val="6B403D4E"/>
    <w:rsid w:val="6B4132A3"/>
    <w:rsid w:val="6B427AC6"/>
    <w:rsid w:val="6B446341"/>
    <w:rsid w:val="6B464DAE"/>
    <w:rsid w:val="6B494109"/>
    <w:rsid w:val="6B4B624F"/>
    <w:rsid w:val="6B4D219F"/>
    <w:rsid w:val="6B4D2CAD"/>
    <w:rsid w:val="6B4E646B"/>
    <w:rsid w:val="6B501BE3"/>
    <w:rsid w:val="6B5108D2"/>
    <w:rsid w:val="6B515136"/>
    <w:rsid w:val="6B560256"/>
    <w:rsid w:val="6B5976B2"/>
    <w:rsid w:val="6B5A337E"/>
    <w:rsid w:val="6B5A5BF1"/>
    <w:rsid w:val="6B5D328F"/>
    <w:rsid w:val="6B625A72"/>
    <w:rsid w:val="6B672283"/>
    <w:rsid w:val="6B6932A5"/>
    <w:rsid w:val="6B6E0360"/>
    <w:rsid w:val="6B701E3E"/>
    <w:rsid w:val="6B706339"/>
    <w:rsid w:val="6B742A32"/>
    <w:rsid w:val="6B76151E"/>
    <w:rsid w:val="6B7623B7"/>
    <w:rsid w:val="6B7705BE"/>
    <w:rsid w:val="6B7852CF"/>
    <w:rsid w:val="6B78541D"/>
    <w:rsid w:val="6B797260"/>
    <w:rsid w:val="6B7A48DB"/>
    <w:rsid w:val="6B7C52C9"/>
    <w:rsid w:val="6B7E7978"/>
    <w:rsid w:val="6B8021A2"/>
    <w:rsid w:val="6B80239C"/>
    <w:rsid w:val="6B80516F"/>
    <w:rsid w:val="6B811B5C"/>
    <w:rsid w:val="6B8151BA"/>
    <w:rsid w:val="6B8163A0"/>
    <w:rsid w:val="6B8232BC"/>
    <w:rsid w:val="6B830827"/>
    <w:rsid w:val="6B84187C"/>
    <w:rsid w:val="6B851761"/>
    <w:rsid w:val="6B853F45"/>
    <w:rsid w:val="6B874DF9"/>
    <w:rsid w:val="6B875938"/>
    <w:rsid w:val="6B882FFF"/>
    <w:rsid w:val="6B8A321B"/>
    <w:rsid w:val="6B8A4FC9"/>
    <w:rsid w:val="6B8B3085"/>
    <w:rsid w:val="6B8C0F17"/>
    <w:rsid w:val="6B8D121C"/>
    <w:rsid w:val="6B8D6867"/>
    <w:rsid w:val="6B90096E"/>
    <w:rsid w:val="6B901786"/>
    <w:rsid w:val="6B923E7E"/>
    <w:rsid w:val="6B930BEB"/>
    <w:rsid w:val="6B98231E"/>
    <w:rsid w:val="6B9950EC"/>
    <w:rsid w:val="6B9A16B0"/>
    <w:rsid w:val="6B9D6AAA"/>
    <w:rsid w:val="6B9F2E7C"/>
    <w:rsid w:val="6BA266FC"/>
    <w:rsid w:val="6BA52E1D"/>
    <w:rsid w:val="6BA77929"/>
    <w:rsid w:val="6BAC3191"/>
    <w:rsid w:val="6BAE6F0A"/>
    <w:rsid w:val="6BAF42E7"/>
    <w:rsid w:val="6BAF7795"/>
    <w:rsid w:val="6BB17DD8"/>
    <w:rsid w:val="6BB44379"/>
    <w:rsid w:val="6BB5680D"/>
    <w:rsid w:val="6BB74DB2"/>
    <w:rsid w:val="6BB8659D"/>
    <w:rsid w:val="6BBA3B00"/>
    <w:rsid w:val="6BC30951"/>
    <w:rsid w:val="6BC32289"/>
    <w:rsid w:val="6BC404DB"/>
    <w:rsid w:val="6BC73B27"/>
    <w:rsid w:val="6BC77FCB"/>
    <w:rsid w:val="6BCB7ABB"/>
    <w:rsid w:val="6BD001F5"/>
    <w:rsid w:val="6BD07F28"/>
    <w:rsid w:val="6BD12BF8"/>
    <w:rsid w:val="6BD46244"/>
    <w:rsid w:val="6BD526E8"/>
    <w:rsid w:val="6BD61E07"/>
    <w:rsid w:val="6BD97DC9"/>
    <w:rsid w:val="6BDC15F2"/>
    <w:rsid w:val="6BDD6A1B"/>
    <w:rsid w:val="6BE0108D"/>
    <w:rsid w:val="6BE0262F"/>
    <w:rsid w:val="6BE1053C"/>
    <w:rsid w:val="6BE13477"/>
    <w:rsid w:val="6BE24E05"/>
    <w:rsid w:val="6BE36A02"/>
    <w:rsid w:val="6BE4292B"/>
    <w:rsid w:val="6BE5002C"/>
    <w:rsid w:val="6BE70B58"/>
    <w:rsid w:val="6BE83561"/>
    <w:rsid w:val="6BEA00AE"/>
    <w:rsid w:val="6BEA5A68"/>
    <w:rsid w:val="6BEC437D"/>
    <w:rsid w:val="6BED71F9"/>
    <w:rsid w:val="6BF155A3"/>
    <w:rsid w:val="6BF32B6E"/>
    <w:rsid w:val="6BF568E6"/>
    <w:rsid w:val="6BF81766"/>
    <w:rsid w:val="6C024F00"/>
    <w:rsid w:val="6C0519B3"/>
    <w:rsid w:val="6C075BA5"/>
    <w:rsid w:val="6C07744D"/>
    <w:rsid w:val="6C0B12F5"/>
    <w:rsid w:val="6C0C00AA"/>
    <w:rsid w:val="6C133210"/>
    <w:rsid w:val="6C142426"/>
    <w:rsid w:val="6C144904"/>
    <w:rsid w:val="6C167172"/>
    <w:rsid w:val="6C170E9A"/>
    <w:rsid w:val="6C180827"/>
    <w:rsid w:val="6C1B335F"/>
    <w:rsid w:val="6C1D33DE"/>
    <w:rsid w:val="6C1F15EE"/>
    <w:rsid w:val="6C2076DB"/>
    <w:rsid w:val="6C2175D9"/>
    <w:rsid w:val="6C256F92"/>
    <w:rsid w:val="6C2747ED"/>
    <w:rsid w:val="6C2A4AD0"/>
    <w:rsid w:val="6C2E3BA6"/>
    <w:rsid w:val="6C2F04B6"/>
    <w:rsid w:val="6C305B70"/>
    <w:rsid w:val="6C3640F6"/>
    <w:rsid w:val="6C376EFF"/>
    <w:rsid w:val="6C3770D3"/>
    <w:rsid w:val="6C382C77"/>
    <w:rsid w:val="6C395ADD"/>
    <w:rsid w:val="6C3D537B"/>
    <w:rsid w:val="6C4023C7"/>
    <w:rsid w:val="6C4258A4"/>
    <w:rsid w:val="6C44233F"/>
    <w:rsid w:val="6C442F06"/>
    <w:rsid w:val="6C446D36"/>
    <w:rsid w:val="6C4651F0"/>
    <w:rsid w:val="6C4719EB"/>
    <w:rsid w:val="6C497A36"/>
    <w:rsid w:val="6C4D1F61"/>
    <w:rsid w:val="6C506213"/>
    <w:rsid w:val="6C533562"/>
    <w:rsid w:val="6C53360D"/>
    <w:rsid w:val="6C557385"/>
    <w:rsid w:val="6C564127"/>
    <w:rsid w:val="6C58439A"/>
    <w:rsid w:val="6C5850C7"/>
    <w:rsid w:val="6C5957B6"/>
    <w:rsid w:val="6C5A21AE"/>
    <w:rsid w:val="6C5A499B"/>
    <w:rsid w:val="6C5C0103"/>
    <w:rsid w:val="6C5D58A2"/>
    <w:rsid w:val="6C626850"/>
    <w:rsid w:val="6C635F46"/>
    <w:rsid w:val="6C636C38"/>
    <w:rsid w:val="6C647B49"/>
    <w:rsid w:val="6C655330"/>
    <w:rsid w:val="6C6B0A3A"/>
    <w:rsid w:val="6C6B1580"/>
    <w:rsid w:val="6C6D6277"/>
    <w:rsid w:val="6C6E48EB"/>
    <w:rsid w:val="6C700663"/>
    <w:rsid w:val="6C7047EF"/>
    <w:rsid w:val="6C731F01"/>
    <w:rsid w:val="6C735A5D"/>
    <w:rsid w:val="6C7555E1"/>
    <w:rsid w:val="6C767A02"/>
    <w:rsid w:val="6C77379F"/>
    <w:rsid w:val="6C7812C6"/>
    <w:rsid w:val="6C7A5AE4"/>
    <w:rsid w:val="6C7B23AC"/>
    <w:rsid w:val="6C7C17FA"/>
    <w:rsid w:val="6C7C74FB"/>
    <w:rsid w:val="6C7F08A6"/>
    <w:rsid w:val="6C804DEF"/>
    <w:rsid w:val="6C861C34"/>
    <w:rsid w:val="6C864196"/>
    <w:rsid w:val="6C8D2FC3"/>
    <w:rsid w:val="6C912847"/>
    <w:rsid w:val="6C9360FF"/>
    <w:rsid w:val="6C97799E"/>
    <w:rsid w:val="6C982770"/>
    <w:rsid w:val="6C9D795F"/>
    <w:rsid w:val="6C9F2CF6"/>
    <w:rsid w:val="6CA0431B"/>
    <w:rsid w:val="6CA125CA"/>
    <w:rsid w:val="6CA429B8"/>
    <w:rsid w:val="6CA67BBB"/>
    <w:rsid w:val="6CA83959"/>
    <w:rsid w:val="6CAB3449"/>
    <w:rsid w:val="6CAE4CE7"/>
    <w:rsid w:val="6CAE60A6"/>
    <w:rsid w:val="6CB166DE"/>
    <w:rsid w:val="6CB2554A"/>
    <w:rsid w:val="6CB64FB2"/>
    <w:rsid w:val="6CB76DDE"/>
    <w:rsid w:val="6CB840BA"/>
    <w:rsid w:val="6CB9122E"/>
    <w:rsid w:val="6CB93360"/>
    <w:rsid w:val="6CBC034D"/>
    <w:rsid w:val="6CBE13CE"/>
    <w:rsid w:val="6CBE2A21"/>
    <w:rsid w:val="6CC04E53"/>
    <w:rsid w:val="6CC1160C"/>
    <w:rsid w:val="6CC14493"/>
    <w:rsid w:val="6CC15BAD"/>
    <w:rsid w:val="6CC30793"/>
    <w:rsid w:val="6CC67436"/>
    <w:rsid w:val="6CC84308"/>
    <w:rsid w:val="6CC91B21"/>
    <w:rsid w:val="6CC92A60"/>
    <w:rsid w:val="6CCB213B"/>
    <w:rsid w:val="6CD01102"/>
    <w:rsid w:val="6CD04C5E"/>
    <w:rsid w:val="6CD24E7A"/>
    <w:rsid w:val="6CD504C6"/>
    <w:rsid w:val="6CD7423E"/>
    <w:rsid w:val="6CD90E4B"/>
    <w:rsid w:val="6CD95483"/>
    <w:rsid w:val="6CD97FB6"/>
    <w:rsid w:val="6CDA21F4"/>
    <w:rsid w:val="6CDE381E"/>
    <w:rsid w:val="6CDF2259"/>
    <w:rsid w:val="6CE17D21"/>
    <w:rsid w:val="6CE400F6"/>
    <w:rsid w:val="6CE52FB3"/>
    <w:rsid w:val="6CE575E6"/>
    <w:rsid w:val="6CE85DC6"/>
    <w:rsid w:val="6CE93F71"/>
    <w:rsid w:val="6CEC593D"/>
    <w:rsid w:val="6CF02529"/>
    <w:rsid w:val="6CF323EC"/>
    <w:rsid w:val="6CF4357A"/>
    <w:rsid w:val="6CF66E12"/>
    <w:rsid w:val="6CF748E0"/>
    <w:rsid w:val="6CF7668E"/>
    <w:rsid w:val="6CF76C85"/>
    <w:rsid w:val="6CFC3CA5"/>
    <w:rsid w:val="6D013149"/>
    <w:rsid w:val="6D035497"/>
    <w:rsid w:val="6D036DE1"/>
    <w:rsid w:val="6D06067F"/>
    <w:rsid w:val="6D060801"/>
    <w:rsid w:val="6D086A7F"/>
    <w:rsid w:val="6D0A1BE7"/>
    <w:rsid w:val="6D0A4613"/>
    <w:rsid w:val="6D0D6A21"/>
    <w:rsid w:val="6D0E6E2D"/>
    <w:rsid w:val="6D0E755F"/>
    <w:rsid w:val="6D107750"/>
    <w:rsid w:val="6D163875"/>
    <w:rsid w:val="6D18080C"/>
    <w:rsid w:val="6D192885"/>
    <w:rsid w:val="6D194857"/>
    <w:rsid w:val="6D1A412B"/>
    <w:rsid w:val="6D1A6A51"/>
    <w:rsid w:val="6D1B05CF"/>
    <w:rsid w:val="6D1B4F25"/>
    <w:rsid w:val="6D203E37"/>
    <w:rsid w:val="6D2125C7"/>
    <w:rsid w:val="6D215AA8"/>
    <w:rsid w:val="6D244FF6"/>
    <w:rsid w:val="6D260D22"/>
    <w:rsid w:val="6D267174"/>
    <w:rsid w:val="6D2961C1"/>
    <w:rsid w:val="6D2E0E9D"/>
    <w:rsid w:val="6D2F5E28"/>
    <w:rsid w:val="6D323B6A"/>
    <w:rsid w:val="6D3276C6"/>
    <w:rsid w:val="6D336224"/>
    <w:rsid w:val="6D34343E"/>
    <w:rsid w:val="6D34621B"/>
    <w:rsid w:val="6D350F65"/>
    <w:rsid w:val="6D35260A"/>
    <w:rsid w:val="6D3530DF"/>
    <w:rsid w:val="6D367BC5"/>
    <w:rsid w:val="6D371592"/>
    <w:rsid w:val="6D392803"/>
    <w:rsid w:val="6D3E73C2"/>
    <w:rsid w:val="6D463172"/>
    <w:rsid w:val="6D4805B0"/>
    <w:rsid w:val="6D481F95"/>
    <w:rsid w:val="6D4920B7"/>
    <w:rsid w:val="6D4A0EB4"/>
    <w:rsid w:val="6D4D2752"/>
    <w:rsid w:val="6D4F0278"/>
    <w:rsid w:val="6D4F6F20"/>
    <w:rsid w:val="6D5006C1"/>
    <w:rsid w:val="6D512242"/>
    <w:rsid w:val="6D5238C5"/>
    <w:rsid w:val="6D5B0C2D"/>
    <w:rsid w:val="6D5C3CC5"/>
    <w:rsid w:val="6D6529AB"/>
    <w:rsid w:val="6D6673EF"/>
    <w:rsid w:val="6D673814"/>
    <w:rsid w:val="6D697F9E"/>
    <w:rsid w:val="6D6A4855"/>
    <w:rsid w:val="6D711757"/>
    <w:rsid w:val="6D745F31"/>
    <w:rsid w:val="6D7571D9"/>
    <w:rsid w:val="6D765805"/>
    <w:rsid w:val="6D77381E"/>
    <w:rsid w:val="6D7842FE"/>
    <w:rsid w:val="6D785A21"/>
    <w:rsid w:val="6D7B1947"/>
    <w:rsid w:val="6D7B2E1B"/>
    <w:rsid w:val="6D7B4153"/>
    <w:rsid w:val="6D7B4AEA"/>
    <w:rsid w:val="6D7E30E4"/>
    <w:rsid w:val="6D7E46BA"/>
    <w:rsid w:val="6D7E6A3E"/>
    <w:rsid w:val="6D811634"/>
    <w:rsid w:val="6D837F22"/>
    <w:rsid w:val="6D875C64"/>
    <w:rsid w:val="6D88378A"/>
    <w:rsid w:val="6D885538"/>
    <w:rsid w:val="6D893ADE"/>
    <w:rsid w:val="6D8A12B0"/>
    <w:rsid w:val="6D8F4B19"/>
    <w:rsid w:val="6D943EDD"/>
    <w:rsid w:val="6D99588D"/>
    <w:rsid w:val="6DA175D8"/>
    <w:rsid w:val="6DA305C4"/>
    <w:rsid w:val="6DA31C40"/>
    <w:rsid w:val="6DA46DFD"/>
    <w:rsid w:val="6DA87988"/>
    <w:rsid w:val="6DAC56CB"/>
    <w:rsid w:val="6DAD7D9C"/>
    <w:rsid w:val="6DAE1933"/>
    <w:rsid w:val="6DAF39A7"/>
    <w:rsid w:val="6DAF6E57"/>
    <w:rsid w:val="6DB0384C"/>
    <w:rsid w:val="6DB2186D"/>
    <w:rsid w:val="6DB225B5"/>
    <w:rsid w:val="6DB27D32"/>
    <w:rsid w:val="6DB34098"/>
    <w:rsid w:val="6DB44DC2"/>
    <w:rsid w:val="6DB545B6"/>
    <w:rsid w:val="6DB57B83"/>
    <w:rsid w:val="6DB602F7"/>
    <w:rsid w:val="6DB77BCC"/>
    <w:rsid w:val="6DB8406F"/>
    <w:rsid w:val="6DBA6527"/>
    <w:rsid w:val="6DBB75C5"/>
    <w:rsid w:val="6DBD06DC"/>
    <w:rsid w:val="6DBE0F5A"/>
    <w:rsid w:val="6DBE2DB7"/>
    <w:rsid w:val="6DC00740"/>
    <w:rsid w:val="6DC01176"/>
    <w:rsid w:val="6DC13BBE"/>
    <w:rsid w:val="6DC566A4"/>
    <w:rsid w:val="6DC5678C"/>
    <w:rsid w:val="6DC639FE"/>
    <w:rsid w:val="6DC72505"/>
    <w:rsid w:val="6DC75E19"/>
    <w:rsid w:val="6DC80F25"/>
    <w:rsid w:val="6DC84410"/>
    <w:rsid w:val="6DC9627D"/>
    <w:rsid w:val="6DCA3DA3"/>
    <w:rsid w:val="6DCA78FF"/>
    <w:rsid w:val="6DCB60BD"/>
    <w:rsid w:val="6DCC6D38"/>
    <w:rsid w:val="6DCE6C08"/>
    <w:rsid w:val="6DCF0E20"/>
    <w:rsid w:val="6DD97745"/>
    <w:rsid w:val="6DDA5341"/>
    <w:rsid w:val="6DDB7D5E"/>
    <w:rsid w:val="6DDE2036"/>
    <w:rsid w:val="6DDF784E"/>
    <w:rsid w:val="6DE007CC"/>
    <w:rsid w:val="6DE02FB4"/>
    <w:rsid w:val="6DE531B0"/>
    <w:rsid w:val="6DE76703"/>
    <w:rsid w:val="6DE81108"/>
    <w:rsid w:val="6DE94229"/>
    <w:rsid w:val="6DEA2E29"/>
    <w:rsid w:val="6DF13B7C"/>
    <w:rsid w:val="6DF6074B"/>
    <w:rsid w:val="6DF70997"/>
    <w:rsid w:val="6DFA4688"/>
    <w:rsid w:val="6DFA6436"/>
    <w:rsid w:val="6DFB4B52"/>
    <w:rsid w:val="6DFD1A82"/>
    <w:rsid w:val="6DFE6CF9"/>
    <w:rsid w:val="6E02353D"/>
    <w:rsid w:val="6E0241C5"/>
    <w:rsid w:val="6E035FED"/>
    <w:rsid w:val="6E045680"/>
    <w:rsid w:val="6E057402"/>
    <w:rsid w:val="6E076329"/>
    <w:rsid w:val="6E080427"/>
    <w:rsid w:val="6E091F66"/>
    <w:rsid w:val="6E0A0AD9"/>
    <w:rsid w:val="6E0A419F"/>
    <w:rsid w:val="6E0A4E68"/>
    <w:rsid w:val="6E0B0643"/>
    <w:rsid w:val="6E0B21C4"/>
    <w:rsid w:val="6E0F0C25"/>
    <w:rsid w:val="6E0F17B6"/>
    <w:rsid w:val="6E11552E"/>
    <w:rsid w:val="6E1374F8"/>
    <w:rsid w:val="6E157320"/>
    <w:rsid w:val="6E160D96"/>
    <w:rsid w:val="6E1868BC"/>
    <w:rsid w:val="6E1F7C4B"/>
    <w:rsid w:val="6E217E67"/>
    <w:rsid w:val="6E271196"/>
    <w:rsid w:val="6E272FA3"/>
    <w:rsid w:val="6E2A13F8"/>
    <w:rsid w:val="6E2A65EF"/>
    <w:rsid w:val="6E2C6686"/>
    <w:rsid w:val="6E2C680B"/>
    <w:rsid w:val="6E2D3F62"/>
    <w:rsid w:val="6E2F2962"/>
    <w:rsid w:val="6E2F532C"/>
    <w:rsid w:val="6E2F6D78"/>
    <w:rsid w:val="6E30435B"/>
    <w:rsid w:val="6E361438"/>
    <w:rsid w:val="6E396867"/>
    <w:rsid w:val="6E3A427A"/>
    <w:rsid w:val="6E3D27C7"/>
    <w:rsid w:val="6E3D4A2D"/>
    <w:rsid w:val="6E3F653F"/>
    <w:rsid w:val="6E4236B7"/>
    <w:rsid w:val="6E427DDD"/>
    <w:rsid w:val="6E446280"/>
    <w:rsid w:val="6E4A7093"/>
    <w:rsid w:val="6E4C5C64"/>
    <w:rsid w:val="6E4D24E8"/>
    <w:rsid w:val="6E514CED"/>
    <w:rsid w:val="6E523BC0"/>
    <w:rsid w:val="6E557B10"/>
    <w:rsid w:val="6E565636"/>
    <w:rsid w:val="6E5816F4"/>
    <w:rsid w:val="6E58315D"/>
    <w:rsid w:val="6E5D4544"/>
    <w:rsid w:val="6E5D4CE0"/>
    <w:rsid w:val="6E5D69C5"/>
    <w:rsid w:val="6E5F1847"/>
    <w:rsid w:val="6E603EBE"/>
    <w:rsid w:val="6E66587A"/>
    <w:rsid w:val="6E692A4C"/>
    <w:rsid w:val="6E6A4554"/>
    <w:rsid w:val="6E6C4E5A"/>
    <w:rsid w:val="6E6E2980"/>
    <w:rsid w:val="6E7028CB"/>
    <w:rsid w:val="6E712D3D"/>
    <w:rsid w:val="6E723819"/>
    <w:rsid w:val="6E724372"/>
    <w:rsid w:val="6E733E42"/>
    <w:rsid w:val="6E765892"/>
    <w:rsid w:val="6E7706DE"/>
    <w:rsid w:val="6E7A3744"/>
    <w:rsid w:val="6E7D2524"/>
    <w:rsid w:val="6E7D599A"/>
    <w:rsid w:val="6E7D7067"/>
    <w:rsid w:val="6E7E4FD1"/>
    <w:rsid w:val="6E7F2DDF"/>
    <w:rsid w:val="6E8024B4"/>
    <w:rsid w:val="6E885060"/>
    <w:rsid w:val="6E885A32"/>
    <w:rsid w:val="6E892810"/>
    <w:rsid w:val="6E8B1784"/>
    <w:rsid w:val="6E8C2A5D"/>
    <w:rsid w:val="6E8C5D34"/>
    <w:rsid w:val="6E8D7B87"/>
    <w:rsid w:val="6E8E345A"/>
    <w:rsid w:val="6E8E4DD0"/>
    <w:rsid w:val="6E91666F"/>
    <w:rsid w:val="6E931F60"/>
    <w:rsid w:val="6E957F0D"/>
    <w:rsid w:val="6E963C85"/>
    <w:rsid w:val="6E975D71"/>
    <w:rsid w:val="6E983062"/>
    <w:rsid w:val="6E985DB4"/>
    <w:rsid w:val="6E9F1D90"/>
    <w:rsid w:val="6EA445F4"/>
    <w:rsid w:val="6EA91803"/>
    <w:rsid w:val="6EAA67AA"/>
    <w:rsid w:val="6EB135EB"/>
    <w:rsid w:val="6EB23548"/>
    <w:rsid w:val="6EB26D25"/>
    <w:rsid w:val="6EB505AF"/>
    <w:rsid w:val="6EB563D5"/>
    <w:rsid w:val="6EB760D5"/>
    <w:rsid w:val="6EB83BFB"/>
    <w:rsid w:val="6EBB2FBE"/>
    <w:rsid w:val="6EBC12DD"/>
    <w:rsid w:val="6EBE3907"/>
    <w:rsid w:val="6EBF5F48"/>
    <w:rsid w:val="6EC725E1"/>
    <w:rsid w:val="6EC86534"/>
    <w:rsid w:val="6ECC4480"/>
    <w:rsid w:val="6ECD7FC5"/>
    <w:rsid w:val="6ED36DCB"/>
    <w:rsid w:val="6ED7047E"/>
    <w:rsid w:val="6ED749C9"/>
    <w:rsid w:val="6ED759B1"/>
    <w:rsid w:val="6ED83266"/>
    <w:rsid w:val="6ED92677"/>
    <w:rsid w:val="6EDA1FA1"/>
    <w:rsid w:val="6EDC2D66"/>
    <w:rsid w:val="6EE22D3E"/>
    <w:rsid w:val="6EE64C0C"/>
    <w:rsid w:val="6EE80450"/>
    <w:rsid w:val="6EEA1354"/>
    <w:rsid w:val="6EED7D49"/>
    <w:rsid w:val="6EEE1943"/>
    <w:rsid w:val="6EEF1690"/>
    <w:rsid w:val="6EF014BD"/>
    <w:rsid w:val="6EF2535F"/>
    <w:rsid w:val="6EF41D0C"/>
    <w:rsid w:val="6EF530A1"/>
    <w:rsid w:val="6EFC490E"/>
    <w:rsid w:val="6F060E0B"/>
    <w:rsid w:val="6F066D85"/>
    <w:rsid w:val="6F086931"/>
    <w:rsid w:val="6F0F5333"/>
    <w:rsid w:val="6F167094"/>
    <w:rsid w:val="6F1A6664"/>
    <w:rsid w:val="6F1B2B08"/>
    <w:rsid w:val="6F1E298B"/>
    <w:rsid w:val="6F1E43A6"/>
    <w:rsid w:val="6F2132A4"/>
    <w:rsid w:val="6F216451"/>
    <w:rsid w:val="6F2179F2"/>
    <w:rsid w:val="6F221E6F"/>
    <w:rsid w:val="6F225983"/>
    <w:rsid w:val="6F226C82"/>
    <w:rsid w:val="6F2319BD"/>
    <w:rsid w:val="6F233778"/>
    <w:rsid w:val="6F237B10"/>
    <w:rsid w:val="6F2725B4"/>
    <w:rsid w:val="6F2C2F60"/>
    <w:rsid w:val="6F2C4388"/>
    <w:rsid w:val="6F2D20FD"/>
    <w:rsid w:val="6F2E3EBD"/>
    <w:rsid w:val="6F341D9E"/>
    <w:rsid w:val="6F345553"/>
    <w:rsid w:val="6F35147A"/>
    <w:rsid w:val="6F3516F0"/>
    <w:rsid w:val="6F375468"/>
    <w:rsid w:val="6F395E23"/>
    <w:rsid w:val="6F397E6E"/>
    <w:rsid w:val="6F3A5EE5"/>
    <w:rsid w:val="6F3B6D06"/>
    <w:rsid w:val="6F3E05A4"/>
    <w:rsid w:val="6F3E5E16"/>
    <w:rsid w:val="6F4145F3"/>
    <w:rsid w:val="6F437898"/>
    <w:rsid w:val="6F4539F8"/>
    <w:rsid w:val="6F45570E"/>
    <w:rsid w:val="6F490CF7"/>
    <w:rsid w:val="6F4A2922"/>
    <w:rsid w:val="6F4A5655"/>
    <w:rsid w:val="6F4B0F13"/>
    <w:rsid w:val="6F4D6A39"/>
    <w:rsid w:val="6F4F27B2"/>
    <w:rsid w:val="6F5558EE"/>
    <w:rsid w:val="6F565587"/>
    <w:rsid w:val="6F5A122E"/>
    <w:rsid w:val="6F5B38FF"/>
    <w:rsid w:val="6F5C0A92"/>
    <w:rsid w:val="6F5D0838"/>
    <w:rsid w:val="6F5D78A7"/>
    <w:rsid w:val="6F5E47A3"/>
    <w:rsid w:val="6F5F3513"/>
    <w:rsid w:val="6F6124E5"/>
    <w:rsid w:val="6F662F07"/>
    <w:rsid w:val="6F667AFB"/>
    <w:rsid w:val="6F6A6CC4"/>
    <w:rsid w:val="6F6F075E"/>
    <w:rsid w:val="6F6F3387"/>
    <w:rsid w:val="6F6F3ADA"/>
    <w:rsid w:val="6F6F7B36"/>
    <w:rsid w:val="6F7004E9"/>
    <w:rsid w:val="6F71097A"/>
    <w:rsid w:val="6F721791"/>
    <w:rsid w:val="6F746E0B"/>
    <w:rsid w:val="6F7542C0"/>
    <w:rsid w:val="6F78571F"/>
    <w:rsid w:val="6F796467"/>
    <w:rsid w:val="6F7B0803"/>
    <w:rsid w:val="6F7E50A7"/>
    <w:rsid w:val="6F80296B"/>
    <w:rsid w:val="6F830281"/>
    <w:rsid w:val="6F834209"/>
    <w:rsid w:val="6F834837"/>
    <w:rsid w:val="6F854425"/>
    <w:rsid w:val="6F855D74"/>
    <w:rsid w:val="6F857E8A"/>
    <w:rsid w:val="6F8A27BF"/>
    <w:rsid w:val="6F9020C0"/>
    <w:rsid w:val="6F912DCA"/>
    <w:rsid w:val="6F975F07"/>
    <w:rsid w:val="6F977CB5"/>
    <w:rsid w:val="6F993A2D"/>
    <w:rsid w:val="6F9A10E7"/>
    <w:rsid w:val="6F9B345A"/>
    <w:rsid w:val="6F9C211D"/>
    <w:rsid w:val="6F9C351D"/>
    <w:rsid w:val="6F9F1960"/>
    <w:rsid w:val="6FA06B69"/>
    <w:rsid w:val="6FA203E9"/>
    <w:rsid w:val="6FA268BC"/>
    <w:rsid w:val="6FA7439C"/>
    <w:rsid w:val="6FAA62B9"/>
    <w:rsid w:val="6FAA796F"/>
    <w:rsid w:val="6FAB3D75"/>
    <w:rsid w:val="6FAC2828"/>
    <w:rsid w:val="6FAC3760"/>
    <w:rsid w:val="6FB129BF"/>
    <w:rsid w:val="6FB14F16"/>
    <w:rsid w:val="6FB240A4"/>
    <w:rsid w:val="6FB571E6"/>
    <w:rsid w:val="6FB630A9"/>
    <w:rsid w:val="6FB6562C"/>
    <w:rsid w:val="6FB71B1F"/>
    <w:rsid w:val="6FB86B35"/>
    <w:rsid w:val="6FBB7E47"/>
    <w:rsid w:val="6FBD7F8E"/>
    <w:rsid w:val="6FBE7075"/>
    <w:rsid w:val="6FC22B43"/>
    <w:rsid w:val="6FC34F4E"/>
    <w:rsid w:val="6FC36CFC"/>
    <w:rsid w:val="6FC542D5"/>
    <w:rsid w:val="6FC54EC0"/>
    <w:rsid w:val="6FC62348"/>
    <w:rsid w:val="6FC8265E"/>
    <w:rsid w:val="6FC85F04"/>
    <w:rsid w:val="6FC860C0"/>
    <w:rsid w:val="6FCA008A"/>
    <w:rsid w:val="6FCA1E38"/>
    <w:rsid w:val="6FCC3E02"/>
    <w:rsid w:val="6FCE594D"/>
    <w:rsid w:val="6FD20FA5"/>
    <w:rsid w:val="6FD47446"/>
    <w:rsid w:val="6FD96D33"/>
    <w:rsid w:val="6FDB4045"/>
    <w:rsid w:val="6FDB5DF3"/>
    <w:rsid w:val="6FDF512A"/>
    <w:rsid w:val="6FE31AD7"/>
    <w:rsid w:val="6FE434E5"/>
    <w:rsid w:val="6FE439A3"/>
    <w:rsid w:val="6FE56C72"/>
    <w:rsid w:val="6FE665F4"/>
    <w:rsid w:val="6FE715C1"/>
    <w:rsid w:val="6FE803C2"/>
    <w:rsid w:val="6FE80510"/>
    <w:rsid w:val="6FED7240"/>
    <w:rsid w:val="6FEE6B40"/>
    <w:rsid w:val="6FEF4FD6"/>
    <w:rsid w:val="6FEF7AF1"/>
    <w:rsid w:val="6FF11ABB"/>
    <w:rsid w:val="6FF13869"/>
    <w:rsid w:val="6FF3098D"/>
    <w:rsid w:val="6FF57C67"/>
    <w:rsid w:val="6FF70753"/>
    <w:rsid w:val="6FFC5590"/>
    <w:rsid w:val="70052867"/>
    <w:rsid w:val="70074E3A"/>
    <w:rsid w:val="700A0487"/>
    <w:rsid w:val="700A66D9"/>
    <w:rsid w:val="700D244E"/>
    <w:rsid w:val="700D2719"/>
    <w:rsid w:val="700D429F"/>
    <w:rsid w:val="700E2ACF"/>
    <w:rsid w:val="70125365"/>
    <w:rsid w:val="70142B8B"/>
    <w:rsid w:val="70160FEB"/>
    <w:rsid w:val="701932CA"/>
    <w:rsid w:val="701D64FB"/>
    <w:rsid w:val="701E1DE4"/>
    <w:rsid w:val="701E2184"/>
    <w:rsid w:val="70212D5A"/>
    <w:rsid w:val="7024192F"/>
    <w:rsid w:val="702459EC"/>
    <w:rsid w:val="70265A0E"/>
    <w:rsid w:val="70291AB5"/>
    <w:rsid w:val="70294DB1"/>
    <w:rsid w:val="702D0847"/>
    <w:rsid w:val="702D1A1B"/>
    <w:rsid w:val="702F5E7A"/>
    <w:rsid w:val="703025E3"/>
    <w:rsid w:val="703379DD"/>
    <w:rsid w:val="70437F52"/>
    <w:rsid w:val="704437FC"/>
    <w:rsid w:val="70494A3D"/>
    <w:rsid w:val="704C4F43"/>
    <w:rsid w:val="704F27DE"/>
    <w:rsid w:val="70514307"/>
    <w:rsid w:val="70540CD7"/>
    <w:rsid w:val="705457C7"/>
    <w:rsid w:val="70555698"/>
    <w:rsid w:val="705619F6"/>
    <w:rsid w:val="705636CC"/>
    <w:rsid w:val="7056656D"/>
    <w:rsid w:val="70567B70"/>
    <w:rsid w:val="705B6F34"/>
    <w:rsid w:val="705C08C8"/>
    <w:rsid w:val="705D592C"/>
    <w:rsid w:val="70604B9D"/>
    <w:rsid w:val="7064403B"/>
    <w:rsid w:val="7066604C"/>
    <w:rsid w:val="70686447"/>
    <w:rsid w:val="706B7052"/>
    <w:rsid w:val="706C4D00"/>
    <w:rsid w:val="706D1DD0"/>
    <w:rsid w:val="706F03FE"/>
    <w:rsid w:val="70710897"/>
    <w:rsid w:val="7075449A"/>
    <w:rsid w:val="7076683C"/>
    <w:rsid w:val="707715E4"/>
    <w:rsid w:val="707767FE"/>
    <w:rsid w:val="70797043"/>
    <w:rsid w:val="707A7466"/>
    <w:rsid w:val="707B087C"/>
    <w:rsid w:val="707B3132"/>
    <w:rsid w:val="707E602E"/>
    <w:rsid w:val="70816899"/>
    <w:rsid w:val="70820965"/>
    <w:rsid w:val="708270EC"/>
    <w:rsid w:val="70840239"/>
    <w:rsid w:val="70853FB1"/>
    <w:rsid w:val="70856B87"/>
    <w:rsid w:val="70860455"/>
    <w:rsid w:val="708744A1"/>
    <w:rsid w:val="70893AA1"/>
    <w:rsid w:val="708A15C7"/>
    <w:rsid w:val="708C39AE"/>
    <w:rsid w:val="708D42F7"/>
    <w:rsid w:val="7092640C"/>
    <w:rsid w:val="7092702A"/>
    <w:rsid w:val="70936CD6"/>
    <w:rsid w:val="70940989"/>
    <w:rsid w:val="70946103"/>
    <w:rsid w:val="70961A03"/>
    <w:rsid w:val="70967F6C"/>
    <w:rsid w:val="70972087"/>
    <w:rsid w:val="709D754D"/>
    <w:rsid w:val="709F3231"/>
    <w:rsid w:val="709F6B6B"/>
    <w:rsid w:val="70A066F4"/>
    <w:rsid w:val="70A17483"/>
    <w:rsid w:val="70A408DB"/>
    <w:rsid w:val="70A45C5C"/>
    <w:rsid w:val="70A77B6A"/>
    <w:rsid w:val="70AD17E8"/>
    <w:rsid w:val="70B026AF"/>
    <w:rsid w:val="70B057C5"/>
    <w:rsid w:val="70B14DA6"/>
    <w:rsid w:val="70B25315"/>
    <w:rsid w:val="70B31C63"/>
    <w:rsid w:val="70B56644"/>
    <w:rsid w:val="70B623BC"/>
    <w:rsid w:val="70B76860"/>
    <w:rsid w:val="70BA6DA6"/>
    <w:rsid w:val="70BF5715"/>
    <w:rsid w:val="70C75167"/>
    <w:rsid w:val="70CD2B2B"/>
    <w:rsid w:val="70CE7706"/>
    <w:rsid w:val="70D25448"/>
    <w:rsid w:val="70D40655"/>
    <w:rsid w:val="70D461C2"/>
    <w:rsid w:val="70D50A94"/>
    <w:rsid w:val="70D527EE"/>
    <w:rsid w:val="70D75F53"/>
    <w:rsid w:val="70D94CA2"/>
    <w:rsid w:val="70DD29E9"/>
    <w:rsid w:val="70DF0A2D"/>
    <w:rsid w:val="70E17113"/>
    <w:rsid w:val="70E21E29"/>
    <w:rsid w:val="70E76A1A"/>
    <w:rsid w:val="70EA6735"/>
    <w:rsid w:val="70ED2B7B"/>
    <w:rsid w:val="70EF3D6B"/>
    <w:rsid w:val="70F14202"/>
    <w:rsid w:val="70F21646"/>
    <w:rsid w:val="70F7549F"/>
    <w:rsid w:val="70F858D1"/>
    <w:rsid w:val="70F930D3"/>
    <w:rsid w:val="70FF7387"/>
    <w:rsid w:val="71014C38"/>
    <w:rsid w:val="71045053"/>
    <w:rsid w:val="71053D85"/>
    <w:rsid w:val="71056BB6"/>
    <w:rsid w:val="71082AD4"/>
    <w:rsid w:val="7108325D"/>
    <w:rsid w:val="710870BC"/>
    <w:rsid w:val="710A562A"/>
    <w:rsid w:val="710D78DA"/>
    <w:rsid w:val="710F1CF7"/>
    <w:rsid w:val="71117063"/>
    <w:rsid w:val="7113780F"/>
    <w:rsid w:val="711A0B9D"/>
    <w:rsid w:val="711A294B"/>
    <w:rsid w:val="711A6DEF"/>
    <w:rsid w:val="712455BD"/>
    <w:rsid w:val="7125203C"/>
    <w:rsid w:val="71280864"/>
    <w:rsid w:val="71296173"/>
    <w:rsid w:val="712A7DEE"/>
    <w:rsid w:val="712B5692"/>
    <w:rsid w:val="712D671E"/>
    <w:rsid w:val="712F289B"/>
    <w:rsid w:val="71301B9A"/>
    <w:rsid w:val="71331F7F"/>
    <w:rsid w:val="71341C5F"/>
    <w:rsid w:val="71343D18"/>
    <w:rsid w:val="7135708A"/>
    <w:rsid w:val="713A7DFD"/>
    <w:rsid w:val="713C4FB8"/>
    <w:rsid w:val="713D15DA"/>
    <w:rsid w:val="713D298B"/>
    <w:rsid w:val="713F0604"/>
    <w:rsid w:val="71463740"/>
    <w:rsid w:val="71481337"/>
    <w:rsid w:val="7148570A"/>
    <w:rsid w:val="714955E5"/>
    <w:rsid w:val="714C3C41"/>
    <w:rsid w:val="714E4B93"/>
    <w:rsid w:val="714F5B57"/>
    <w:rsid w:val="71500A63"/>
    <w:rsid w:val="71526E6A"/>
    <w:rsid w:val="7154077C"/>
    <w:rsid w:val="715569BA"/>
    <w:rsid w:val="71562969"/>
    <w:rsid w:val="71566079"/>
    <w:rsid w:val="715776FB"/>
    <w:rsid w:val="715A40F1"/>
    <w:rsid w:val="715A6D2A"/>
    <w:rsid w:val="715B5300"/>
    <w:rsid w:val="715C2F64"/>
    <w:rsid w:val="715D4A66"/>
    <w:rsid w:val="715E0891"/>
    <w:rsid w:val="715F4802"/>
    <w:rsid w:val="71605913"/>
    <w:rsid w:val="71616075"/>
    <w:rsid w:val="71630991"/>
    <w:rsid w:val="7163359C"/>
    <w:rsid w:val="71640464"/>
    <w:rsid w:val="71656712"/>
    <w:rsid w:val="71662210"/>
    <w:rsid w:val="716A4AD7"/>
    <w:rsid w:val="716B13F9"/>
    <w:rsid w:val="716B2627"/>
    <w:rsid w:val="716C29AD"/>
    <w:rsid w:val="716D27B8"/>
    <w:rsid w:val="716E5670"/>
    <w:rsid w:val="71720A08"/>
    <w:rsid w:val="717241DE"/>
    <w:rsid w:val="71724535"/>
    <w:rsid w:val="71783B49"/>
    <w:rsid w:val="7179262B"/>
    <w:rsid w:val="717C0617"/>
    <w:rsid w:val="717C3606"/>
    <w:rsid w:val="717D4815"/>
    <w:rsid w:val="717E2575"/>
    <w:rsid w:val="717E737E"/>
    <w:rsid w:val="71846349"/>
    <w:rsid w:val="71864485"/>
    <w:rsid w:val="71880D91"/>
    <w:rsid w:val="718D54E8"/>
    <w:rsid w:val="718D75C1"/>
    <w:rsid w:val="718F64EF"/>
    <w:rsid w:val="71902C0D"/>
    <w:rsid w:val="71924BD7"/>
    <w:rsid w:val="7195316B"/>
    <w:rsid w:val="719C5A56"/>
    <w:rsid w:val="71A07736"/>
    <w:rsid w:val="71A1306D"/>
    <w:rsid w:val="71A16BC9"/>
    <w:rsid w:val="71A32941"/>
    <w:rsid w:val="71A52B5D"/>
    <w:rsid w:val="71A87F57"/>
    <w:rsid w:val="71AC3EEB"/>
    <w:rsid w:val="71AE0F03"/>
    <w:rsid w:val="71B04BB8"/>
    <w:rsid w:val="71B132B0"/>
    <w:rsid w:val="71B15D60"/>
    <w:rsid w:val="71B20DD6"/>
    <w:rsid w:val="71B40FF2"/>
    <w:rsid w:val="71B4675E"/>
    <w:rsid w:val="71B61544"/>
    <w:rsid w:val="71B721E9"/>
    <w:rsid w:val="71B82A18"/>
    <w:rsid w:val="71B85A89"/>
    <w:rsid w:val="71BC0E19"/>
    <w:rsid w:val="71BF6508"/>
    <w:rsid w:val="71C11019"/>
    <w:rsid w:val="71C254BD"/>
    <w:rsid w:val="71CD6690"/>
    <w:rsid w:val="71CF25A1"/>
    <w:rsid w:val="71D13952"/>
    <w:rsid w:val="71D25CFA"/>
    <w:rsid w:val="71D27F8A"/>
    <w:rsid w:val="71D32E27"/>
    <w:rsid w:val="71D41682"/>
    <w:rsid w:val="71D5512E"/>
    <w:rsid w:val="71DD78B4"/>
    <w:rsid w:val="71DE606F"/>
    <w:rsid w:val="71E36DA3"/>
    <w:rsid w:val="71E4748A"/>
    <w:rsid w:val="71E94D0A"/>
    <w:rsid w:val="71EB0F09"/>
    <w:rsid w:val="71EC253A"/>
    <w:rsid w:val="71ED2E8F"/>
    <w:rsid w:val="71ED7A68"/>
    <w:rsid w:val="71F118FE"/>
    <w:rsid w:val="71F47640"/>
    <w:rsid w:val="71F53B14"/>
    <w:rsid w:val="71F57BD5"/>
    <w:rsid w:val="71F907B3"/>
    <w:rsid w:val="71F934A0"/>
    <w:rsid w:val="71FB31AE"/>
    <w:rsid w:val="71FC7A9E"/>
    <w:rsid w:val="71FD4747"/>
    <w:rsid w:val="71FE226D"/>
    <w:rsid w:val="71FF6658"/>
    <w:rsid w:val="72007D93"/>
    <w:rsid w:val="7203674D"/>
    <w:rsid w:val="7206264A"/>
    <w:rsid w:val="72071E5F"/>
    <w:rsid w:val="72083634"/>
    <w:rsid w:val="72097377"/>
    <w:rsid w:val="720C6A87"/>
    <w:rsid w:val="720D2014"/>
    <w:rsid w:val="720D24B0"/>
    <w:rsid w:val="721101F2"/>
    <w:rsid w:val="72121874"/>
    <w:rsid w:val="72143FCE"/>
    <w:rsid w:val="72163BDB"/>
    <w:rsid w:val="721750DD"/>
    <w:rsid w:val="72180CA6"/>
    <w:rsid w:val="721A091A"/>
    <w:rsid w:val="721B773C"/>
    <w:rsid w:val="722176CC"/>
    <w:rsid w:val="72227FE4"/>
    <w:rsid w:val="722577FA"/>
    <w:rsid w:val="722653F2"/>
    <w:rsid w:val="7226697F"/>
    <w:rsid w:val="722703B5"/>
    <w:rsid w:val="722A12B4"/>
    <w:rsid w:val="722A3062"/>
    <w:rsid w:val="722C26B1"/>
    <w:rsid w:val="722F2426"/>
    <w:rsid w:val="72331F17"/>
    <w:rsid w:val="72332413"/>
    <w:rsid w:val="72353144"/>
    <w:rsid w:val="7235519E"/>
    <w:rsid w:val="7238067D"/>
    <w:rsid w:val="72391848"/>
    <w:rsid w:val="723B0DCB"/>
    <w:rsid w:val="723D2D95"/>
    <w:rsid w:val="724265FE"/>
    <w:rsid w:val="72442376"/>
    <w:rsid w:val="724532A9"/>
    <w:rsid w:val="724537FB"/>
    <w:rsid w:val="724629D6"/>
    <w:rsid w:val="72473C14"/>
    <w:rsid w:val="724945DB"/>
    <w:rsid w:val="724A7DA3"/>
    <w:rsid w:val="724C10A7"/>
    <w:rsid w:val="724E7204"/>
    <w:rsid w:val="72516841"/>
    <w:rsid w:val="72553024"/>
    <w:rsid w:val="725B146D"/>
    <w:rsid w:val="725B3E7C"/>
    <w:rsid w:val="725C7E81"/>
    <w:rsid w:val="72620A4E"/>
    <w:rsid w:val="726227FC"/>
    <w:rsid w:val="72627969"/>
    <w:rsid w:val="72657737"/>
    <w:rsid w:val="72667D82"/>
    <w:rsid w:val="72676C05"/>
    <w:rsid w:val="72677E12"/>
    <w:rsid w:val="72695938"/>
    <w:rsid w:val="726A0F8B"/>
    <w:rsid w:val="726D3A48"/>
    <w:rsid w:val="72704BCF"/>
    <w:rsid w:val="72721EA5"/>
    <w:rsid w:val="72722139"/>
    <w:rsid w:val="727442DD"/>
    <w:rsid w:val="727662A7"/>
    <w:rsid w:val="727B4E4E"/>
    <w:rsid w:val="727D5888"/>
    <w:rsid w:val="72802C82"/>
    <w:rsid w:val="72807275"/>
    <w:rsid w:val="72822E9E"/>
    <w:rsid w:val="728343D9"/>
    <w:rsid w:val="72834520"/>
    <w:rsid w:val="7285301A"/>
    <w:rsid w:val="72887FD1"/>
    <w:rsid w:val="728A3B01"/>
    <w:rsid w:val="728C1FD3"/>
    <w:rsid w:val="728D6135"/>
    <w:rsid w:val="728E1815"/>
    <w:rsid w:val="729055BB"/>
    <w:rsid w:val="72950951"/>
    <w:rsid w:val="7295497F"/>
    <w:rsid w:val="72955527"/>
    <w:rsid w:val="72957421"/>
    <w:rsid w:val="729A1C60"/>
    <w:rsid w:val="729B6B8D"/>
    <w:rsid w:val="729F57FE"/>
    <w:rsid w:val="72A00D96"/>
    <w:rsid w:val="72A54C7F"/>
    <w:rsid w:val="72A66B8C"/>
    <w:rsid w:val="72A71651"/>
    <w:rsid w:val="72A762C4"/>
    <w:rsid w:val="72A911B4"/>
    <w:rsid w:val="72A91AB4"/>
    <w:rsid w:val="72A97894"/>
    <w:rsid w:val="72AC7F1B"/>
    <w:rsid w:val="72B03567"/>
    <w:rsid w:val="72B33057"/>
    <w:rsid w:val="72B3305C"/>
    <w:rsid w:val="72B43CA2"/>
    <w:rsid w:val="72B64B4B"/>
    <w:rsid w:val="72B67C77"/>
    <w:rsid w:val="72B91AC6"/>
    <w:rsid w:val="72BC2E52"/>
    <w:rsid w:val="72BD4C72"/>
    <w:rsid w:val="72BF0E5B"/>
    <w:rsid w:val="72BF58E0"/>
    <w:rsid w:val="72BF6AEA"/>
    <w:rsid w:val="72C0113F"/>
    <w:rsid w:val="72C105F7"/>
    <w:rsid w:val="72C25048"/>
    <w:rsid w:val="72C36841"/>
    <w:rsid w:val="72C36864"/>
    <w:rsid w:val="72C54770"/>
    <w:rsid w:val="72C54B39"/>
    <w:rsid w:val="72C71073"/>
    <w:rsid w:val="72C8582B"/>
    <w:rsid w:val="72CC34A1"/>
    <w:rsid w:val="72CD3072"/>
    <w:rsid w:val="72CD5B7D"/>
    <w:rsid w:val="72CE3D8E"/>
    <w:rsid w:val="72D27981"/>
    <w:rsid w:val="72D354A8"/>
    <w:rsid w:val="72D52FCE"/>
    <w:rsid w:val="72D53AEE"/>
    <w:rsid w:val="72D60D5A"/>
    <w:rsid w:val="72D74F98"/>
    <w:rsid w:val="72D77915"/>
    <w:rsid w:val="72D82ABE"/>
    <w:rsid w:val="72DB6BF5"/>
    <w:rsid w:val="72DD6326"/>
    <w:rsid w:val="72DF5BFA"/>
    <w:rsid w:val="72E01973"/>
    <w:rsid w:val="72E27499"/>
    <w:rsid w:val="72E346C8"/>
    <w:rsid w:val="72E41463"/>
    <w:rsid w:val="72E466B6"/>
    <w:rsid w:val="72E66F89"/>
    <w:rsid w:val="72E94077"/>
    <w:rsid w:val="72EB1953"/>
    <w:rsid w:val="72EB7684"/>
    <w:rsid w:val="72EC63AC"/>
    <w:rsid w:val="72EC7CF0"/>
    <w:rsid w:val="72F0605A"/>
    <w:rsid w:val="72F07E08"/>
    <w:rsid w:val="72F20481"/>
    <w:rsid w:val="72F23654"/>
    <w:rsid w:val="72F23B42"/>
    <w:rsid w:val="72F2426C"/>
    <w:rsid w:val="72F316A6"/>
    <w:rsid w:val="72F35087"/>
    <w:rsid w:val="72F53670"/>
    <w:rsid w:val="72F710A2"/>
    <w:rsid w:val="72F773E8"/>
    <w:rsid w:val="72F83160"/>
    <w:rsid w:val="72F87AB6"/>
    <w:rsid w:val="72F90E91"/>
    <w:rsid w:val="72FA2A34"/>
    <w:rsid w:val="73027AD8"/>
    <w:rsid w:val="73043F02"/>
    <w:rsid w:val="73050003"/>
    <w:rsid w:val="730579C3"/>
    <w:rsid w:val="730739E2"/>
    <w:rsid w:val="73085DF3"/>
    <w:rsid w:val="73097A99"/>
    <w:rsid w:val="73122968"/>
    <w:rsid w:val="73131D48"/>
    <w:rsid w:val="7315786E"/>
    <w:rsid w:val="7318413C"/>
    <w:rsid w:val="731955B0"/>
    <w:rsid w:val="731B3A36"/>
    <w:rsid w:val="731B6F94"/>
    <w:rsid w:val="731D09A3"/>
    <w:rsid w:val="731F5D5E"/>
    <w:rsid w:val="732054FB"/>
    <w:rsid w:val="73232B52"/>
    <w:rsid w:val="73245D03"/>
    <w:rsid w:val="7326135F"/>
    <w:rsid w:val="7326284F"/>
    <w:rsid w:val="73267CCD"/>
    <w:rsid w:val="732950C8"/>
    <w:rsid w:val="73297757"/>
    <w:rsid w:val="732A3975"/>
    <w:rsid w:val="732E0692"/>
    <w:rsid w:val="732F14C4"/>
    <w:rsid w:val="732F3675"/>
    <w:rsid w:val="73334198"/>
    <w:rsid w:val="73357976"/>
    <w:rsid w:val="7338355D"/>
    <w:rsid w:val="733C6D44"/>
    <w:rsid w:val="733E5017"/>
    <w:rsid w:val="733E67DD"/>
    <w:rsid w:val="733F0FE6"/>
    <w:rsid w:val="734031BA"/>
    <w:rsid w:val="734622B9"/>
    <w:rsid w:val="734B7734"/>
    <w:rsid w:val="73553B1D"/>
    <w:rsid w:val="73583D6F"/>
    <w:rsid w:val="735B10BF"/>
    <w:rsid w:val="735C32A3"/>
    <w:rsid w:val="735C44E6"/>
    <w:rsid w:val="735C549D"/>
    <w:rsid w:val="735D44BF"/>
    <w:rsid w:val="73612AB3"/>
    <w:rsid w:val="736176AE"/>
    <w:rsid w:val="73624FCA"/>
    <w:rsid w:val="736274B7"/>
    <w:rsid w:val="736425A4"/>
    <w:rsid w:val="736669F6"/>
    <w:rsid w:val="73682094"/>
    <w:rsid w:val="73685CE0"/>
    <w:rsid w:val="736909FA"/>
    <w:rsid w:val="73697BBA"/>
    <w:rsid w:val="736D27E5"/>
    <w:rsid w:val="736E1ACB"/>
    <w:rsid w:val="736F76F6"/>
    <w:rsid w:val="73701CBF"/>
    <w:rsid w:val="73704174"/>
    <w:rsid w:val="73755D6B"/>
    <w:rsid w:val="7378511E"/>
    <w:rsid w:val="7379604F"/>
    <w:rsid w:val="737A7C98"/>
    <w:rsid w:val="737B5603"/>
    <w:rsid w:val="73825511"/>
    <w:rsid w:val="73835247"/>
    <w:rsid w:val="73852329"/>
    <w:rsid w:val="7386076C"/>
    <w:rsid w:val="738723B4"/>
    <w:rsid w:val="738844E4"/>
    <w:rsid w:val="738916E3"/>
    <w:rsid w:val="738A025C"/>
    <w:rsid w:val="738B7DC9"/>
    <w:rsid w:val="738E4D37"/>
    <w:rsid w:val="738E7C38"/>
    <w:rsid w:val="7391117C"/>
    <w:rsid w:val="73912551"/>
    <w:rsid w:val="73921F61"/>
    <w:rsid w:val="739369E5"/>
    <w:rsid w:val="7394697C"/>
    <w:rsid w:val="739509AF"/>
    <w:rsid w:val="739628B0"/>
    <w:rsid w:val="73967039"/>
    <w:rsid w:val="73971651"/>
    <w:rsid w:val="739900C7"/>
    <w:rsid w:val="739A0D1C"/>
    <w:rsid w:val="739C1D3D"/>
    <w:rsid w:val="739D79E9"/>
    <w:rsid w:val="739E42E4"/>
    <w:rsid w:val="739F3822"/>
    <w:rsid w:val="73A0182E"/>
    <w:rsid w:val="73A07196"/>
    <w:rsid w:val="73A07A56"/>
    <w:rsid w:val="73A40BF2"/>
    <w:rsid w:val="73A41302"/>
    <w:rsid w:val="73A5689D"/>
    <w:rsid w:val="73A62BBC"/>
    <w:rsid w:val="73A739C4"/>
    <w:rsid w:val="73AD08A6"/>
    <w:rsid w:val="73AD5CF9"/>
    <w:rsid w:val="73B03521"/>
    <w:rsid w:val="73B15446"/>
    <w:rsid w:val="73B6179D"/>
    <w:rsid w:val="73BC0AD8"/>
    <w:rsid w:val="73BC5F3C"/>
    <w:rsid w:val="73BE4D3A"/>
    <w:rsid w:val="73C14E73"/>
    <w:rsid w:val="73C30B4F"/>
    <w:rsid w:val="73C51AD5"/>
    <w:rsid w:val="73C53042"/>
    <w:rsid w:val="73C53CEF"/>
    <w:rsid w:val="73C825B1"/>
    <w:rsid w:val="73C848E1"/>
    <w:rsid w:val="73C87F6C"/>
    <w:rsid w:val="73CA1D10"/>
    <w:rsid w:val="73CD4989"/>
    <w:rsid w:val="73CE3DC7"/>
    <w:rsid w:val="73D072A1"/>
    <w:rsid w:val="73D414D7"/>
    <w:rsid w:val="73D554C1"/>
    <w:rsid w:val="73D55AE6"/>
    <w:rsid w:val="73D63E63"/>
    <w:rsid w:val="73D67D3E"/>
    <w:rsid w:val="73D67E93"/>
    <w:rsid w:val="73D7549C"/>
    <w:rsid w:val="73D76FB2"/>
    <w:rsid w:val="73D80C9E"/>
    <w:rsid w:val="73D915D3"/>
    <w:rsid w:val="73DC2ACC"/>
    <w:rsid w:val="73DD7C5F"/>
    <w:rsid w:val="73DF71A8"/>
    <w:rsid w:val="73E02E4A"/>
    <w:rsid w:val="73E16942"/>
    <w:rsid w:val="73E22936"/>
    <w:rsid w:val="73E56CF8"/>
    <w:rsid w:val="73E727C7"/>
    <w:rsid w:val="73E97BCD"/>
    <w:rsid w:val="73F25E01"/>
    <w:rsid w:val="73F41B79"/>
    <w:rsid w:val="73F54AD6"/>
    <w:rsid w:val="73F55FED"/>
    <w:rsid w:val="73FC2A61"/>
    <w:rsid w:val="73FD2157"/>
    <w:rsid w:val="73FE47A6"/>
    <w:rsid w:val="73FF2654"/>
    <w:rsid w:val="74035919"/>
    <w:rsid w:val="74050BD5"/>
    <w:rsid w:val="74070777"/>
    <w:rsid w:val="7407365B"/>
    <w:rsid w:val="740873D3"/>
    <w:rsid w:val="740D4274"/>
    <w:rsid w:val="740F3D13"/>
    <w:rsid w:val="7412375F"/>
    <w:rsid w:val="7413048E"/>
    <w:rsid w:val="74147A37"/>
    <w:rsid w:val="7415208C"/>
    <w:rsid w:val="7416150E"/>
    <w:rsid w:val="74175F15"/>
    <w:rsid w:val="741904FC"/>
    <w:rsid w:val="74193F58"/>
    <w:rsid w:val="741C2D1C"/>
    <w:rsid w:val="741E793C"/>
    <w:rsid w:val="741E7FE3"/>
    <w:rsid w:val="74205056"/>
    <w:rsid w:val="74205829"/>
    <w:rsid w:val="742064CB"/>
    <w:rsid w:val="74212243"/>
    <w:rsid w:val="74220861"/>
    <w:rsid w:val="74244C50"/>
    <w:rsid w:val="742748B9"/>
    <w:rsid w:val="742A559B"/>
    <w:rsid w:val="742E73BF"/>
    <w:rsid w:val="7430754E"/>
    <w:rsid w:val="743106D8"/>
    <w:rsid w:val="743127E4"/>
    <w:rsid w:val="7431692A"/>
    <w:rsid w:val="74324450"/>
    <w:rsid w:val="74336BD9"/>
    <w:rsid w:val="7434785E"/>
    <w:rsid w:val="743708C6"/>
    <w:rsid w:val="74385506"/>
    <w:rsid w:val="743C0E2B"/>
    <w:rsid w:val="743D62D9"/>
    <w:rsid w:val="74413F6F"/>
    <w:rsid w:val="7441556A"/>
    <w:rsid w:val="74446DBA"/>
    <w:rsid w:val="74477EFB"/>
    <w:rsid w:val="744918F6"/>
    <w:rsid w:val="744A3547"/>
    <w:rsid w:val="744A79EB"/>
    <w:rsid w:val="744B6BF1"/>
    <w:rsid w:val="744F3E47"/>
    <w:rsid w:val="744F5002"/>
    <w:rsid w:val="745138C3"/>
    <w:rsid w:val="74514EFF"/>
    <w:rsid w:val="745443C6"/>
    <w:rsid w:val="74545312"/>
    <w:rsid w:val="74562447"/>
    <w:rsid w:val="74566390"/>
    <w:rsid w:val="745B0A30"/>
    <w:rsid w:val="745B7503"/>
    <w:rsid w:val="745D327B"/>
    <w:rsid w:val="745D5EB0"/>
    <w:rsid w:val="745E3944"/>
    <w:rsid w:val="745E5245"/>
    <w:rsid w:val="745F43E8"/>
    <w:rsid w:val="74623280"/>
    <w:rsid w:val="74623FE4"/>
    <w:rsid w:val="74644560"/>
    <w:rsid w:val="746565D3"/>
    <w:rsid w:val="74692854"/>
    <w:rsid w:val="746D7236"/>
    <w:rsid w:val="746F2FAE"/>
    <w:rsid w:val="74706F69"/>
    <w:rsid w:val="74716D26"/>
    <w:rsid w:val="7476433D"/>
    <w:rsid w:val="747800B5"/>
    <w:rsid w:val="747856F8"/>
    <w:rsid w:val="747B2D9D"/>
    <w:rsid w:val="747B5DF7"/>
    <w:rsid w:val="747F58E7"/>
    <w:rsid w:val="7480340D"/>
    <w:rsid w:val="7481790F"/>
    <w:rsid w:val="74817D33"/>
    <w:rsid w:val="74827103"/>
    <w:rsid w:val="74827185"/>
    <w:rsid w:val="748B7A9D"/>
    <w:rsid w:val="748C590E"/>
    <w:rsid w:val="748D67AC"/>
    <w:rsid w:val="748D714B"/>
    <w:rsid w:val="7490619D"/>
    <w:rsid w:val="74911176"/>
    <w:rsid w:val="749215DB"/>
    <w:rsid w:val="74991B9F"/>
    <w:rsid w:val="7499513D"/>
    <w:rsid w:val="749A65CD"/>
    <w:rsid w:val="749B702E"/>
    <w:rsid w:val="749B7BBA"/>
    <w:rsid w:val="74A21962"/>
    <w:rsid w:val="74A54877"/>
    <w:rsid w:val="74A72748"/>
    <w:rsid w:val="74AA0AA2"/>
    <w:rsid w:val="74AD461B"/>
    <w:rsid w:val="74AF5AA0"/>
    <w:rsid w:val="74B3419B"/>
    <w:rsid w:val="74B43DC6"/>
    <w:rsid w:val="74B56384"/>
    <w:rsid w:val="74B65081"/>
    <w:rsid w:val="74B84955"/>
    <w:rsid w:val="74B87D8C"/>
    <w:rsid w:val="74BC659B"/>
    <w:rsid w:val="74BE7A92"/>
    <w:rsid w:val="74BF6CCF"/>
    <w:rsid w:val="74C07CAE"/>
    <w:rsid w:val="74C4779E"/>
    <w:rsid w:val="74C57072"/>
    <w:rsid w:val="74C7103C"/>
    <w:rsid w:val="74C77033"/>
    <w:rsid w:val="74CA57BB"/>
    <w:rsid w:val="74CA6436"/>
    <w:rsid w:val="74CB6F66"/>
    <w:rsid w:val="74CC6652"/>
    <w:rsid w:val="74CE0504"/>
    <w:rsid w:val="74CF1C9F"/>
    <w:rsid w:val="74CF5300"/>
    <w:rsid w:val="74D13C69"/>
    <w:rsid w:val="74D3178F"/>
    <w:rsid w:val="74D3711D"/>
    <w:rsid w:val="74D6302D"/>
    <w:rsid w:val="74D8026D"/>
    <w:rsid w:val="74D84648"/>
    <w:rsid w:val="74D962B8"/>
    <w:rsid w:val="74DA0D6F"/>
    <w:rsid w:val="74E05C5A"/>
    <w:rsid w:val="74E162C2"/>
    <w:rsid w:val="74E201B1"/>
    <w:rsid w:val="74E25E76"/>
    <w:rsid w:val="74E45F73"/>
    <w:rsid w:val="74E812EC"/>
    <w:rsid w:val="74E90FB2"/>
    <w:rsid w:val="74EA7FF7"/>
    <w:rsid w:val="74EB001F"/>
    <w:rsid w:val="74EC126E"/>
    <w:rsid w:val="74EE481B"/>
    <w:rsid w:val="74EE65C9"/>
    <w:rsid w:val="74EF14E0"/>
    <w:rsid w:val="74F55BA9"/>
    <w:rsid w:val="74F636CF"/>
    <w:rsid w:val="74F6547D"/>
    <w:rsid w:val="74F6722B"/>
    <w:rsid w:val="74F77F07"/>
    <w:rsid w:val="74FE13C3"/>
    <w:rsid w:val="7507768A"/>
    <w:rsid w:val="75091B5D"/>
    <w:rsid w:val="750D14EF"/>
    <w:rsid w:val="750E27C7"/>
    <w:rsid w:val="751122B7"/>
    <w:rsid w:val="75137DDD"/>
    <w:rsid w:val="75151E51"/>
    <w:rsid w:val="7516167C"/>
    <w:rsid w:val="75181898"/>
    <w:rsid w:val="7521699E"/>
    <w:rsid w:val="75224480"/>
    <w:rsid w:val="75277611"/>
    <w:rsid w:val="752946ED"/>
    <w:rsid w:val="752B21A7"/>
    <w:rsid w:val="75322959"/>
    <w:rsid w:val="7533222E"/>
    <w:rsid w:val="753A7FEC"/>
    <w:rsid w:val="753C7334"/>
    <w:rsid w:val="753F3297"/>
    <w:rsid w:val="753F545F"/>
    <w:rsid w:val="753F64AE"/>
    <w:rsid w:val="754052EF"/>
    <w:rsid w:val="754531D1"/>
    <w:rsid w:val="75474AAE"/>
    <w:rsid w:val="75491A51"/>
    <w:rsid w:val="75495891"/>
    <w:rsid w:val="754B57C9"/>
    <w:rsid w:val="754F5AC4"/>
    <w:rsid w:val="75505ABB"/>
    <w:rsid w:val="755237F1"/>
    <w:rsid w:val="75524DAA"/>
    <w:rsid w:val="7552702C"/>
    <w:rsid w:val="755503F6"/>
    <w:rsid w:val="7557416E"/>
    <w:rsid w:val="75587A68"/>
    <w:rsid w:val="75597338"/>
    <w:rsid w:val="755B7815"/>
    <w:rsid w:val="755D0E7C"/>
    <w:rsid w:val="755E07A7"/>
    <w:rsid w:val="755E619C"/>
    <w:rsid w:val="75614EC1"/>
    <w:rsid w:val="75626EFB"/>
    <w:rsid w:val="7565446E"/>
    <w:rsid w:val="756643B1"/>
    <w:rsid w:val="75664928"/>
    <w:rsid w:val="756930F7"/>
    <w:rsid w:val="756959E1"/>
    <w:rsid w:val="7569704A"/>
    <w:rsid w:val="75697EA3"/>
    <w:rsid w:val="756B356F"/>
    <w:rsid w:val="756B5E6B"/>
    <w:rsid w:val="75701B42"/>
    <w:rsid w:val="7570729E"/>
    <w:rsid w:val="75713194"/>
    <w:rsid w:val="75744C2E"/>
    <w:rsid w:val="75744E9B"/>
    <w:rsid w:val="75772898"/>
    <w:rsid w:val="75780325"/>
    <w:rsid w:val="757A32F7"/>
    <w:rsid w:val="757E794D"/>
    <w:rsid w:val="757F5473"/>
    <w:rsid w:val="75814504"/>
    <w:rsid w:val="75845904"/>
    <w:rsid w:val="75846F2D"/>
    <w:rsid w:val="7586788F"/>
    <w:rsid w:val="75874BC8"/>
    <w:rsid w:val="75881523"/>
    <w:rsid w:val="75882579"/>
    <w:rsid w:val="758A11BC"/>
    <w:rsid w:val="758B02BC"/>
    <w:rsid w:val="758B3E18"/>
    <w:rsid w:val="758E06B8"/>
    <w:rsid w:val="759034BD"/>
    <w:rsid w:val="759058D2"/>
    <w:rsid w:val="7592164A"/>
    <w:rsid w:val="7594377C"/>
    <w:rsid w:val="75972F75"/>
    <w:rsid w:val="759834DB"/>
    <w:rsid w:val="759A405B"/>
    <w:rsid w:val="759A6B6C"/>
    <w:rsid w:val="759B620F"/>
    <w:rsid w:val="759D1B78"/>
    <w:rsid w:val="759E1B30"/>
    <w:rsid w:val="759E2B06"/>
    <w:rsid w:val="759F1D85"/>
    <w:rsid w:val="75A076B1"/>
    <w:rsid w:val="75A27A0F"/>
    <w:rsid w:val="75A60B9F"/>
    <w:rsid w:val="75AA6994"/>
    <w:rsid w:val="75AF3FAA"/>
    <w:rsid w:val="75B0486C"/>
    <w:rsid w:val="75B07D22"/>
    <w:rsid w:val="75B14BFD"/>
    <w:rsid w:val="75B170EA"/>
    <w:rsid w:val="75B3511C"/>
    <w:rsid w:val="75B85A00"/>
    <w:rsid w:val="75B94E29"/>
    <w:rsid w:val="75BD2704"/>
    <w:rsid w:val="75BD2CED"/>
    <w:rsid w:val="75BE25DC"/>
    <w:rsid w:val="75BE41ED"/>
    <w:rsid w:val="75BE5D72"/>
    <w:rsid w:val="75C02056"/>
    <w:rsid w:val="75C16A2E"/>
    <w:rsid w:val="75C33363"/>
    <w:rsid w:val="75C3375E"/>
    <w:rsid w:val="75C61A70"/>
    <w:rsid w:val="75C70354"/>
    <w:rsid w:val="75C8506C"/>
    <w:rsid w:val="75CA2B92"/>
    <w:rsid w:val="75CB06B8"/>
    <w:rsid w:val="75D06E17"/>
    <w:rsid w:val="75D10D39"/>
    <w:rsid w:val="75D237F5"/>
    <w:rsid w:val="75D26FAF"/>
    <w:rsid w:val="75D91027"/>
    <w:rsid w:val="75DB6889"/>
    <w:rsid w:val="75DF2E08"/>
    <w:rsid w:val="75E10943"/>
    <w:rsid w:val="75E17EDC"/>
    <w:rsid w:val="75E3518B"/>
    <w:rsid w:val="75E74A0A"/>
    <w:rsid w:val="75E77CFE"/>
    <w:rsid w:val="75E90DD4"/>
    <w:rsid w:val="75EA24D8"/>
    <w:rsid w:val="75EA3B73"/>
    <w:rsid w:val="75ED16AF"/>
    <w:rsid w:val="75F176B2"/>
    <w:rsid w:val="75F357FE"/>
    <w:rsid w:val="75F503C0"/>
    <w:rsid w:val="75F53378"/>
    <w:rsid w:val="75F91935"/>
    <w:rsid w:val="7600121E"/>
    <w:rsid w:val="7601232C"/>
    <w:rsid w:val="76035C67"/>
    <w:rsid w:val="760360A4"/>
    <w:rsid w:val="76052C77"/>
    <w:rsid w:val="760616F0"/>
    <w:rsid w:val="76063DC9"/>
    <w:rsid w:val="760836BA"/>
    <w:rsid w:val="760911A6"/>
    <w:rsid w:val="760A11E0"/>
    <w:rsid w:val="760C76AC"/>
    <w:rsid w:val="760D0C1D"/>
    <w:rsid w:val="760D0CD1"/>
    <w:rsid w:val="760F2C9B"/>
    <w:rsid w:val="760F67F7"/>
    <w:rsid w:val="76104044"/>
    <w:rsid w:val="761141FB"/>
    <w:rsid w:val="7614205F"/>
    <w:rsid w:val="76157B85"/>
    <w:rsid w:val="76164029"/>
    <w:rsid w:val="76171B4F"/>
    <w:rsid w:val="761743E5"/>
    <w:rsid w:val="761937B5"/>
    <w:rsid w:val="761A519B"/>
    <w:rsid w:val="761B43DE"/>
    <w:rsid w:val="761C5A55"/>
    <w:rsid w:val="761E2EDE"/>
    <w:rsid w:val="76206EFF"/>
    <w:rsid w:val="76236A0E"/>
    <w:rsid w:val="76244623"/>
    <w:rsid w:val="76244D57"/>
    <w:rsid w:val="76252729"/>
    <w:rsid w:val="76285B0A"/>
    <w:rsid w:val="762878B8"/>
    <w:rsid w:val="762C0F0C"/>
    <w:rsid w:val="762F200C"/>
    <w:rsid w:val="76335495"/>
    <w:rsid w:val="76335586"/>
    <w:rsid w:val="7635099D"/>
    <w:rsid w:val="76397D18"/>
    <w:rsid w:val="763D0200"/>
    <w:rsid w:val="763F18A3"/>
    <w:rsid w:val="763F1BAC"/>
    <w:rsid w:val="7641097A"/>
    <w:rsid w:val="76437692"/>
    <w:rsid w:val="76441D17"/>
    <w:rsid w:val="764521D3"/>
    <w:rsid w:val="764731AF"/>
    <w:rsid w:val="764A3CD3"/>
    <w:rsid w:val="764A5A81"/>
    <w:rsid w:val="764C0622"/>
    <w:rsid w:val="764D640A"/>
    <w:rsid w:val="764D731F"/>
    <w:rsid w:val="764E5F64"/>
    <w:rsid w:val="764F12E9"/>
    <w:rsid w:val="76500412"/>
    <w:rsid w:val="76526DF8"/>
    <w:rsid w:val="7653517A"/>
    <w:rsid w:val="765714DD"/>
    <w:rsid w:val="76592168"/>
    <w:rsid w:val="765D3A06"/>
    <w:rsid w:val="765E152C"/>
    <w:rsid w:val="765F4F3F"/>
    <w:rsid w:val="766302D6"/>
    <w:rsid w:val="76635684"/>
    <w:rsid w:val="7666006E"/>
    <w:rsid w:val="7666755D"/>
    <w:rsid w:val="766836E4"/>
    <w:rsid w:val="76683AE5"/>
    <w:rsid w:val="766C21A8"/>
    <w:rsid w:val="766C4EB7"/>
    <w:rsid w:val="766F3739"/>
    <w:rsid w:val="766F3AB0"/>
    <w:rsid w:val="766F4036"/>
    <w:rsid w:val="766F54E7"/>
    <w:rsid w:val="76733229"/>
    <w:rsid w:val="76742BF4"/>
    <w:rsid w:val="76772543"/>
    <w:rsid w:val="767936DC"/>
    <w:rsid w:val="767D6DFE"/>
    <w:rsid w:val="767E2809"/>
    <w:rsid w:val="767F31A9"/>
    <w:rsid w:val="768001D4"/>
    <w:rsid w:val="768216BE"/>
    <w:rsid w:val="7682346D"/>
    <w:rsid w:val="7682358F"/>
    <w:rsid w:val="7682521B"/>
    <w:rsid w:val="76846E3E"/>
    <w:rsid w:val="76852F5D"/>
    <w:rsid w:val="76856AB9"/>
    <w:rsid w:val="76866EAC"/>
    <w:rsid w:val="7687685D"/>
    <w:rsid w:val="76876FCE"/>
    <w:rsid w:val="768A40C6"/>
    <w:rsid w:val="768B1F3F"/>
    <w:rsid w:val="768E31F2"/>
    <w:rsid w:val="768F16E6"/>
    <w:rsid w:val="768F619E"/>
    <w:rsid w:val="76911902"/>
    <w:rsid w:val="76920761"/>
    <w:rsid w:val="769211D6"/>
    <w:rsid w:val="76932CC2"/>
    <w:rsid w:val="769338A6"/>
    <w:rsid w:val="76962A74"/>
    <w:rsid w:val="76964899"/>
    <w:rsid w:val="769713B6"/>
    <w:rsid w:val="769A6A08"/>
    <w:rsid w:val="769F6227"/>
    <w:rsid w:val="769F7820"/>
    <w:rsid w:val="76A13B3A"/>
    <w:rsid w:val="76A258BD"/>
    <w:rsid w:val="76A553AD"/>
    <w:rsid w:val="76A809F9"/>
    <w:rsid w:val="76AA4771"/>
    <w:rsid w:val="76AA49C7"/>
    <w:rsid w:val="76AB5407"/>
    <w:rsid w:val="76AC04E9"/>
    <w:rsid w:val="76AD39C9"/>
    <w:rsid w:val="76AD7B55"/>
    <w:rsid w:val="76AE5798"/>
    <w:rsid w:val="76AF442C"/>
    <w:rsid w:val="76B01D8D"/>
    <w:rsid w:val="76B24885"/>
    <w:rsid w:val="76B46F42"/>
    <w:rsid w:val="76B52327"/>
    <w:rsid w:val="76B63D09"/>
    <w:rsid w:val="76B965AB"/>
    <w:rsid w:val="76BA404F"/>
    <w:rsid w:val="76C03F95"/>
    <w:rsid w:val="76C45833"/>
    <w:rsid w:val="76C6148F"/>
    <w:rsid w:val="76C84BF7"/>
    <w:rsid w:val="76CA1A80"/>
    <w:rsid w:val="76CB06F8"/>
    <w:rsid w:val="76CB18F4"/>
    <w:rsid w:val="76CB4FE2"/>
    <w:rsid w:val="76CD220E"/>
    <w:rsid w:val="76CD5900"/>
    <w:rsid w:val="76D11CFE"/>
    <w:rsid w:val="76D3350E"/>
    <w:rsid w:val="76D33CC8"/>
    <w:rsid w:val="76D34E7A"/>
    <w:rsid w:val="76D417EE"/>
    <w:rsid w:val="76D64FEF"/>
    <w:rsid w:val="76DB7E06"/>
    <w:rsid w:val="76DD68F5"/>
    <w:rsid w:val="76DE239C"/>
    <w:rsid w:val="76E00193"/>
    <w:rsid w:val="76E01075"/>
    <w:rsid w:val="76E61C4D"/>
    <w:rsid w:val="76E97048"/>
    <w:rsid w:val="76EF5275"/>
    <w:rsid w:val="76F10089"/>
    <w:rsid w:val="76F318F2"/>
    <w:rsid w:val="76F459ED"/>
    <w:rsid w:val="76F46294"/>
    <w:rsid w:val="76F732A6"/>
    <w:rsid w:val="76FB6C77"/>
    <w:rsid w:val="76FF65D2"/>
    <w:rsid w:val="770025E3"/>
    <w:rsid w:val="770205FB"/>
    <w:rsid w:val="77020FFD"/>
    <w:rsid w:val="77040325"/>
    <w:rsid w:val="77047D25"/>
    <w:rsid w:val="7706409E"/>
    <w:rsid w:val="770A7331"/>
    <w:rsid w:val="770B6461"/>
    <w:rsid w:val="770C0F88"/>
    <w:rsid w:val="770E2F52"/>
    <w:rsid w:val="770E4D3B"/>
    <w:rsid w:val="77106CCA"/>
    <w:rsid w:val="77130569"/>
    <w:rsid w:val="771816DB"/>
    <w:rsid w:val="771A1C60"/>
    <w:rsid w:val="77211E83"/>
    <w:rsid w:val="7722255A"/>
    <w:rsid w:val="77242776"/>
    <w:rsid w:val="772462D2"/>
    <w:rsid w:val="77274589"/>
    <w:rsid w:val="772C5186"/>
    <w:rsid w:val="77301107"/>
    <w:rsid w:val="773076C4"/>
    <w:rsid w:val="77324543"/>
    <w:rsid w:val="77344016"/>
    <w:rsid w:val="77354169"/>
    <w:rsid w:val="77366005"/>
    <w:rsid w:val="773724A9"/>
    <w:rsid w:val="773C1917"/>
    <w:rsid w:val="773E337F"/>
    <w:rsid w:val="773F21CA"/>
    <w:rsid w:val="773F310C"/>
    <w:rsid w:val="774071E6"/>
    <w:rsid w:val="77413963"/>
    <w:rsid w:val="77446175"/>
    <w:rsid w:val="77471FC0"/>
    <w:rsid w:val="77476464"/>
    <w:rsid w:val="77480BEB"/>
    <w:rsid w:val="77492B6C"/>
    <w:rsid w:val="77493F8A"/>
    <w:rsid w:val="774A62B7"/>
    <w:rsid w:val="774C5829"/>
    <w:rsid w:val="774E6DDA"/>
    <w:rsid w:val="774F3A91"/>
    <w:rsid w:val="77505319"/>
    <w:rsid w:val="775070C7"/>
    <w:rsid w:val="77512DB3"/>
    <w:rsid w:val="77521091"/>
    <w:rsid w:val="7752431C"/>
    <w:rsid w:val="7755292F"/>
    <w:rsid w:val="77562203"/>
    <w:rsid w:val="775716A3"/>
    <w:rsid w:val="775924C9"/>
    <w:rsid w:val="775A3984"/>
    <w:rsid w:val="775D54AE"/>
    <w:rsid w:val="775E4F16"/>
    <w:rsid w:val="775E5E94"/>
    <w:rsid w:val="775F3FD0"/>
    <w:rsid w:val="77620AD0"/>
    <w:rsid w:val="7762504C"/>
    <w:rsid w:val="776A0115"/>
    <w:rsid w:val="776B3F01"/>
    <w:rsid w:val="776B5CAF"/>
    <w:rsid w:val="776D5ECB"/>
    <w:rsid w:val="776F0D4D"/>
    <w:rsid w:val="77762421"/>
    <w:rsid w:val="77771861"/>
    <w:rsid w:val="777728A5"/>
    <w:rsid w:val="777B1067"/>
    <w:rsid w:val="77843214"/>
    <w:rsid w:val="778518EF"/>
    <w:rsid w:val="778568EE"/>
    <w:rsid w:val="77862AE9"/>
    <w:rsid w:val="7788134D"/>
    <w:rsid w:val="77892159"/>
    <w:rsid w:val="77903967"/>
    <w:rsid w:val="77905E69"/>
    <w:rsid w:val="77925931"/>
    <w:rsid w:val="77926CEB"/>
    <w:rsid w:val="77935205"/>
    <w:rsid w:val="779D6084"/>
    <w:rsid w:val="779E750C"/>
    <w:rsid w:val="77A600E8"/>
    <w:rsid w:val="77AA1572"/>
    <w:rsid w:val="77AA2B01"/>
    <w:rsid w:val="77AB7448"/>
    <w:rsid w:val="77AB75AA"/>
    <w:rsid w:val="77AC4FEE"/>
    <w:rsid w:val="77AF3E74"/>
    <w:rsid w:val="77AF64E3"/>
    <w:rsid w:val="77B0628C"/>
    <w:rsid w:val="77B56B1F"/>
    <w:rsid w:val="77B81637"/>
    <w:rsid w:val="77BC5576"/>
    <w:rsid w:val="77BE0D98"/>
    <w:rsid w:val="77BE6726"/>
    <w:rsid w:val="77C04CDF"/>
    <w:rsid w:val="77C33D3D"/>
    <w:rsid w:val="77C43611"/>
    <w:rsid w:val="77C45D5A"/>
    <w:rsid w:val="77C5380C"/>
    <w:rsid w:val="77C81919"/>
    <w:rsid w:val="77C82BBE"/>
    <w:rsid w:val="77CA2C7E"/>
    <w:rsid w:val="77CD06A1"/>
    <w:rsid w:val="77CE4490"/>
    <w:rsid w:val="77CF26E1"/>
    <w:rsid w:val="77CF6FA6"/>
    <w:rsid w:val="77D01FB6"/>
    <w:rsid w:val="77D02609"/>
    <w:rsid w:val="77D05F9B"/>
    <w:rsid w:val="77D2296B"/>
    <w:rsid w:val="77D777E8"/>
    <w:rsid w:val="77DA2E34"/>
    <w:rsid w:val="77DE07BB"/>
    <w:rsid w:val="77E078C2"/>
    <w:rsid w:val="77E1051E"/>
    <w:rsid w:val="77E12415"/>
    <w:rsid w:val="77E26D03"/>
    <w:rsid w:val="77E37B1F"/>
    <w:rsid w:val="77E5217E"/>
    <w:rsid w:val="77E66CC7"/>
    <w:rsid w:val="77E70419"/>
    <w:rsid w:val="77E72D47"/>
    <w:rsid w:val="77E837A3"/>
    <w:rsid w:val="77E85DB8"/>
    <w:rsid w:val="77E93077"/>
    <w:rsid w:val="77E95F4D"/>
    <w:rsid w:val="77EB23EF"/>
    <w:rsid w:val="77EB5041"/>
    <w:rsid w:val="77F030E2"/>
    <w:rsid w:val="77F12B27"/>
    <w:rsid w:val="77F24DCC"/>
    <w:rsid w:val="77F326B2"/>
    <w:rsid w:val="77F43EF6"/>
    <w:rsid w:val="77F4552C"/>
    <w:rsid w:val="77FD5AF4"/>
    <w:rsid w:val="77FE0269"/>
    <w:rsid w:val="77FF24EF"/>
    <w:rsid w:val="77FF289B"/>
    <w:rsid w:val="78034B14"/>
    <w:rsid w:val="78052B86"/>
    <w:rsid w:val="78054355"/>
    <w:rsid w:val="780674B3"/>
    <w:rsid w:val="780B7492"/>
    <w:rsid w:val="780D6D66"/>
    <w:rsid w:val="780F09F4"/>
    <w:rsid w:val="780F26EB"/>
    <w:rsid w:val="78104AA8"/>
    <w:rsid w:val="781225CE"/>
    <w:rsid w:val="78123B88"/>
    <w:rsid w:val="781250D2"/>
    <w:rsid w:val="78174088"/>
    <w:rsid w:val="78197E01"/>
    <w:rsid w:val="781D11FA"/>
    <w:rsid w:val="781D5DA5"/>
    <w:rsid w:val="781F4CEB"/>
    <w:rsid w:val="78232A2D"/>
    <w:rsid w:val="78244976"/>
    <w:rsid w:val="7824576C"/>
    <w:rsid w:val="782575B2"/>
    <w:rsid w:val="782F3180"/>
    <w:rsid w:val="782F5058"/>
    <w:rsid w:val="78306EF8"/>
    <w:rsid w:val="78331F77"/>
    <w:rsid w:val="78345A42"/>
    <w:rsid w:val="783471B1"/>
    <w:rsid w:val="783A61D4"/>
    <w:rsid w:val="783B17D8"/>
    <w:rsid w:val="7842217F"/>
    <w:rsid w:val="784309DA"/>
    <w:rsid w:val="78436C2C"/>
    <w:rsid w:val="78447928"/>
    <w:rsid w:val="78484242"/>
    <w:rsid w:val="78486E90"/>
    <w:rsid w:val="784A5C95"/>
    <w:rsid w:val="784A7FBA"/>
    <w:rsid w:val="784B364A"/>
    <w:rsid w:val="784B64B2"/>
    <w:rsid w:val="784C3D32"/>
    <w:rsid w:val="784E4C1A"/>
    <w:rsid w:val="784E53B4"/>
    <w:rsid w:val="784F55D0"/>
    <w:rsid w:val="785260CF"/>
    <w:rsid w:val="7853654F"/>
    <w:rsid w:val="78540E39"/>
    <w:rsid w:val="78542BE7"/>
    <w:rsid w:val="7855070D"/>
    <w:rsid w:val="78553E1F"/>
    <w:rsid w:val="78564BB1"/>
    <w:rsid w:val="78591FAB"/>
    <w:rsid w:val="785B5B68"/>
    <w:rsid w:val="785B5D23"/>
    <w:rsid w:val="785D57BE"/>
    <w:rsid w:val="785E4C0A"/>
    <w:rsid w:val="785E6B59"/>
    <w:rsid w:val="78602451"/>
    <w:rsid w:val="78607A1A"/>
    <w:rsid w:val="78616A57"/>
    <w:rsid w:val="786631DE"/>
    <w:rsid w:val="78675215"/>
    <w:rsid w:val="78686E6C"/>
    <w:rsid w:val="786A065C"/>
    <w:rsid w:val="786F1D4C"/>
    <w:rsid w:val="786F6222"/>
    <w:rsid w:val="78706A19"/>
    <w:rsid w:val="7872599B"/>
    <w:rsid w:val="78727511"/>
    <w:rsid w:val="78730703"/>
    <w:rsid w:val="78731EFC"/>
    <w:rsid w:val="787426EE"/>
    <w:rsid w:val="78760F2E"/>
    <w:rsid w:val="787A3436"/>
    <w:rsid w:val="787B491F"/>
    <w:rsid w:val="787B63C5"/>
    <w:rsid w:val="787D3DC4"/>
    <w:rsid w:val="78801C2E"/>
    <w:rsid w:val="788231C0"/>
    <w:rsid w:val="788259A6"/>
    <w:rsid w:val="788473F0"/>
    <w:rsid w:val="78880AE2"/>
    <w:rsid w:val="78886D34"/>
    <w:rsid w:val="788B1A78"/>
    <w:rsid w:val="788D434B"/>
    <w:rsid w:val="788F00C3"/>
    <w:rsid w:val="788F1E71"/>
    <w:rsid w:val="789152F8"/>
    <w:rsid w:val="7892442D"/>
    <w:rsid w:val="78943D73"/>
    <w:rsid w:val="7895673A"/>
    <w:rsid w:val="789617DD"/>
    <w:rsid w:val="789B25C4"/>
    <w:rsid w:val="789C633C"/>
    <w:rsid w:val="789D1F52"/>
    <w:rsid w:val="78A07BDA"/>
    <w:rsid w:val="78A23952"/>
    <w:rsid w:val="78A27DF6"/>
    <w:rsid w:val="78A551F0"/>
    <w:rsid w:val="78A71463"/>
    <w:rsid w:val="78A77606"/>
    <w:rsid w:val="78A90480"/>
    <w:rsid w:val="78AB5088"/>
    <w:rsid w:val="78AC0275"/>
    <w:rsid w:val="78AC228F"/>
    <w:rsid w:val="78AC6B64"/>
    <w:rsid w:val="78AD169A"/>
    <w:rsid w:val="78AD58C4"/>
    <w:rsid w:val="78AE679B"/>
    <w:rsid w:val="78B11DE7"/>
    <w:rsid w:val="78B732A0"/>
    <w:rsid w:val="78B74F24"/>
    <w:rsid w:val="78BB4A14"/>
    <w:rsid w:val="78BC253A"/>
    <w:rsid w:val="78BD44E9"/>
    <w:rsid w:val="78BD4DEE"/>
    <w:rsid w:val="78BE62B2"/>
    <w:rsid w:val="78BF4B20"/>
    <w:rsid w:val="78C064CE"/>
    <w:rsid w:val="78C2654F"/>
    <w:rsid w:val="78C33142"/>
    <w:rsid w:val="78C604BD"/>
    <w:rsid w:val="78C82982"/>
    <w:rsid w:val="78C85655"/>
    <w:rsid w:val="78C95383"/>
    <w:rsid w:val="78CA47A6"/>
    <w:rsid w:val="78CA6AD2"/>
    <w:rsid w:val="78CB7157"/>
    <w:rsid w:val="78CD4B74"/>
    <w:rsid w:val="78CD6BD1"/>
    <w:rsid w:val="78CF4963"/>
    <w:rsid w:val="78D35AD7"/>
    <w:rsid w:val="78D635FC"/>
    <w:rsid w:val="78DB6E64"/>
    <w:rsid w:val="78E02FBE"/>
    <w:rsid w:val="78EA5071"/>
    <w:rsid w:val="78EB3A1C"/>
    <w:rsid w:val="78EC2E1F"/>
    <w:rsid w:val="78ED6B53"/>
    <w:rsid w:val="78EF1991"/>
    <w:rsid w:val="78EF2229"/>
    <w:rsid w:val="78EF7AAA"/>
    <w:rsid w:val="78F0240E"/>
    <w:rsid w:val="78F1568B"/>
    <w:rsid w:val="78F304B1"/>
    <w:rsid w:val="78F666EB"/>
    <w:rsid w:val="78F9488B"/>
    <w:rsid w:val="78F9553C"/>
    <w:rsid w:val="78FA7A1B"/>
    <w:rsid w:val="79004B1D"/>
    <w:rsid w:val="790652F1"/>
    <w:rsid w:val="790A7749"/>
    <w:rsid w:val="790B61E6"/>
    <w:rsid w:val="790D2F4C"/>
    <w:rsid w:val="79102FB2"/>
    <w:rsid w:val="79110AD8"/>
    <w:rsid w:val="79132AA2"/>
    <w:rsid w:val="7913610F"/>
    <w:rsid w:val="79205582"/>
    <w:rsid w:val="79224A93"/>
    <w:rsid w:val="7923072B"/>
    <w:rsid w:val="7924080B"/>
    <w:rsid w:val="79246A5D"/>
    <w:rsid w:val="792A1B14"/>
    <w:rsid w:val="7931470E"/>
    <w:rsid w:val="79366790"/>
    <w:rsid w:val="793842B6"/>
    <w:rsid w:val="793E41FB"/>
    <w:rsid w:val="793E63BE"/>
    <w:rsid w:val="79400153"/>
    <w:rsid w:val="794013BD"/>
    <w:rsid w:val="7943556B"/>
    <w:rsid w:val="79453538"/>
    <w:rsid w:val="794632C0"/>
    <w:rsid w:val="794C029F"/>
    <w:rsid w:val="794C73C1"/>
    <w:rsid w:val="794E3ADA"/>
    <w:rsid w:val="79502EC0"/>
    <w:rsid w:val="79506049"/>
    <w:rsid w:val="79507852"/>
    <w:rsid w:val="7952069E"/>
    <w:rsid w:val="79532571"/>
    <w:rsid w:val="79532E9E"/>
    <w:rsid w:val="79554E68"/>
    <w:rsid w:val="79562FAE"/>
    <w:rsid w:val="7956473D"/>
    <w:rsid w:val="79581B73"/>
    <w:rsid w:val="79595D15"/>
    <w:rsid w:val="795A422D"/>
    <w:rsid w:val="795B4FDD"/>
    <w:rsid w:val="796412B4"/>
    <w:rsid w:val="79650639"/>
    <w:rsid w:val="7965388D"/>
    <w:rsid w:val="79670CA0"/>
    <w:rsid w:val="7968338F"/>
    <w:rsid w:val="796B6698"/>
    <w:rsid w:val="796C21B2"/>
    <w:rsid w:val="796E5F2A"/>
    <w:rsid w:val="796E7CD8"/>
    <w:rsid w:val="79720336"/>
    <w:rsid w:val="7972740C"/>
    <w:rsid w:val="797628DA"/>
    <w:rsid w:val="797634F8"/>
    <w:rsid w:val="79763684"/>
    <w:rsid w:val="797814F7"/>
    <w:rsid w:val="797A042B"/>
    <w:rsid w:val="797A0F43"/>
    <w:rsid w:val="797A34BC"/>
    <w:rsid w:val="797C1D3C"/>
    <w:rsid w:val="797F0137"/>
    <w:rsid w:val="797F1EE5"/>
    <w:rsid w:val="798241E1"/>
    <w:rsid w:val="7982471D"/>
    <w:rsid w:val="7984781E"/>
    <w:rsid w:val="79883657"/>
    <w:rsid w:val="798C63B0"/>
    <w:rsid w:val="798E7FEF"/>
    <w:rsid w:val="799028BC"/>
    <w:rsid w:val="79903990"/>
    <w:rsid w:val="799043B8"/>
    <w:rsid w:val="799103EA"/>
    <w:rsid w:val="799139C7"/>
    <w:rsid w:val="7993013F"/>
    <w:rsid w:val="7993688E"/>
    <w:rsid w:val="7996429B"/>
    <w:rsid w:val="799732F9"/>
    <w:rsid w:val="799B65F3"/>
    <w:rsid w:val="799C4D8D"/>
    <w:rsid w:val="799C60EF"/>
    <w:rsid w:val="799E2AAC"/>
    <w:rsid w:val="799E680F"/>
    <w:rsid w:val="799F6815"/>
    <w:rsid w:val="79A25BD4"/>
    <w:rsid w:val="79A26D9B"/>
    <w:rsid w:val="79A27982"/>
    <w:rsid w:val="79A55BED"/>
    <w:rsid w:val="79A8143C"/>
    <w:rsid w:val="79A84268"/>
    <w:rsid w:val="79AD0B38"/>
    <w:rsid w:val="79AD1A49"/>
    <w:rsid w:val="79AD3C9C"/>
    <w:rsid w:val="79AD6A52"/>
    <w:rsid w:val="79AF271C"/>
    <w:rsid w:val="79B06543"/>
    <w:rsid w:val="79B20D6F"/>
    <w:rsid w:val="79B3566E"/>
    <w:rsid w:val="79B576B5"/>
    <w:rsid w:val="79B87E6E"/>
    <w:rsid w:val="79BC6C95"/>
    <w:rsid w:val="79BD656A"/>
    <w:rsid w:val="79BF5422"/>
    <w:rsid w:val="79BF5D72"/>
    <w:rsid w:val="79C21DD2"/>
    <w:rsid w:val="79C74101"/>
    <w:rsid w:val="79C87D66"/>
    <w:rsid w:val="79C917A4"/>
    <w:rsid w:val="79CB3358"/>
    <w:rsid w:val="79CE6338"/>
    <w:rsid w:val="79CE69C9"/>
    <w:rsid w:val="79D0589A"/>
    <w:rsid w:val="79D25EE7"/>
    <w:rsid w:val="79D57D57"/>
    <w:rsid w:val="79D616AE"/>
    <w:rsid w:val="79D8705F"/>
    <w:rsid w:val="79DD09BA"/>
    <w:rsid w:val="79DD6C0C"/>
    <w:rsid w:val="79DF579F"/>
    <w:rsid w:val="79E03853"/>
    <w:rsid w:val="79E2766A"/>
    <w:rsid w:val="79E41D48"/>
    <w:rsid w:val="79E42E3B"/>
    <w:rsid w:val="79E461EC"/>
    <w:rsid w:val="79E67E30"/>
    <w:rsid w:val="79E82866"/>
    <w:rsid w:val="79EB0468"/>
    <w:rsid w:val="79EB3F0E"/>
    <w:rsid w:val="79EF1A4B"/>
    <w:rsid w:val="79F0526A"/>
    <w:rsid w:val="79F24465"/>
    <w:rsid w:val="79F35279"/>
    <w:rsid w:val="79F50BE5"/>
    <w:rsid w:val="79F521A7"/>
    <w:rsid w:val="79F60209"/>
    <w:rsid w:val="79F62219"/>
    <w:rsid w:val="79F629F0"/>
    <w:rsid w:val="79F62A64"/>
    <w:rsid w:val="79FA2C7A"/>
    <w:rsid w:val="79FC7092"/>
    <w:rsid w:val="79FE105C"/>
    <w:rsid w:val="7A037F0C"/>
    <w:rsid w:val="7A04063C"/>
    <w:rsid w:val="7A044199"/>
    <w:rsid w:val="7A060019"/>
    <w:rsid w:val="7A064680"/>
    <w:rsid w:val="7A064F9E"/>
    <w:rsid w:val="7A0703F7"/>
    <w:rsid w:val="7A083C89"/>
    <w:rsid w:val="7A085835"/>
    <w:rsid w:val="7A0A4093"/>
    <w:rsid w:val="7A0A55B4"/>
    <w:rsid w:val="7A0A5C53"/>
    <w:rsid w:val="7A0B3779"/>
    <w:rsid w:val="7A0B5270"/>
    <w:rsid w:val="7A0B5527"/>
    <w:rsid w:val="7A0D129F"/>
    <w:rsid w:val="7A0D74F1"/>
    <w:rsid w:val="7A122D59"/>
    <w:rsid w:val="7A173ECC"/>
    <w:rsid w:val="7A195A12"/>
    <w:rsid w:val="7A1D1050"/>
    <w:rsid w:val="7A1D3808"/>
    <w:rsid w:val="7A1E344A"/>
    <w:rsid w:val="7A2325D1"/>
    <w:rsid w:val="7A233129"/>
    <w:rsid w:val="7A263B8E"/>
    <w:rsid w:val="7A2854C0"/>
    <w:rsid w:val="7A293BFF"/>
    <w:rsid w:val="7A2B5BC9"/>
    <w:rsid w:val="7A2D1941"/>
    <w:rsid w:val="7A2D6DC3"/>
    <w:rsid w:val="7A2F0553"/>
    <w:rsid w:val="7A304F8E"/>
    <w:rsid w:val="7A3128E4"/>
    <w:rsid w:val="7A342F00"/>
    <w:rsid w:val="7A364017"/>
    <w:rsid w:val="7A3727C0"/>
    <w:rsid w:val="7A374477"/>
    <w:rsid w:val="7A38427C"/>
    <w:rsid w:val="7A3A5E0C"/>
    <w:rsid w:val="7A3B6352"/>
    <w:rsid w:val="7A3C3932"/>
    <w:rsid w:val="7A4025C6"/>
    <w:rsid w:val="7A440A39"/>
    <w:rsid w:val="7A446A70"/>
    <w:rsid w:val="7A4647B1"/>
    <w:rsid w:val="7A481815"/>
    <w:rsid w:val="7A4A6B77"/>
    <w:rsid w:val="7A4B5117"/>
    <w:rsid w:val="7A4E3666"/>
    <w:rsid w:val="7A4F18B8"/>
    <w:rsid w:val="7A504F01"/>
    <w:rsid w:val="7A5073DE"/>
    <w:rsid w:val="7A5164E0"/>
    <w:rsid w:val="7A5275FA"/>
    <w:rsid w:val="7A536AB2"/>
    <w:rsid w:val="7A5507DB"/>
    <w:rsid w:val="7A56626E"/>
    <w:rsid w:val="7A5B0FE3"/>
    <w:rsid w:val="7A5B2FEE"/>
    <w:rsid w:val="7A5D536E"/>
    <w:rsid w:val="7A5E005A"/>
    <w:rsid w:val="7A5F4A24"/>
    <w:rsid w:val="7A600E95"/>
    <w:rsid w:val="7A601D17"/>
    <w:rsid w:val="7A603AC5"/>
    <w:rsid w:val="7A634900"/>
    <w:rsid w:val="7A672DEE"/>
    <w:rsid w:val="7A6824E2"/>
    <w:rsid w:val="7A6C7CF8"/>
    <w:rsid w:val="7A6D00ED"/>
    <w:rsid w:val="7A6D1D3E"/>
    <w:rsid w:val="7A70182E"/>
    <w:rsid w:val="7A7370CB"/>
    <w:rsid w:val="7A75222B"/>
    <w:rsid w:val="7A7632E8"/>
    <w:rsid w:val="7A7A737E"/>
    <w:rsid w:val="7A7C01D3"/>
    <w:rsid w:val="7A7D3B88"/>
    <w:rsid w:val="7A7F1A71"/>
    <w:rsid w:val="7A810BE9"/>
    <w:rsid w:val="7A8265E1"/>
    <w:rsid w:val="7A861051"/>
    <w:rsid w:val="7A8661D8"/>
    <w:rsid w:val="7A8875B2"/>
    <w:rsid w:val="7A887D1C"/>
    <w:rsid w:val="7A8F7F06"/>
    <w:rsid w:val="7A923B5F"/>
    <w:rsid w:val="7A927E8E"/>
    <w:rsid w:val="7A930993"/>
    <w:rsid w:val="7A935105"/>
    <w:rsid w:val="7A9419C0"/>
    <w:rsid w:val="7A991352"/>
    <w:rsid w:val="7A9D6AC7"/>
    <w:rsid w:val="7AA04CA2"/>
    <w:rsid w:val="7AA14074"/>
    <w:rsid w:val="7AA339B1"/>
    <w:rsid w:val="7AA41137"/>
    <w:rsid w:val="7AA640D4"/>
    <w:rsid w:val="7AA716F4"/>
    <w:rsid w:val="7AAA6684"/>
    <w:rsid w:val="7AAB2866"/>
    <w:rsid w:val="7AB02139"/>
    <w:rsid w:val="7AB43E11"/>
    <w:rsid w:val="7AB636E5"/>
    <w:rsid w:val="7AB91427"/>
    <w:rsid w:val="7AB931D5"/>
    <w:rsid w:val="7ABC5692"/>
    <w:rsid w:val="7ABE6A3D"/>
    <w:rsid w:val="7ABE6B88"/>
    <w:rsid w:val="7AC34187"/>
    <w:rsid w:val="7AC676A0"/>
    <w:rsid w:val="7AC8166A"/>
    <w:rsid w:val="7AC878BC"/>
    <w:rsid w:val="7AC90C0F"/>
    <w:rsid w:val="7AC93FEA"/>
    <w:rsid w:val="7ACD7CF2"/>
    <w:rsid w:val="7ACE2219"/>
    <w:rsid w:val="7ACE3C33"/>
    <w:rsid w:val="7AD1525E"/>
    <w:rsid w:val="7AD260C9"/>
    <w:rsid w:val="7AD324E9"/>
    <w:rsid w:val="7AD60157"/>
    <w:rsid w:val="7AD63D87"/>
    <w:rsid w:val="7AD65B35"/>
    <w:rsid w:val="7AD7365B"/>
    <w:rsid w:val="7AD74DE8"/>
    <w:rsid w:val="7ADE49EA"/>
    <w:rsid w:val="7ADF6033"/>
    <w:rsid w:val="7ADF669C"/>
    <w:rsid w:val="7AE03D75"/>
    <w:rsid w:val="7AE076C6"/>
    <w:rsid w:val="7AE27395"/>
    <w:rsid w:val="7AE4225E"/>
    <w:rsid w:val="7AE758FE"/>
    <w:rsid w:val="7AEA15E0"/>
    <w:rsid w:val="7AEB37AC"/>
    <w:rsid w:val="7AEC08D8"/>
    <w:rsid w:val="7AEC4088"/>
    <w:rsid w:val="7AEE57AF"/>
    <w:rsid w:val="7AF30181"/>
    <w:rsid w:val="7AF4245F"/>
    <w:rsid w:val="7AF4799B"/>
    <w:rsid w:val="7AF64272"/>
    <w:rsid w:val="7AF75AAB"/>
    <w:rsid w:val="7AF81F4F"/>
    <w:rsid w:val="7AF9157A"/>
    <w:rsid w:val="7AFC6326"/>
    <w:rsid w:val="7B002BB2"/>
    <w:rsid w:val="7B064976"/>
    <w:rsid w:val="7B0A1953"/>
    <w:rsid w:val="7B0A59BB"/>
    <w:rsid w:val="7B0D52CF"/>
    <w:rsid w:val="7B0F5178"/>
    <w:rsid w:val="7B0F54EB"/>
    <w:rsid w:val="7B110CFA"/>
    <w:rsid w:val="7B121322"/>
    <w:rsid w:val="7B1226DF"/>
    <w:rsid w:val="7B1448AF"/>
    <w:rsid w:val="7B1E3B57"/>
    <w:rsid w:val="7B1E553C"/>
    <w:rsid w:val="7B220AB9"/>
    <w:rsid w:val="7B220D7A"/>
    <w:rsid w:val="7B245865"/>
    <w:rsid w:val="7B255FEB"/>
    <w:rsid w:val="7B263D31"/>
    <w:rsid w:val="7B2A4B0A"/>
    <w:rsid w:val="7B2A7C2F"/>
    <w:rsid w:val="7B2C7E4B"/>
    <w:rsid w:val="7B30000A"/>
    <w:rsid w:val="7B30535B"/>
    <w:rsid w:val="7B3103C5"/>
    <w:rsid w:val="7B31397E"/>
    <w:rsid w:val="7B3311D9"/>
    <w:rsid w:val="7B3665D4"/>
    <w:rsid w:val="7B38234C"/>
    <w:rsid w:val="7B3979A1"/>
    <w:rsid w:val="7B3A3686"/>
    <w:rsid w:val="7B3B008E"/>
    <w:rsid w:val="7B452CBB"/>
    <w:rsid w:val="7B480F49"/>
    <w:rsid w:val="7B486307"/>
    <w:rsid w:val="7B4909FD"/>
    <w:rsid w:val="7B494559"/>
    <w:rsid w:val="7B4B40D4"/>
    <w:rsid w:val="7B4C4049"/>
    <w:rsid w:val="7B4F6A66"/>
    <w:rsid w:val="7B4F7695"/>
    <w:rsid w:val="7B50205E"/>
    <w:rsid w:val="7B505D9D"/>
    <w:rsid w:val="7B526ED8"/>
    <w:rsid w:val="7B5A1174"/>
    <w:rsid w:val="7B5E06BA"/>
    <w:rsid w:val="7B5F3D7C"/>
    <w:rsid w:val="7B607AF4"/>
    <w:rsid w:val="7B6174A1"/>
    <w:rsid w:val="7B633C4B"/>
    <w:rsid w:val="7B635344"/>
    <w:rsid w:val="7B656EB9"/>
    <w:rsid w:val="7B661CB5"/>
    <w:rsid w:val="7B686D42"/>
    <w:rsid w:val="7B6A2721"/>
    <w:rsid w:val="7B6C0247"/>
    <w:rsid w:val="7B6C46EB"/>
    <w:rsid w:val="7B6C6748"/>
    <w:rsid w:val="7B6E0463"/>
    <w:rsid w:val="7B7274A9"/>
    <w:rsid w:val="7B730D76"/>
    <w:rsid w:val="7B7517F2"/>
    <w:rsid w:val="7B75534E"/>
    <w:rsid w:val="7B77040B"/>
    <w:rsid w:val="7B77716B"/>
    <w:rsid w:val="7B7A0DA6"/>
    <w:rsid w:val="7B7B38B9"/>
    <w:rsid w:val="7B80170A"/>
    <w:rsid w:val="7B821058"/>
    <w:rsid w:val="7B8219E5"/>
    <w:rsid w:val="7B841746"/>
    <w:rsid w:val="7B84276C"/>
    <w:rsid w:val="7B851309"/>
    <w:rsid w:val="7B86755B"/>
    <w:rsid w:val="7B867A2D"/>
    <w:rsid w:val="7B8B7F0E"/>
    <w:rsid w:val="7B92249E"/>
    <w:rsid w:val="7B94179B"/>
    <w:rsid w:val="7B95154C"/>
    <w:rsid w:val="7B95779E"/>
    <w:rsid w:val="7B963516"/>
    <w:rsid w:val="7B9A20AE"/>
    <w:rsid w:val="7B9C70B3"/>
    <w:rsid w:val="7BA43E85"/>
    <w:rsid w:val="7BA479E1"/>
    <w:rsid w:val="7BA67BFD"/>
    <w:rsid w:val="7BA7172B"/>
    <w:rsid w:val="7BA93249"/>
    <w:rsid w:val="7BAB0D70"/>
    <w:rsid w:val="7BAC2D3A"/>
    <w:rsid w:val="7BAC3F50"/>
    <w:rsid w:val="7BAC4AE8"/>
    <w:rsid w:val="7BB627A2"/>
    <w:rsid w:val="7BB64192"/>
    <w:rsid w:val="7BB75966"/>
    <w:rsid w:val="7BB75FA0"/>
    <w:rsid w:val="7BB816DF"/>
    <w:rsid w:val="7BB87930"/>
    <w:rsid w:val="7BBA7205"/>
    <w:rsid w:val="7BBF0CBF"/>
    <w:rsid w:val="7BBF4DF3"/>
    <w:rsid w:val="7BC223E9"/>
    <w:rsid w:val="7BC32C57"/>
    <w:rsid w:val="7BC40083"/>
    <w:rsid w:val="7BC564B9"/>
    <w:rsid w:val="7BC57958"/>
    <w:rsid w:val="7BC859C5"/>
    <w:rsid w:val="7BC86C8C"/>
    <w:rsid w:val="7BC95FB4"/>
    <w:rsid w:val="7BC975BD"/>
    <w:rsid w:val="7BCF19E2"/>
    <w:rsid w:val="7BD06A28"/>
    <w:rsid w:val="7BD137B1"/>
    <w:rsid w:val="7BD24D9B"/>
    <w:rsid w:val="7BD61B65"/>
    <w:rsid w:val="7BD80399"/>
    <w:rsid w:val="7BDA1655"/>
    <w:rsid w:val="7BDB3BB0"/>
    <w:rsid w:val="7BDD1145"/>
    <w:rsid w:val="7BDD2EF3"/>
    <w:rsid w:val="7BDD342F"/>
    <w:rsid w:val="7BDE1821"/>
    <w:rsid w:val="7BE14791"/>
    <w:rsid w:val="7BE4774E"/>
    <w:rsid w:val="7BE81FC4"/>
    <w:rsid w:val="7BE829FE"/>
    <w:rsid w:val="7BEA22A6"/>
    <w:rsid w:val="7BEA3567"/>
    <w:rsid w:val="7BEB3862"/>
    <w:rsid w:val="7BF070CA"/>
    <w:rsid w:val="7BF5023D"/>
    <w:rsid w:val="7BF562B6"/>
    <w:rsid w:val="7BF73FB5"/>
    <w:rsid w:val="7BF80B3D"/>
    <w:rsid w:val="7BF936EC"/>
    <w:rsid w:val="7BFA3B70"/>
    <w:rsid w:val="7BFC723A"/>
    <w:rsid w:val="7C032AC7"/>
    <w:rsid w:val="7C0469D1"/>
    <w:rsid w:val="7C0861C2"/>
    <w:rsid w:val="7C0E12FE"/>
    <w:rsid w:val="7C0F135C"/>
    <w:rsid w:val="7C111B51"/>
    <w:rsid w:val="7C115F5B"/>
    <w:rsid w:val="7C12242B"/>
    <w:rsid w:val="7C1508DF"/>
    <w:rsid w:val="7C1C2A9B"/>
    <w:rsid w:val="7C1D77D4"/>
    <w:rsid w:val="7C203B3D"/>
    <w:rsid w:val="7C240C2C"/>
    <w:rsid w:val="7C2555DB"/>
    <w:rsid w:val="7C2823C0"/>
    <w:rsid w:val="7C2A7B42"/>
    <w:rsid w:val="7C2B1EB0"/>
    <w:rsid w:val="7C2B1FD9"/>
    <w:rsid w:val="7C2B392A"/>
    <w:rsid w:val="7C305719"/>
    <w:rsid w:val="7C305C50"/>
    <w:rsid w:val="7C330220"/>
    <w:rsid w:val="7C342D0F"/>
    <w:rsid w:val="7C3829DF"/>
    <w:rsid w:val="7C3A0345"/>
    <w:rsid w:val="7C3A20F4"/>
    <w:rsid w:val="7C3B3FBE"/>
    <w:rsid w:val="7C3C14F4"/>
    <w:rsid w:val="7C4371FA"/>
    <w:rsid w:val="7C4416C3"/>
    <w:rsid w:val="7C444536"/>
    <w:rsid w:val="7C460A98"/>
    <w:rsid w:val="7C46214B"/>
    <w:rsid w:val="7C464D62"/>
    <w:rsid w:val="7C466CEA"/>
    <w:rsid w:val="7C4838C7"/>
    <w:rsid w:val="7C4A2ABC"/>
    <w:rsid w:val="7C4B489B"/>
    <w:rsid w:val="7C4C5ED6"/>
    <w:rsid w:val="7C4E6030"/>
    <w:rsid w:val="7C504024"/>
    <w:rsid w:val="7C535EEB"/>
    <w:rsid w:val="7C5533D1"/>
    <w:rsid w:val="7C574889"/>
    <w:rsid w:val="7C5904F3"/>
    <w:rsid w:val="7C5905FC"/>
    <w:rsid w:val="7C595D2C"/>
    <w:rsid w:val="7C5E2286"/>
    <w:rsid w:val="7C5E284D"/>
    <w:rsid w:val="7C5E6782"/>
    <w:rsid w:val="7C610CE3"/>
    <w:rsid w:val="7C63789C"/>
    <w:rsid w:val="7C6474A6"/>
    <w:rsid w:val="7C660D92"/>
    <w:rsid w:val="7C6C5AC7"/>
    <w:rsid w:val="7C6D24C9"/>
    <w:rsid w:val="7C6D30A0"/>
    <w:rsid w:val="7C6F02AA"/>
    <w:rsid w:val="7C701FB9"/>
    <w:rsid w:val="7C72188D"/>
    <w:rsid w:val="7C7A269F"/>
    <w:rsid w:val="7C7A6994"/>
    <w:rsid w:val="7C7B27EB"/>
    <w:rsid w:val="7C7C7217"/>
    <w:rsid w:val="7C7E6484"/>
    <w:rsid w:val="7C7E6606"/>
    <w:rsid w:val="7C80044E"/>
    <w:rsid w:val="7C862377"/>
    <w:rsid w:val="7C880E07"/>
    <w:rsid w:val="7C8811AD"/>
    <w:rsid w:val="7C893EFF"/>
    <w:rsid w:val="7C8A64B0"/>
    <w:rsid w:val="7C8B0104"/>
    <w:rsid w:val="7C8B0BA1"/>
    <w:rsid w:val="7C905063"/>
    <w:rsid w:val="7C914409"/>
    <w:rsid w:val="7C930A71"/>
    <w:rsid w:val="7C930D92"/>
    <w:rsid w:val="7C940642"/>
    <w:rsid w:val="7C945CA8"/>
    <w:rsid w:val="7C952F18"/>
    <w:rsid w:val="7C9742E4"/>
    <w:rsid w:val="7C9B53C3"/>
    <w:rsid w:val="7C9D22E3"/>
    <w:rsid w:val="7C9E073C"/>
    <w:rsid w:val="7C9E54A8"/>
    <w:rsid w:val="7CA065B0"/>
    <w:rsid w:val="7CA22BD8"/>
    <w:rsid w:val="7CA819B0"/>
    <w:rsid w:val="7CA83501"/>
    <w:rsid w:val="7CA84E0D"/>
    <w:rsid w:val="7CA852AF"/>
    <w:rsid w:val="7CA91363"/>
    <w:rsid w:val="7CAA37FC"/>
    <w:rsid w:val="7CAA7279"/>
    <w:rsid w:val="7CAB372A"/>
    <w:rsid w:val="7CAB4D9F"/>
    <w:rsid w:val="7CAC4F98"/>
    <w:rsid w:val="7CAD0B17"/>
    <w:rsid w:val="7CAD6D69"/>
    <w:rsid w:val="7CAE291F"/>
    <w:rsid w:val="7CB400F8"/>
    <w:rsid w:val="7CB9462B"/>
    <w:rsid w:val="7CBA4FE2"/>
    <w:rsid w:val="7CC378A6"/>
    <w:rsid w:val="7CC6544B"/>
    <w:rsid w:val="7CC67E33"/>
    <w:rsid w:val="7CCC3693"/>
    <w:rsid w:val="7CCD11BA"/>
    <w:rsid w:val="7CCF5306"/>
    <w:rsid w:val="7CD24A7C"/>
    <w:rsid w:val="7CD3326F"/>
    <w:rsid w:val="7CD332DB"/>
    <w:rsid w:val="7CD52A93"/>
    <w:rsid w:val="7CD56D24"/>
    <w:rsid w:val="7CD75A35"/>
    <w:rsid w:val="7CDA3E98"/>
    <w:rsid w:val="7CDA432A"/>
    <w:rsid w:val="7CDE01B6"/>
    <w:rsid w:val="7CDF5651"/>
    <w:rsid w:val="7CE14A5B"/>
    <w:rsid w:val="7CE65DD7"/>
    <w:rsid w:val="7CE85D99"/>
    <w:rsid w:val="7CEC77C9"/>
    <w:rsid w:val="7CEC7892"/>
    <w:rsid w:val="7CEF1130"/>
    <w:rsid w:val="7CF00B69"/>
    <w:rsid w:val="7CF057E2"/>
    <w:rsid w:val="7CF16C56"/>
    <w:rsid w:val="7CF404F4"/>
    <w:rsid w:val="7CF431D9"/>
    <w:rsid w:val="7CF46746"/>
    <w:rsid w:val="7CF76237"/>
    <w:rsid w:val="7CF91FAF"/>
    <w:rsid w:val="7CFD384D"/>
    <w:rsid w:val="7D0239FF"/>
    <w:rsid w:val="7D031824"/>
    <w:rsid w:val="7D083FA0"/>
    <w:rsid w:val="7D0875E2"/>
    <w:rsid w:val="7D10257E"/>
    <w:rsid w:val="7D114EEC"/>
    <w:rsid w:val="7D1741E3"/>
    <w:rsid w:val="7D1961AD"/>
    <w:rsid w:val="7D1B3CD3"/>
    <w:rsid w:val="7D225061"/>
    <w:rsid w:val="7D226A14"/>
    <w:rsid w:val="7D230DDA"/>
    <w:rsid w:val="7D267FD7"/>
    <w:rsid w:val="7D2863F0"/>
    <w:rsid w:val="7D2912E4"/>
    <w:rsid w:val="7D2919FF"/>
    <w:rsid w:val="7D2A2168"/>
    <w:rsid w:val="7D2A2D0D"/>
    <w:rsid w:val="7D2B3C9A"/>
    <w:rsid w:val="7D2C4132"/>
    <w:rsid w:val="7D2D6159"/>
    <w:rsid w:val="7D311748"/>
    <w:rsid w:val="7D3238B0"/>
    <w:rsid w:val="7D387C94"/>
    <w:rsid w:val="7D3B4850"/>
    <w:rsid w:val="7D3B6123"/>
    <w:rsid w:val="7D3C54BC"/>
    <w:rsid w:val="7D3C5A53"/>
    <w:rsid w:val="7D3D00ED"/>
    <w:rsid w:val="7D3D1E9B"/>
    <w:rsid w:val="7D3E1B5B"/>
    <w:rsid w:val="7D3F3584"/>
    <w:rsid w:val="7D410C9D"/>
    <w:rsid w:val="7D4274B2"/>
    <w:rsid w:val="7D450D50"/>
    <w:rsid w:val="7D4A45B8"/>
    <w:rsid w:val="7D4A7C5C"/>
    <w:rsid w:val="7D4C0330"/>
    <w:rsid w:val="7D4E15A4"/>
    <w:rsid w:val="7D4F7E21"/>
    <w:rsid w:val="7D5115CD"/>
    <w:rsid w:val="7D5128EF"/>
    <w:rsid w:val="7D5203C2"/>
    <w:rsid w:val="7D546803"/>
    <w:rsid w:val="7D55159B"/>
    <w:rsid w:val="7D577604"/>
    <w:rsid w:val="7D592BCF"/>
    <w:rsid w:val="7D5A0C9F"/>
    <w:rsid w:val="7D5E0448"/>
    <w:rsid w:val="7D5E40CD"/>
    <w:rsid w:val="7D611D57"/>
    <w:rsid w:val="7D63553F"/>
    <w:rsid w:val="7D63574E"/>
    <w:rsid w:val="7D637428"/>
    <w:rsid w:val="7D673EE2"/>
    <w:rsid w:val="7D681FC6"/>
    <w:rsid w:val="7D69682F"/>
    <w:rsid w:val="7D6A4C5A"/>
    <w:rsid w:val="7D6C021D"/>
    <w:rsid w:val="7D6C2781"/>
    <w:rsid w:val="7D6E7260"/>
    <w:rsid w:val="7D733B0F"/>
    <w:rsid w:val="7D734D9E"/>
    <w:rsid w:val="7D750E11"/>
    <w:rsid w:val="7D784642"/>
    <w:rsid w:val="7D7864D7"/>
    <w:rsid w:val="7D787377"/>
    <w:rsid w:val="7D797230"/>
    <w:rsid w:val="7D7A452D"/>
    <w:rsid w:val="7D7C2579"/>
    <w:rsid w:val="7D7C5C96"/>
    <w:rsid w:val="7D7D673C"/>
    <w:rsid w:val="7D7E5CF8"/>
    <w:rsid w:val="7D81245A"/>
    <w:rsid w:val="7D821FA4"/>
    <w:rsid w:val="7D833435"/>
    <w:rsid w:val="7D847770"/>
    <w:rsid w:val="7D847ACA"/>
    <w:rsid w:val="7D853842"/>
    <w:rsid w:val="7D870EF7"/>
    <w:rsid w:val="7D871368"/>
    <w:rsid w:val="7D875858"/>
    <w:rsid w:val="7D883922"/>
    <w:rsid w:val="7D884FB0"/>
    <w:rsid w:val="7D9070EE"/>
    <w:rsid w:val="7D951664"/>
    <w:rsid w:val="7D951CD7"/>
    <w:rsid w:val="7D966184"/>
    <w:rsid w:val="7D9A5540"/>
    <w:rsid w:val="7D9A5F76"/>
    <w:rsid w:val="7D9C760C"/>
    <w:rsid w:val="7D9F1541"/>
    <w:rsid w:val="7D9F66B2"/>
    <w:rsid w:val="7DA33F00"/>
    <w:rsid w:val="7DA55C93"/>
    <w:rsid w:val="7DB12889"/>
    <w:rsid w:val="7DB64AB7"/>
    <w:rsid w:val="7DB859C6"/>
    <w:rsid w:val="7DBA7990"/>
    <w:rsid w:val="7DBB438C"/>
    <w:rsid w:val="7DBD122E"/>
    <w:rsid w:val="7DBF7801"/>
    <w:rsid w:val="7DC10C9B"/>
    <w:rsid w:val="7DC223A1"/>
    <w:rsid w:val="7DC4361A"/>
    <w:rsid w:val="7DC70717"/>
    <w:rsid w:val="7DC73E5B"/>
    <w:rsid w:val="7DCB56F9"/>
    <w:rsid w:val="7DCD56F2"/>
    <w:rsid w:val="7DCF6E98"/>
    <w:rsid w:val="7DD05BB9"/>
    <w:rsid w:val="7DD54698"/>
    <w:rsid w:val="7DD60EDA"/>
    <w:rsid w:val="7DD7727A"/>
    <w:rsid w:val="7DD87E16"/>
    <w:rsid w:val="7DDD542C"/>
    <w:rsid w:val="7DE06C9C"/>
    <w:rsid w:val="7DE21A0E"/>
    <w:rsid w:val="7DE22A43"/>
    <w:rsid w:val="7DE23E5B"/>
    <w:rsid w:val="7DE247F1"/>
    <w:rsid w:val="7DE4193D"/>
    <w:rsid w:val="7DE562B0"/>
    <w:rsid w:val="7DE6547A"/>
    <w:rsid w:val="7DE670BE"/>
    <w:rsid w:val="7DE92023"/>
    <w:rsid w:val="7DEB1299"/>
    <w:rsid w:val="7DEB3FF6"/>
    <w:rsid w:val="7DED5A39"/>
    <w:rsid w:val="7DEE3196"/>
    <w:rsid w:val="7DF07AAE"/>
    <w:rsid w:val="7DF12313"/>
    <w:rsid w:val="7DF2712A"/>
    <w:rsid w:val="7DF369FE"/>
    <w:rsid w:val="7DF41A15"/>
    <w:rsid w:val="7DF41CE6"/>
    <w:rsid w:val="7DF7257B"/>
    <w:rsid w:val="7DFE353A"/>
    <w:rsid w:val="7DFE50BE"/>
    <w:rsid w:val="7E00029C"/>
    <w:rsid w:val="7E05346C"/>
    <w:rsid w:val="7E0548CA"/>
    <w:rsid w:val="7E057008"/>
    <w:rsid w:val="7E062BD5"/>
    <w:rsid w:val="7E0808DD"/>
    <w:rsid w:val="7E0B5B2C"/>
    <w:rsid w:val="7E0B607C"/>
    <w:rsid w:val="7E0C28D0"/>
    <w:rsid w:val="7E0C6EC9"/>
    <w:rsid w:val="7E0D2F3C"/>
    <w:rsid w:val="7E1873C9"/>
    <w:rsid w:val="7E192908"/>
    <w:rsid w:val="7E1A042F"/>
    <w:rsid w:val="7E1A3F8B"/>
    <w:rsid w:val="7E24547A"/>
    <w:rsid w:val="7E264037"/>
    <w:rsid w:val="7E284674"/>
    <w:rsid w:val="7E284C89"/>
    <w:rsid w:val="7E2911AC"/>
    <w:rsid w:val="7E294102"/>
    <w:rsid w:val="7E2A4975"/>
    <w:rsid w:val="7E2C3CBE"/>
    <w:rsid w:val="7E2E74D4"/>
    <w:rsid w:val="7E366DA5"/>
    <w:rsid w:val="7E3808B5"/>
    <w:rsid w:val="7E386B07"/>
    <w:rsid w:val="7E3A132F"/>
    <w:rsid w:val="7E3C03A5"/>
    <w:rsid w:val="7E3C06B4"/>
    <w:rsid w:val="7E3E20CA"/>
    <w:rsid w:val="7E3F60E7"/>
    <w:rsid w:val="7E3F648B"/>
    <w:rsid w:val="7E410B42"/>
    <w:rsid w:val="7E413EB6"/>
    <w:rsid w:val="7E4377F0"/>
    <w:rsid w:val="7E440114"/>
    <w:rsid w:val="7E461224"/>
    <w:rsid w:val="7E464D80"/>
    <w:rsid w:val="7E4B77BD"/>
    <w:rsid w:val="7E4D224E"/>
    <w:rsid w:val="7E4E719F"/>
    <w:rsid w:val="7E53386B"/>
    <w:rsid w:val="7E545AA3"/>
    <w:rsid w:val="7E553215"/>
    <w:rsid w:val="7E572CC6"/>
    <w:rsid w:val="7E580457"/>
    <w:rsid w:val="7E590F57"/>
    <w:rsid w:val="7E61605D"/>
    <w:rsid w:val="7E6213D1"/>
    <w:rsid w:val="7E6478FC"/>
    <w:rsid w:val="7E6836AC"/>
    <w:rsid w:val="7E691E91"/>
    <w:rsid w:val="7E6D26FD"/>
    <w:rsid w:val="7E6E2528"/>
    <w:rsid w:val="7E7062A0"/>
    <w:rsid w:val="7E714EC2"/>
    <w:rsid w:val="7E725B75"/>
    <w:rsid w:val="7E7512A2"/>
    <w:rsid w:val="7E75369A"/>
    <w:rsid w:val="7E762B97"/>
    <w:rsid w:val="7E7813E8"/>
    <w:rsid w:val="7E7C2E97"/>
    <w:rsid w:val="7E7C4C45"/>
    <w:rsid w:val="7E7E462F"/>
    <w:rsid w:val="7E7E73B0"/>
    <w:rsid w:val="7E7F5C38"/>
    <w:rsid w:val="7E7F5FC2"/>
    <w:rsid w:val="7E8218D5"/>
    <w:rsid w:val="7E823D8B"/>
    <w:rsid w:val="7E843AFA"/>
    <w:rsid w:val="7E881AE3"/>
    <w:rsid w:val="7E891110"/>
    <w:rsid w:val="7E8B30DA"/>
    <w:rsid w:val="7E8B5E3B"/>
    <w:rsid w:val="7E8C3035"/>
    <w:rsid w:val="7E8D0EAE"/>
    <w:rsid w:val="7E9006F1"/>
    <w:rsid w:val="7E900FB0"/>
    <w:rsid w:val="7E902E46"/>
    <w:rsid w:val="7E941F8F"/>
    <w:rsid w:val="7E947FB4"/>
    <w:rsid w:val="7E953F59"/>
    <w:rsid w:val="7E955D07"/>
    <w:rsid w:val="7E9B1ACA"/>
    <w:rsid w:val="7E9C7095"/>
    <w:rsid w:val="7E9E4DDA"/>
    <w:rsid w:val="7EA02F20"/>
    <w:rsid w:val="7EA111D1"/>
    <w:rsid w:val="7EA174E3"/>
    <w:rsid w:val="7EA53471"/>
    <w:rsid w:val="7EA63D92"/>
    <w:rsid w:val="7EA74EF1"/>
    <w:rsid w:val="7EA903E9"/>
    <w:rsid w:val="7EAA15BF"/>
    <w:rsid w:val="7EAA49AA"/>
    <w:rsid w:val="7EAD4DFF"/>
    <w:rsid w:val="7EB07427"/>
    <w:rsid w:val="7EB20667"/>
    <w:rsid w:val="7EB24902"/>
    <w:rsid w:val="7EB50E34"/>
    <w:rsid w:val="7EB66A32"/>
    <w:rsid w:val="7EBA751C"/>
    <w:rsid w:val="7EBB7A36"/>
    <w:rsid w:val="7EBD1911"/>
    <w:rsid w:val="7EC4021C"/>
    <w:rsid w:val="7EC42148"/>
    <w:rsid w:val="7EC81DEF"/>
    <w:rsid w:val="7ECA1D94"/>
    <w:rsid w:val="7ECE529F"/>
    <w:rsid w:val="7ECF746B"/>
    <w:rsid w:val="7ED03BFE"/>
    <w:rsid w:val="7ED071B8"/>
    <w:rsid w:val="7ED873DC"/>
    <w:rsid w:val="7ED93E46"/>
    <w:rsid w:val="7EDA7753"/>
    <w:rsid w:val="7EDC1B88"/>
    <w:rsid w:val="7EE03F8C"/>
    <w:rsid w:val="7EE12261"/>
    <w:rsid w:val="7EE30820"/>
    <w:rsid w:val="7EE352BF"/>
    <w:rsid w:val="7EE425C0"/>
    <w:rsid w:val="7EE527EB"/>
    <w:rsid w:val="7EE850E7"/>
    <w:rsid w:val="7EEB3B79"/>
    <w:rsid w:val="7EEC1C2E"/>
    <w:rsid w:val="7EED0E96"/>
    <w:rsid w:val="7EEE5895"/>
    <w:rsid w:val="7EEF636B"/>
    <w:rsid w:val="7EF24F07"/>
    <w:rsid w:val="7EF26CB5"/>
    <w:rsid w:val="7EF36A6A"/>
    <w:rsid w:val="7EF43EDE"/>
    <w:rsid w:val="7EF667A6"/>
    <w:rsid w:val="7EF81716"/>
    <w:rsid w:val="7EF96FAF"/>
    <w:rsid w:val="7EFA13E0"/>
    <w:rsid w:val="7EFB53EC"/>
    <w:rsid w:val="7EFC5D86"/>
    <w:rsid w:val="7F001CE7"/>
    <w:rsid w:val="7F01289A"/>
    <w:rsid w:val="7F01339C"/>
    <w:rsid w:val="7F037115"/>
    <w:rsid w:val="7F041777"/>
    <w:rsid w:val="7F061481"/>
    <w:rsid w:val="7F0A046A"/>
    <w:rsid w:val="7F0A525D"/>
    <w:rsid w:val="7F0A7456"/>
    <w:rsid w:val="7F0E011F"/>
    <w:rsid w:val="7F0E41B4"/>
    <w:rsid w:val="7F104937"/>
    <w:rsid w:val="7F1262B3"/>
    <w:rsid w:val="7F13517B"/>
    <w:rsid w:val="7F14125C"/>
    <w:rsid w:val="7F144E7E"/>
    <w:rsid w:val="7F1821B5"/>
    <w:rsid w:val="7F184F56"/>
    <w:rsid w:val="7F1874C0"/>
    <w:rsid w:val="7F1A159B"/>
    <w:rsid w:val="7F1E08C8"/>
    <w:rsid w:val="7F1E567F"/>
    <w:rsid w:val="7F1F394C"/>
    <w:rsid w:val="7F20076D"/>
    <w:rsid w:val="7F252DDB"/>
    <w:rsid w:val="7F275472"/>
    <w:rsid w:val="7F2A46A1"/>
    <w:rsid w:val="7F2C039F"/>
    <w:rsid w:val="7F2D4191"/>
    <w:rsid w:val="7F2F696F"/>
    <w:rsid w:val="7F3721B5"/>
    <w:rsid w:val="7F390D88"/>
    <w:rsid w:val="7F3D4726"/>
    <w:rsid w:val="7F3E60C2"/>
    <w:rsid w:val="7F3F4DA9"/>
    <w:rsid w:val="7F407F4F"/>
    <w:rsid w:val="7F4318CA"/>
    <w:rsid w:val="7F4339B5"/>
    <w:rsid w:val="7F435763"/>
    <w:rsid w:val="7F45772D"/>
    <w:rsid w:val="7F4650AB"/>
    <w:rsid w:val="7F4A04C2"/>
    <w:rsid w:val="7F4C286A"/>
    <w:rsid w:val="7F4D16AD"/>
    <w:rsid w:val="7F4D27B7"/>
    <w:rsid w:val="7F54099F"/>
    <w:rsid w:val="7F547386"/>
    <w:rsid w:val="7F550FCA"/>
    <w:rsid w:val="7F5B2AAD"/>
    <w:rsid w:val="7F5B52C0"/>
    <w:rsid w:val="7F5D75B8"/>
    <w:rsid w:val="7F5E4BA9"/>
    <w:rsid w:val="7F5F0395"/>
    <w:rsid w:val="7F601E71"/>
    <w:rsid w:val="7F611488"/>
    <w:rsid w:val="7F6454F9"/>
    <w:rsid w:val="7F65392B"/>
    <w:rsid w:val="7F686F78"/>
    <w:rsid w:val="7F690B08"/>
    <w:rsid w:val="7F6A1EDE"/>
    <w:rsid w:val="7F6A6FF0"/>
    <w:rsid w:val="7F6D7F2A"/>
    <w:rsid w:val="7F7122D0"/>
    <w:rsid w:val="7F730C5F"/>
    <w:rsid w:val="7F751BA1"/>
    <w:rsid w:val="7F754410"/>
    <w:rsid w:val="7F766C17"/>
    <w:rsid w:val="7F7706F4"/>
    <w:rsid w:val="7F777B0A"/>
    <w:rsid w:val="7F7818B1"/>
    <w:rsid w:val="7F7B545B"/>
    <w:rsid w:val="7F7E679B"/>
    <w:rsid w:val="7F803A17"/>
    <w:rsid w:val="7F870D6B"/>
    <w:rsid w:val="7F8A5140"/>
    <w:rsid w:val="7F8B159D"/>
    <w:rsid w:val="7F8D23ED"/>
    <w:rsid w:val="7F8E1095"/>
    <w:rsid w:val="7F8F09A2"/>
    <w:rsid w:val="7F904D91"/>
    <w:rsid w:val="7F933468"/>
    <w:rsid w:val="7F952CE7"/>
    <w:rsid w:val="7F9864AF"/>
    <w:rsid w:val="7F994342"/>
    <w:rsid w:val="7F99786B"/>
    <w:rsid w:val="7F9A1143"/>
    <w:rsid w:val="7F9B559F"/>
    <w:rsid w:val="7F9E7649"/>
    <w:rsid w:val="7FA07DC4"/>
    <w:rsid w:val="7FA20CEA"/>
    <w:rsid w:val="7FA660D7"/>
    <w:rsid w:val="7FAC31B5"/>
    <w:rsid w:val="7FAC3308"/>
    <w:rsid w:val="7FAE0E2E"/>
    <w:rsid w:val="7FAE52D2"/>
    <w:rsid w:val="7FB074C9"/>
    <w:rsid w:val="7FB24B9F"/>
    <w:rsid w:val="7FB36445"/>
    <w:rsid w:val="7FB623D9"/>
    <w:rsid w:val="7FB75B7A"/>
    <w:rsid w:val="7FB76A5B"/>
    <w:rsid w:val="7FB83A5B"/>
    <w:rsid w:val="7FBA5A25"/>
    <w:rsid w:val="7FBC5D59"/>
    <w:rsid w:val="7FBD74E1"/>
    <w:rsid w:val="7FC11A60"/>
    <w:rsid w:val="7FC41EAA"/>
    <w:rsid w:val="7FC433BD"/>
    <w:rsid w:val="7FC44AF6"/>
    <w:rsid w:val="7FC60329"/>
    <w:rsid w:val="7FC6296E"/>
    <w:rsid w:val="7FC83876"/>
    <w:rsid w:val="7FCB7F71"/>
    <w:rsid w:val="7FCF47DB"/>
    <w:rsid w:val="7FCF6FF7"/>
    <w:rsid w:val="7FD104EF"/>
    <w:rsid w:val="7FD143F8"/>
    <w:rsid w:val="7FD34D39"/>
    <w:rsid w:val="7FD665D7"/>
    <w:rsid w:val="7FD91C23"/>
    <w:rsid w:val="7FDB74B7"/>
    <w:rsid w:val="7FDD1714"/>
    <w:rsid w:val="7FDE54BC"/>
    <w:rsid w:val="7FDE7B28"/>
    <w:rsid w:val="7FE1132A"/>
    <w:rsid w:val="7FE2279F"/>
    <w:rsid w:val="7FE231CE"/>
    <w:rsid w:val="7FE46505"/>
    <w:rsid w:val="7FE47E50"/>
    <w:rsid w:val="7FE52AEC"/>
    <w:rsid w:val="7FE707E4"/>
    <w:rsid w:val="7FE9143E"/>
    <w:rsid w:val="7FE9398B"/>
    <w:rsid w:val="7FEA3E31"/>
    <w:rsid w:val="7FEA6ACB"/>
    <w:rsid w:val="7FEB46C0"/>
    <w:rsid w:val="7FEC371B"/>
    <w:rsid w:val="7FEC7689"/>
    <w:rsid w:val="7FF151BF"/>
    <w:rsid w:val="7FF161E8"/>
    <w:rsid w:val="7FF16F6D"/>
    <w:rsid w:val="7FF90C78"/>
    <w:rsid w:val="7FFA22C6"/>
    <w:rsid w:val="7FFB4ADD"/>
    <w:rsid w:val="7FFF52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paragraph" w:styleId="4">
    <w:name w:val="heading 4"/>
    <w:basedOn w:val="1"/>
    <w:next w:val="1"/>
    <w:qFormat/>
    <w:uiPriority w:val="1"/>
    <w:pPr>
      <w:ind w:left="1281"/>
      <w:outlineLvl w:val="3"/>
    </w:pPr>
    <w:rPr>
      <w:rFonts w:ascii="宋体" w:hAnsi="宋体" w:cs="宋体"/>
      <w:b/>
      <w:bCs/>
      <w:sz w:val="24"/>
      <w:lang w:val="zh-CN" w:bidi="zh-CN"/>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6">
    <w:name w:val="Normal Indent"/>
    <w:basedOn w:val="1"/>
    <w:next w:val="1"/>
    <w:qFormat/>
    <w:uiPriority w:val="0"/>
    <w:pPr>
      <w:ind w:firstLine="420"/>
    </w:pPr>
    <w:rPr>
      <w:rFonts w:ascii="宋体"/>
      <w:kern w:val="0"/>
      <w:sz w:val="26"/>
      <w:szCs w:val="20"/>
    </w:rPr>
  </w:style>
  <w:style w:type="paragraph" w:styleId="7">
    <w:name w:val="Document Map"/>
    <w:basedOn w:val="1"/>
    <w:link w:val="74"/>
    <w:qFormat/>
    <w:uiPriority w:val="0"/>
    <w:rPr>
      <w:rFonts w:ascii="宋体"/>
      <w:sz w:val="18"/>
      <w:szCs w:val="18"/>
    </w:rPr>
  </w:style>
  <w:style w:type="paragraph" w:styleId="8">
    <w:name w:val="annotation text"/>
    <w:basedOn w:val="1"/>
    <w:link w:val="34"/>
    <w:semiHidden/>
    <w:qFormat/>
    <w:uiPriority w:val="0"/>
    <w:pPr>
      <w:jc w:val="left"/>
    </w:pPr>
    <w:rPr>
      <w:kern w:val="0"/>
      <w:sz w:val="24"/>
      <w:szCs w:val="20"/>
    </w:rPr>
  </w:style>
  <w:style w:type="paragraph" w:styleId="9">
    <w:name w:val="Body Text"/>
    <w:basedOn w:val="1"/>
    <w:next w:val="10"/>
    <w:link w:val="35"/>
    <w:qFormat/>
    <w:uiPriority w:val="0"/>
    <w:pPr>
      <w:widowControl/>
      <w:snapToGrid w:val="0"/>
      <w:spacing w:before="60" w:after="160" w:line="259" w:lineRule="auto"/>
      <w:ind w:right="113"/>
    </w:pPr>
    <w:rPr>
      <w:kern w:val="0"/>
      <w:sz w:val="18"/>
      <w:szCs w:val="20"/>
    </w:rPr>
  </w:style>
  <w:style w:type="paragraph" w:customStyle="1" w:styleId="10">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1">
    <w:name w:val="Body Text Indent"/>
    <w:basedOn w:val="1"/>
    <w:next w:val="12"/>
    <w:link w:val="36"/>
    <w:qFormat/>
    <w:uiPriority w:val="0"/>
    <w:pPr>
      <w:spacing w:after="120"/>
      <w:ind w:left="420" w:leftChars="200"/>
    </w:pPr>
    <w:rPr>
      <w:kern w:val="0"/>
      <w:sz w:val="24"/>
      <w:szCs w:val="20"/>
    </w:rPr>
  </w:style>
  <w:style w:type="paragraph" w:styleId="12">
    <w:name w:val="Body Text Indent 2"/>
    <w:basedOn w:val="1"/>
    <w:next w:val="13"/>
    <w:qFormat/>
    <w:uiPriority w:val="99"/>
    <w:pPr>
      <w:spacing w:after="120" w:line="480" w:lineRule="auto"/>
      <w:ind w:left="420" w:leftChars="200"/>
    </w:pPr>
  </w:style>
  <w:style w:type="paragraph" w:styleId="13">
    <w:name w:val="Body Text First Indent 2"/>
    <w:basedOn w:val="11"/>
    <w:next w:val="1"/>
    <w:qFormat/>
    <w:uiPriority w:val="99"/>
    <w:pPr>
      <w:ind w:firstLine="420" w:firstLineChars="200"/>
    </w:pPr>
    <w:rPr>
      <w:szCs w:val="21"/>
    </w:rPr>
  </w:style>
  <w:style w:type="paragraph" w:styleId="14">
    <w:name w:val="Date"/>
    <w:basedOn w:val="1"/>
    <w:next w:val="1"/>
    <w:link w:val="37"/>
    <w:qFormat/>
    <w:uiPriority w:val="0"/>
    <w:pPr>
      <w:ind w:left="100" w:leftChars="2500"/>
    </w:pPr>
    <w:rPr>
      <w:kern w:val="0"/>
      <w:sz w:val="24"/>
      <w:szCs w:val="20"/>
    </w:rPr>
  </w:style>
  <w:style w:type="paragraph" w:styleId="15">
    <w:name w:val="Balloon Text"/>
    <w:basedOn w:val="1"/>
    <w:link w:val="38"/>
    <w:semiHidden/>
    <w:qFormat/>
    <w:uiPriority w:val="0"/>
    <w:rPr>
      <w:kern w:val="0"/>
      <w:sz w:val="18"/>
      <w:szCs w:val="20"/>
    </w:rPr>
  </w:style>
  <w:style w:type="paragraph" w:styleId="16">
    <w:name w:val="footer"/>
    <w:basedOn w:val="1"/>
    <w:link w:val="39"/>
    <w:qFormat/>
    <w:uiPriority w:val="99"/>
    <w:pPr>
      <w:tabs>
        <w:tab w:val="center" w:pos="4153"/>
        <w:tab w:val="right" w:pos="8306"/>
      </w:tabs>
      <w:snapToGrid w:val="0"/>
      <w:jc w:val="left"/>
    </w:pPr>
    <w:rPr>
      <w:kern w:val="0"/>
      <w:sz w:val="18"/>
      <w:szCs w:val="20"/>
    </w:rPr>
  </w:style>
  <w:style w:type="paragraph" w:styleId="17">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next w:val="9"/>
    <w:qFormat/>
    <w:uiPriority w:val="0"/>
    <w:pPr>
      <w:jc w:val="center"/>
    </w:pPr>
    <w:rPr>
      <w:kern w:val="21"/>
      <w:szCs w:val="22"/>
    </w:rPr>
  </w:style>
  <w:style w:type="paragraph" w:styleId="19">
    <w:name w:val="Body Text 2"/>
    <w:basedOn w:val="1"/>
    <w:qFormat/>
    <w:uiPriority w:val="0"/>
    <w:pPr>
      <w:spacing w:after="120" w:line="480" w:lineRule="auto"/>
    </w:pPr>
  </w:style>
  <w:style w:type="paragraph" w:styleId="20">
    <w:name w:val="Normal (Web)"/>
    <w:basedOn w:val="1"/>
    <w:link w:val="41"/>
    <w:qFormat/>
    <w:uiPriority w:val="99"/>
    <w:pPr>
      <w:widowControl/>
      <w:spacing w:before="100" w:beforeAutospacing="1" w:after="100" w:afterAutospacing="1"/>
      <w:jc w:val="left"/>
    </w:pPr>
    <w:rPr>
      <w:rFonts w:ascii="宋体" w:hAnsi="宋体"/>
      <w:kern w:val="0"/>
      <w:sz w:val="24"/>
      <w:szCs w:val="20"/>
    </w:rPr>
  </w:style>
  <w:style w:type="paragraph" w:styleId="21">
    <w:name w:val="annotation subject"/>
    <w:basedOn w:val="8"/>
    <w:next w:val="8"/>
    <w:link w:val="42"/>
    <w:semiHidden/>
    <w:qFormat/>
    <w:uiPriority w:val="0"/>
    <w:rPr>
      <w:b/>
    </w:rPr>
  </w:style>
  <w:style w:type="paragraph" w:styleId="22">
    <w:name w:val="Body Text First Indent"/>
    <w:basedOn w:val="9"/>
    <w:qFormat/>
    <w:uiPriority w:val="99"/>
    <w:pPr>
      <w:spacing w:after="120" w:line="240" w:lineRule="auto"/>
      <w:ind w:firstLine="420" w:firstLineChars="100"/>
    </w:pPr>
    <w:rPr>
      <w:sz w:val="21"/>
      <w:szCs w:val="21"/>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Hyperlink"/>
    <w:basedOn w:val="25"/>
    <w:qFormat/>
    <w:uiPriority w:val="0"/>
    <w:rPr>
      <w:color w:val="0000FF"/>
      <w:u w:val="single"/>
    </w:rPr>
  </w:style>
  <w:style w:type="character" w:styleId="28">
    <w:name w:val="annotation reference"/>
    <w:basedOn w:val="25"/>
    <w:semiHidden/>
    <w:qFormat/>
    <w:uiPriority w:val="0"/>
    <w:rPr>
      <w:sz w:val="21"/>
    </w:rPr>
  </w:style>
  <w:style w:type="paragraph" w:customStyle="1" w:styleId="29">
    <w:name w:val="A正文"/>
    <w:basedOn w:val="1"/>
    <w:qFormat/>
    <w:uiPriority w:val="99"/>
    <w:pPr>
      <w:widowControl/>
      <w:overflowPunct w:val="0"/>
      <w:autoSpaceDE w:val="0"/>
      <w:autoSpaceDN w:val="0"/>
      <w:jc w:val="left"/>
      <w:textAlignment w:val="baseline"/>
    </w:pPr>
  </w:style>
  <w:style w:type="paragraph" w:customStyle="1" w:styleId="30">
    <w:name w:val="Default"/>
    <w:basedOn w:val="31"/>
    <w:next w:val="5"/>
    <w:qFormat/>
    <w:uiPriority w:val="0"/>
    <w:pPr>
      <w:autoSpaceDE w:val="0"/>
      <w:autoSpaceDN w:val="0"/>
    </w:pPr>
    <w:rPr>
      <w:color w:val="000000"/>
      <w:sz w:val="24"/>
      <w:szCs w:val="24"/>
    </w:rPr>
  </w:style>
  <w:style w:type="paragraph" w:customStyle="1" w:styleId="31">
    <w:name w:val="纯文本1"/>
    <w:basedOn w:val="1"/>
    <w:qFormat/>
    <w:uiPriority w:val="0"/>
    <w:pPr>
      <w:adjustRightInd w:val="0"/>
    </w:pPr>
    <w:rPr>
      <w:rFonts w:ascii="宋体" w:hAnsi="Courier New"/>
      <w:szCs w:val="20"/>
    </w:rPr>
  </w:style>
  <w:style w:type="paragraph" w:customStyle="1" w:styleId="3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3">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4">
    <w:name w:val="批注文字 Char"/>
    <w:link w:val="8"/>
    <w:qFormat/>
    <w:uiPriority w:val="0"/>
    <w:rPr>
      <w:rFonts w:ascii="Times New Roman" w:hAnsi="Times New Roman" w:eastAsia="宋体"/>
      <w:sz w:val="24"/>
    </w:rPr>
  </w:style>
  <w:style w:type="character" w:customStyle="1" w:styleId="35">
    <w:name w:val="正文文本 Char"/>
    <w:link w:val="9"/>
    <w:qFormat/>
    <w:uiPriority w:val="0"/>
    <w:rPr>
      <w:sz w:val="18"/>
    </w:rPr>
  </w:style>
  <w:style w:type="character" w:customStyle="1" w:styleId="36">
    <w:name w:val="正文文本缩进 Char"/>
    <w:link w:val="11"/>
    <w:semiHidden/>
    <w:qFormat/>
    <w:uiPriority w:val="0"/>
    <w:rPr>
      <w:rFonts w:ascii="Times New Roman" w:hAnsi="Times New Roman" w:eastAsia="宋体"/>
      <w:sz w:val="24"/>
    </w:rPr>
  </w:style>
  <w:style w:type="character" w:customStyle="1" w:styleId="37">
    <w:name w:val="日期 Char"/>
    <w:link w:val="14"/>
    <w:qFormat/>
    <w:uiPriority w:val="0"/>
    <w:rPr>
      <w:rFonts w:ascii="Times New Roman" w:hAnsi="Times New Roman" w:eastAsia="宋体"/>
      <w:sz w:val="24"/>
    </w:rPr>
  </w:style>
  <w:style w:type="character" w:customStyle="1" w:styleId="38">
    <w:name w:val="批注框文本 Char"/>
    <w:link w:val="15"/>
    <w:semiHidden/>
    <w:qFormat/>
    <w:uiPriority w:val="0"/>
    <w:rPr>
      <w:rFonts w:ascii="Times New Roman" w:hAnsi="Times New Roman" w:eastAsia="宋体"/>
      <w:sz w:val="18"/>
    </w:rPr>
  </w:style>
  <w:style w:type="character" w:customStyle="1" w:styleId="39">
    <w:name w:val="页脚 Char"/>
    <w:link w:val="16"/>
    <w:qFormat/>
    <w:uiPriority w:val="99"/>
    <w:rPr>
      <w:sz w:val="18"/>
    </w:rPr>
  </w:style>
  <w:style w:type="character" w:customStyle="1" w:styleId="40">
    <w:name w:val="页眉 Char"/>
    <w:link w:val="17"/>
    <w:qFormat/>
    <w:uiPriority w:val="0"/>
    <w:rPr>
      <w:sz w:val="18"/>
    </w:rPr>
  </w:style>
  <w:style w:type="character" w:customStyle="1" w:styleId="41">
    <w:name w:val="普通(网站) Char"/>
    <w:link w:val="20"/>
    <w:qFormat/>
    <w:uiPriority w:val="0"/>
    <w:rPr>
      <w:rFonts w:ascii="宋体" w:hAnsi="宋体" w:eastAsia="宋体"/>
      <w:sz w:val="24"/>
    </w:rPr>
  </w:style>
  <w:style w:type="character" w:customStyle="1" w:styleId="42">
    <w:name w:val="批注主题 Char"/>
    <w:link w:val="21"/>
    <w:semiHidden/>
    <w:qFormat/>
    <w:uiPriority w:val="0"/>
    <w:rPr>
      <w:rFonts w:ascii="Times New Roman" w:hAnsi="Times New Roman" w:eastAsia="宋体"/>
      <w:b/>
      <w:kern w:val="2"/>
      <w:sz w:val="24"/>
    </w:rPr>
  </w:style>
  <w:style w:type="character" w:customStyle="1" w:styleId="43">
    <w:name w:val="页脚 字符"/>
    <w:qFormat/>
    <w:uiPriority w:val="99"/>
  </w:style>
  <w:style w:type="character" w:customStyle="1" w:styleId="44">
    <w:name w:val="正文文本 字符1"/>
    <w:semiHidden/>
    <w:qFormat/>
    <w:uiPriority w:val="0"/>
    <w:rPr>
      <w:rFonts w:ascii="Times New Roman" w:hAnsi="Times New Roman" w:eastAsia="宋体"/>
      <w:sz w:val="24"/>
    </w:rPr>
  </w:style>
  <w:style w:type="character" w:customStyle="1" w:styleId="45">
    <w:name w:val="表格 Char"/>
    <w:link w:val="46"/>
    <w:qFormat/>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日期 字符"/>
    <w:semiHidden/>
    <w:qFormat/>
    <w:uiPriority w:val="0"/>
    <w:rPr>
      <w:rFonts w:ascii="Times New Roman" w:hAnsi="Times New Roman" w:eastAsia="宋体"/>
      <w:sz w:val="24"/>
    </w:rPr>
  </w:style>
  <w:style w:type="character" w:customStyle="1" w:styleId="48">
    <w:name w:val="批注文字 字符1"/>
    <w:semiHidden/>
    <w:qFormat/>
    <w:uiPriority w:val="0"/>
    <w:rPr>
      <w:rFonts w:ascii="Times New Roman" w:hAnsi="Times New Roman" w:eastAsia="宋体"/>
      <w:sz w:val="24"/>
    </w:rPr>
  </w:style>
  <w:style w:type="paragraph" w:customStyle="1" w:styleId="4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1">
    <w:name w:val="p0"/>
    <w:basedOn w:val="1"/>
    <w:qFormat/>
    <w:uiPriority w:val="0"/>
    <w:pPr>
      <w:widowControl/>
    </w:pPr>
    <w:rPr>
      <w:kern w:val="0"/>
      <w:szCs w:val="21"/>
    </w:rPr>
  </w:style>
  <w:style w:type="paragraph" w:customStyle="1" w:styleId="52">
    <w:name w:val="报告表正文"/>
    <w:basedOn w:val="1"/>
    <w:qFormat/>
    <w:uiPriority w:val="0"/>
    <w:pPr>
      <w:spacing w:line="360" w:lineRule="auto"/>
      <w:ind w:firstLine="640" w:firstLineChars="200"/>
    </w:pPr>
    <w:rPr>
      <w:sz w:val="24"/>
      <w:szCs w:val="20"/>
    </w:rPr>
  </w:style>
  <w:style w:type="paragraph" w:customStyle="1" w:styleId="53">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54">
    <w:name w:val="列出段落1"/>
    <w:basedOn w:val="1"/>
    <w:qFormat/>
    <w:uiPriority w:val="34"/>
    <w:pPr>
      <w:ind w:firstLine="420" w:firstLineChars="200"/>
    </w:pPr>
    <w:rPr>
      <w:rFonts w:ascii="Calibri" w:hAnsi="Calibri"/>
    </w:rPr>
  </w:style>
  <w:style w:type="paragraph" w:customStyle="1" w:styleId="55">
    <w:name w:val="4正文"/>
    <w:basedOn w:val="1"/>
    <w:qFormat/>
    <w:uiPriority w:val="0"/>
    <w:pPr>
      <w:adjustRightInd w:val="0"/>
      <w:snapToGrid w:val="0"/>
      <w:ind w:firstLine="200" w:firstLineChars="200"/>
    </w:pPr>
    <w:rPr>
      <w:kern w:val="0"/>
    </w:rPr>
  </w:style>
  <w:style w:type="paragraph" w:customStyle="1" w:styleId="56">
    <w:name w:val="表文"/>
    <w:qFormat/>
    <w:uiPriority w:val="0"/>
    <w:pPr>
      <w:widowControl w:val="0"/>
      <w:adjustRightInd w:val="0"/>
      <w:jc w:val="center"/>
    </w:pPr>
    <w:rPr>
      <w:rFonts w:ascii="Times New Roman" w:hAnsi="Times New Roman" w:eastAsia="宋体" w:cs="Times New Roman"/>
      <w:kern w:val="2"/>
      <w:sz w:val="21"/>
      <w:szCs w:val="21"/>
      <w:lang w:val="en-US" w:eastAsia="zh-CN" w:bidi="ar-SA"/>
    </w:rPr>
  </w:style>
  <w:style w:type="paragraph" w:customStyle="1" w:styleId="57">
    <w:name w:val="表格、图表名称"/>
    <w:basedOn w:val="58"/>
    <w:qFormat/>
    <w:uiPriority w:val="0"/>
    <w:pPr>
      <w:numPr>
        <w:numId w:val="0"/>
      </w:numPr>
      <w:jc w:val="center"/>
    </w:pPr>
    <w:rPr>
      <w:b/>
    </w:rPr>
  </w:style>
  <w:style w:type="paragraph" w:customStyle="1" w:styleId="58">
    <w:name w:val="5级标题"/>
    <w:basedOn w:val="1"/>
    <w:semiHidden/>
    <w:qFormat/>
    <w:uiPriority w:val="0"/>
    <w:pPr>
      <w:numPr>
        <w:ilvl w:val="0"/>
        <w:numId w:val="1"/>
      </w:numPr>
      <w:jc w:val="left"/>
    </w:pPr>
  </w:style>
  <w:style w:type="paragraph" w:customStyle="1" w:styleId="59">
    <w:name w:val="A标准格式"/>
    <w:basedOn w:val="1"/>
    <w:qFormat/>
    <w:uiPriority w:val="0"/>
    <w:pPr>
      <w:adjustRightInd w:val="0"/>
      <w:spacing w:line="440" w:lineRule="exact"/>
      <w:ind w:firstLine="480" w:firstLineChars="200"/>
      <w:textAlignment w:val="baseline"/>
    </w:pPr>
    <w:rPr>
      <w:sz w:val="24"/>
    </w:rPr>
  </w:style>
  <w:style w:type="paragraph" w:customStyle="1" w:styleId="60">
    <w:name w:val="1"/>
    <w:basedOn w:val="1"/>
    <w:next w:val="6"/>
    <w:qFormat/>
    <w:uiPriority w:val="0"/>
    <w:pPr>
      <w:ind w:firstLine="420"/>
    </w:pPr>
    <w:rPr>
      <w:rFonts w:ascii="宋体"/>
      <w:sz w:val="26"/>
      <w:szCs w:val="20"/>
    </w:rPr>
  </w:style>
  <w:style w:type="paragraph" w:customStyle="1" w:styleId="61">
    <w:name w:val="样式13"/>
    <w:basedOn w:val="1"/>
    <w:qFormat/>
    <w:uiPriority w:val="0"/>
    <w:pPr>
      <w:spacing w:line="360" w:lineRule="auto"/>
      <w:ind w:firstLine="480" w:firstLineChars="200"/>
    </w:pPr>
    <w:rPr>
      <w:color w:val="000000"/>
      <w:sz w:val="24"/>
    </w:rPr>
  </w:style>
  <w:style w:type="paragraph" w:styleId="62">
    <w:name w:val="No Spacing"/>
    <w:basedOn w:val="1"/>
    <w:qFormat/>
    <w:uiPriority w:val="1"/>
    <w:pPr>
      <w:widowControl w:val="0"/>
      <w:jc w:val="both"/>
    </w:pPr>
    <w:rPr>
      <w:rFonts w:ascii="Times New Roman" w:hAnsi="Times New Roman" w:eastAsia="宋体" w:cs="Times New Roman"/>
      <w:kern w:val="2"/>
      <w:sz w:val="24"/>
      <w:szCs w:val="24"/>
      <w:lang w:val="en-US" w:eastAsia="zh-CN" w:bidi="ar-SA"/>
    </w:rPr>
  </w:style>
  <w:style w:type="paragraph" w:customStyle="1" w:styleId="63">
    <w:name w:val="样式12"/>
    <w:basedOn w:val="1"/>
    <w:qFormat/>
    <w:uiPriority w:val="0"/>
    <w:pPr>
      <w:jc w:val="center"/>
    </w:pPr>
    <w:rPr>
      <w:szCs w:val="21"/>
    </w:rPr>
  </w:style>
  <w:style w:type="paragraph" w:customStyle="1" w:styleId="64">
    <w:name w:val="图表标题"/>
    <w:basedOn w:val="1"/>
    <w:next w:val="1"/>
    <w:qFormat/>
    <w:uiPriority w:val="0"/>
    <w:pPr>
      <w:jc w:val="center"/>
    </w:pPr>
    <w:rPr>
      <w:b/>
      <w:sz w:val="24"/>
    </w:rPr>
  </w:style>
  <w:style w:type="paragraph" w:customStyle="1" w:styleId="65">
    <w:name w:val="正文 + 仿宋_GB2312"/>
    <w:basedOn w:val="1"/>
    <w:qFormat/>
    <w:uiPriority w:val="99"/>
    <w:pPr>
      <w:ind w:firstLine="480" w:firstLineChars="200"/>
    </w:pPr>
    <w:rPr>
      <w:rFonts w:ascii="仿宋_GB2312" w:hAnsi="Calibri" w:eastAsia="仿宋_GB2312"/>
      <w:sz w:val="24"/>
      <w:szCs w:val="22"/>
    </w:rPr>
  </w:style>
  <w:style w:type="paragraph" w:customStyle="1" w:styleId="66">
    <w:name w:val="正式文本"/>
    <w:basedOn w:val="1"/>
    <w:qFormat/>
    <w:uiPriority w:val="0"/>
    <w:pPr>
      <w:adjustRightInd w:val="0"/>
      <w:snapToGrid w:val="0"/>
      <w:spacing w:line="360" w:lineRule="auto"/>
      <w:ind w:firstLine="420" w:firstLineChars="200"/>
      <w:jc w:val="left"/>
    </w:pPr>
    <w:rPr>
      <w:bCs/>
      <w:szCs w:val="21"/>
    </w:rPr>
  </w:style>
  <w:style w:type="paragraph" w:customStyle="1" w:styleId="67">
    <w:name w:val="表格正文"/>
    <w:basedOn w:val="1"/>
    <w:qFormat/>
    <w:uiPriority w:val="0"/>
    <w:pPr>
      <w:adjustRightInd w:val="0"/>
      <w:spacing w:line="460" w:lineRule="exact"/>
      <w:ind w:firstLine="200" w:firstLineChars="200"/>
      <w:jc w:val="left"/>
      <w:textAlignment w:val="baseline"/>
    </w:pPr>
    <w:rPr>
      <w:kern w:val="0"/>
      <w:sz w:val="24"/>
      <w:szCs w:val="20"/>
    </w:rPr>
  </w:style>
  <w:style w:type="character" w:customStyle="1" w:styleId="68">
    <w:name w:val="fontstyle11"/>
    <w:qFormat/>
    <w:uiPriority w:val="0"/>
    <w:rPr>
      <w:rFonts w:hint="default" w:ascii="Times New Roman" w:hAnsi="Times New Roman" w:cs="Times New Roman"/>
      <w:b/>
      <w:color w:val="000000"/>
      <w:sz w:val="22"/>
      <w:szCs w:val="22"/>
    </w:rPr>
  </w:style>
  <w:style w:type="character" w:styleId="69">
    <w:name w:val="Placeholder Text"/>
    <w:basedOn w:val="25"/>
    <w:unhideWhenUsed/>
    <w:qFormat/>
    <w:uiPriority w:val="99"/>
    <w:rPr>
      <w:color w:val="808080"/>
    </w:rPr>
  </w:style>
  <w:style w:type="character" w:customStyle="1" w:styleId="70">
    <w:name w:val="bjh-p"/>
    <w:basedOn w:val="25"/>
    <w:qFormat/>
    <w:uiPriority w:val="0"/>
  </w:style>
  <w:style w:type="paragraph" w:customStyle="1" w:styleId="71">
    <w:name w:val="1正文段落"/>
    <w:basedOn w:val="1"/>
    <w:qFormat/>
    <w:uiPriority w:val="0"/>
    <w:pPr>
      <w:spacing w:line="360" w:lineRule="auto"/>
      <w:ind w:firstLine="480" w:firstLineChars="200"/>
      <w:jc w:val="left"/>
    </w:pPr>
    <w:rPr>
      <w:kern w:val="0"/>
      <w:sz w:val="24"/>
      <w:szCs w:val="22"/>
    </w:rPr>
  </w:style>
  <w:style w:type="paragraph" w:customStyle="1" w:styleId="72">
    <w:name w:val="表格内容自定"/>
    <w:basedOn w:val="1"/>
    <w:qFormat/>
    <w:uiPriority w:val="0"/>
    <w:pPr>
      <w:spacing w:line="280" w:lineRule="exact"/>
      <w:jc w:val="center"/>
    </w:pPr>
    <w:rPr>
      <w:rFonts w:ascii="宋体" w:hAnsi="宋体" w:cs="宋体"/>
      <w:sz w:val="18"/>
      <w:szCs w:val="21"/>
    </w:rPr>
  </w:style>
  <w:style w:type="paragraph" w:customStyle="1" w:styleId="73">
    <w:name w:val="正文 首行缩进:  2 字符"/>
    <w:qFormat/>
    <w:uiPriority w:val="0"/>
    <w:pPr>
      <w:widowControl w:val="0"/>
      <w:spacing w:beforeLines="50" w:line="360" w:lineRule="auto"/>
      <w:ind w:firstLine="420" w:firstLineChars="200"/>
      <w:jc w:val="both"/>
    </w:pPr>
    <w:rPr>
      <w:rFonts w:ascii="宋体" w:hAnsi="宋体" w:eastAsia="宋体" w:cs="Times New Roman"/>
      <w:color w:val="000000"/>
      <w:kern w:val="2"/>
      <w:sz w:val="21"/>
      <w:szCs w:val="24"/>
      <w:lang w:val="en-US" w:eastAsia="zh-CN" w:bidi="ar-SA"/>
    </w:rPr>
  </w:style>
  <w:style w:type="character" w:customStyle="1" w:styleId="74">
    <w:name w:val="文档结构图 Char"/>
    <w:basedOn w:val="25"/>
    <w:link w:val="7"/>
    <w:qFormat/>
    <w:uiPriority w:val="0"/>
    <w:rPr>
      <w:rFonts w:ascii="宋体"/>
      <w:kern w:val="2"/>
      <w:sz w:val="18"/>
      <w:szCs w:val="18"/>
    </w:rPr>
  </w:style>
  <w:style w:type="paragraph" w:customStyle="1" w:styleId="75">
    <w:name w:val="Table Paragraph"/>
    <w:basedOn w:val="1"/>
    <w:next w:val="1"/>
    <w:qFormat/>
    <w:uiPriority w:val="99"/>
    <w:pPr>
      <w:autoSpaceDE w:val="0"/>
      <w:autoSpaceDN w:val="0"/>
      <w:adjustRightInd w:val="0"/>
      <w:jc w:val="left"/>
    </w:pPr>
    <w:rPr>
      <w:kern w:val="0"/>
      <w:sz w:val="24"/>
    </w:rPr>
  </w:style>
  <w:style w:type="paragraph" w:customStyle="1" w:styleId="76">
    <w:name w:val="报告表三级标题"/>
    <w:basedOn w:val="77"/>
    <w:next w:val="1"/>
    <w:qFormat/>
    <w:uiPriority w:val="0"/>
    <w:pPr>
      <w:spacing w:before="0" w:after="0" w:line="360" w:lineRule="auto"/>
    </w:pPr>
    <w:rPr>
      <w:rFonts w:eastAsia="宋体"/>
      <w:b/>
      <w:sz w:val="28"/>
    </w:rPr>
  </w:style>
  <w:style w:type="paragraph" w:customStyle="1" w:styleId="77">
    <w:name w:val="报告表二级标题"/>
    <w:basedOn w:val="78"/>
    <w:next w:val="52"/>
    <w:qFormat/>
    <w:uiPriority w:val="0"/>
    <w:pPr>
      <w:spacing w:before="156"/>
    </w:pPr>
    <w:rPr>
      <w:sz w:val="30"/>
    </w:rPr>
  </w:style>
  <w:style w:type="paragraph" w:customStyle="1" w:styleId="78">
    <w:name w:val="报告表一级标题"/>
    <w:basedOn w:val="1"/>
    <w:next w:val="52"/>
    <w:qFormat/>
    <w:uiPriority w:val="0"/>
    <w:pPr>
      <w:spacing w:after="156" w:line="240" w:lineRule="auto"/>
      <w:jc w:val="left"/>
      <w:outlineLvl w:val="0"/>
    </w:pPr>
    <w:rPr>
      <w:rFonts w:eastAsia="黑体"/>
      <w:kern w:val="1"/>
      <w:sz w:val="32"/>
    </w:rPr>
  </w:style>
  <w:style w:type="paragraph" w:customStyle="1" w:styleId="79">
    <w:name w:val="表格内容"/>
    <w:basedOn w:val="80"/>
    <w:next w:val="1"/>
    <w:autoRedefine/>
    <w:qFormat/>
    <w:uiPriority w:val="0"/>
    <w:pPr>
      <w:spacing w:line="240" w:lineRule="atLeast"/>
    </w:pPr>
    <w:rPr>
      <w:rFonts w:eastAsia="宋体"/>
      <w:sz w:val="21"/>
    </w:rPr>
  </w:style>
  <w:style w:type="paragraph" w:customStyle="1" w:styleId="80">
    <w:name w:val="表格标题"/>
    <w:basedOn w:val="18"/>
    <w:next w:val="1"/>
    <w:autoRedefine/>
    <w:qFormat/>
    <w:uiPriority w:val="0"/>
    <w:pPr>
      <w:spacing w:line="360" w:lineRule="auto"/>
      <w:jc w:val="center"/>
    </w:pPr>
    <w:rPr>
      <w:b/>
      <w:sz w:val="24"/>
      <w:szCs w:val="21"/>
    </w:rPr>
  </w:style>
  <w:style w:type="table" w:customStyle="1" w:styleId="81">
    <w:name w:val="Table Normal"/>
    <w:semiHidden/>
    <w:unhideWhenUsed/>
    <w:qFormat/>
    <w:uiPriority w:val="0"/>
    <w:tblPr>
      <w:tblCellMar>
        <w:top w:w="0" w:type="dxa"/>
        <w:left w:w="0" w:type="dxa"/>
        <w:bottom w:w="0" w:type="dxa"/>
        <w:right w:w="0" w:type="dxa"/>
      </w:tblCellMar>
    </w:tblPr>
  </w:style>
  <w:style w:type="paragraph" w:customStyle="1" w:styleId="82">
    <w:name w:val="Table Text"/>
    <w:basedOn w:val="1"/>
    <w:semiHidden/>
    <w:qFormat/>
    <w:uiPriority w:val="0"/>
    <w:rPr>
      <w:rFonts w:ascii="宋体" w:hAnsi="宋体" w:eastAsia="宋体" w:cs="宋体"/>
      <w:sz w:val="17"/>
      <w:szCs w:val="17"/>
      <w:lang w:val="en-US" w:eastAsia="en-US" w:bidi="ar-SA"/>
    </w:rPr>
  </w:style>
  <w:style w:type="paragraph" w:customStyle="1" w:styleId="83">
    <w:name w:val="胡正文"/>
    <w:basedOn w:val="1"/>
    <w:qFormat/>
    <w:uiPriority w:val="0"/>
    <w:pPr>
      <w:spacing w:line="360" w:lineRule="auto"/>
      <w:ind w:firstLine="200" w:firstLineChars="200"/>
      <w:jc w:val="left"/>
    </w:pPr>
    <w:rPr>
      <w:rFonts w:ascii="宋体" w:hAnsi="宋体"/>
      <w:sz w:val="24"/>
      <w:szCs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E4F417-241C-4F4F-AE9C-4E106542EAAE}">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67</Pages>
  <Words>9629</Words>
  <Characters>10235</Characters>
  <Lines>342</Lines>
  <Paragraphs>96</Paragraphs>
  <TotalTime>28</TotalTime>
  <ScaleCrop>false</ScaleCrop>
  <LinksUpToDate>false</LinksUpToDate>
  <CharactersWithSpaces>10346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2022-08-12T06:43:00Z</dcterms:created>
  <dc:creator>lhj</dc:creator>
  <cp:lastModifiedBy>段梦梦</cp:lastModifiedBy>
  <cp:lastPrinted>2025-10-30T07:20:00Z</cp:lastPrinted>
  <dcterms:modified xsi:type="dcterms:W3CDTF">2025-10-31T07:58:14Z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9EF526FC6C284FA3A095FB49E470056B</vt:lpwstr>
  </property>
  <property fmtid="{D5CDD505-2E9C-101B-9397-08002B2CF9AE}" pid="4" name="KSOTemplateDocerSaveRecord">
    <vt:lpwstr>eyJoZGlkIjoiYjk1MjlkOGJiYzlmYjcwMDNmOWU4YTZjMGRhODZiZmMiLCJ1c2VySWQiOiI0MjM3NjA2MjEifQ==</vt:lpwstr>
  </property>
</Properties>
</file>