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497C29">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 xml:space="preserve">宿州市埇桥区人民政府农用地转用方案公告                                                   </w:t>
      </w:r>
    </w:p>
    <w:p w14:paraId="24DFB1E3">
      <w:pPr>
        <w:spacing w:line="60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埇转用告字〔</w:t>
      </w:r>
      <w:r>
        <w:rPr>
          <w:rFonts w:hint="eastAsia" w:ascii="Times New Roman" w:hAnsi="Times New Roman" w:eastAsia="方正仿宋_GBK" w:cs="Times New Roman"/>
          <w:sz w:val="32"/>
          <w:szCs w:val="32"/>
        </w:rPr>
        <w:t>2025</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8</w:t>
      </w:r>
      <w:r>
        <w:rPr>
          <w:rFonts w:ascii="Times New Roman" w:hAnsi="Times New Roman" w:eastAsia="方正仿宋_GBK" w:cs="Times New Roman"/>
          <w:sz w:val="32"/>
          <w:szCs w:val="32"/>
        </w:rPr>
        <w:t>号</w:t>
      </w:r>
    </w:p>
    <w:p w14:paraId="41816DC6">
      <w:pPr>
        <w:spacing w:line="580" w:lineRule="exact"/>
        <w:rPr>
          <w:rFonts w:ascii="Times New Roman" w:hAnsi="Times New Roman" w:eastAsia="方正仿宋_GBK" w:cs="Times New Roman"/>
          <w:sz w:val="32"/>
          <w:szCs w:val="32"/>
        </w:rPr>
      </w:pPr>
    </w:p>
    <w:p w14:paraId="61781432">
      <w:pPr>
        <w:adjustRightInd w:val="0"/>
        <w:snapToGrid w:val="0"/>
        <w:spacing w:line="560" w:lineRule="exact"/>
        <w:ind w:firstLine="624" w:firstLineChars="200"/>
        <w:rPr>
          <w:rFonts w:ascii="Times New Roman" w:hAnsi="Times New Roman" w:eastAsia="方正仿宋_GBK" w:cs="Times New Roman"/>
          <w:spacing w:val="-4"/>
          <w:sz w:val="32"/>
          <w:szCs w:val="32"/>
        </w:rPr>
      </w:pPr>
      <w:r>
        <w:rPr>
          <w:rFonts w:ascii="Times New Roman" w:hAnsi="Times New Roman" w:eastAsia="方正仿宋_GBK" w:cs="Times New Roman"/>
          <w:spacing w:val="-4"/>
          <w:sz w:val="32"/>
          <w:szCs w:val="32"/>
        </w:rPr>
        <w:t>根据《中华人民共和国土地管理法》第四十四、五十九、六十</w:t>
      </w:r>
      <w:r>
        <w:rPr>
          <w:rFonts w:hint="eastAsia" w:ascii="Times New Roman" w:hAnsi="Times New Roman" w:eastAsia="方正仿宋_GBK" w:cs="Times New Roman"/>
          <w:spacing w:val="-4"/>
          <w:sz w:val="32"/>
          <w:szCs w:val="32"/>
        </w:rPr>
        <w:t>一</w:t>
      </w:r>
      <w:r>
        <w:rPr>
          <w:rFonts w:ascii="Times New Roman" w:hAnsi="Times New Roman" w:eastAsia="方正仿宋_GBK" w:cs="Times New Roman"/>
          <w:spacing w:val="-4"/>
          <w:sz w:val="32"/>
          <w:szCs w:val="32"/>
        </w:rPr>
        <w:t>条规定，因</w:t>
      </w:r>
      <w:r>
        <w:rPr>
          <w:rFonts w:hint="eastAsia" w:ascii="Times New Roman" w:hAnsi="Times New Roman" w:eastAsia="方正仿宋_GBK" w:cs="Times New Roman"/>
          <w:spacing w:val="-4"/>
          <w:sz w:val="32"/>
          <w:szCs w:val="32"/>
        </w:rPr>
        <w:t>宿州市动物园建设的</w:t>
      </w:r>
      <w:r>
        <w:rPr>
          <w:rFonts w:ascii="Times New Roman" w:hAnsi="Times New Roman" w:eastAsia="方正仿宋_GBK" w:cs="Times New Roman"/>
          <w:spacing w:val="-4"/>
          <w:sz w:val="32"/>
          <w:szCs w:val="32"/>
        </w:rPr>
        <w:t>需要，拟转用</w:t>
      </w:r>
      <w:r>
        <w:rPr>
          <w:rFonts w:hint="eastAsia" w:ascii="Times New Roman" w:hAnsi="Times New Roman" w:eastAsia="方正仿宋_GBK" w:cs="Times New Roman"/>
          <w:spacing w:val="-4"/>
          <w:sz w:val="32"/>
          <w:szCs w:val="32"/>
        </w:rPr>
        <w:t>朱仙庄镇塔桥村</w:t>
      </w:r>
      <w:r>
        <w:rPr>
          <w:rFonts w:ascii="Times New Roman" w:hAnsi="Times New Roman" w:eastAsia="方正仿宋_GBK" w:cs="Times New Roman"/>
          <w:spacing w:val="-4"/>
          <w:sz w:val="32"/>
          <w:szCs w:val="32"/>
        </w:rPr>
        <w:t>集体土地，现将有关情况公告如下：</w:t>
      </w:r>
    </w:p>
    <w:p w14:paraId="4E9B1250">
      <w:pPr>
        <w:autoSpaceDE w:val="0"/>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一、项目名称</w:t>
      </w:r>
    </w:p>
    <w:p w14:paraId="0436B739">
      <w:pPr>
        <w:adjustRightInd w:val="0"/>
        <w:snapToGrid w:val="0"/>
        <w:spacing w:line="560" w:lineRule="exact"/>
        <w:ind w:firstLine="624" w:firstLineChars="200"/>
        <w:rPr>
          <w:rFonts w:ascii="Times New Roman" w:hAnsi="Times New Roman" w:eastAsia="方正仿宋_GBK" w:cs="Times New Roman"/>
          <w:spacing w:val="-4"/>
          <w:sz w:val="32"/>
          <w:szCs w:val="32"/>
        </w:rPr>
      </w:pPr>
      <w:r>
        <w:rPr>
          <w:rFonts w:hint="eastAsia" w:ascii="Times New Roman" w:hAnsi="Times New Roman" w:eastAsia="方正仿宋_GBK" w:cs="Times New Roman"/>
          <w:spacing w:val="-4"/>
          <w:sz w:val="32"/>
          <w:szCs w:val="32"/>
        </w:rPr>
        <w:t>宿州市埇桥区2025年第9批次（增减挂钩）村庄建设用地（只转不征）</w:t>
      </w:r>
      <w:r>
        <w:rPr>
          <w:rFonts w:ascii="Times New Roman" w:hAnsi="Times New Roman" w:eastAsia="方正仿宋_GBK" w:cs="Times New Roman"/>
          <w:spacing w:val="-4"/>
          <w:sz w:val="32"/>
          <w:szCs w:val="32"/>
        </w:rPr>
        <w:t>。</w:t>
      </w:r>
    </w:p>
    <w:p w14:paraId="2FB78926">
      <w:pPr>
        <w:autoSpaceDE w:val="0"/>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二、</w:t>
      </w:r>
      <w:r>
        <w:rPr>
          <w:rFonts w:hint="eastAsia" w:ascii="Times New Roman" w:hAnsi="Times New Roman" w:eastAsia="方正黑体_GBK" w:cs="Times New Roman"/>
          <w:sz w:val="32"/>
          <w:szCs w:val="32"/>
        </w:rPr>
        <w:t>拟</w:t>
      </w:r>
      <w:r>
        <w:rPr>
          <w:rFonts w:ascii="Times New Roman" w:hAnsi="Times New Roman" w:eastAsia="方正黑体_GBK" w:cs="Times New Roman"/>
          <w:sz w:val="32"/>
          <w:szCs w:val="32"/>
        </w:rPr>
        <w:t>转用土地范围</w:t>
      </w:r>
    </w:p>
    <w:p w14:paraId="07148FB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位于</w:t>
      </w:r>
      <w:r>
        <w:rPr>
          <w:rFonts w:hint="eastAsia" w:ascii="Times New Roman" w:hAnsi="Times New Roman" w:eastAsia="方正仿宋_GBK" w:cs="Times New Roman"/>
          <w:spacing w:val="-4"/>
          <w:sz w:val="32"/>
          <w:szCs w:val="32"/>
        </w:rPr>
        <w:t>朱仙庄镇塔桥村</w:t>
      </w:r>
      <w:r>
        <w:rPr>
          <w:rFonts w:ascii="Times New Roman" w:hAnsi="Times New Roman" w:eastAsia="方正仿宋_GBK" w:cs="Times New Roman"/>
          <w:sz w:val="32"/>
          <w:szCs w:val="32"/>
        </w:rPr>
        <w:t>境内，东至</w:t>
      </w:r>
      <w:r>
        <w:rPr>
          <w:rFonts w:hint="eastAsia" w:ascii="Times New Roman" w:hAnsi="Times New Roman" w:eastAsia="方正仿宋_GBK" w:cs="Times New Roman"/>
          <w:spacing w:val="-4"/>
          <w:sz w:val="32"/>
          <w:szCs w:val="32"/>
        </w:rPr>
        <w:t>塔桥村</w:t>
      </w:r>
      <w:r>
        <w:rPr>
          <w:rFonts w:hint="eastAsia" w:ascii="Times New Roman" w:hAnsi="Times New Roman" w:eastAsia="方正仿宋_GBK" w:cs="Times New Roman"/>
          <w:sz w:val="32"/>
          <w:szCs w:val="32"/>
        </w:rPr>
        <w:t>耕地</w:t>
      </w:r>
      <w:r>
        <w:rPr>
          <w:rFonts w:ascii="Times New Roman" w:hAnsi="Times New Roman" w:eastAsia="方正仿宋_GBK" w:cs="Times New Roman"/>
          <w:sz w:val="32"/>
          <w:szCs w:val="32"/>
        </w:rPr>
        <w:t>，南至</w:t>
      </w:r>
      <w:r>
        <w:rPr>
          <w:rFonts w:hint="eastAsia" w:ascii="Times New Roman" w:hAnsi="Times New Roman" w:eastAsia="方正仿宋_GBK" w:cs="Times New Roman"/>
          <w:spacing w:val="-4"/>
          <w:sz w:val="32"/>
          <w:szCs w:val="32"/>
        </w:rPr>
        <w:t>塔桥村沟渠及耕地</w:t>
      </w:r>
      <w:r>
        <w:rPr>
          <w:rFonts w:ascii="Times New Roman" w:hAnsi="Times New Roman" w:eastAsia="方正仿宋_GBK" w:cs="Times New Roman"/>
          <w:sz w:val="32"/>
          <w:szCs w:val="32"/>
        </w:rPr>
        <w:t>，西至</w:t>
      </w:r>
      <w:r>
        <w:rPr>
          <w:rFonts w:hint="eastAsia" w:ascii="Times New Roman" w:hAnsi="Times New Roman" w:eastAsia="方正仿宋_GBK" w:cs="Times New Roman"/>
          <w:spacing w:val="-4"/>
          <w:sz w:val="32"/>
          <w:szCs w:val="32"/>
        </w:rPr>
        <w:t>172乡道</w:t>
      </w:r>
      <w:r>
        <w:rPr>
          <w:rFonts w:ascii="Times New Roman" w:hAnsi="Times New Roman" w:eastAsia="方正仿宋_GBK" w:cs="Times New Roman"/>
          <w:sz w:val="32"/>
          <w:szCs w:val="32"/>
        </w:rPr>
        <w:t>，北至</w:t>
      </w:r>
      <w:r>
        <w:rPr>
          <w:rFonts w:hint="eastAsia" w:ascii="Times New Roman" w:hAnsi="Times New Roman" w:eastAsia="方正仿宋_GBK" w:cs="Times New Roman"/>
          <w:sz w:val="32"/>
          <w:szCs w:val="32"/>
        </w:rPr>
        <w:t>宿州大道</w:t>
      </w:r>
      <w:r>
        <w:rPr>
          <w:rFonts w:ascii="Times New Roman" w:hAnsi="Times New Roman" w:eastAsia="方正仿宋_GBK" w:cs="Times New Roman"/>
          <w:sz w:val="32"/>
          <w:szCs w:val="32"/>
        </w:rPr>
        <w:t>。（详见勘测定界</w:t>
      </w:r>
      <w:r>
        <w:rPr>
          <w:rFonts w:hint="eastAsia" w:ascii="Times New Roman" w:hAnsi="Times New Roman" w:eastAsia="方正仿宋_GBK" w:cs="Times New Roman"/>
          <w:sz w:val="32"/>
          <w:szCs w:val="32"/>
        </w:rPr>
        <w:t>简图</w:t>
      </w:r>
      <w:r>
        <w:rPr>
          <w:rFonts w:ascii="Times New Roman" w:hAnsi="Times New Roman" w:eastAsia="方正仿宋_GBK" w:cs="Times New Roman"/>
          <w:sz w:val="32"/>
          <w:szCs w:val="32"/>
        </w:rPr>
        <w:t>）</w:t>
      </w:r>
    </w:p>
    <w:p w14:paraId="0C72D425">
      <w:pPr>
        <w:autoSpaceDE w:val="0"/>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三、</w:t>
      </w:r>
      <w:r>
        <w:rPr>
          <w:rFonts w:hint="eastAsia" w:ascii="Times New Roman" w:hAnsi="Times New Roman" w:eastAsia="方正黑体_GBK" w:cs="Times New Roman"/>
          <w:sz w:val="32"/>
          <w:szCs w:val="32"/>
        </w:rPr>
        <w:t>拟</w:t>
      </w:r>
      <w:r>
        <w:rPr>
          <w:rFonts w:ascii="Times New Roman" w:hAnsi="Times New Roman" w:eastAsia="方正黑体_GBK" w:cs="Times New Roman"/>
          <w:sz w:val="32"/>
          <w:szCs w:val="32"/>
        </w:rPr>
        <w:t>转用土地面积</w:t>
      </w:r>
    </w:p>
    <w:p w14:paraId="7DA5E2F6">
      <w:pPr>
        <w:adjustRightInd w:val="0"/>
        <w:snapToGrid w:val="0"/>
        <w:spacing w:line="560" w:lineRule="exact"/>
        <w:ind w:firstLine="624" w:firstLineChars="200"/>
        <w:rPr>
          <w:rFonts w:ascii="Times New Roman" w:hAnsi="Times New Roman" w:eastAsia="方正仿宋_GBK" w:cs="Times New Roman"/>
          <w:sz w:val="32"/>
          <w:szCs w:val="32"/>
        </w:rPr>
      </w:pPr>
      <w:r>
        <w:rPr>
          <w:rFonts w:hint="eastAsia" w:ascii="Times New Roman" w:hAnsi="Times New Roman" w:eastAsia="方正仿宋_GBK" w:cs="Times New Roman"/>
          <w:spacing w:val="-4"/>
          <w:sz w:val="32"/>
          <w:szCs w:val="32"/>
        </w:rPr>
        <w:t>宿州市埇桥区2025年第9批次（增减挂钩）村庄建设用地（只转不征）</w:t>
      </w:r>
      <w:r>
        <w:rPr>
          <w:rFonts w:ascii="Times New Roman" w:hAnsi="Times New Roman" w:eastAsia="方正仿宋_GBK" w:cs="Times New Roman"/>
          <w:sz w:val="32"/>
          <w:szCs w:val="32"/>
        </w:rPr>
        <w:t>共涉及</w:t>
      </w:r>
      <w:r>
        <w:rPr>
          <w:rFonts w:hint="eastAsia" w:ascii="Times New Roman" w:hAnsi="Times New Roman" w:eastAsia="方正仿宋_GBK" w:cs="Times New Roman"/>
          <w:sz w:val="32"/>
          <w:szCs w:val="32"/>
        </w:rPr>
        <w:t>1</w:t>
      </w:r>
      <w:r>
        <w:rPr>
          <w:rFonts w:ascii="Times New Roman" w:hAnsi="Times New Roman" w:eastAsia="方正仿宋_GBK" w:cs="Times New Roman"/>
          <w:sz w:val="32"/>
          <w:szCs w:val="32"/>
        </w:rPr>
        <w:t>个地块，位于</w:t>
      </w:r>
      <w:r>
        <w:rPr>
          <w:rFonts w:hint="eastAsia" w:ascii="Times New Roman" w:hAnsi="Times New Roman" w:eastAsia="方正仿宋_GBK" w:cs="Times New Roman"/>
          <w:spacing w:val="-4"/>
          <w:sz w:val="32"/>
          <w:szCs w:val="32"/>
        </w:rPr>
        <w:t>朱仙庄镇塔桥村</w:t>
      </w:r>
      <w:r>
        <w:rPr>
          <w:rFonts w:ascii="Times New Roman" w:hAnsi="Times New Roman" w:eastAsia="方正仿宋_GBK" w:cs="Times New Roman"/>
          <w:sz w:val="32"/>
          <w:szCs w:val="32"/>
        </w:rPr>
        <w:t>境内，总面积</w:t>
      </w:r>
      <w:r>
        <w:rPr>
          <w:rFonts w:hint="eastAsia" w:ascii="Times New Roman" w:hAnsi="Times New Roman" w:eastAsia="方正仿宋_GBK" w:cs="Times New Roman"/>
          <w:sz w:val="32"/>
          <w:szCs w:val="32"/>
        </w:rPr>
        <w:t>34.8855</w:t>
      </w:r>
      <w:r>
        <w:rPr>
          <w:rFonts w:ascii="Times New Roman" w:hAnsi="Times New Roman" w:eastAsia="方正仿宋_GBK" w:cs="Times New Roman"/>
          <w:sz w:val="32"/>
          <w:szCs w:val="32"/>
        </w:rPr>
        <w:t>公顷，其中农用地</w:t>
      </w:r>
      <w:r>
        <w:rPr>
          <w:rFonts w:hint="eastAsia" w:ascii="Times New Roman" w:hAnsi="Times New Roman" w:eastAsia="方正仿宋_GBK" w:cs="Times New Roman"/>
          <w:sz w:val="32"/>
          <w:szCs w:val="32"/>
        </w:rPr>
        <w:t>34.8854</w:t>
      </w:r>
      <w:r>
        <w:rPr>
          <w:rFonts w:ascii="Times New Roman" w:hAnsi="Times New Roman" w:eastAsia="方正仿宋_GBK" w:cs="Times New Roman"/>
          <w:sz w:val="32"/>
          <w:szCs w:val="32"/>
        </w:rPr>
        <w:t>公顷（含耕地</w:t>
      </w:r>
      <w:r>
        <w:rPr>
          <w:rFonts w:hint="eastAsia" w:ascii="Times New Roman" w:hAnsi="Times New Roman" w:eastAsia="方正仿宋_GBK" w:cs="Times New Roman"/>
          <w:sz w:val="32"/>
          <w:szCs w:val="32"/>
        </w:rPr>
        <w:t>6.6407</w:t>
      </w:r>
      <w:r>
        <w:rPr>
          <w:rFonts w:ascii="Times New Roman" w:hAnsi="Times New Roman" w:eastAsia="方正仿宋_GBK" w:cs="Times New Roman"/>
          <w:sz w:val="32"/>
          <w:szCs w:val="32"/>
        </w:rPr>
        <w:t>公顷）</w:t>
      </w:r>
      <w:r>
        <w:rPr>
          <w:rFonts w:hint="eastAsia" w:ascii="Times New Roman" w:hAnsi="Times New Roman" w:eastAsia="方正仿宋_GBK" w:cs="Times New Roman"/>
          <w:sz w:val="32"/>
          <w:szCs w:val="32"/>
        </w:rPr>
        <w:t>，未利用地0.0001公顷</w:t>
      </w:r>
      <w:r>
        <w:rPr>
          <w:rFonts w:ascii="Times New Roman" w:hAnsi="Times New Roman" w:eastAsia="方正仿宋_GBK" w:cs="Times New Roman"/>
          <w:sz w:val="32"/>
          <w:szCs w:val="32"/>
        </w:rPr>
        <w:t>。</w:t>
      </w:r>
    </w:p>
    <w:p w14:paraId="4BF978DA">
      <w:pPr>
        <w:spacing w:line="540" w:lineRule="exact"/>
        <w:ind w:firstLine="640" w:firstLineChars="200"/>
        <w:rPr>
          <w:rFonts w:eastAsia="方正仿宋_GBK"/>
          <w:sz w:val="32"/>
          <w:szCs w:val="32"/>
        </w:rPr>
      </w:pPr>
      <w:bookmarkStart w:id="0" w:name="OLE_LINK2"/>
      <w:bookmarkStart w:id="1" w:name="OLE_LINK1"/>
      <w:r>
        <w:rPr>
          <w:rFonts w:hint="eastAsia" w:ascii="Times New Roman" w:hAnsi="Times New Roman" w:eastAsia="方正仿宋_GBK" w:cs="Times New Roman"/>
          <w:sz w:val="32"/>
          <w:szCs w:val="32"/>
        </w:rPr>
        <w:t>被转用土地实际范围和面积及地类</w:t>
      </w:r>
      <w:r>
        <w:rPr>
          <w:rFonts w:hint="eastAsia" w:eastAsia="方正仿宋_GBK"/>
          <w:sz w:val="32"/>
          <w:szCs w:val="32"/>
        </w:rPr>
        <w:t>以最终批准文件为准。</w:t>
      </w:r>
      <w:bookmarkEnd w:id="0"/>
      <w:bookmarkEnd w:id="1"/>
    </w:p>
    <w:p w14:paraId="2EAD5B0F">
      <w:pPr>
        <w:autoSpaceDE w:val="0"/>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四、补偿标准</w:t>
      </w:r>
    </w:p>
    <w:p w14:paraId="6D15AC93">
      <w:pPr>
        <w:autoSpaceDE w:val="0"/>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（一）土地补偿标准</w:t>
      </w:r>
    </w:p>
    <w:p w14:paraId="1CB8B2AE">
      <w:pPr>
        <w:adjustRightInd w:val="0"/>
        <w:snapToGrid w:val="0"/>
        <w:spacing w:line="560" w:lineRule="exact"/>
        <w:ind w:firstLine="592" w:firstLineChars="200"/>
        <w:rPr>
          <w:rFonts w:ascii="Times New Roman" w:hAnsi="Times New Roman" w:eastAsia="方正仿宋_GBK" w:cs="Times New Roman"/>
          <w:sz w:val="32"/>
          <w:szCs w:val="32"/>
        </w:rPr>
      </w:pPr>
      <w:r>
        <w:rPr>
          <w:rFonts w:ascii="Times New Roman" w:hAnsi="Times New Roman" w:eastAsia="方正仿宋_GBK" w:cs="Times New Roman"/>
          <w:spacing w:val="-12"/>
          <w:sz w:val="32"/>
          <w:szCs w:val="32"/>
        </w:rPr>
        <w:t>土地补偿</w:t>
      </w:r>
      <w:r>
        <w:rPr>
          <w:rFonts w:hint="eastAsia" w:ascii="Times New Roman" w:hAnsi="Times New Roman" w:eastAsia="方正仿宋_GBK" w:cs="Times New Roman"/>
          <w:spacing w:val="-12"/>
          <w:sz w:val="32"/>
          <w:szCs w:val="32"/>
        </w:rPr>
        <w:t>标准</w:t>
      </w:r>
      <w:r>
        <w:rPr>
          <w:rFonts w:ascii="Times New Roman" w:hAnsi="Times New Roman" w:eastAsia="方正仿宋_GBK" w:cs="Times New Roman"/>
          <w:spacing w:val="-12"/>
          <w:sz w:val="32"/>
          <w:szCs w:val="32"/>
        </w:rPr>
        <w:t>参照</w:t>
      </w:r>
      <w:r>
        <w:rPr>
          <w:rFonts w:ascii="Times New Roman" w:hAnsi="Times New Roman" w:eastAsia="方正仿宋_GBK" w:cs="Times New Roman"/>
          <w:sz w:val="32"/>
          <w:szCs w:val="32"/>
        </w:rPr>
        <w:t>《</w:t>
      </w:r>
      <w:r>
        <w:rPr>
          <w:rFonts w:eastAsia="方正仿宋_GBK"/>
          <w:spacing w:val="8"/>
          <w:sz w:val="32"/>
          <w:szCs w:val="32"/>
        </w:rPr>
        <w:t>安徽省实施&lt;中华人民共和国土地管理法&gt;办法</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及</w:t>
      </w:r>
      <w:r>
        <w:rPr>
          <w:rFonts w:ascii="Times New Roman" w:hAnsi="Times New Roman" w:eastAsia="方正仿宋_GBK" w:cs="Times New Roman"/>
          <w:sz w:val="32"/>
          <w:szCs w:val="32"/>
        </w:rPr>
        <w:t>《安徽省人民政府关于公布全省征地区片综合地价标准的通知》（皖政〔202</w:t>
      </w: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6</w:t>
      </w:r>
      <w:r>
        <w:rPr>
          <w:rFonts w:ascii="Times New Roman" w:hAnsi="Times New Roman" w:eastAsia="方正仿宋_GBK" w:cs="Times New Roman"/>
          <w:sz w:val="32"/>
          <w:szCs w:val="32"/>
        </w:rPr>
        <w:t>2号）文件规定，</w:t>
      </w:r>
      <w:r>
        <w:rPr>
          <w:rFonts w:hint="eastAsia" w:ascii="Times New Roman" w:hAnsi="Times New Roman" w:eastAsia="方正仿宋_GBK" w:cs="Times New Roman"/>
          <w:spacing w:val="-4"/>
          <w:sz w:val="32"/>
          <w:szCs w:val="32"/>
        </w:rPr>
        <w:t>朱仙庄镇</w:t>
      </w:r>
      <w:r>
        <w:rPr>
          <w:rFonts w:ascii="Times New Roman" w:hAnsi="Times New Roman" w:eastAsia="方正仿宋_GBK" w:cs="Times New Roman"/>
          <w:sz w:val="32"/>
          <w:szCs w:val="32"/>
        </w:rPr>
        <w:t>补偿标准为</w:t>
      </w:r>
      <w:r>
        <w:rPr>
          <w:rFonts w:hint="eastAsia" w:ascii="Times New Roman" w:hAnsi="Times New Roman" w:eastAsia="方正仿宋_GBK" w:cs="Times New Roman"/>
          <w:sz w:val="32"/>
          <w:szCs w:val="32"/>
        </w:rPr>
        <w:t>51620</w:t>
      </w:r>
      <w:r>
        <w:rPr>
          <w:rFonts w:ascii="Times New Roman" w:hAnsi="Times New Roman" w:eastAsia="方正仿宋_GBK" w:cs="Times New Roman"/>
          <w:sz w:val="32"/>
          <w:szCs w:val="32"/>
        </w:rPr>
        <w:t>元/亩。</w:t>
      </w:r>
    </w:p>
    <w:p w14:paraId="026BDBCE">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（二）青苗和地上附着物补偿标准</w:t>
      </w:r>
    </w:p>
    <w:p w14:paraId="0BEB2C1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青苗和地上附着物补偿参照《宿州市人民政府关于调整宿州市被征土地青苗及地上附着物补偿标准的通知》（宿政秘〔2020〕50号）文件据实补偿。</w:t>
      </w:r>
    </w:p>
    <w:p w14:paraId="3B53196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被转用土地实际补偿标准以政府依法批准为准。</w:t>
      </w:r>
    </w:p>
    <w:p w14:paraId="6B4B3E6A">
      <w:pPr>
        <w:autoSpaceDE w:val="0"/>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五、</w:t>
      </w:r>
      <w:r>
        <w:rPr>
          <w:rFonts w:ascii="Times New Roman" w:hAnsi="Times New Roman" w:eastAsia="方正仿宋_GBK" w:cs="Times New Roman"/>
          <w:sz w:val="32"/>
          <w:szCs w:val="32"/>
        </w:rPr>
        <w:t>自本公告发布之日起，在拟转用土地上抢建、抢栽、抢种的一律不予办理补偿登记。</w:t>
      </w:r>
    </w:p>
    <w:p w14:paraId="7EBA2139">
      <w:pPr>
        <w:adjustRightInd w:val="0"/>
        <w:snapToGrid w:val="0"/>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黑体_GBK" w:cs="Times New Roman"/>
          <w:sz w:val="32"/>
          <w:szCs w:val="32"/>
        </w:rPr>
        <w:t>六</w:t>
      </w:r>
      <w:r>
        <w:rPr>
          <w:rFonts w:ascii="Times New Roman" w:hAnsi="Times New Roman" w:eastAsia="方正黑体_GBK" w:cs="Times New Roman"/>
          <w:sz w:val="32"/>
          <w:szCs w:val="32"/>
        </w:rPr>
        <w:t>、</w:t>
      </w:r>
      <w:r>
        <w:rPr>
          <w:rFonts w:ascii="Times New Roman" w:hAnsi="Times New Roman" w:eastAsia="方正仿宋_GBK" w:cs="Times New Roman"/>
          <w:sz w:val="32"/>
          <w:szCs w:val="32"/>
        </w:rPr>
        <w:t>本公告发布后，如因相关政策调整，埇桥区人民政府将根据需要发布补充公告。被转用土地农村集体经济组织和农户对本方案有不同意见的，可在5个工作日内书面申请听证，逾期视为放弃听证。</w:t>
      </w:r>
    </w:p>
    <w:p w14:paraId="5C8951AD">
      <w:pPr>
        <w:adjustRightInd w:val="0"/>
        <w:snapToGrid w:val="0"/>
        <w:spacing w:line="560" w:lineRule="exact"/>
        <w:ind w:firstLine="646"/>
        <w:rPr>
          <w:rFonts w:ascii="Times New Roman" w:hAnsi="Times New Roman" w:eastAsia="方正仿宋_GBK" w:cs="Times New Roman"/>
          <w:spacing w:val="8"/>
          <w:sz w:val="32"/>
          <w:szCs w:val="32"/>
        </w:rPr>
      </w:pPr>
      <w:r>
        <w:rPr>
          <w:rFonts w:ascii="Times New Roman" w:hAnsi="Times New Roman" w:eastAsia="方正仿宋_GBK" w:cs="Times New Roman"/>
          <w:spacing w:val="8"/>
          <w:sz w:val="32"/>
          <w:szCs w:val="32"/>
        </w:rPr>
        <w:t>特此公告。</w:t>
      </w:r>
    </w:p>
    <w:p w14:paraId="0437BF51">
      <w:pPr>
        <w:adjustRightInd w:val="0"/>
        <w:snapToGrid w:val="0"/>
        <w:spacing w:line="560" w:lineRule="exact"/>
        <w:ind w:firstLine="640" w:firstLineChars="200"/>
        <w:rPr>
          <w:rFonts w:ascii="Times New Roman" w:hAnsi="Times New Roman" w:eastAsia="方正仿宋_GBK" w:cs="Times New Roman"/>
          <w:sz w:val="32"/>
          <w:szCs w:val="32"/>
        </w:rPr>
      </w:pPr>
    </w:p>
    <w:p w14:paraId="4C5BB90A">
      <w:pPr>
        <w:adjustRightInd w:val="0"/>
        <w:snapToGrid w:val="0"/>
        <w:spacing w:line="560" w:lineRule="exact"/>
        <w:ind w:firstLine="640" w:firstLineChars="200"/>
        <w:rPr>
          <w:rFonts w:ascii="Times New Roman" w:hAnsi="Times New Roman" w:eastAsia="方正仿宋_GBK" w:cs="Times New Roman"/>
          <w:sz w:val="32"/>
          <w:szCs w:val="32"/>
        </w:rPr>
      </w:pPr>
    </w:p>
    <w:p w14:paraId="31A3DCFD">
      <w:pPr>
        <w:adjustRightInd w:val="0"/>
        <w:snapToGrid w:val="0"/>
        <w:spacing w:line="560" w:lineRule="exact"/>
        <w:ind w:firstLine="640" w:firstLineChars="200"/>
        <w:rPr>
          <w:rFonts w:ascii="Times New Roman" w:hAnsi="Times New Roman" w:eastAsia="方正仿宋_GBK" w:cs="Times New Roman"/>
          <w:sz w:val="32"/>
          <w:szCs w:val="32"/>
        </w:rPr>
      </w:pPr>
    </w:p>
    <w:p w14:paraId="648AADB4">
      <w:pPr>
        <w:adjustRightInd w:val="0"/>
        <w:snapToGrid w:val="0"/>
        <w:spacing w:line="560" w:lineRule="exact"/>
        <w:ind w:firstLine="5120" w:firstLineChars="1600"/>
        <w:rPr>
          <w:rFonts w:ascii="Times New Roman" w:hAnsi="Times New Roman" w:cs="Times New Roman"/>
        </w:rPr>
      </w:pPr>
      <w:r>
        <w:rPr>
          <w:rFonts w:ascii="Times New Roman" w:hAnsi="Times New Roman" w:eastAsia="方正仿宋_GBK" w:cs="Times New Roman"/>
          <w:sz w:val="32"/>
          <w:szCs w:val="32"/>
        </w:rPr>
        <w:t>202</w:t>
      </w:r>
      <w:r>
        <w:rPr>
          <w:rFonts w:hint="eastAsia" w:ascii="Times New Roman" w:hAnsi="Times New Roman" w:eastAsia="方正仿宋_GBK" w:cs="Times New Roman"/>
          <w:sz w:val="32"/>
          <w:szCs w:val="32"/>
        </w:rPr>
        <w:t>5</w:t>
      </w:r>
      <w:r>
        <w:rPr>
          <w:rFonts w:ascii="Times New Roman" w:hAnsi="Times New Roman" w:eastAsia="方正仿宋_GBK" w:cs="Times New Roman"/>
          <w:sz w:val="32"/>
          <w:szCs w:val="32"/>
        </w:rPr>
        <w:t>年</w:t>
      </w:r>
      <w:r>
        <w:rPr>
          <w:rFonts w:hint="eastAsia" w:ascii="Times New Roman" w:hAnsi="Times New Roman" w:eastAsia="方正仿宋_GBK" w:cs="Times New Roman"/>
          <w:sz w:val="32"/>
          <w:szCs w:val="32"/>
        </w:rPr>
        <w:t>11</w:t>
      </w:r>
      <w:r>
        <w:rPr>
          <w:rFonts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14</w:t>
      </w:r>
      <w:r>
        <w:rPr>
          <w:rFonts w:ascii="Times New Roman" w:hAnsi="Times New Roman" w:eastAsia="方正仿宋_GBK" w:cs="Times New Roman"/>
          <w:sz w:val="32"/>
          <w:szCs w:val="32"/>
        </w:rPr>
        <w:t>日</w:t>
      </w:r>
    </w:p>
    <w:p w14:paraId="05729467">
      <w:pPr>
        <w:adjustRightInd w:val="0"/>
        <w:snapToGrid w:val="0"/>
        <w:spacing w:line="560" w:lineRule="exact"/>
        <w:ind w:firstLine="646"/>
        <w:rPr>
          <w:rFonts w:ascii="Times New Roman" w:hAnsi="Times New Roman" w:eastAsia="方正仿宋_GBK" w:cs="Times New Roman"/>
          <w:spacing w:val="8"/>
          <w:sz w:val="32"/>
          <w:szCs w:val="32"/>
        </w:rPr>
      </w:pPr>
      <w:r>
        <w:rPr>
          <w:rFonts w:ascii="Times New Roman" w:hAnsi="Times New Roman" w:eastAsia="方正仿宋_GBK" w:cs="Times New Roman"/>
          <w:spacing w:val="8"/>
          <w:sz w:val="32"/>
          <w:szCs w:val="32"/>
        </w:rPr>
        <w:t>（联系单位：埇桥区自然资源和规划局；联系电话：0557-3681172）</w:t>
      </w:r>
    </w:p>
    <w:p w14:paraId="0290A459">
      <w:pPr>
        <w:rPr>
          <w:rFonts w:ascii="Times New Roman" w:hAnsi="Times New Roman" w:cs="Times New Roman"/>
        </w:rPr>
      </w:pPr>
    </w:p>
    <w:p w14:paraId="3C6F5F4C">
      <w:pPr>
        <w:rPr>
          <w:rFonts w:ascii="Times New Roman" w:hAnsi="Times New Roman" w:cs="Times New Roman"/>
        </w:rPr>
      </w:pPr>
    </w:p>
    <w:p w14:paraId="5B48E383">
      <w:pPr>
        <w:rPr>
          <w:rFonts w:ascii="Times New Roman" w:hAnsi="Times New Roman" w:cs="Times New Roman"/>
        </w:rPr>
      </w:pPr>
    </w:p>
    <w:p w14:paraId="5C3D7CA1">
      <w:pPr>
        <w:rPr>
          <w:rFonts w:ascii="Times New Roman" w:hAnsi="Times New Roman" w:cs="Times New Roman"/>
        </w:rPr>
      </w:pPr>
    </w:p>
    <w:p w14:paraId="5DC2AFF6">
      <w:pPr>
        <w:rPr>
          <w:rFonts w:ascii="Times New Roman" w:hAnsi="Times New Roman" w:cs="Times New Roman"/>
        </w:rPr>
      </w:pPr>
    </w:p>
    <w:p w14:paraId="3B25B485">
      <w:pPr>
        <w:rPr>
          <w:rFonts w:ascii="Times New Roman" w:hAnsi="Times New Roman" w:cs="Times New Roman"/>
        </w:rPr>
      </w:pPr>
    </w:p>
    <w:p w14:paraId="5C1419B4">
      <w:pPr>
        <w:rPr>
          <w:rFonts w:ascii="Times New Roman" w:hAnsi="Times New Roman" w:cs="Times New Roman"/>
        </w:rPr>
      </w:pPr>
    </w:p>
    <w:p w14:paraId="011E5CC7">
      <w:pPr>
        <w:rPr>
          <w:rFonts w:ascii="Times New Roman" w:hAnsi="Times New Roman" w:cs="Times New Roman"/>
        </w:rPr>
      </w:pPr>
    </w:p>
    <w:p w14:paraId="3F7D6936">
      <w:pPr>
        <w:rPr>
          <w:rFonts w:ascii="Times New Roman" w:hAnsi="Times New Roman" w:cs="Times New Roman"/>
        </w:rPr>
      </w:pPr>
    </w:p>
    <w:p w14:paraId="2E8A4CE9">
      <w:pPr>
        <w:rPr>
          <w:rFonts w:ascii="Times New Roman" w:hAnsi="Times New Roman" w:cs="Times New Roman"/>
        </w:rPr>
      </w:pPr>
      <w:r>
        <w:drawing>
          <wp:inline distT="0" distB="0" distL="114300" distR="114300">
            <wp:extent cx="5682615" cy="3985895"/>
            <wp:effectExtent l="0" t="0" r="13335" b="146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682615" cy="3985895"/>
                    </a:xfrm>
                    <a:prstGeom prst="rect">
                      <a:avLst/>
                    </a:prstGeom>
                    <a:noFill/>
                    <a:ln>
                      <a:noFill/>
                    </a:ln>
                  </pic:spPr>
                </pic:pic>
              </a:graphicData>
            </a:graphic>
          </wp:inline>
        </w:drawing>
      </w:r>
      <w:bookmarkStart w:id="2" w:name="_GoBack"/>
      <w:bookmarkEnd w:id="2"/>
    </w:p>
    <w:sectPr>
      <w:pgSz w:w="11906" w:h="16838"/>
      <w:pgMar w:top="1984" w:right="1474" w:bottom="1417" w:left="147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lMWQ0YzNlYjg0ZWY0MTE3NzVkOTdiYzA5YmVmMDYifQ=="/>
  </w:docVars>
  <w:rsids>
    <w:rsidRoot w:val="00E50BD9"/>
    <w:rsid w:val="00135C0D"/>
    <w:rsid w:val="00243CB1"/>
    <w:rsid w:val="003121F9"/>
    <w:rsid w:val="00452B5E"/>
    <w:rsid w:val="0045781E"/>
    <w:rsid w:val="004A104E"/>
    <w:rsid w:val="00741A72"/>
    <w:rsid w:val="00745EC3"/>
    <w:rsid w:val="00862D46"/>
    <w:rsid w:val="008A3016"/>
    <w:rsid w:val="00940310"/>
    <w:rsid w:val="00CB7E87"/>
    <w:rsid w:val="00E50BD9"/>
    <w:rsid w:val="05B7374B"/>
    <w:rsid w:val="060046E6"/>
    <w:rsid w:val="0B9136D7"/>
    <w:rsid w:val="11320C16"/>
    <w:rsid w:val="16E236D1"/>
    <w:rsid w:val="174775EC"/>
    <w:rsid w:val="1E615196"/>
    <w:rsid w:val="2149747B"/>
    <w:rsid w:val="249A09DF"/>
    <w:rsid w:val="2BB20F3B"/>
    <w:rsid w:val="2C6708DE"/>
    <w:rsid w:val="2F407445"/>
    <w:rsid w:val="31A817C9"/>
    <w:rsid w:val="33D957D8"/>
    <w:rsid w:val="3E3224B7"/>
    <w:rsid w:val="3E770378"/>
    <w:rsid w:val="465E41EF"/>
    <w:rsid w:val="498C0A0C"/>
    <w:rsid w:val="4EB1096F"/>
    <w:rsid w:val="5384465E"/>
    <w:rsid w:val="54927D90"/>
    <w:rsid w:val="57CC3801"/>
    <w:rsid w:val="5C0228BE"/>
    <w:rsid w:val="63C01311"/>
    <w:rsid w:val="66D77C3E"/>
    <w:rsid w:val="68C75A05"/>
    <w:rsid w:val="70587AF1"/>
    <w:rsid w:val="76B53F2C"/>
    <w:rsid w:val="7D441C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qFormat/>
    <w:uiPriority w:val="99"/>
    <w:rPr>
      <w:sz w:val="18"/>
      <w:szCs w:val="18"/>
    </w:rPr>
  </w:style>
  <w:style w:type="character" w:customStyle="1" w:styleId="8">
    <w:name w:val="页眉 Char"/>
    <w:basedOn w:val="6"/>
    <w:link w:val="4"/>
    <w:qFormat/>
    <w:uiPriority w:val="99"/>
    <w:rPr>
      <w:kern w:val="2"/>
      <w:sz w:val="18"/>
      <w:szCs w:val="18"/>
    </w:rPr>
  </w:style>
  <w:style w:type="character" w:customStyle="1" w:styleId="9">
    <w:name w:val="页脚 Char"/>
    <w:basedOn w:val="6"/>
    <w:link w:val="3"/>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682</Words>
  <Characters>743</Characters>
  <Lines>5</Lines>
  <Paragraphs>1</Paragraphs>
  <TotalTime>6</TotalTime>
  <ScaleCrop>false</ScaleCrop>
  <LinksUpToDate>false</LinksUpToDate>
  <CharactersWithSpaces>794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2023-09-21T09:00:00Z</dcterms:created>
  <dc:creator>lenovo</dc:creator>
  <cp:lastModifiedBy>一路走来</cp:lastModifiedBy>
  <cp:lastPrinted>2025-11-14T02:13:00Z</cp:lastPrinted>
  <dcterms:modified xsi:type="dcterms:W3CDTF">2025-11-18T07:14:29Z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9ACACFA3A0F249F4B360551FEE1BAC17_12</vt:lpwstr>
  </property>
  <property fmtid="{D5CDD505-2E9C-101B-9397-08002B2CF9AE}" pid="4" name="KSOTemplateDocerSaveRecord">
    <vt:lpwstr>eyJoZGlkIjoiZTQxMmJjNTFkMTA4MThiYzg4NWIwODIwNWZlYzZlZDIiLCJ1c2VySWQiOiIyMDQ3OTgyMzkifQ==</vt:lpwstr>
  </property>
</Properties>
</file>