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7B96FD">
      <w:pPr>
        <w:adjustRightInd w:val="0"/>
        <w:snapToGrid w:val="0"/>
        <w:jc w:val="center"/>
        <w:rPr>
          <w:bCs/>
          <w:color w:val="auto"/>
          <w:sz w:val="72"/>
          <w:szCs w:val="72"/>
        </w:rPr>
      </w:pPr>
    </w:p>
    <w:p w14:paraId="135C2042">
      <w:pPr>
        <w:adjustRightInd w:val="0"/>
        <w:snapToGrid w:val="0"/>
        <w:jc w:val="center"/>
        <w:rPr>
          <w:bCs/>
          <w:color w:val="auto"/>
          <w:sz w:val="72"/>
          <w:szCs w:val="72"/>
        </w:rPr>
      </w:pPr>
    </w:p>
    <w:p w14:paraId="504E4E3B">
      <w:pPr>
        <w:adjustRightInd w:val="0"/>
        <w:snapToGrid w:val="0"/>
        <w:jc w:val="center"/>
        <w:outlineLvl w:val="0"/>
        <w:rPr>
          <w:bCs/>
          <w:color w:val="auto"/>
          <w:sz w:val="72"/>
          <w:szCs w:val="72"/>
        </w:rPr>
      </w:pPr>
      <w:r>
        <w:rPr>
          <w:bCs/>
          <w:color w:val="auto"/>
          <w:sz w:val="72"/>
          <w:szCs w:val="72"/>
        </w:rPr>
        <w:t>建设项目环境影响报告表</w:t>
      </w:r>
    </w:p>
    <w:p w14:paraId="671C077F">
      <w:pPr>
        <w:pStyle w:val="11"/>
        <w:rPr>
          <w:color w:val="auto"/>
        </w:rPr>
      </w:pPr>
    </w:p>
    <w:p w14:paraId="395879B7">
      <w:pPr>
        <w:adjustRightInd w:val="0"/>
        <w:snapToGrid w:val="0"/>
        <w:spacing w:before="249" w:beforeLines="80"/>
        <w:jc w:val="center"/>
        <w:rPr>
          <w:bCs/>
          <w:color w:val="auto"/>
          <w:sz w:val="48"/>
          <w:szCs w:val="48"/>
        </w:rPr>
      </w:pPr>
      <w:r>
        <w:rPr>
          <w:bCs/>
          <w:color w:val="auto"/>
          <w:sz w:val="48"/>
          <w:szCs w:val="48"/>
        </w:rPr>
        <w:t>（污染影响类）</w:t>
      </w:r>
    </w:p>
    <w:p w14:paraId="12422E83">
      <w:pPr>
        <w:jc w:val="center"/>
        <w:rPr>
          <w:color w:val="auto"/>
          <w:sz w:val="52"/>
          <w:szCs w:val="52"/>
        </w:rPr>
      </w:pPr>
    </w:p>
    <w:p w14:paraId="0FFF0094">
      <w:pPr>
        <w:ind w:firstLine="1040"/>
        <w:rPr>
          <w:color w:val="auto"/>
          <w:sz w:val="44"/>
          <w:szCs w:val="44"/>
        </w:rPr>
      </w:pPr>
    </w:p>
    <w:p w14:paraId="44C5EEF4">
      <w:pPr>
        <w:ind w:firstLine="1040"/>
        <w:rPr>
          <w:color w:val="auto"/>
          <w:sz w:val="44"/>
          <w:szCs w:val="44"/>
        </w:rPr>
      </w:pPr>
    </w:p>
    <w:p w14:paraId="786CE187">
      <w:pPr>
        <w:ind w:firstLine="1040"/>
        <w:rPr>
          <w:color w:val="auto"/>
          <w:sz w:val="44"/>
          <w:szCs w:val="44"/>
        </w:rPr>
      </w:pPr>
    </w:p>
    <w:p w14:paraId="0414DE8D">
      <w:pPr>
        <w:ind w:firstLine="1040"/>
        <w:rPr>
          <w:color w:val="auto"/>
          <w:sz w:val="44"/>
          <w:szCs w:val="44"/>
        </w:rPr>
      </w:pPr>
    </w:p>
    <w:p w14:paraId="2FAA66EB">
      <w:pPr>
        <w:ind w:firstLine="1040"/>
        <w:rPr>
          <w:color w:val="auto"/>
          <w:sz w:val="44"/>
          <w:szCs w:val="44"/>
        </w:rPr>
      </w:pPr>
    </w:p>
    <w:p w14:paraId="373B18D8">
      <w:pPr>
        <w:ind w:firstLine="1040"/>
        <w:rPr>
          <w:color w:val="auto"/>
          <w:sz w:val="44"/>
          <w:szCs w:val="44"/>
        </w:rPr>
      </w:pPr>
    </w:p>
    <w:p w14:paraId="7134D747">
      <w:pPr>
        <w:rPr>
          <w:color w:val="auto"/>
          <w:sz w:val="44"/>
          <w:szCs w:val="44"/>
        </w:rPr>
      </w:pPr>
    </w:p>
    <w:p w14:paraId="1333C392">
      <w:pPr>
        <w:pStyle w:val="12"/>
        <w:rPr>
          <w:color w:val="auto"/>
        </w:rPr>
      </w:pPr>
    </w:p>
    <w:p w14:paraId="43E2666B">
      <w:pPr>
        <w:spacing w:line="288" w:lineRule="auto"/>
        <w:ind w:left="718" w:leftChars="342"/>
        <w:rPr>
          <w:rFonts w:ascii="仿宋_GB2312" w:eastAsia="仿宋_GB2312"/>
          <w:color w:val="auto"/>
          <w:sz w:val="36"/>
          <w:szCs w:val="36"/>
          <w:u w:val="single"/>
        </w:rPr>
      </w:pPr>
      <w:r>
        <w:rPr>
          <w:rFonts w:hint="eastAsia" w:ascii="仿宋_GB2312" w:eastAsia="仿宋_GB2312"/>
          <w:color w:val="auto"/>
          <w:sz w:val="36"/>
          <w:szCs w:val="36"/>
        </w:rPr>
        <w:t>项目名称：</w:t>
      </w:r>
      <w:r>
        <w:rPr>
          <w:rFonts w:hint="eastAsia" w:ascii="仿宋_GB2312" w:eastAsia="仿宋_GB2312"/>
          <w:color w:val="auto"/>
          <w:sz w:val="36"/>
          <w:szCs w:val="36"/>
          <w:u w:val="single"/>
        </w:rPr>
        <w:t xml:space="preserve"> 年产40万立方米加气混凝土砌砖扩建项目                                    </w:t>
      </w:r>
    </w:p>
    <w:p w14:paraId="5F80016B">
      <w:pPr>
        <w:adjustRightInd w:val="0"/>
        <w:snapToGrid w:val="0"/>
        <w:spacing w:line="288" w:lineRule="auto"/>
        <w:ind w:firstLine="720" w:firstLineChars="200"/>
        <w:rPr>
          <w:rFonts w:ascii="仿宋_GB2312" w:eastAsia="仿宋_GB2312"/>
          <w:color w:val="auto"/>
          <w:sz w:val="36"/>
          <w:szCs w:val="36"/>
          <w:u w:val="single"/>
        </w:rPr>
      </w:pPr>
      <w:r>
        <w:rPr>
          <w:rFonts w:hint="eastAsia" w:ascii="仿宋_GB2312" w:eastAsia="仿宋_GB2312"/>
          <w:color w:val="auto"/>
          <w:sz w:val="36"/>
          <w:szCs w:val="36"/>
        </w:rPr>
        <w:t>建设单位：</w:t>
      </w:r>
      <w:r>
        <w:rPr>
          <w:rFonts w:hint="eastAsia" w:ascii="仿宋_GB2312" w:eastAsia="仿宋_GB2312"/>
          <w:color w:val="auto"/>
          <w:sz w:val="36"/>
          <w:szCs w:val="36"/>
          <w:u w:val="single"/>
        </w:rPr>
        <w:t xml:space="preserve"> 安徽永丰新型墙体材料有限公司     </w:t>
      </w:r>
    </w:p>
    <w:p w14:paraId="4CC34AF3">
      <w:pPr>
        <w:adjustRightInd w:val="0"/>
        <w:snapToGrid w:val="0"/>
        <w:spacing w:line="288" w:lineRule="auto"/>
        <w:ind w:firstLine="720" w:firstLineChars="200"/>
        <w:rPr>
          <w:color w:val="auto"/>
        </w:rPr>
      </w:pPr>
      <w:r>
        <w:rPr>
          <w:rFonts w:hint="eastAsia" w:ascii="仿宋_GB2312" w:eastAsia="仿宋_GB2312"/>
          <w:color w:val="auto"/>
          <w:sz w:val="36"/>
          <w:szCs w:val="36"/>
        </w:rPr>
        <w:t>编制日期：</w:t>
      </w:r>
      <w:r>
        <w:rPr>
          <w:rFonts w:hint="eastAsia" w:ascii="仿宋_GB2312" w:eastAsia="仿宋_GB2312"/>
          <w:color w:val="auto"/>
          <w:sz w:val="36"/>
          <w:szCs w:val="36"/>
          <w:u w:val="single"/>
        </w:rPr>
        <w:t xml:space="preserve">        202</w:t>
      </w:r>
      <w:r>
        <w:rPr>
          <w:rFonts w:hint="eastAsia" w:ascii="仿宋_GB2312" w:eastAsia="仿宋_GB2312"/>
          <w:color w:val="auto"/>
          <w:sz w:val="36"/>
          <w:szCs w:val="36"/>
          <w:u w:val="single"/>
          <w:lang w:val="en-US" w:eastAsia="zh-CN"/>
        </w:rPr>
        <w:t>6</w:t>
      </w:r>
      <w:r>
        <w:rPr>
          <w:rFonts w:hint="eastAsia" w:ascii="仿宋_GB2312" w:eastAsia="仿宋_GB2312"/>
          <w:color w:val="auto"/>
          <w:sz w:val="36"/>
          <w:szCs w:val="36"/>
          <w:u w:val="single"/>
        </w:rPr>
        <w:t>年1</w:t>
      </w:r>
      <w:r>
        <w:rPr>
          <w:rFonts w:hint="eastAsia" w:ascii="仿宋_GB2312" w:eastAsia="仿宋_GB2312"/>
          <w:color w:val="auto"/>
          <w:sz w:val="36"/>
          <w:szCs w:val="36"/>
          <w:u w:val="single"/>
          <w:lang w:val="en-US" w:eastAsia="zh-CN"/>
        </w:rPr>
        <w:t>1</w:t>
      </w:r>
      <w:r>
        <w:rPr>
          <w:rFonts w:hint="eastAsia" w:ascii="仿宋_GB2312" w:eastAsia="仿宋_GB2312"/>
          <w:color w:val="auto"/>
          <w:sz w:val="36"/>
          <w:szCs w:val="36"/>
          <w:u w:val="single"/>
        </w:rPr>
        <w:t xml:space="preserve">月             </w:t>
      </w:r>
    </w:p>
    <w:p w14:paraId="7B1F2763">
      <w:pPr>
        <w:pStyle w:val="9"/>
        <w:rPr>
          <w:color w:val="auto"/>
        </w:rPr>
      </w:pPr>
    </w:p>
    <w:p w14:paraId="7536FC5E">
      <w:pPr>
        <w:rPr>
          <w:color w:val="auto"/>
        </w:rPr>
      </w:pPr>
    </w:p>
    <w:p w14:paraId="597CA8A5">
      <w:pPr>
        <w:pStyle w:val="9"/>
        <w:rPr>
          <w:color w:val="auto"/>
        </w:rPr>
      </w:pPr>
    </w:p>
    <w:p w14:paraId="1E5E9D95">
      <w:pPr>
        <w:rPr>
          <w:color w:val="auto"/>
        </w:rPr>
      </w:pPr>
    </w:p>
    <w:p w14:paraId="2ED0163A">
      <w:pPr>
        <w:pStyle w:val="9"/>
        <w:jc w:val="center"/>
        <w:rPr>
          <w:color w:val="auto"/>
        </w:rPr>
        <w:sectPr>
          <w:pgSz w:w="11906" w:h="16838"/>
          <w:pgMar w:top="1440" w:right="1800" w:bottom="1440" w:left="1800" w:header="851" w:footer="992" w:gutter="0"/>
          <w:cols w:space="425" w:num="1"/>
          <w:docGrid w:type="lines" w:linePitch="312" w:charSpace="0"/>
        </w:sectPr>
      </w:pPr>
      <w:r>
        <w:rPr>
          <w:color w:val="auto"/>
          <w:sz w:val="36"/>
          <w:szCs w:val="36"/>
        </w:rPr>
        <w:t>中华人民共和国生态环境部制</w:t>
      </w:r>
    </w:p>
    <w:p w14:paraId="7FF17247">
      <w:pPr>
        <w:pStyle w:val="9"/>
        <w:rPr>
          <w:color w:val="auto"/>
        </w:rPr>
        <w:sectPr>
          <w:pgSz w:w="11906" w:h="16838"/>
          <w:pgMar w:top="1440" w:right="1800" w:bottom="1440" w:left="1800" w:header="851" w:footer="992" w:gutter="0"/>
          <w:cols w:space="425" w:num="1"/>
          <w:docGrid w:type="lines" w:linePitch="312" w:charSpace="0"/>
        </w:sectPr>
      </w:pPr>
    </w:p>
    <w:p w14:paraId="6CBA0B5F">
      <w:pPr>
        <w:pStyle w:val="21"/>
        <w:spacing w:before="0" w:beforeAutospacing="0" w:after="0" w:afterAutospacing="0" w:line="360" w:lineRule="auto"/>
        <w:jc w:val="center"/>
        <w:outlineLvl w:val="0"/>
        <w:rPr>
          <w:rFonts w:ascii="Times New Roman" w:hAnsi="Times New Roman"/>
          <w:b/>
          <w:bCs/>
          <w:snapToGrid w:val="0"/>
          <w:color w:val="auto"/>
          <w:sz w:val="30"/>
          <w:szCs w:val="30"/>
        </w:rPr>
      </w:pPr>
      <w:r>
        <w:rPr>
          <w:rFonts w:hint="eastAsia" w:ascii="Times New Roman" w:hAnsi="Times New Roman"/>
          <w:b/>
          <w:bCs/>
          <w:snapToGrid w:val="0"/>
          <w:color w:val="auto"/>
          <w:sz w:val="30"/>
          <w:szCs w:val="30"/>
        </w:rPr>
        <w:t>一、</w:t>
      </w:r>
      <w:r>
        <w:rPr>
          <w:rFonts w:ascii="Times New Roman" w:hAnsi="Times New Roman"/>
          <w:b/>
          <w:bCs/>
          <w:snapToGrid w:val="0"/>
          <w:color w:val="auto"/>
          <w:sz w:val="30"/>
          <w:szCs w:val="30"/>
        </w:rPr>
        <w:t>建设项目基本情况</w:t>
      </w:r>
    </w:p>
    <w:tbl>
      <w:tblPr>
        <w:tblStyle w:val="24"/>
        <w:tblW w:w="561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210"/>
        <w:gridCol w:w="2456"/>
        <w:gridCol w:w="1915"/>
        <w:gridCol w:w="3769"/>
      </w:tblGrid>
      <w:tr w14:paraId="5A7FA2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647" w:type="pct"/>
            <w:tcMar>
              <w:top w:w="16" w:type="dxa"/>
              <w:left w:w="16" w:type="dxa"/>
              <w:right w:w="16" w:type="dxa"/>
            </w:tcMar>
            <w:vAlign w:val="center"/>
          </w:tcPr>
          <w:p w14:paraId="385325D6">
            <w:pPr>
              <w:jc w:val="center"/>
              <w:rPr>
                <w:color w:val="auto"/>
                <w:sz w:val="24"/>
              </w:rPr>
            </w:pPr>
            <w:r>
              <w:rPr>
                <w:color w:val="auto"/>
                <w:sz w:val="24"/>
              </w:rPr>
              <w:t>建设项目名称</w:t>
            </w:r>
          </w:p>
        </w:tc>
        <w:tc>
          <w:tcPr>
            <w:tcW w:w="4352" w:type="pct"/>
            <w:gridSpan w:val="3"/>
            <w:vAlign w:val="center"/>
          </w:tcPr>
          <w:p w14:paraId="68DF52FD">
            <w:pPr>
              <w:pStyle w:val="2"/>
              <w:ind w:firstLine="480" w:firstLineChars="200"/>
              <w:jc w:val="center"/>
              <w:rPr>
                <w:color w:val="auto"/>
                <w:sz w:val="24"/>
              </w:rPr>
            </w:pPr>
            <w:r>
              <w:rPr>
                <w:rFonts w:ascii="Times New Roman" w:hAnsi="Times New Roman"/>
                <w:b w:val="0"/>
                <w:color w:val="auto"/>
                <w:sz w:val="24"/>
              </w:rPr>
              <w:t>年产4</w:t>
            </w:r>
            <w:r>
              <w:rPr>
                <w:rFonts w:hint="eastAsia" w:ascii="Times New Roman" w:hAnsi="Times New Roman"/>
                <w:b w:val="0"/>
                <w:color w:val="auto"/>
                <w:sz w:val="24"/>
              </w:rPr>
              <w:t>0</w:t>
            </w:r>
            <w:r>
              <w:rPr>
                <w:rFonts w:ascii="Times New Roman" w:hAnsi="Times New Roman"/>
                <w:b w:val="0"/>
                <w:color w:val="auto"/>
                <w:sz w:val="24"/>
              </w:rPr>
              <w:t>万立方米</w:t>
            </w:r>
            <w:r>
              <w:rPr>
                <w:rFonts w:hint="eastAsia" w:ascii="Times New Roman" w:hAnsi="Times New Roman"/>
                <w:b w:val="0"/>
                <w:color w:val="auto"/>
                <w:sz w:val="24"/>
              </w:rPr>
              <w:t>加气混凝土砌砖扩建项目</w:t>
            </w:r>
          </w:p>
        </w:tc>
      </w:tr>
      <w:tr w14:paraId="21A328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71" w:hRule="atLeast"/>
          <w:jc w:val="center"/>
        </w:trPr>
        <w:tc>
          <w:tcPr>
            <w:tcW w:w="647" w:type="pct"/>
            <w:tcMar>
              <w:top w:w="16" w:type="dxa"/>
              <w:left w:w="16" w:type="dxa"/>
              <w:right w:w="16" w:type="dxa"/>
            </w:tcMar>
            <w:vAlign w:val="center"/>
          </w:tcPr>
          <w:p w14:paraId="6D844CDB">
            <w:pPr>
              <w:jc w:val="center"/>
              <w:rPr>
                <w:color w:val="auto"/>
                <w:sz w:val="24"/>
              </w:rPr>
            </w:pPr>
            <w:r>
              <w:rPr>
                <w:color w:val="auto"/>
                <w:sz w:val="24"/>
              </w:rPr>
              <w:t>项目代码</w:t>
            </w:r>
          </w:p>
        </w:tc>
        <w:tc>
          <w:tcPr>
            <w:tcW w:w="4352" w:type="pct"/>
            <w:gridSpan w:val="3"/>
            <w:vAlign w:val="center"/>
          </w:tcPr>
          <w:p w14:paraId="0785588F">
            <w:pPr>
              <w:jc w:val="center"/>
              <w:rPr>
                <w:color w:val="auto"/>
                <w:sz w:val="24"/>
              </w:rPr>
            </w:pPr>
            <w:r>
              <w:rPr>
                <w:rFonts w:hint="eastAsia"/>
                <w:color w:val="auto"/>
                <w:sz w:val="24"/>
              </w:rPr>
              <w:t>2512-341302-07-01-484797</w:t>
            </w:r>
          </w:p>
        </w:tc>
      </w:tr>
      <w:tr w14:paraId="2B67C4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7" w:hRule="atLeast"/>
          <w:jc w:val="center"/>
        </w:trPr>
        <w:tc>
          <w:tcPr>
            <w:tcW w:w="647" w:type="pct"/>
            <w:tcMar>
              <w:top w:w="16" w:type="dxa"/>
              <w:left w:w="16" w:type="dxa"/>
              <w:right w:w="16" w:type="dxa"/>
            </w:tcMar>
            <w:vAlign w:val="center"/>
          </w:tcPr>
          <w:p w14:paraId="0B46A2ED">
            <w:pPr>
              <w:jc w:val="center"/>
              <w:rPr>
                <w:color w:val="auto"/>
                <w:sz w:val="24"/>
              </w:rPr>
            </w:pPr>
            <w:r>
              <w:rPr>
                <w:color w:val="auto"/>
                <w:sz w:val="24"/>
              </w:rPr>
              <w:t>建设单位联系人</w:t>
            </w:r>
          </w:p>
        </w:tc>
        <w:tc>
          <w:tcPr>
            <w:tcW w:w="1313" w:type="pct"/>
            <w:vAlign w:val="center"/>
          </w:tcPr>
          <w:p w14:paraId="2FE50F07">
            <w:pPr>
              <w:spacing w:line="360" w:lineRule="auto"/>
              <w:jc w:val="center"/>
              <w:rPr>
                <w:color w:val="auto"/>
                <w:sz w:val="24"/>
              </w:rPr>
            </w:pPr>
          </w:p>
        </w:tc>
        <w:tc>
          <w:tcPr>
            <w:tcW w:w="1024" w:type="pct"/>
            <w:vAlign w:val="center"/>
          </w:tcPr>
          <w:p w14:paraId="017E4A7A">
            <w:pPr>
              <w:jc w:val="center"/>
              <w:rPr>
                <w:color w:val="auto"/>
                <w:sz w:val="24"/>
              </w:rPr>
            </w:pPr>
            <w:r>
              <w:rPr>
                <w:color w:val="auto"/>
                <w:sz w:val="24"/>
              </w:rPr>
              <w:t>联系方式</w:t>
            </w:r>
          </w:p>
        </w:tc>
        <w:tc>
          <w:tcPr>
            <w:tcW w:w="2014" w:type="pct"/>
            <w:vAlign w:val="center"/>
          </w:tcPr>
          <w:p w14:paraId="64FBD002">
            <w:pPr>
              <w:jc w:val="center"/>
              <w:rPr>
                <w:color w:val="auto"/>
                <w:sz w:val="24"/>
              </w:rPr>
            </w:pPr>
          </w:p>
        </w:tc>
      </w:tr>
      <w:tr w14:paraId="4C2BF3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13" w:hRule="atLeast"/>
          <w:jc w:val="center"/>
        </w:trPr>
        <w:tc>
          <w:tcPr>
            <w:tcW w:w="647" w:type="pct"/>
            <w:tcMar>
              <w:top w:w="16" w:type="dxa"/>
              <w:left w:w="16" w:type="dxa"/>
              <w:right w:w="16" w:type="dxa"/>
            </w:tcMar>
            <w:vAlign w:val="center"/>
          </w:tcPr>
          <w:p w14:paraId="46ED3DA1">
            <w:pPr>
              <w:jc w:val="center"/>
              <w:rPr>
                <w:color w:val="auto"/>
                <w:sz w:val="24"/>
              </w:rPr>
            </w:pPr>
            <w:r>
              <w:rPr>
                <w:color w:val="auto"/>
                <w:sz w:val="24"/>
              </w:rPr>
              <w:t>建设地点</w:t>
            </w:r>
          </w:p>
        </w:tc>
        <w:tc>
          <w:tcPr>
            <w:tcW w:w="4352" w:type="pct"/>
            <w:gridSpan w:val="3"/>
            <w:vAlign w:val="center"/>
          </w:tcPr>
          <w:p w14:paraId="1662177E">
            <w:pPr>
              <w:jc w:val="center"/>
              <w:rPr>
                <w:color w:val="auto"/>
                <w:sz w:val="24"/>
              </w:rPr>
            </w:pPr>
            <w:r>
              <w:rPr>
                <w:color w:val="auto"/>
                <w:sz w:val="24"/>
              </w:rPr>
              <w:t>宿州市埇桥区朱仙庄镇东三环与泗永路交叉口东侧</w:t>
            </w:r>
          </w:p>
        </w:tc>
      </w:tr>
      <w:tr w14:paraId="3FE505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47" w:type="pct"/>
            <w:tcMar>
              <w:top w:w="16" w:type="dxa"/>
              <w:left w:w="16" w:type="dxa"/>
              <w:right w:w="16" w:type="dxa"/>
            </w:tcMar>
            <w:vAlign w:val="center"/>
          </w:tcPr>
          <w:p w14:paraId="4D2DF31A">
            <w:pPr>
              <w:jc w:val="center"/>
              <w:rPr>
                <w:color w:val="auto"/>
                <w:sz w:val="24"/>
              </w:rPr>
            </w:pPr>
            <w:r>
              <w:rPr>
                <w:color w:val="auto"/>
                <w:sz w:val="24"/>
              </w:rPr>
              <w:t>地理坐标</w:t>
            </w:r>
          </w:p>
        </w:tc>
        <w:tc>
          <w:tcPr>
            <w:tcW w:w="4352" w:type="pct"/>
            <w:gridSpan w:val="3"/>
            <w:vAlign w:val="center"/>
          </w:tcPr>
          <w:p w14:paraId="76D40C33">
            <w:pPr>
              <w:jc w:val="center"/>
              <w:rPr>
                <w:color w:val="auto"/>
                <w:sz w:val="24"/>
              </w:rPr>
            </w:pPr>
            <w:r>
              <w:rPr>
                <w:rFonts w:hint="eastAsia"/>
                <w:color w:val="auto"/>
                <w:sz w:val="24"/>
              </w:rPr>
              <w:t>经度：</w:t>
            </w:r>
            <w:r>
              <w:rPr>
                <w:color w:val="auto"/>
                <w:sz w:val="24"/>
              </w:rPr>
              <w:t>117度</w:t>
            </w:r>
            <w:r>
              <w:rPr>
                <w:rFonts w:hint="eastAsia"/>
                <w:color w:val="auto"/>
                <w:sz w:val="24"/>
              </w:rPr>
              <w:t>5</w:t>
            </w:r>
            <w:r>
              <w:rPr>
                <w:color w:val="auto"/>
                <w:sz w:val="24"/>
              </w:rPr>
              <w:t>分</w:t>
            </w:r>
            <w:r>
              <w:rPr>
                <w:rFonts w:hint="eastAsia"/>
                <w:color w:val="auto"/>
                <w:sz w:val="24"/>
              </w:rPr>
              <w:t>14.884</w:t>
            </w:r>
            <w:r>
              <w:rPr>
                <w:color w:val="auto"/>
                <w:sz w:val="24"/>
              </w:rPr>
              <w:t>秒，</w:t>
            </w:r>
            <w:r>
              <w:rPr>
                <w:rFonts w:hint="eastAsia"/>
                <w:color w:val="auto"/>
                <w:sz w:val="24"/>
              </w:rPr>
              <w:t>纬度：</w:t>
            </w:r>
            <w:r>
              <w:rPr>
                <w:color w:val="auto"/>
                <w:sz w:val="24"/>
              </w:rPr>
              <w:t>3</w:t>
            </w:r>
            <w:r>
              <w:rPr>
                <w:rFonts w:hint="eastAsia"/>
                <w:color w:val="auto"/>
                <w:sz w:val="24"/>
              </w:rPr>
              <w:t>3</w:t>
            </w:r>
            <w:r>
              <w:rPr>
                <w:color w:val="auto"/>
                <w:sz w:val="24"/>
              </w:rPr>
              <w:t>度</w:t>
            </w:r>
            <w:r>
              <w:rPr>
                <w:rFonts w:hint="eastAsia"/>
                <w:color w:val="auto"/>
                <w:sz w:val="24"/>
              </w:rPr>
              <w:t>36</w:t>
            </w:r>
            <w:r>
              <w:rPr>
                <w:color w:val="auto"/>
                <w:sz w:val="24"/>
              </w:rPr>
              <w:t>分</w:t>
            </w:r>
            <w:r>
              <w:rPr>
                <w:rFonts w:hint="eastAsia"/>
                <w:color w:val="auto"/>
                <w:sz w:val="24"/>
              </w:rPr>
              <w:t>48.493</w:t>
            </w:r>
            <w:r>
              <w:rPr>
                <w:color w:val="auto"/>
                <w:sz w:val="24"/>
              </w:rPr>
              <w:t>秒</w:t>
            </w:r>
          </w:p>
        </w:tc>
      </w:tr>
      <w:tr w14:paraId="181D4A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27" w:hRule="atLeast"/>
          <w:jc w:val="center"/>
        </w:trPr>
        <w:tc>
          <w:tcPr>
            <w:tcW w:w="647" w:type="pct"/>
            <w:tcMar>
              <w:top w:w="16" w:type="dxa"/>
              <w:left w:w="16" w:type="dxa"/>
              <w:right w:w="16" w:type="dxa"/>
            </w:tcMar>
            <w:vAlign w:val="center"/>
          </w:tcPr>
          <w:p w14:paraId="50230EA0">
            <w:pPr>
              <w:jc w:val="center"/>
              <w:rPr>
                <w:color w:val="auto"/>
                <w:sz w:val="24"/>
              </w:rPr>
            </w:pPr>
            <w:r>
              <w:rPr>
                <w:color w:val="auto"/>
                <w:sz w:val="24"/>
              </w:rPr>
              <w:t>国民经济</w:t>
            </w:r>
          </w:p>
          <w:p w14:paraId="6BF502EA">
            <w:pPr>
              <w:jc w:val="center"/>
              <w:rPr>
                <w:color w:val="auto"/>
                <w:sz w:val="24"/>
              </w:rPr>
            </w:pPr>
            <w:r>
              <w:rPr>
                <w:color w:val="auto"/>
                <w:sz w:val="24"/>
              </w:rPr>
              <w:t>行业类别</w:t>
            </w:r>
          </w:p>
        </w:tc>
        <w:tc>
          <w:tcPr>
            <w:tcW w:w="1313" w:type="pct"/>
            <w:vAlign w:val="center"/>
          </w:tcPr>
          <w:p w14:paraId="317DAF57">
            <w:pPr>
              <w:jc w:val="center"/>
              <w:rPr>
                <w:color w:val="auto"/>
                <w:sz w:val="24"/>
              </w:rPr>
            </w:pPr>
            <w:r>
              <w:rPr>
                <w:color w:val="auto"/>
                <w:sz w:val="24"/>
              </w:rPr>
              <w:t>C</w:t>
            </w:r>
            <w:r>
              <w:rPr>
                <w:rFonts w:hint="eastAsia"/>
                <w:color w:val="auto"/>
                <w:sz w:val="24"/>
              </w:rPr>
              <w:t>3031粘土砖瓦及建筑砌块砖制造</w:t>
            </w:r>
          </w:p>
        </w:tc>
        <w:tc>
          <w:tcPr>
            <w:tcW w:w="1024" w:type="pct"/>
            <w:vAlign w:val="center"/>
          </w:tcPr>
          <w:p w14:paraId="3DBC5879">
            <w:pPr>
              <w:jc w:val="center"/>
              <w:rPr>
                <w:color w:val="auto"/>
                <w:sz w:val="24"/>
              </w:rPr>
            </w:pPr>
            <w:bookmarkStart w:id="0" w:name="_Hlk49843745"/>
            <w:r>
              <w:rPr>
                <w:color w:val="auto"/>
                <w:sz w:val="24"/>
              </w:rPr>
              <w:t>建设项目</w:t>
            </w:r>
          </w:p>
          <w:p w14:paraId="7D9AF8D0">
            <w:pPr>
              <w:jc w:val="center"/>
              <w:rPr>
                <w:color w:val="auto"/>
                <w:sz w:val="24"/>
              </w:rPr>
            </w:pPr>
            <w:r>
              <w:rPr>
                <w:color w:val="auto"/>
                <w:sz w:val="24"/>
              </w:rPr>
              <w:t>行业类别</w:t>
            </w:r>
            <w:bookmarkEnd w:id="0"/>
          </w:p>
        </w:tc>
        <w:tc>
          <w:tcPr>
            <w:tcW w:w="2014" w:type="pct"/>
            <w:vAlign w:val="center"/>
          </w:tcPr>
          <w:p w14:paraId="3D48421E">
            <w:pPr>
              <w:jc w:val="center"/>
              <w:rPr>
                <w:color w:val="auto"/>
              </w:rPr>
            </w:pPr>
            <w:r>
              <w:rPr>
                <w:rFonts w:hint="eastAsia"/>
                <w:color w:val="auto"/>
                <w:sz w:val="24"/>
                <w:szCs w:val="32"/>
              </w:rPr>
              <w:t>二十七、非金属矿物制品业30-56，砖瓦、石材等建筑材料制造</w:t>
            </w:r>
            <w:r>
              <w:rPr>
                <w:rFonts w:hint="eastAsia"/>
                <w:color w:val="auto"/>
                <w:sz w:val="24"/>
                <w:szCs w:val="32"/>
                <w:lang w:val="en-US" w:eastAsia="zh-CN"/>
              </w:rPr>
              <w:t>303</w:t>
            </w:r>
            <w:r>
              <w:rPr>
                <w:rFonts w:hint="eastAsia"/>
                <w:color w:val="auto"/>
                <w:sz w:val="24"/>
                <w:szCs w:val="32"/>
              </w:rPr>
              <w:t>中“粘土砖瓦及建筑砌块制造”</w:t>
            </w:r>
          </w:p>
        </w:tc>
      </w:tr>
      <w:tr w14:paraId="7135B0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647" w:type="pct"/>
            <w:tcMar>
              <w:top w:w="16" w:type="dxa"/>
              <w:left w:w="16" w:type="dxa"/>
              <w:right w:w="16" w:type="dxa"/>
            </w:tcMar>
            <w:vAlign w:val="center"/>
          </w:tcPr>
          <w:p w14:paraId="36CB3C0B">
            <w:pPr>
              <w:jc w:val="center"/>
              <w:rPr>
                <w:color w:val="auto"/>
                <w:sz w:val="24"/>
              </w:rPr>
            </w:pPr>
            <w:r>
              <w:rPr>
                <w:color w:val="auto"/>
                <w:sz w:val="24"/>
              </w:rPr>
              <w:t>建设性质</w:t>
            </w:r>
          </w:p>
        </w:tc>
        <w:tc>
          <w:tcPr>
            <w:tcW w:w="1313" w:type="pct"/>
            <w:vAlign w:val="center"/>
          </w:tcPr>
          <w:p w14:paraId="2DCB33DC">
            <w:pPr>
              <w:pStyle w:val="32"/>
              <w:widowControl/>
              <w:kinsoku w:val="0"/>
              <w:autoSpaceDE w:val="0"/>
              <w:autoSpaceDN w:val="0"/>
              <w:adjustRightInd w:val="0"/>
              <w:snapToGrid w:val="0"/>
              <w:spacing w:before="23" w:line="219" w:lineRule="auto"/>
              <w:ind w:left="31"/>
              <w:jc w:val="left"/>
              <w:textAlignment w:val="baseline"/>
              <w:rPr>
                <w:rFonts w:hint="eastAsia"/>
                <w:snapToGrid w:val="0"/>
                <w:color w:val="auto"/>
                <w:spacing w:val="-12"/>
                <w:kern w:val="0"/>
                <w:lang w:eastAsia="zh-CN"/>
              </w:rPr>
            </w:pPr>
            <w:r>
              <w:rPr>
                <w:snapToGrid w:val="0"/>
                <w:color w:val="auto"/>
                <w:spacing w:val="-12"/>
                <w:kern w:val="0"/>
              </w:rPr>
              <w:sym w:font="Wingdings 2" w:char="00A3"/>
            </w:r>
            <w:r>
              <w:rPr>
                <w:snapToGrid w:val="0"/>
                <w:color w:val="auto"/>
                <w:spacing w:val="-12"/>
                <w:kern w:val="0"/>
                <w:lang w:eastAsia="zh-CN"/>
              </w:rPr>
              <w:t>新建（迁建）</w:t>
            </w:r>
          </w:p>
          <w:p w14:paraId="67914BCC">
            <w:pPr>
              <w:pStyle w:val="32"/>
              <w:widowControl/>
              <w:kinsoku w:val="0"/>
              <w:autoSpaceDE w:val="0"/>
              <w:autoSpaceDN w:val="0"/>
              <w:adjustRightInd w:val="0"/>
              <w:snapToGrid w:val="0"/>
              <w:spacing w:before="23" w:line="219" w:lineRule="auto"/>
              <w:ind w:left="31"/>
              <w:jc w:val="left"/>
              <w:textAlignment w:val="baseline"/>
              <w:rPr>
                <w:rFonts w:hint="eastAsia"/>
                <w:snapToGrid w:val="0"/>
                <w:color w:val="auto"/>
                <w:spacing w:val="-12"/>
                <w:kern w:val="0"/>
                <w:lang w:eastAsia="zh-CN"/>
              </w:rPr>
            </w:pPr>
            <w:r>
              <w:rPr>
                <w:rFonts w:hint="eastAsia"/>
                <w:snapToGrid w:val="0"/>
                <w:color w:val="auto"/>
                <w:spacing w:val="-12"/>
                <w:kern w:val="0"/>
                <w:lang w:eastAsia="zh-CN"/>
              </w:rPr>
              <w:t>□</w:t>
            </w:r>
            <w:r>
              <w:rPr>
                <w:snapToGrid w:val="0"/>
                <w:color w:val="auto"/>
                <w:spacing w:val="-12"/>
                <w:kern w:val="0"/>
                <w:lang w:eastAsia="zh-CN"/>
              </w:rPr>
              <w:t>改建</w:t>
            </w:r>
          </w:p>
          <w:p w14:paraId="4C15B8E2">
            <w:pPr>
              <w:pStyle w:val="32"/>
              <w:widowControl/>
              <w:kinsoku w:val="0"/>
              <w:autoSpaceDE w:val="0"/>
              <w:autoSpaceDN w:val="0"/>
              <w:adjustRightInd w:val="0"/>
              <w:snapToGrid w:val="0"/>
              <w:spacing w:before="23" w:line="219" w:lineRule="auto"/>
              <w:ind w:left="31"/>
              <w:jc w:val="left"/>
              <w:textAlignment w:val="baseline"/>
              <w:rPr>
                <w:rFonts w:hint="eastAsia"/>
                <w:snapToGrid w:val="0"/>
                <w:color w:val="auto"/>
                <w:spacing w:val="-12"/>
                <w:kern w:val="0"/>
                <w:lang w:eastAsia="zh-CN"/>
              </w:rPr>
            </w:pPr>
            <w:r>
              <w:rPr>
                <w:rFonts w:hint="eastAsia"/>
                <w:snapToGrid w:val="0"/>
                <w:color w:val="auto"/>
                <w:spacing w:val="-12"/>
                <w:kern w:val="0"/>
                <w:lang w:eastAsia="zh-CN"/>
              </w:rPr>
              <w:t>☑</w:t>
            </w:r>
            <w:r>
              <w:rPr>
                <w:snapToGrid w:val="0"/>
                <w:color w:val="auto"/>
                <w:spacing w:val="-12"/>
                <w:kern w:val="0"/>
                <w:lang w:eastAsia="zh-CN"/>
              </w:rPr>
              <w:t>扩建</w:t>
            </w:r>
          </w:p>
          <w:p w14:paraId="7862A5E4">
            <w:pPr>
              <w:pStyle w:val="32"/>
              <w:widowControl/>
              <w:kinsoku w:val="0"/>
              <w:autoSpaceDE w:val="0"/>
              <w:autoSpaceDN w:val="0"/>
              <w:adjustRightInd w:val="0"/>
              <w:snapToGrid w:val="0"/>
              <w:spacing w:before="23" w:line="219" w:lineRule="auto"/>
              <w:ind w:left="31"/>
              <w:jc w:val="left"/>
              <w:textAlignment w:val="baseline"/>
              <w:rPr>
                <w:rFonts w:hint="eastAsia"/>
                <w:color w:val="auto"/>
              </w:rPr>
            </w:pPr>
            <w:r>
              <w:rPr>
                <w:rFonts w:hint="eastAsia"/>
                <w:snapToGrid w:val="0"/>
                <w:color w:val="auto"/>
                <w:spacing w:val="-12"/>
                <w:kern w:val="0"/>
                <w:lang w:eastAsia="zh-CN"/>
              </w:rPr>
              <w:t>□</w:t>
            </w:r>
            <w:r>
              <w:rPr>
                <w:snapToGrid w:val="0"/>
                <w:color w:val="auto"/>
                <w:spacing w:val="-12"/>
                <w:kern w:val="0"/>
              </w:rPr>
              <w:t>技术改造</w:t>
            </w:r>
          </w:p>
        </w:tc>
        <w:tc>
          <w:tcPr>
            <w:tcW w:w="1024" w:type="pct"/>
            <w:vAlign w:val="center"/>
          </w:tcPr>
          <w:p w14:paraId="7B831C54">
            <w:pPr>
              <w:tabs>
                <w:tab w:val="center" w:pos="1161"/>
                <w:tab w:val="right" w:pos="2202"/>
              </w:tabs>
              <w:jc w:val="center"/>
              <w:rPr>
                <w:color w:val="auto"/>
                <w:sz w:val="24"/>
              </w:rPr>
            </w:pPr>
            <w:r>
              <w:rPr>
                <w:color w:val="auto"/>
                <w:sz w:val="24"/>
              </w:rPr>
              <w:t>建设项目</w:t>
            </w:r>
          </w:p>
          <w:p w14:paraId="6FE2B022">
            <w:pPr>
              <w:jc w:val="center"/>
              <w:rPr>
                <w:color w:val="auto"/>
                <w:sz w:val="24"/>
              </w:rPr>
            </w:pPr>
            <w:r>
              <w:rPr>
                <w:color w:val="auto"/>
                <w:sz w:val="24"/>
              </w:rPr>
              <w:t>申报情形</w:t>
            </w:r>
          </w:p>
        </w:tc>
        <w:tc>
          <w:tcPr>
            <w:tcW w:w="2014" w:type="pct"/>
            <w:vAlign w:val="center"/>
          </w:tcPr>
          <w:p w14:paraId="668BFEA9">
            <w:pPr>
              <w:pStyle w:val="32"/>
              <w:widowControl/>
              <w:kinsoku w:val="0"/>
              <w:autoSpaceDE w:val="0"/>
              <w:autoSpaceDN w:val="0"/>
              <w:adjustRightInd w:val="0"/>
              <w:snapToGrid w:val="0"/>
              <w:spacing w:before="23" w:line="219" w:lineRule="auto"/>
              <w:ind w:left="31"/>
              <w:jc w:val="left"/>
              <w:textAlignment w:val="baseline"/>
              <w:rPr>
                <w:rFonts w:hint="eastAsia"/>
                <w:snapToGrid w:val="0"/>
                <w:color w:val="auto"/>
                <w:spacing w:val="-12"/>
                <w:kern w:val="0"/>
                <w:lang w:eastAsia="zh-CN"/>
              </w:rPr>
            </w:pPr>
            <w:r>
              <w:rPr>
                <w:snapToGrid w:val="0"/>
                <w:color w:val="auto"/>
                <w:spacing w:val="-12"/>
                <w:kern w:val="0"/>
              </w:rPr>
              <w:sym w:font="Wingdings 2" w:char="0052"/>
            </w:r>
            <w:r>
              <w:rPr>
                <w:snapToGrid w:val="0"/>
                <w:color w:val="auto"/>
                <w:spacing w:val="-12"/>
                <w:kern w:val="0"/>
                <w:lang w:eastAsia="zh-CN"/>
              </w:rPr>
              <w:t xml:space="preserve">首次申报项目             </w:t>
            </w:r>
          </w:p>
          <w:p w14:paraId="23B59268">
            <w:pPr>
              <w:pStyle w:val="32"/>
              <w:widowControl/>
              <w:kinsoku w:val="0"/>
              <w:autoSpaceDE w:val="0"/>
              <w:autoSpaceDN w:val="0"/>
              <w:adjustRightInd w:val="0"/>
              <w:snapToGrid w:val="0"/>
              <w:spacing w:before="23" w:line="219" w:lineRule="auto"/>
              <w:ind w:left="31"/>
              <w:jc w:val="left"/>
              <w:textAlignment w:val="baseline"/>
              <w:rPr>
                <w:rFonts w:hint="eastAsia"/>
                <w:snapToGrid w:val="0"/>
                <w:color w:val="auto"/>
                <w:spacing w:val="-12"/>
                <w:kern w:val="0"/>
                <w:lang w:eastAsia="zh-CN"/>
              </w:rPr>
            </w:pPr>
            <w:r>
              <w:rPr>
                <w:rFonts w:hint="eastAsia"/>
                <w:snapToGrid w:val="0"/>
                <w:color w:val="auto"/>
                <w:spacing w:val="-12"/>
                <w:kern w:val="0"/>
                <w:lang w:eastAsia="zh-CN"/>
              </w:rPr>
              <w:t>□</w:t>
            </w:r>
            <w:r>
              <w:rPr>
                <w:snapToGrid w:val="0"/>
                <w:color w:val="auto"/>
                <w:spacing w:val="-12"/>
                <w:kern w:val="0"/>
                <w:lang w:eastAsia="zh-CN"/>
              </w:rPr>
              <w:t>不予批准后再次申报项目</w:t>
            </w:r>
          </w:p>
          <w:p w14:paraId="07BE60AC">
            <w:pPr>
              <w:pStyle w:val="32"/>
              <w:widowControl/>
              <w:kinsoku w:val="0"/>
              <w:autoSpaceDE w:val="0"/>
              <w:autoSpaceDN w:val="0"/>
              <w:adjustRightInd w:val="0"/>
              <w:snapToGrid w:val="0"/>
              <w:spacing w:before="23" w:line="219" w:lineRule="auto"/>
              <w:ind w:left="31"/>
              <w:jc w:val="left"/>
              <w:textAlignment w:val="baseline"/>
              <w:rPr>
                <w:rFonts w:hint="eastAsia"/>
                <w:snapToGrid w:val="0"/>
                <w:color w:val="auto"/>
                <w:spacing w:val="-12"/>
                <w:kern w:val="0"/>
                <w:lang w:eastAsia="zh-CN"/>
              </w:rPr>
            </w:pPr>
            <w:r>
              <w:rPr>
                <w:rFonts w:hint="eastAsia"/>
                <w:snapToGrid w:val="0"/>
                <w:color w:val="auto"/>
                <w:spacing w:val="-12"/>
                <w:kern w:val="0"/>
                <w:lang w:eastAsia="zh-CN"/>
              </w:rPr>
              <w:t>□</w:t>
            </w:r>
            <w:r>
              <w:rPr>
                <w:snapToGrid w:val="0"/>
                <w:color w:val="auto"/>
                <w:spacing w:val="-12"/>
                <w:kern w:val="0"/>
                <w:lang w:eastAsia="zh-CN"/>
              </w:rPr>
              <w:t xml:space="preserve">超五年重新审核项目     </w:t>
            </w:r>
          </w:p>
          <w:p w14:paraId="2D8F6580">
            <w:pPr>
              <w:pStyle w:val="32"/>
              <w:widowControl/>
              <w:kinsoku w:val="0"/>
              <w:autoSpaceDE w:val="0"/>
              <w:autoSpaceDN w:val="0"/>
              <w:adjustRightInd w:val="0"/>
              <w:snapToGrid w:val="0"/>
              <w:spacing w:before="23" w:line="219" w:lineRule="auto"/>
              <w:ind w:left="31"/>
              <w:jc w:val="left"/>
              <w:textAlignment w:val="baseline"/>
              <w:rPr>
                <w:rFonts w:hint="eastAsia"/>
                <w:color w:val="auto"/>
                <w:lang w:eastAsia="zh-CN"/>
              </w:rPr>
            </w:pPr>
            <w:r>
              <w:rPr>
                <w:rFonts w:hint="eastAsia"/>
                <w:snapToGrid w:val="0"/>
                <w:color w:val="auto"/>
                <w:spacing w:val="-12"/>
                <w:kern w:val="0"/>
                <w:lang w:eastAsia="zh-CN"/>
              </w:rPr>
              <w:t>□</w:t>
            </w:r>
            <w:r>
              <w:rPr>
                <w:snapToGrid w:val="0"/>
                <w:color w:val="auto"/>
                <w:spacing w:val="-12"/>
                <w:kern w:val="0"/>
                <w:lang w:eastAsia="zh-CN"/>
              </w:rPr>
              <w:t>重大变动重新报批项目</w:t>
            </w:r>
          </w:p>
        </w:tc>
      </w:tr>
      <w:tr w14:paraId="09E867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47" w:type="pct"/>
            <w:tcMar>
              <w:top w:w="16" w:type="dxa"/>
              <w:left w:w="16" w:type="dxa"/>
              <w:right w:w="16" w:type="dxa"/>
            </w:tcMar>
            <w:vAlign w:val="center"/>
          </w:tcPr>
          <w:p w14:paraId="33B2802F">
            <w:pPr>
              <w:jc w:val="center"/>
              <w:rPr>
                <w:color w:val="auto"/>
                <w:sz w:val="24"/>
              </w:rPr>
            </w:pPr>
            <w:r>
              <w:rPr>
                <w:color w:val="auto"/>
                <w:sz w:val="24"/>
              </w:rPr>
              <w:t>项目审批（核准/</w:t>
            </w:r>
          </w:p>
          <w:p w14:paraId="61EC6CB4">
            <w:pPr>
              <w:jc w:val="center"/>
              <w:rPr>
                <w:color w:val="auto"/>
                <w:sz w:val="24"/>
              </w:rPr>
            </w:pPr>
            <w:r>
              <w:rPr>
                <w:color w:val="auto"/>
                <w:sz w:val="24"/>
              </w:rPr>
              <w:t>备案）部门（选填）</w:t>
            </w:r>
          </w:p>
        </w:tc>
        <w:tc>
          <w:tcPr>
            <w:tcW w:w="1313" w:type="pct"/>
            <w:vAlign w:val="center"/>
          </w:tcPr>
          <w:p w14:paraId="4613293B">
            <w:pPr>
              <w:jc w:val="center"/>
              <w:rPr>
                <w:color w:val="auto"/>
                <w:sz w:val="24"/>
              </w:rPr>
            </w:pPr>
            <w:r>
              <w:rPr>
                <w:rFonts w:hint="eastAsia"/>
                <w:color w:val="auto"/>
                <w:sz w:val="24"/>
              </w:rPr>
              <w:t>宿州市埇桥区工业和信息化局</w:t>
            </w:r>
          </w:p>
        </w:tc>
        <w:tc>
          <w:tcPr>
            <w:tcW w:w="1024" w:type="pct"/>
            <w:vAlign w:val="center"/>
          </w:tcPr>
          <w:p w14:paraId="68218F3A">
            <w:pPr>
              <w:jc w:val="center"/>
              <w:rPr>
                <w:color w:val="auto"/>
                <w:sz w:val="24"/>
              </w:rPr>
            </w:pPr>
            <w:r>
              <w:rPr>
                <w:color w:val="auto"/>
                <w:sz w:val="24"/>
              </w:rPr>
              <w:t>项目审批（核准/</w:t>
            </w:r>
          </w:p>
          <w:p w14:paraId="6A809942">
            <w:pPr>
              <w:jc w:val="center"/>
              <w:rPr>
                <w:color w:val="auto"/>
                <w:sz w:val="24"/>
              </w:rPr>
            </w:pPr>
            <w:r>
              <w:rPr>
                <w:color w:val="auto"/>
                <w:sz w:val="24"/>
              </w:rPr>
              <w:t>备案）文号（选填）</w:t>
            </w:r>
          </w:p>
        </w:tc>
        <w:tc>
          <w:tcPr>
            <w:tcW w:w="2014" w:type="pct"/>
            <w:vAlign w:val="center"/>
          </w:tcPr>
          <w:p w14:paraId="6284561C">
            <w:pPr>
              <w:jc w:val="center"/>
              <w:rPr>
                <w:color w:val="auto"/>
                <w:sz w:val="24"/>
              </w:rPr>
            </w:pPr>
            <w:r>
              <w:rPr>
                <w:rFonts w:hint="eastAsia"/>
                <w:color w:val="auto"/>
                <w:sz w:val="24"/>
              </w:rPr>
              <w:t>/</w:t>
            </w:r>
          </w:p>
        </w:tc>
      </w:tr>
      <w:tr w14:paraId="082EF5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47" w:type="pct"/>
            <w:tcMar>
              <w:top w:w="16" w:type="dxa"/>
              <w:left w:w="16" w:type="dxa"/>
              <w:right w:w="16" w:type="dxa"/>
            </w:tcMar>
            <w:vAlign w:val="center"/>
          </w:tcPr>
          <w:p w14:paraId="33E71329">
            <w:pPr>
              <w:jc w:val="center"/>
              <w:rPr>
                <w:color w:val="auto"/>
                <w:sz w:val="24"/>
              </w:rPr>
            </w:pPr>
            <w:r>
              <w:rPr>
                <w:color w:val="auto"/>
                <w:sz w:val="24"/>
              </w:rPr>
              <w:t>总投资（万元）</w:t>
            </w:r>
          </w:p>
        </w:tc>
        <w:tc>
          <w:tcPr>
            <w:tcW w:w="1313" w:type="pct"/>
            <w:vAlign w:val="center"/>
          </w:tcPr>
          <w:p w14:paraId="42D6EA9B">
            <w:pPr>
              <w:jc w:val="center"/>
              <w:rPr>
                <w:color w:val="auto"/>
                <w:sz w:val="24"/>
              </w:rPr>
            </w:pPr>
            <w:r>
              <w:rPr>
                <w:rFonts w:hint="eastAsia"/>
                <w:color w:val="auto"/>
                <w:sz w:val="24"/>
              </w:rPr>
              <w:t>3000</w:t>
            </w:r>
          </w:p>
        </w:tc>
        <w:tc>
          <w:tcPr>
            <w:tcW w:w="1024" w:type="pct"/>
            <w:tcMar>
              <w:top w:w="16" w:type="dxa"/>
              <w:left w:w="16" w:type="dxa"/>
              <w:right w:w="16" w:type="dxa"/>
            </w:tcMar>
            <w:vAlign w:val="center"/>
          </w:tcPr>
          <w:p w14:paraId="49F30690">
            <w:pPr>
              <w:jc w:val="center"/>
              <w:rPr>
                <w:color w:val="auto"/>
                <w:sz w:val="24"/>
              </w:rPr>
            </w:pPr>
            <w:r>
              <w:rPr>
                <w:color w:val="auto"/>
                <w:sz w:val="24"/>
              </w:rPr>
              <w:t>环保投资（万元）</w:t>
            </w:r>
          </w:p>
        </w:tc>
        <w:tc>
          <w:tcPr>
            <w:tcW w:w="2014" w:type="pct"/>
            <w:vAlign w:val="center"/>
          </w:tcPr>
          <w:p w14:paraId="0B4F9C61">
            <w:pPr>
              <w:jc w:val="center"/>
              <w:rPr>
                <w:color w:val="auto"/>
                <w:sz w:val="24"/>
              </w:rPr>
            </w:pPr>
            <w:r>
              <w:rPr>
                <w:rFonts w:hint="eastAsia"/>
                <w:color w:val="auto"/>
                <w:sz w:val="24"/>
              </w:rPr>
              <w:t>58</w:t>
            </w:r>
          </w:p>
        </w:tc>
      </w:tr>
      <w:tr w14:paraId="1AFA38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647" w:type="pct"/>
            <w:tcMar>
              <w:top w:w="16" w:type="dxa"/>
              <w:left w:w="16" w:type="dxa"/>
              <w:right w:w="16" w:type="dxa"/>
            </w:tcMar>
            <w:vAlign w:val="center"/>
          </w:tcPr>
          <w:p w14:paraId="0C8B302C">
            <w:pPr>
              <w:jc w:val="center"/>
              <w:rPr>
                <w:color w:val="auto"/>
                <w:sz w:val="24"/>
              </w:rPr>
            </w:pPr>
            <w:r>
              <w:rPr>
                <w:color w:val="auto"/>
                <w:sz w:val="24"/>
              </w:rPr>
              <w:t>环保投资占比（%）</w:t>
            </w:r>
          </w:p>
        </w:tc>
        <w:tc>
          <w:tcPr>
            <w:tcW w:w="1313" w:type="pct"/>
            <w:vAlign w:val="center"/>
          </w:tcPr>
          <w:p w14:paraId="52C3B0F8">
            <w:pPr>
              <w:jc w:val="center"/>
              <w:rPr>
                <w:color w:val="auto"/>
                <w:sz w:val="24"/>
              </w:rPr>
            </w:pPr>
            <w:r>
              <w:rPr>
                <w:rFonts w:hint="eastAsia"/>
                <w:color w:val="auto"/>
                <w:sz w:val="24"/>
              </w:rPr>
              <w:t>1.93</w:t>
            </w:r>
          </w:p>
        </w:tc>
        <w:tc>
          <w:tcPr>
            <w:tcW w:w="1024" w:type="pct"/>
            <w:tcMar>
              <w:top w:w="16" w:type="dxa"/>
              <w:left w:w="16" w:type="dxa"/>
              <w:right w:w="16" w:type="dxa"/>
            </w:tcMar>
            <w:vAlign w:val="center"/>
          </w:tcPr>
          <w:p w14:paraId="386901A5">
            <w:pPr>
              <w:jc w:val="center"/>
              <w:rPr>
                <w:color w:val="auto"/>
                <w:sz w:val="24"/>
              </w:rPr>
            </w:pPr>
            <w:r>
              <w:rPr>
                <w:color w:val="auto"/>
                <w:sz w:val="24"/>
              </w:rPr>
              <w:t>施工工期</w:t>
            </w:r>
          </w:p>
        </w:tc>
        <w:tc>
          <w:tcPr>
            <w:tcW w:w="2014" w:type="pct"/>
            <w:vAlign w:val="center"/>
          </w:tcPr>
          <w:p w14:paraId="2F70F1D5">
            <w:pPr>
              <w:jc w:val="center"/>
              <w:rPr>
                <w:color w:val="auto"/>
                <w:sz w:val="24"/>
              </w:rPr>
            </w:pPr>
            <w:r>
              <w:rPr>
                <w:color w:val="auto"/>
                <w:sz w:val="24"/>
              </w:rPr>
              <w:t>3个月</w:t>
            </w:r>
          </w:p>
        </w:tc>
      </w:tr>
      <w:tr w14:paraId="10487F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47" w:type="pct"/>
            <w:tcMar>
              <w:top w:w="16" w:type="dxa"/>
              <w:left w:w="16" w:type="dxa"/>
              <w:right w:w="16" w:type="dxa"/>
            </w:tcMar>
            <w:vAlign w:val="center"/>
          </w:tcPr>
          <w:p w14:paraId="0C570C61">
            <w:pPr>
              <w:jc w:val="center"/>
              <w:rPr>
                <w:color w:val="auto"/>
                <w:sz w:val="24"/>
              </w:rPr>
            </w:pPr>
            <w:r>
              <w:rPr>
                <w:color w:val="auto"/>
                <w:sz w:val="24"/>
              </w:rPr>
              <w:t>是否开工建设</w:t>
            </w:r>
          </w:p>
        </w:tc>
        <w:tc>
          <w:tcPr>
            <w:tcW w:w="1313" w:type="pct"/>
            <w:vAlign w:val="center"/>
          </w:tcPr>
          <w:p w14:paraId="02829259">
            <w:pPr>
              <w:rPr>
                <w:color w:val="auto"/>
                <w:sz w:val="24"/>
              </w:rPr>
            </w:pPr>
            <w:r>
              <w:rPr>
                <w:color w:val="auto"/>
                <w:sz w:val="24"/>
              </w:rPr>
              <w:sym w:font="Wingdings 2" w:char="0052"/>
            </w:r>
            <w:r>
              <w:rPr>
                <w:color w:val="auto"/>
                <w:sz w:val="24"/>
              </w:rPr>
              <w:t>否</w:t>
            </w:r>
          </w:p>
          <w:p w14:paraId="66352125">
            <w:pPr>
              <w:rPr>
                <w:color w:val="auto"/>
                <w:sz w:val="24"/>
              </w:rPr>
            </w:pPr>
            <w:r>
              <w:rPr>
                <w:color w:val="auto"/>
                <w:sz w:val="24"/>
              </w:rPr>
              <w:sym w:font="Wingdings 2" w:char="00A3"/>
            </w:r>
            <w:r>
              <w:rPr>
                <w:color w:val="auto"/>
                <w:sz w:val="24"/>
              </w:rPr>
              <w:t>是：</w:t>
            </w:r>
            <w:r>
              <w:rPr>
                <w:color w:val="auto"/>
                <w:sz w:val="24"/>
                <w:u w:val="single"/>
              </w:rPr>
              <w:t xml:space="preserve">              </w:t>
            </w:r>
          </w:p>
        </w:tc>
        <w:tc>
          <w:tcPr>
            <w:tcW w:w="1024" w:type="pct"/>
            <w:tcMar>
              <w:top w:w="16" w:type="dxa"/>
              <w:left w:w="16" w:type="dxa"/>
              <w:right w:w="16" w:type="dxa"/>
            </w:tcMar>
            <w:vAlign w:val="center"/>
          </w:tcPr>
          <w:p w14:paraId="1F4566DB">
            <w:pPr>
              <w:jc w:val="center"/>
              <w:rPr>
                <w:color w:val="auto"/>
                <w:spacing w:val="-6"/>
                <w:sz w:val="24"/>
              </w:rPr>
            </w:pPr>
            <w:r>
              <w:rPr>
                <w:color w:val="auto"/>
                <w:spacing w:val="-6"/>
                <w:sz w:val="24"/>
              </w:rPr>
              <w:t>用地（用海）</w:t>
            </w:r>
          </w:p>
          <w:p w14:paraId="4487A4F1">
            <w:pPr>
              <w:jc w:val="center"/>
              <w:rPr>
                <w:color w:val="auto"/>
                <w:sz w:val="24"/>
              </w:rPr>
            </w:pPr>
            <w:r>
              <w:rPr>
                <w:color w:val="auto"/>
                <w:spacing w:val="-6"/>
                <w:sz w:val="24"/>
              </w:rPr>
              <w:t>面积（m</w:t>
            </w:r>
            <w:r>
              <w:rPr>
                <w:color w:val="auto"/>
                <w:spacing w:val="-6"/>
                <w:sz w:val="24"/>
                <w:vertAlign w:val="superscript"/>
              </w:rPr>
              <w:t>2</w:t>
            </w:r>
            <w:r>
              <w:rPr>
                <w:color w:val="auto"/>
                <w:spacing w:val="-6"/>
                <w:sz w:val="24"/>
              </w:rPr>
              <w:t>）</w:t>
            </w:r>
          </w:p>
        </w:tc>
        <w:tc>
          <w:tcPr>
            <w:tcW w:w="2014" w:type="pct"/>
            <w:vAlign w:val="center"/>
          </w:tcPr>
          <w:p w14:paraId="22CF9309">
            <w:pPr>
              <w:jc w:val="center"/>
              <w:rPr>
                <w:color w:val="auto"/>
                <w:sz w:val="24"/>
              </w:rPr>
            </w:pPr>
            <w:r>
              <w:rPr>
                <w:rFonts w:eastAsia="仿宋_GB2312"/>
                <w:color w:val="auto"/>
                <w:sz w:val="24"/>
              </w:rPr>
              <w:t>46667</w:t>
            </w:r>
            <w:r>
              <w:rPr>
                <w:rFonts w:hint="eastAsia" w:ascii="宋体" w:hAnsi="宋体" w:cs="宋体"/>
                <w:color w:val="auto"/>
                <w:sz w:val="24"/>
              </w:rPr>
              <w:t>（不新增用地）</w:t>
            </w:r>
          </w:p>
        </w:tc>
      </w:tr>
      <w:tr w14:paraId="2F7026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47" w:type="pct"/>
            <w:vAlign w:val="center"/>
          </w:tcPr>
          <w:p w14:paraId="485C033D">
            <w:pPr>
              <w:autoSpaceDE w:val="0"/>
              <w:autoSpaceDN w:val="0"/>
              <w:jc w:val="center"/>
              <w:rPr>
                <w:color w:val="auto"/>
                <w:kern w:val="0"/>
                <w:sz w:val="24"/>
              </w:rPr>
            </w:pPr>
            <w:r>
              <w:rPr>
                <w:color w:val="auto"/>
                <w:kern w:val="0"/>
                <w:sz w:val="24"/>
              </w:rPr>
              <w:t>专项评价设置情况</w:t>
            </w:r>
          </w:p>
        </w:tc>
        <w:tc>
          <w:tcPr>
            <w:tcW w:w="4352" w:type="pct"/>
            <w:gridSpan w:val="3"/>
            <w:vAlign w:val="center"/>
          </w:tcPr>
          <w:p w14:paraId="0CF5093D">
            <w:pPr>
              <w:autoSpaceDE w:val="0"/>
              <w:autoSpaceDN w:val="0"/>
              <w:jc w:val="center"/>
              <w:rPr>
                <w:color w:val="auto"/>
                <w:kern w:val="0"/>
                <w:sz w:val="24"/>
              </w:rPr>
            </w:pPr>
            <w:r>
              <w:rPr>
                <w:color w:val="auto"/>
                <w:kern w:val="0"/>
                <w:sz w:val="24"/>
              </w:rPr>
              <w:t>无</w:t>
            </w:r>
          </w:p>
        </w:tc>
      </w:tr>
      <w:tr w14:paraId="6C5EA6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647" w:type="pct"/>
            <w:vAlign w:val="center"/>
          </w:tcPr>
          <w:p w14:paraId="7C941909">
            <w:pPr>
              <w:autoSpaceDE w:val="0"/>
              <w:autoSpaceDN w:val="0"/>
              <w:jc w:val="center"/>
              <w:rPr>
                <w:color w:val="auto"/>
                <w:kern w:val="0"/>
                <w:sz w:val="24"/>
              </w:rPr>
            </w:pPr>
            <w:r>
              <w:rPr>
                <w:color w:val="auto"/>
                <w:kern w:val="0"/>
                <w:sz w:val="24"/>
              </w:rPr>
              <w:t>规划情况</w:t>
            </w:r>
          </w:p>
        </w:tc>
        <w:tc>
          <w:tcPr>
            <w:tcW w:w="4352" w:type="pct"/>
            <w:gridSpan w:val="3"/>
            <w:vAlign w:val="center"/>
          </w:tcPr>
          <w:p w14:paraId="589174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kern w:val="0"/>
                <w:sz w:val="24"/>
              </w:rPr>
            </w:pPr>
            <w:r>
              <w:rPr>
                <w:rFonts w:hint="eastAsia"/>
                <w:color w:val="auto"/>
                <w:kern w:val="0"/>
                <w:sz w:val="24"/>
              </w:rPr>
              <w:t>1、规划名称：《宿州市国土空间总体规划（2021-2035年）》</w:t>
            </w:r>
          </w:p>
          <w:p w14:paraId="5F395E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kern w:val="0"/>
                <w:sz w:val="24"/>
              </w:rPr>
            </w:pPr>
            <w:r>
              <w:rPr>
                <w:color w:val="auto"/>
                <w:sz w:val="24"/>
              </w:rPr>
              <w:t>2、</w:t>
            </w:r>
            <w:r>
              <w:rPr>
                <w:rFonts w:hint="eastAsia"/>
                <w:color w:val="auto"/>
                <w:kern w:val="0"/>
                <w:sz w:val="24"/>
              </w:rPr>
              <w:t>审批机关：安徽省人民政府</w:t>
            </w:r>
          </w:p>
          <w:p w14:paraId="36F83D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Style w:val="27"/>
                <w:color w:val="auto"/>
                <w:szCs w:val="20"/>
              </w:rPr>
            </w:pPr>
            <w:r>
              <w:rPr>
                <w:rFonts w:hint="eastAsia"/>
                <w:color w:val="auto"/>
                <w:kern w:val="0"/>
                <w:sz w:val="24"/>
              </w:rPr>
              <w:t>3、审批文号：皖政秘〔2024〕43号</w:t>
            </w:r>
          </w:p>
          <w:p w14:paraId="671D07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lang w:val="en-US" w:eastAsia="zh-CN"/>
              </w:rPr>
            </w:pPr>
            <w:r>
              <w:rPr>
                <w:rFonts w:hint="eastAsia"/>
                <w:color w:val="auto"/>
                <w:sz w:val="24"/>
                <w:lang w:val="en-US" w:eastAsia="zh-CN"/>
              </w:rPr>
              <w:t>1、规划名称：《宿州市埇桥区朱仙庄镇国土空间总体规划》（2021-2035年）</w:t>
            </w:r>
          </w:p>
          <w:p w14:paraId="623694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lang w:val="en-US" w:eastAsia="zh-CN"/>
              </w:rPr>
            </w:pPr>
            <w:r>
              <w:rPr>
                <w:rFonts w:hint="eastAsia"/>
                <w:color w:val="auto"/>
                <w:sz w:val="24"/>
                <w:lang w:val="en-US" w:eastAsia="zh-CN"/>
              </w:rPr>
              <w:t>2、</w:t>
            </w:r>
            <w:r>
              <w:rPr>
                <w:rFonts w:hint="eastAsia"/>
                <w:color w:val="auto"/>
                <w:kern w:val="0"/>
                <w:sz w:val="24"/>
              </w:rPr>
              <w:t>审批机关：</w:t>
            </w:r>
            <w:r>
              <w:rPr>
                <w:rFonts w:hint="eastAsia"/>
                <w:color w:val="auto"/>
                <w:kern w:val="0"/>
                <w:sz w:val="24"/>
                <w:lang w:val="en-US" w:eastAsia="zh-CN"/>
              </w:rPr>
              <w:t>宿州市埇桥区人民政府</w:t>
            </w:r>
          </w:p>
        </w:tc>
      </w:tr>
      <w:tr w14:paraId="77DB71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2" w:hRule="atLeast"/>
          <w:jc w:val="center"/>
        </w:trPr>
        <w:tc>
          <w:tcPr>
            <w:tcW w:w="647" w:type="pct"/>
            <w:vAlign w:val="center"/>
          </w:tcPr>
          <w:p w14:paraId="063529AF">
            <w:pPr>
              <w:autoSpaceDE w:val="0"/>
              <w:autoSpaceDN w:val="0"/>
              <w:jc w:val="center"/>
              <w:rPr>
                <w:color w:val="auto"/>
                <w:kern w:val="0"/>
                <w:sz w:val="24"/>
              </w:rPr>
            </w:pPr>
            <w:r>
              <w:rPr>
                <w:color w:val="auto"/>
                <w:kern w:val="0"/>
                <w:sz w:val="24"/>
              </w:rPr>
              <w:t>规划环境影响评价情况</w:t>
            </w:r>
          </w:p>
        </w:tc>
        <w:tc>
          <w:tcPr>
            <w:tcW w:w="4352" w:type="pct"/>
            <w:gridSpan w:val="3"/>
            <w:vAlign w:val="center"/>
          </w:tcPr>
          <w:p w14:paraId="408CE289">
            <w:pPr>
              <w:autoSpaceDE w:val="0"/>
              <w:autoSpaceDN w:val="0"/>
              <w:adjustRightInd w:val="0"/>
              <w:snapToGrid w:val="0"/>
              <w:spacing w:line="360" w:lineRule="auto"/>
              <w:jc w:val="center"/>
              <w:rPr>
                <w:color w:val="auto"/>
              </w:rPr>
            </w:pPr>
            <w:r>
              <w:rPr>
                <w:rFonts w:hint="eastAsia"/>
                <w:color w:val="auto"/>
                <w:sz w:val="24"/>
                <w:szCs w:val="32"/>
              </w:rPr>
              <w:t>无</w:t>
            </w:r>
          </w:p>
        </w:tc>
      </w:tr>
      <w:tr w14:paraId="41F9E0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7" w:type="pct"/>
            <w:vAlign w:val="center"/>
          </w:tcPr>
          <w:p w14:paraId="38AF1207">
            <w:pPr>
              <w:autoSpaceDE w:val="0"/>
              <w:autoSpaceDN w:val="0"/>
              <w:jc w:val="center"/>
              <w:rPr>
                <w:color w:val="auto"/>
                <w:kern w:val="0"/>
                <w:sz w:val="24"/>
              </w:rPr>
            </w:pPr>
            <w:r>
              <w:rPr>
                <w:color w:val="auto"/>
                <w:kern w:val="0"/>
                <w:sz w:val="24"/>
              </w:rPr>
              <w:t>规划及规划环境影响评价符合性分析</w:t>
            </w:r>
          </w:p>
        </w:tc>
        <w:tc>
          <w:tcPr>
            <w:tcW w:w="4352" w:type="pct"/>
            <w:gridSpan w:val="3"/>
            <w:vAlign w:val="center"/>
          </w:tcPr>
          <w:p w14:paraId="4BA51EF7">
            <w:pPr>
              <w:autoSpaceDE w:val="0"/>
              <w:autoSpaceDN w:val="0"/>
              <w:spacing w:line="360" w:lineRule="auto"/>
              <w:ind w:firstLine="480" w:firstLineChars="200"/>
              <w:rPr>
                <w:rFonts w:hint="eastAsia"/>
                <w:color w:val="auto"/>
                <w:kern w:val="0"/>
                <w:sz w:val="24"/>
              </w:rPr>
            </w:pPr>
            <w:r>
              <w:rPr>
                <w:rFonts w:hint="eastAsia"/>
                <w:color w:val="auto"/>
                <w:kern w:val="0"/>
                <w:sz w:val="24"/>
              </w:rPr>
              <w:t>《宿州市国土空间总体规划（2021-2035年）》规划内容</w:t>
            </w:r>
            <w:r>
              <w:rPr>
                <w:rFonts w:hint="eastAsia"/>
                <w:color w:val="auto"/>
                <w:kern w:val="0"/>
                <w:sz w:val="24"/>
                <w:lang w:val="en-US" w:eastAsia="zh-CN"/>
              </w:rPr>
              <w:t>摘取</w:t>
            </w:r>
            <w:r>
              <w:rPr>
                <w:rFonts w:hint="eastAsia"/>
                <w:color w:val="auto"/>
                <w:kern w:val="0"/>
                <w:sz w:val="24"/>
              </w:rPr>
              <w:t>：</w:t>
            </w:r>
          </w:p>
          <w:p w14:paraId="2F536A8A">
            <w:pPr>
              <w:autoSpaceDE w:val="0"/>
              <w:autoSpaceDN w:val="0"/>
              <w:spacing w:line="360" w:lineRule="auto"/>
              <w:ind w:firstLine="480" w:firstLineChars="200"/>
              <w:rPr>
                <w:color w:val="auto"/>
                <w:kern w:val="0"/>
                <w:sz w:val="24"/>
              </w:rPr>
            </w:pPr>
            <w:r>
              <w:rPr>
                <w:color w:val="auto"/>
                <w:kern w:val="0"/>
                <w:sz w:val="24"/>
              </w:rPr>
              <w:t>二是强化底线约束。严格落实上级下达的三条控制线划定及管控要求，筑牢国土空间规划底线，耕地保有量不低于5897.25平方千米（884.59万亩），其中永久基本农田保护面积不低于5171.42平方千米（775.71万亩）；生态保护红线面积不低于349.13平方千米；城镇开发边界不高于582.11平方千米。三是构建国土空间总体格局。落实安徽省“一圈两屏三带五区”总体格局，以双评价为基础，构建“三区两廊五中心”的国土空间总体格局。保障粮食安全和重要农产品供给，构筑萧县砀山绿色水果主产区、埇桥灵璧小麦玉米主产区和泗县麦薯主产区。严格落实生态保护要求，构建北部黄河故道生态廊道和南部大运河生态廊道。发挥中心城区辐射带动作用，协同徐州、淮北建设徐宿淮城镇发展带，支持砀山县、萧县、灵璧县、泗县四个城镇服务中心建设，优化全市城镇空间布局。</w:t>
            </w:r>
          </w:p>
          <w:p w14:paraId="087482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lang w:val="en-US" w:eastAsia="zh-CN"/>
              </w:rPr>
            </w:pPr>
            <w:r>
              <w:rPr>
                <w:rFonts w:hint="eastAsia"/>
                <w:color w:val="auto"/>
                <w:sz w:val="24"/>
                <w:lang w:val="en-US" w:eastAsia="zh-CN"/>
              </w:rPr>
              <w:t>《宿州市埇桥区朱仙庄镇国土空间总体规划》（2021-2035年）规划内容摘取：</w:t>
            </w:r>
          </w:p>
          <w:p w14:paraId="067C8F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kern w:val="0"/>
                <w:sz w:val="24"/>
              </w:rPr>
            </w:pPr>
            <w:r>
              <w:rPr>
                <w:rFonts w:hint="eastAsia"/>
                <w:color w:val="auto"/>
                <w:sz w:val="24"/>
                <w:lang w:val="en-US" w:eastAsia="zh-CN"/>
              </w:rPr>
              <w:t>底线约束：严格落实三条控制线。严格落实上位规划相关要求，在乡镇域范围内统筹落实耕地和永久基本农田保护红线、生态保护红线和城镇开发边界。至2035年，镇域耕地保有量（中心城区范围外）不低于7991.60公顷（另有1820公顷位于中心城区范围内），永久基本农田保护面积不低于6161公顷朱仙庄镇不涉及生态保护红线。落实上位规划确定的朱仙庄镇城镇开发边界面积2046公顷；其中1856.7公顷属宿州市中心城区；朱仙庄镇镇区172.4公顷，后场村东城新村17.3公顷。</w:t>
            </w:r>
          </w:p>
          <w:p w14:paraId="2E2AFB5D">
            <w:pPr>
              <w:pStyle w:val="31"/>
              <w:spacing w:line="360" w:lineRule="auto"/>
              <w:ind w:firstLine="480"/>
              <w:rPr>
                <w:color w:val="auto"/>
              </w:rPr>
            </w:pPr>
            <w:r>
              <w:rPr>
                <w:rFonts w:hint="eastAsia" w:eastAsia="宋体"/>
                <w:color w:val="auto"/>
              </w:rPr>
              <w:t>根据《宿州市国土空间总体规划（2021-2035年）》</w:t>
            </w:r>
            <w:r>
              <w:rPr>
                <w:rFonts w:hint="eastAsia" w:eastAsia="宋体"/>
                <w:color w:val="auto"/>
                <w:lang w:val="en-US" w:eastAsia="zh-CN"/>
              </w:rPr>
              <w:t>和《宿州市埇桥区朱仙庄镇国土空间总体规划》（2021-2035年）</w:t>
            </w:r>
            <w:r>
              <w:rPr>
                <w:rFonts w:hint="eastAsia" w:eastAsia="宋体"/>
                <w:color w:val="auto"/>
              </w:rPr>
              <w:t>，本项目位于宿州市埇桥区朱仙庄镇东三环与泗永路交叉口东侧，</w:t>
            </w:r>
            <w:r>
              <w:rPr>
                <w:rFonts w:hint="eastAsia" w:eastAsia="宋体"/>
                <w:color w:val="auto"/>
                <w:lang w:val="en-US" w:eastAsia="zh-CN"/>
              </w:rPr>
              <w:t>项目</w:t>
            </w:r>
            <w:r>
              <w:rPr>
                <w:rFonts w:hint="eastAsia" w:eastAsia="宋体"/>
                <w:color w:val="auto"/>
              </w:rPr>
              <w:t>不占用永久基本农田</w:t>
            </w:r>
            <w:r>
              <w:rPr>
                <w:rFonts w:hint="eastAsia" w:eastAsia="宋体"/>
                <w:color w:val="auto"/>
                <w:lang w:val="en-US" w:eastAsia="zh-CN"/>
              </w:rPr>
              <w:t>和生态红线</w:t>
            </w:r>
            <w:r>
              <w:rPr>
                <w:rFonts w:hint="eastAsia" w:eastAsia="宋体"/>
                <w:color w:val="auto"/>
              </w:rPr>
              <w:t>，</w:t>
            </w:r>
            <w:r>
              <w:rPr>
                <w:rFonts w:hint="eastAsia" w:eastAsia="宋体"/>
                <w:color w:val="auto"/>
                <w:lang w:val="en-US" w:eastAsia="zh-CN"/>
              </w:rPr>
              <w:t>根据《宿州市埇桥区朱仙庄镇国土空间总体规划》（2021-2035年）规划图，</w:t>
            </w:r>
            <w:r>
              <w:rPr>
                <w:rFonts w:hint="eastAsia" w:eastAsia="宋体"/>
                <w:color w:val="auto"/>
              </w:rPr>
              <w:t>项目用地性质属于工业用地。</w:t>
            </w:r>
          </w:p>
        </w:tc>
      </w:tr>
      <w:tr w14:paraId="0DF379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7" w:type="pct"/>
            <w:vAlign w:val="center"/>
          </w:tcPr>
          <w:p w14:paraId="2A208DB3">
            <w:pPr>
              <w:autoSpaceDE w:val="0"/>
              <w:autoSpaceDN w:val="0"/>
              <w:jc w:val="center"/>
              <w:rPr>
                <w:color w:val="auto"/>
                <w:kern w:val="0"/>
                <w:sz w:val="24"/>
              </w:rPr>
            </w:pPr>
            <w:r>
              <w:rPr>
                <w:color w:val="auto"/>
                <w:kern w:val="0"/>
                <w:sz w:val="24"/>
              </w:rPr>
              <w:t>其他符合性分析</w:t>
            </w:r>
          </w:p>
        </w:tc>
        <w:tc>
          <w:tcPr>
            <w:tcW w:w="4352" w:type="pct"/>
            <w:gridSpan w:val="3"/>
            <w:vAlign w:val="center"/>
          </w:tcPr>
          <w:p w14:paraId="3DE8DDED">
            <w:pPr>
              <w:pStyle w:val="33"/>
              <w:widowControl/>
              <w:autoSpaceDE w:val="0"/>
              <w:autoSpaceDN w:val="0"/>
              <w:spacing w:line="360" w:lineRule="auto"/>
              <w:ind w:firstLine="0" w:firstLineChars="0"/>
              <w:textAlignment w:val="baseline"/>
              <w:rPr>
                <w:b/>
                <w:bCs/>
                <w:color w:val="auto"/>
                <w:sz w:val="24"/>
              </w:rPr>
            </w:pPr>
            <w:r>
              <w:rPr>
                <w:rFonts w:hint="eastAsia"/>
                <w:b/>
                <w:bCs/>
                <w:color w:val="auto"/>
                <w:kern w:val="0"/>
                <w:sz w:val="24"/>
              </w:rPr>
              <w:t>一</w:t>
            </w:r>
            <w:r>
              <w:rPr>
                <w:b/>
                <w:bCs/>
                <w:color w:val="auto"/>
                <w:kern w:val="0"/>
                <w:sz w:val="24"/>
              </w:rPr>
              <w:t>、</w:t>
            </w:r>
            <w:r>
              <w:rPr>
                <w:b/>
                <w:bCs/>
                <w:color w:val="auto"/>
                <w:sz w:val="24"/>
              </w:rPr>
              <w:t>产业政策符合性分析</w:t>
            </w:r>
          </w:p>
          <w:p w14:paraId="29969508">
            <w:pPr>
              <w:widowControl/>
              <w:autoSpaceDE w:val="0"/>
              <w:autoSpaceDN w:val="0"/>
              <w:spacing w:line="360" w:lineRule="auto"/>
              <w:ind w:firstLine="480" w:firstLineChars="200"/>
              <w:textAlignment w:val="baseline"/>
              <w:rPr>
                <w:color w:val="auto"/>
                <w:sz w:val="24"/>
                <w:lang w:bidi="ar"/>
              </w:rPr>
            </w:pPr>
            <w:r>
              <w:rPr>
                <w:rFonts w:hint="eastAsia"/>
                <w:color w:val="auto"/>
                <w:sz w:val="24"/>
                <w:lang w:bidi="ar"/>
              </w:rPr>
              <w:t>根据</w:t>
            </w:r>
            <w:r>
              <w:rPr>
                <w:color w:val="auto"/>
                <w:sz w:val="24"/>
                <w:lang w:bidi="ar"/>
              </w:rPr>
              <w:t>《产业结构调整指导目录（</w:t>
            </w:r>
            <w:r>
              <w:rPr>
                <w:rFonts w:hint="eastAsia"/>
                <w:color w:val="auto"/>
                <w:sz w:val="24"/>
                <w:lang w:bidi="ar"/>
              </w:rPr>
              <w:t>2024</w:t>
            </w:r>
            <w:r>
              <w:rPr>
                <w:color w:val="auto"/>
                <w:sz w:val="24"/>
                <w:lang w:bidi="ar"/>
              </w:rPr>
              <w:t>年本）》，项目不属于限制类和淘汰类，属于</w:t>
            </w:r>
            <w:r>
              <w:rPr>
                <w:rFonts w:hint="eastAsia"/>
                <w:color w:val="auto"/>
                <w:sz w:val="24"/>
                <w:lang w:bidi="ar"/>
              </w:rPr>
              <w:t>允许类</w:t>
            </w:r>
            <w:r>
              <w:rPr>
                <w:color w:val="auto"/>
                <w:sz w:val="24"/>
                <w:lang w:bidi="ar"/>
              </w:rPr>
              <w:t>项目。</w:t>
            </w:r>
          </w:p>
          <w:p w14:paraId="10E015C5">
            <w:pPr>
              <w:widowControl/>
              <w:autoSpaceDE w:val="0"/>
              <w:autoSpaceDN w:val="0"/>
              <w:spacing w:line="360" w:lineRule="auto"/>
              <w:ind w:firstLine="480" w:firstLineChars="200"/>
              <w:textAlignment w:val="baseline"/>
              <w:rPr>
                <w:color w:val="auto"/>
                <w:sz w:val="24"/>
                <w:lang w:bidi="ar"/>
              </w:rPr>
            </w:pPr>
            <w:r>
              <w:rPr>
                <w:color w:val="auto"/>
                <w:sz w:val="24"/>
                <w:lang w:bidi="ar"/>
              </w:rPr>
              <w:t>本项目已于202</w:t>
            </w:r>
            <w:r>
              <w:rPr>
                <w:rFonts w:hint="eastAsia"/>
                <w:color w:val="auto"/>
                <w:sz w:val="24"/>
                <w:lang w:bidi="ar"/>
              </w:rPr>
              <w:t>5</w:t>
            </w:r>
            <w:r>
              <w:rPr>
                <w:color w:val="auto"/>
                <w:sz w:val="24"/>
                <w:lang w:bidi="ar"/>
              </w:rPr>
              <w:t>年</w:t>
            </w:r>
            <w:r>
              <w:rPr>
                <w:rFonts w:hint="eastAsia"/>
                <w:color w:val="auto"/>
                <w:sz w:val="24"/>
                <w:lang w:bidi="ar"/>
              </w:rPr>
              <w:t>12</w:t>
            </w:r>
            <w:r>
              <w:rPr>
                <w:color w:val="auto"/>
                <w:sz w:val="24"/>
                <w:lang w:bidi="ar"/>
              </w:rPr>
              <w:t>月</w:t>
            </w:r>
            <w:r>
              <w:rPr>
                <w:rFonts w:hint="eastAsia"/>
                <w:color w:val="auto"/>
                <w:sz w:val="24"/>
                <w:lang w:bidi="ar"/>
              </w:rPr>
              <w:t>04</w:t>
            </w:r>
            <w:r>
              <w:rPr>
                <w:color w:val="auto"/>
                <w:sz w:val="24"/>
                <w:lang w:bidi="ar"/>
              </w:rPr>
              <w:t>日由</w:t>
            </w:r>
            <w:r>
              <w:rPr>
                <w:rFonts w:hint="eastAsia"/>
                <w:color w:val="auto"/>
                <w:sz w:val="24"/>
                <w:lang w:bidi="ar"/>
              </w:rPr>
              <w:t>宿州市埇桥区工业和信息化局</w:t>
            </w:r>
            <w:r>
              <w:rPr>
                <w:color w:val="auto"/>
                <w:sz w:val="24"/>
                <w:lang w:bidi="ar"/>
              </w:rPr>
              <w:t>予以备案。项目代码为</w:t>
            </w:r>
            <w:r>
              <w:rPr>
                <w:rFonts w:hint="eastAsia"/>
                <w:color w:val="auto"/>
                <w:sz w:val="24"/>
                <w:lang w:bidi="ar"/>
              </w:rPr>
              <w:t>2512-341302-07-01-484797</w:t>
            </w:r>
            <w:r>
              <w:rPr>
                <w:color w:val="auto"/>
                <w:sz w:val="24"/>
                <w:lang w:bidi="ar"/>
              </w:rPr>
              <w:t>。</w:t>
            </w:r>
          </w:p>
          <w:p w14:paraId="7FAFF370">
            <w:pPr>
              <w:widowControl/>
              <w:autoSpaceDE w:val="0"/>
              <w:autoSpaceDN w:val="0"/>
              <w:spacing w:line="360" w:lineRule="auto"/>
              <w:ind w:firstLine="480" w:firstLineChars="200"/>
              <w:textAlignment w:val="baseline"/>
              <w:rPr>
                <w:color w:val="auto"/>
                <w:sz w:val="24"/>
              </w:rPr>
            </w:pPr>
            <w:r>
              <w:rPr>
                <w:color w:val="auto"/>
                <w:sz w:val="24"/>
                <w:lang w:bidi="ar"/>
              </w:rPr>
              <w:t>因此，本项目的建设符合国家和地方产业政策要求。</w:t>
            </w:r>
          </w:p>
          <w:p w14:paraId="1C1B1DD4">
            <w:pPr>
              <w:spacing w:line="360" w:lineRule="auto"/>
              <w:rPr>
                <w:b/>
                <w:color w:val="auto"/>
                <w:sz w:val="24"/>
              </w:rPr>
            </w:pPr>
            <w:r>
              <w:rPr>
                <w:rFonts w:hint="eastAsia"/>
                <w:b/>
                <w:bCs/>
                <w:color w:val="auto"/>
                <w:kern w:val="0"/>
                <w:sz w:val="24"/>
              </w:rPr>
              <w:t>二</w:t>
            </w:r>
            <w:r>
              <w:rPr>
                <w:b/>
                <w:bCs/>
                <w:color w:val="auto"/>
                <w:kern w:val="0"/>
                <w:sz w:val="24"/>
              </w:rPr>
              <w:t>、</w:t>
            </w:r>
            <w:r>
              <w:rPr>
                <w:b/>
                <w:color w:val="auto"/>
                <w:sz w:val="24"/>
              </w:rPr>
              <w:t>选址合理性和周边环境相容性分析</w:t>
            </w:r>
          </w:p>
          <w:p w14:paraId="57541785">
            <w:pPr>
              <w:spacing w:line="360" w:lineRule="auto"/>
              <w:ind w:firstLine="480" w:firstLineChars="200"/>
              <w:rPr>
                <w:color w:val="auto"/>
                <w:sz w:val="24"/>
              </w:rPr>
            </w:pPr>
            <w:r>
              <w:rPr>
                <w:color w:val="auto"/>
                <w:sz w:val="24"/>
              </w:rPr>
              <w:t>（1）</w:t>
            </w:r>
            <w:r>
              <w:rPr>
                <w:rFonts w:hint="eastAsia"/>
                <w:color w:val="auto"/>
                <w:sz w:val="24"/>
              </w:rPr>
              <w:t>选址合理性</w:t>
            </w:r>
          </w:p>
          <w:p w14:paraId="50172A6C">
            <w:pPr>
              <w:spacing w:line="360" w:lineRule="auto"/>
              <w:ind w:firstLine="480" w:firstLineChars="200"/>
              <w:rPr>
                <w:b/>
                <w:bCs/>
                <w:color w:val="auto"/>
                <w:kern w:val="0"/>
                <w:sz w:val="24"/>
              </w:rPr>
            </w:pPr>
            <w:r>
              <w:rPr>
                <w:color w:val="auto"/>
                <w:sz w:val="24"/>
              </w:rPr>
              <w:t>本项目位于宿州市埇桥区朱仙庄镇东三环与泗永路交叉口东侧</w:t>
            </w:r>
            <w:r>
              <w:rPr>
                <w:rFonts w:hint="eastAsia"/>
                <w:color w:val="auto"/>
                <w:sz w:val="24"/>
              </w:rPr>
              <w:t>，根据</w:t>
            </w:r>
            <w:r>
              <w:rPr>
                <w:rFonts w:hint="eastAsia"/>
                <w:color w:val="auto"/>
                <w:kern w:val="0"/>
                <w:sz w:val="24"/>
              </w:rPr>
              <w:t>《宿州市国土空间总体规划（2021-2035年）》</w:t>
            </w:r>
            <w:r>
              <w:rPr>
                <w:rFonts w:hint="eastAsia"/>
                <w:color w:val="auto"/>
                <w:kern w:val="0"/>
                <w:sz w:val="24"/>
                <w:lang w:val="en-US" w:eastAsia="zh-CN"/>
              </w:rPr>
              <w:t>和《宿州市埇桥区朱仙庄镇国土空间总体规划》（2021-2035年）</w:t>
            </w:r>
            <w:r>
              <w:rPr>
                <w:rFonts w:hint="eastAsia"/>
                <w:color w:val="auto"/>
                <w:kern w:val="0"/>
                <w:sz w:val="24"/>
              </w:rPr>
              <w:t>规划图</w:t>
            </w:r>
            <w:r>
              <w:rPr>
                <w:rFonts w:hint="eastAsia"/>
                <w:color w:val="auto"/>
                <w:sz w:val="24"/>
              </w:rPr>
              <w:t>本项目所在区域为工业用地。</w:t>
            </w:r>
            <w:r>
              <w:rPr>
                <w:color w:val="auto"/>
                <w:sz w:val="24"/>
              </w:rPr>
              <w:t>项目</w:t>
            </w:r>
            <w:r>
              <w:rPr>
                <w:rFonts w:hint="eastAsia"/>
                <w:color w:val="auto"/>
                <w:sz w:val="24"/>
              </w:rPr>
              <w:t>东侧为空地，南侧紧邻四永路，西侧紧邻东三环路，北侧为宿州市永固新型墙体建材有限公司</w:t>
            </w:r>
            <w:r>
              <w:rPr>
                <w:color w:val="auto"/>
                <w:sz w:val="24"/>
              </w:rPr>
              <w:t>。</w:t>
            </w:r>
            <w:r>
              <w:rPr>
                <w:rFonts w:hint="eastAsia"/>
                <w:color w:val="auto"/>
                <w:sz w:val="24"/>
              </w:rPr>
              <w:t>项目</w:t>
            </w:r>
            <w:r>
              <w:rPr>
                <w:color w:val="auto"/>
                <w:sz w:val="24"/>
              </w:rPr>
              <w:t>周边无饮用水源保护区、 自然保护区、风景名胜区、生态环境敏感区等环境保护目标，</w:t>
            </w:r>
            <w:r>
              <w:rPr>
                <w:color w:val="auto"/>
                <w:kern w:val="0"/>
                <w:sz w:val="24"/>
              </w:rPr>
              <w:t>项目在采取相应污染防治措施并且各项污染物达标排放的前提下，污染物排放对周围环境影响较小。项目场地地势平坦，地质条件良好，该项目污染物排放量较少，其周围气、水、声环境质量现状较好，地理位置优越，交通便利，供水、供电等配套设施完善，完全能满足本项目需求，因此建设项目选址是可行的。</w:t>
            </w:r>
          </w:p>
          <w:p w14:paraId="23C35AA9">
            <w:pPr>
              <w:autoSpaceDE w:val="0"/>
              <w:autoSpaceDN w:val="0"/>
              <w:spacing w:line="360" w:lineRule="auto"/>
              <w:ind w:firstLine="480" w:firstLineChars="200"/>
              <w:rPr>
                <w:b/>
                <w:bCs/>
                <w:color w:val="auto"/>
                <w:kern w:val="0"/>
                <w:sz w:val="24"/>
              </w:rPr>
            </w:pPr>
            <w:r>
              <w:rPr>
                <w:color w:val="auto"/>
                <w:sz w:val="24"/>
              </w:rPr>
              <w:t>（</w:t>
            </w:r>
            <w:r>
              <w:rPr>
                <w:rFonts w:hint="eastAsia"/>
                <w:color w:val="auto"/>
                <w:sz w:val="24"/>
              </w:rPr>
              <w:t>2</w:t>
            </w:r>
            <w:r>
              <w:rPr>
                <w:color w:val="auto"/>
                <w:sz w:val="24"/>
              </w:rPr>
              <w:t>）选址环境相容性</w:t>
            </w:r>
          </w:p>
          <w:p w14:paraId="7E030898">
            <w:pPr>
              <w:pStyle w:val="13"/>
              <w:spacing w:after="0" w:line="360" w:lineRule="auto"/>
              <w:ind w:left="0" w:leftChars="0" w:firstLine="480"/>
              <w:rPr>
                <w:rFonts w:hint="eastAsia"/>
                <w:bCs/>
                <w:color w:val="auto"/>
                <w:lang w:val="en-US" w:eastAsia="zh-CN"/>
              </w:rPr>
            </w:pPr>
            <w:r>
              <w:rPr>
                <w:rFonts w:hint="eastAsia"/>
                <w:color w:val="auto"/>
              </w:rPr>
              <w:t>本</w:t>
            </w:r>
            <w:r>
              <w:rPr>
                <w:color w:val="auto"/>
              </w:rPr>
              <w:t>项目</w:t>
            </w:r>
            <w:r>
              <w:rPr>
                <w:rFonts w:hint="eastAsia"/>
                <w:color w:val="auto"/>
              </w:rPr>
              <w:t>东侧为空地，南侧紧邻四永路，西侧紧邻东三环路，北侧为宿州市永固新型墙体建材有限公司，</w:t>
            </w:r>
            <w:r>
              <w:rPr>
                <w:color w:val="auto"/>
              </w:rPr>
              <w:t>周边500m范围内无自然保护区、风景旅游景点和文物古迹等需要特殊保护的环境敏感对象；</w:t>
            </w:r>
            <w:r>
              <w:rPr>
                <w:bCs/>
                <w:color w:val="auto"/>
              </w:rPr>
              <w:t>项目厂界距离最近敏感点</w:t>
            </w:r>
            <w:r>
              <w:rPr>
                <w:rFonts w:hint="eastAsia"/>
                <w:bCs/>
                <w:color w:val="auto"/>
              </w:rPr>
              <w:t>北侧朱仙庄镇的零星居民点，距离本项目约21m；东南侧的阮家</w:t>
            </w:r>
            <w:r>
              <w:rPr>
                <w:bCs/>
                <w:color w:val="auto"/>
              </w:rPr>
              <w:t>，距离本项目约</w:t>
            </w:r>
            <w:r>
              <w:rPr>
                <w:rFonts w:hint="eastAsia"/>
                <w:bCs/>
                <w:color w:val="auto"/>
              </w:rPr>
              <w:t>492</w:t>
            </w:r>
            <w:r>
              <w:rPr>
                <w:bCs/>
                <w:color w:val="auto"/>
              </w:rPr>
              <w:t>m</w:t>
            </w:r>
            <w:r>
              <w:rPr>
                <w:rFonts w:hint="eastAsia"/>
                <w:bCs/>
                <w:color w:val="auto"/>
              </w:rPr>
              <w:t>；东侧敏感点为朱仙庄镇，距离本项目约477m；北侧敏感点为大张家村，距离本项目约361m；西北侧敏感点为后沈村，距离本项目约376m，西南侧敏感点为金凌，距离本项目约262m。</w:t>
            </w:r>
            <w:r>
              <w:rPr>
                <w:rFonts w:hint="eastAsia"/>
                <w:bCs/>
                <w:color w:val="auto"/>
                <w:lang w:val="en-US" w:eastAsia="zh-CN"/>
              </w:rPr>
              <w:t>本项目在项目区内所产生的污染物均有相应的收集处理措施，有组织废气处理达标后通过排气筒外排，企业将排气筒设置在厂区中部，距离厂区南侧的敏感点有一定距离，可减少对敏感点影响，项目采用先进生产设备，产生较大的设备均位于厂区中部，并采取基座减振、厂房隔声等降噪措施，减少噪声对敏感点的影响。</w:t>
            </w:r>
          </w:p>
          <w:p w14:paraId="1879CEAD">
            <w:pPr>
              <w:pStyle w:val="13"/>
              <w:spacing w:after="0" w:line="360" w:lineRule="auto"/>
              <w:ind w:left="0" w:leftChars="0" w:firstLine="480"/>
              <w:rPr>
                <w:rFonts w:hint="default"/>
                <w:color w:val="auto"/>
                <w:lang w:val="en-US"/>
              </w:rPr>
            </w:pPr>
            <w:r>
              <w:rPr>
                <w:rFonts w:hint="eastAsia"/>
                <w:color w:val="auto"/>
                <w:lang w:val="en-US" w:eastAsia="zh-CN"/>
              </w:rPr>
              <w:t>综上，本项目的选址与周边环境是相容的。</w:t>
            </w:r>
          </w:p>
          <w:p w14:paraId="13FA8F0E">
            <w:pPr>
              <w:autoSpaceDE w:val="0"/>
              <w:autoSpaceDN w:val="0"/>
              <w:spacing w:line="360" w:lineRule="auto"/>
              <w:rPr>
                <w:b/>
                <w:bCs/>
                <w:color w:val="auto"/>
                <w:kern w:val="0"/>
                <w:sz w:val="24"/>
              </w:rPr>
            </w:pPr>
            <w:r>
              <w:rPr>
                <w:rFonts w:hint="eastAsia"/>
                <w:b/>
                <w:bCs/>
                <w:color w:val="auto"/>
                <w:kern w:val="0"/>
                <w:sz w:val="24"/>
              </w:rPr>
              <w:t>三</w:t>
            </w:r>
            <w:r>
              <w:rPr>
                <w:b/>
                <w:bCs/>
                <w:color w:val="auto"/>
                <w:kern w:val="0"/>
                <w:sz w:val="24"/>
              </w:rPr>
              <w:t>、</w:t>
            </w:r>
            <w:r>
              <w:rPr>
                <w:rFonts w:hint="eastAsia"/>
                <w:b/>
                <w:bCs/>
                <w:color w:val="auto"/>
                <w:kern w:val="0"/>
                <w:sz w:val="24"/>
              </w:rPr>
              <w:t>“</w:t>
            </w:r>
            <w:r>
              <w:rPr>
                <w:b/>
                <w:bCs/>
                <w:color w:val="auto"/>
                <w:kern w:val="0"/>
                <w:sz w:val="24"/>
              </w:rPr>
              <w:t>三线一单”相符性分析</w:t>
            </w:r>
          </w:p>
          <w:p w14:paraId="0E4EB526">
            <w:pPr>
              <w:widowControl/>
              <w:autoSpaceDE w:val="0"/>
              <w:autoSpaceDN w:val="0"/>
              <w:spacing w:line="360" w:lineRule="auto"/>
              <w:ind w:firstLine="480" w:firstLineChars="200"/>
              <w:textAlignment w:val="baseline"/>
              <w:rPr>
                <w:bCs/>
                <w:color w:val="auto"/>
                <w:sz w:val="24"/>
              </w:rPr>
            </w:pPr>
            <w:r>
              <w:rPr>
                <w:bCs/>
                <w:color w:val="auto"/>
                <w:sz w:val="24"/>
              </w:rPr>
              <w:t>（1）生态保护红线</w:t>
            </w:r>
          </w:p>
          <w:p w14:paraId="7C883AF5">
            <w:pPr>
              <w:pStyle w:val="9"/>
              <w:widowControl/>
              <w:spacing w:line="360" w:lineRule="auto"/>
              <w:ind w:firstLine="480" w:firstLineChars="200"/>
              <w:rPr>
                <w:color w:val="auto"/>
                <w:sz w:val="24"/>
              </w:rPr>
            </w:pPr>
            <w:r>
              <w:rPr>
                <w:rFonts w:hint="eastAsia"/>
                <w:bCs/>
                <w:color w:val="auto"/>
                <w:sz w:val="24"/>
              </w:rPr>
              <w:t>根据《宿州市“三线一单”》，宿州市共划定重点管控单元22个，面积为1641.71平方公里，占全市国土面积的16.52%，一般管控单元5个，面积为7225.23平方公里，占全市国土面积的72.7%。根据安徽省“三线一单 ”公众服务平台，项目生态环境分区管控单元编码为：ZH34130220013。</w:t>
            </w:r>
            <w:r>
              <w:rPr>
                <w:bCs/>
                <w:color w:val="auto"/>
                <w:sz w:val="24"/>
              </w:rPr>
              <w:t>项目所在区域不涉及生态保护红线</w:t>
            </w:r>
            <w:r>
              <w:rPr>
                <w:rFonts w:hint="eastAsia"/>
                <w:bCs/>
                <w:color w:val="auto"/>
                <w:sz w:val="24"/>
              </w:rPr>
              <w:t>。</w:t>
            </w:r>
          </w:p>
          <w:p w14:paraId="114AC623">
            <w:pPr>
              <w:spacing w:line="360" w:lineRule="auto"/>
              <w:ind w:firstLine="480" w:firstLineChars="200"/>
              <w:rPr>
                <w:color w:val="auto"/>
                <w:sz w:val="24"/>
              </w:rPr>
            </w:pPr>
            <w:r>
              <w:rPr>
                <w:color w:val="auto"/>
                <w:sz w:val="24"/>
              </w:rPr>
              <w:t>（2）环境质量底线</w:t>
            </w:r>
          </w:p>
          <w:p w14:paraId="7C9FED60">
            <w:pPr>
              <w:spacing w:line="360" w:lineRule="auto"/>
              <w:ind w:firstLine="480" w:firstLineChars="200"/>
              <w:rPr>
                <w:color w:val="auto"/>
                <w:sz w:val="24"/>
              </w:rPr>
            </w:pPr>
            <w:r>
              <w:rPr>
                <w:rFonts w:hint="eastAsia"/>
                <w:color w:val="auto"/>
                <w:sz w:val="24"/>
              </w:rPr>
              <w:t>①大气环境质量底线</w:t>
            </w:r>
          </w:p>
          <w:p w14:paraId="1E6272B7">
            <w:pPr>
              <w:spacing w:line="360" w:lineRule="auto"/>
              <w:ind w:firstLine="480" w:firstLineChars="200"/>
              <w:rPr>
                <w:color w:val="auto"/>
                <w:sz w:val="24"/>
              </w:rPr>
            </w:pPr>
            <w:r>
              <w:rPr>
                <w:color w:val="auto"/>
                <w:sz w:val="24"/>
              </w:rPr>
              <w:t>根据</w:t>
            </w:r>
            <w:r>
              <w:rPr>
                <w:rFonts w:hint="eastAsia"/>
                <w:color w:val="auto"/>
                <w:sz w:val="24"/>
              </w:rPr>
              <w:t>宿州市</w:t>
            </w:r>
            <w:r>
              <w:rPr>
                <w:color w:val="auto"/>
                <w:sz w:val="24"/>
              </w:rPr>
              <w:t>2024年环境空气质量数据，项目所在区域环境空气质量现状如下，宿州市2024年SO</w:t>
            </w:r>
            <w:r>
              <w:rPr>
                <w:color w:val="auto"/>
                <w:sz w:val="24"/>
                <w:vertAlign w:val="subscript"/>
              </w:rPr>
              <w:t>2</w:t>
            </w:r>
            <w:r>
              <w:rPr>
                <w:color w:val="auto"/>
                <w:sz w:val="24"/>
              </w:rPr>
              <w:t>、NO</w:t>
            </w:r>
            <w:r>
              <w:rPr>
                <w:color w:val="auto"/>
                <w:sz w:val="24"/>
                <w:vertAlign w:val="subscript"/>
              </w:rPr>
              <w:t>2</w:t>
            </w:r>
            <w:r>
              <w:rPr>
                <w:color w:val="auto"/>
                <w:sz w:val="24"/>
              </w:rPr>
              <w:t>、PM</w:t>
            </w:r>
            <w:r>
              <w:rPr>
                <w:color w:val="auto"/>
                <w:sz w:val="24"/>
                <w:vertAlign w:val="subscript"/>
              </w:rPr>
              <w:t>10</w:t>
            </w:r>
            <w:r>
              <w:rPr>
                <w:color w:val="auto"/>
                <w:sz w:val="24"/>
              </w:rPr>
              <w:t>、PM</w:t>
            </w:r>
            <w:r>
              <w:rPr>
                <w:color w:val="auto"/>
                <w:sz w:val="24"/>
                <w:vertAlign w:val="subscript"/>
              </w:rPr>
              <w:t>2.5</w:t>
            </w:r>
            <w:r>
              <w:rPr>
                <w:color w:val="auto"/>
                <w:sz w:val="24"/>
              </w:rPr>
              <w:t>年均浓度分别为6μg/m</w:t>
            </w:r>
            <w:r>
              <w:rPr>
                <w:color w:val="auto"/>
                <w:sz w:val="24"/>
                <w:vertAlign w:val="superscript"/>
              </w:rPr>
              <w:t>3</w:t>
            </w:r>
            <w:r>
              <w:rPr>
                <w:color w:val="auto"/>
                <w:sz w:val="24"/>
              </w:rPr>
              <w:t>、18μg/m</w:t>
            </w:r>
            <w:r>
              <w:rPr>
                <w:color w:val="auto"/>
                <w:sz w:val="24"/>
                <w:vertAlign w:val="superscript"/>
              </w:rPr>
              <w:t>3</w:t>
            </w:r>
            <w:r>
              <w:rPr>
                <w:color w:val="auto"/>
                <w:sz w:val="24"/>
              </w:rPr>
              <w:t>、71μg/m</w:t>
            </w:r>
            <w:r>
              <w:rPr>
                <w:color w:val="auto"/>
                <w:sz w:val="24"/>
                <w:vertAlign w:val="superscript"/>
              </w:rPr>
              <w:t>3</w:t>
            </w:r>
            <w:r>
              <w:rPr>
                <w:color w:val="auto"/>
                <w:sz w:val="24"/>
              </w:rPr>
              <w:t>、43μg/m</w:t>
            </w:r>
            <w:r>
              <w:rPr>
                <w:color w:val="auto"/>
                <w:sz w:val="24"/>
                <w:vertAlign w:val="superscript"/>
              </w:rPr>
              <w:t>3</w:t>
            </w:r>
            <w:r>
              <w:rPr>
                <w:color w:val="auto"/>
                <w:sz w:val="24"/>
              </w:rPr>
              <w:t>；CO 24小时平均第95百分位数为0.9mg/m</w:t>
            </w:r>
            <w:r>
              <w:rPr>
                <w:color w:val="auto"/>
                <w:sz w:val="24"/>
                <w:vertAlign w:val="superscript"/>
              </w:rPr>
              <w:t>3</w:t>
            </w:r>
            <w:r>
              <w:rPr>
                <w:color w:val="auto"/>
                <w:sz w:val="24"/>
              </w:rPr>
              <w:t>，O</w:t>
            </w:r>
            <w:r>
              <w:rPr>
                <w:color w:val="auto"/>
                <w:sz w:val="24"/>
                <w:vertAlign w:val="subscript"/>
              </w:rPr>
              <w:t>3</w:t>
            </w:r>
            <w:r>
              <w:rPr>
                <w:color w:val="auto"/>
                <w:sz w:val="24"/>
              </w:rPr>
              <w:t>日最大8小时平均第90百分位数为170μg/m</w:t>
            </w:r>
            <w:r>
              <w:rPr>
                <w:color w:val="auto"/>
                <w:sz w:val="24"/>
                <w:vertAlign w:val="superscript"/>
              </w:rPr>
              <w:t>3</w:t>
            </w:r>
            <w:r>
              <w:rPr>
                <w:color w:val="auto"/>
                <w:sz w:val="24"/>
              </w:rPr>
              <w:t>；超过《环境空气质量标准》（GB3095-2012）中二级标准限值的污染物为PM</w:t>
            </w:r>
            <w:r>
              <w:rPr>
                <w:color w:val="auto"/>
                <w:sz w:val="24"/>
                <w:vertAlign w:val="subscript"/>
              </w:rPr>
              <w:t>10</w:t>
            </w:r>
            <w:r>
              <w:rPr>
                <w:color w:val="auto"/>
                <w:sz w:val="24"/>
              </w:rPr>
              <w:t>、O</w:t>
            </w:r>
            <w:r>
              <w:rPr>
                <w:color w:val="auto"/>
                <w:sz w:val="24"/>
                <w:vertAlign w:val="subscript"/>
              </w:rPr>
              <w:t>3</w:t>
            </w:r>
            <w:r>
              <w:rPr>
                <w:color w:val="auto"/>
                <w:sz w:val="24"/>
              </w:rPr>
              <w:t>、PM</w:t>
            </w:r>
            <w:r>
              <w:rPr>
                <w:color w:val="auto"/>
                <w:sz w:val="24"/>
                <w:vertAlign w:val="subscript"/>
              </w:rPr>
              <w:t>2.5</w:t>
            </w:r>
            <w:r>
              <w:rPr>
                <w:color w:val="auto"/>
                <w:sz w:val="24"/>
              </w:rPr>
              <w:t>。因此项目所在区域环境空气质量为不达标区。</w:t>
            </w:r>
          </w:p>
          <w:p w14:paraId="41D78D41">
            <w:pPr>
              <w:spacing w:line="360" w:lineRule="auto"/>
              <w:ind w:firstLine="480" w:firstLineChars="200"/>
              <w:rPr>
                <w:color w:val="auto"/>
                <w:sz w:val="24"/>
              </w:rPr>
            </w:pPr>
            <w:r>
              <w:rPr>
                <w:rFonts w:hint="eastAsia"/>
                <w:color w:val="auto"/>
                <w:sz w:val="24"/>
              </w:rPr>
              <w:t>项目破碎、筛分废气经集气罩收集后通过高效布袋除尘处理后通过15m高排气筒排放（DA002）；搅拌废气经集气罩收集后通过高效布袋除尘器处理后通过15m高排气筒（DA003）</w:t>
            </w:r>
            <w:r>
              <w:rPr>
                <w:color w:val="auto"/>
                <w:sz w:val="24"/>
              </w:rPr>
              <w:t>因此，本项目废气采取以上措施，污染物能够实现达标排放。</w:t>
            </w:r>
          </w:p>
          <w:p w14:paraId="0552C7FD">
            <w:pPr>
              <w:widowControl/>
              <w:tabs>
                <w:tab w:val="left" w:pos="1551"/>
              </w:tabs>
              <w:autoSpaceDE w:val="0"/>
              <w:autoSpaceDN w:val="0"/>
              <w:spacing w:line="360" w:lineRule="auto"/>
              <w:ind w:firstLine="480" w:firstLineChars="200"/>
              <w:textAlignment w:val="baseline"/>
              <w:rPr>
                <w:color w:val="auto"/>
                <w:sz w:val="24"/>
              </w:rPr>
            </w:pPr>
            <w:r>
              <w:rPr>
                <w:color w:val="auto"/>
                <w:sz w:val="24"/>
              </w:rPr>
              <w:t>2）地表水</w:t>
            </w:r>
          </w:p>
          <w:p w14:paraId="53CEF26D">
            <w:pPr>
              <w:pStyle w:val="28"/>
              <w:spacing w:line="360" w:lineRule="auto"/>
              <w:ind w:firstLineChars="200"/>
              <w:rPr>
                <w:color w:val="auto"/>
                <w:lang w:val="en-US"/>
              </w:rPr>
            </w:pPr>
            <w:r>
              <w:rPr>
                <w:rFonts w:hint="eastAsia"/>
                <w:color w:val="auto"/>
                <w:lang w:val="en-US"/>
              </w:rPr>
              <w:t>本项目不涉及外排废水，项目涉及的废水主要为生活污水和生产用水，生活污水经已建化粪池处理后定期清掏，不外排；生产废水经沉淀池沉淀后回用，不外排。故对周边水环境影响较小。</w:t>
            </w:r>
          </w:p>
          <w:p w14:paraId="45371E4F">
            <w:pPr>
              <w:widowControl/>
              <w:autoSpaceDE w:val="0"/>
              <w:autoSpaceDN w:val="0"/>
              <w:spacing w:line="360" w:lineRule="auto"/>
              <w:ind w:firstLine="480" w:firstLineChars="200"/>
              <w:textAlignment w:val="baseline"/>
              <w:rPr>
                <w:color w:val="auto"/>
                <w:sz w:val="24"/>
              </w:rPr>
            </w:pPr>
            <w:r>
              <w:rPr>
                <w:color w:val="auto"/>
                <w:sz w:val="24"/>
              </w:rPr>
              <w:t>3）声环境</w:t>
            </w:r>
          </w:p>
          <w:p w14:paraId="6E9286F3">
            <w:pPr>
              <w:widowControl/>
              <w:autoSpaceDE w:val="0"/>
              <w:autoSpaceDN w:val="0"/>
              <w:spacing w:line="360" w:lineRule="auto"/>
              <w:ind w:firstLine="480" w:firstLineChars="200"/>
              <w:textAlignment w:val="baseline"/>
              <w:rPr>
                <w:color w:val="auto"/>
                <w:sz w:val="24"/>
              </w:rPr>
            </w:pPr>
            <w:r>
              <w:rPr>
                <w:color w:val="auto"/>
                <w:sz w:val="24"/>
              </w:rPr>
              <w:t>项目生产噪声</w:t>
            </w:r>
            <w:r>
              <w:rPr>
                <w:rFonts w:hint="eastAsia"/>
                <w:color w:val="auto"/>
                <w:sz w:val="24"/>
              </w:rPr>
              <w:t>采取了基座减震、厂房隔声、距离降声等</w:t>
            </w:r>
            <w:r>
              <w:rPr>
                <w:color w:val="auto"/>
                <w:sz w:val="24"/>
              </w:rPr>
              <w:t>措施，不改变评价区域声环境质量现状声功能区级别。</w:t>
            </w:r>
          </w:p>
          <w:p w14:paraId="065018B5">
            <w:pPr>
              <w:widowControl/>
              <w:autoSpaceDE w:val="0"/>
              <w:autoSpaceDN w:val="0"/>
              <w:spacing w:line="360" w:lineRule="auto"/>
              <w:ind w:firstLine="480" w:firstLineChars="200"/>
              <w:textAlignment w:val="baseline"/>
              <w:rPr>
                <w:color w:val="auto"/>
                <w:sz w:val="24"/>
              </w:rPr>
            </w:pPr>
            <w:r>
              <w:rPr>
                <w:color w:val="auto"/>
                <w:sz w:val="24"/>
              </w:rPr>
              <w:t>4）土壤及地下水</w:t>
            </w:r>
          </w:p>
          <w:p w14:paraId="49D0981E">
            <w:pPr>
              <w:spacing w:line="360" w:lineRule="auto"/>
              <w:ind w:firstLine="480" w:firstLineChars="200"/>
              <w:rPr>
                <w:color w:val="auto"/>
                <w:sz w:val="24"/>
              </w:rPr>
            </w:pPr>
            <w:r>
              <w:rPr>
                <w:color w:val="auto"/>
                <w:sz w:val="24"/>
              </w:rPr>
              <w:t>本项目建设不占用永久基本农田；项目对可能产生地下水、土壤影响的各项途径均进行有效预防，在确保各项防渗措施得以落实，并加强维护和厂区环境管理的前提下，可有效控制厂区内的废水污染物下渗现象，避免污染土壤，因此本项目不会对区域土壤环境产生明显影响。综上所述，本项目运营过程中排放的污染物对周边环境影响很小，符合环境质量底线要求。</w:t>
            </w:r>
          </w:p>
          <w:p w14:paraId="626891DC">
            <w:pPr>
              <w:spacing w:line="360" w:lineRule="auto"/>
              <w:ind w:firstLine="480" w:firstLineChars="200"/>
              <w:rPr>
                <w:color w:val="auto"/>
                <w:sz w:val="24"/>
              </w:rPr>
            </w:pPr>
            <w:r>
              <w:rPr>
                <w:color w:val="auto"/>
                <w:sz w:val="24"/>
              </w:rPr>
              <w:t>（3）资源利用上线及分区管控要求相符性分析</w:t>
            </w:r>
          </w:p>
          <w:p w14:paraId="60B09264">
            <w:pPr>
              <w:pStyle w:val="32"/>
              <w:spacing w:line="360" w:lineRule="auto"/>
              <w:ind w:firstLine="420"/>
              <w:rPr>
                <w:rFonts w:hint="eastAsia"/>
                <w:color w:val="auto"/>
                <w:lang w:eastAsia="zh-CN"/>
              </w:rPr>
            </w:pPr>
            <w:r>
              <w:rPr>
                <w:color w:val="auto"/>
                <w:spacing w:val="3"/>
                <w:lang w:eastAsia="zh-CN"/>
              </w:rPr>
              <w:t>项目所用资源包括水资源、土地资源和能源利用上</w:t>
            </w:r>
            <w:r>
              <w:rPr>
                <w:color w:val="auto"/>
                <w:spacing w:val="2"/>
                <w:lang w:eastAsia="zh-CN"/>
              </w:rPr>
              <w:t>线，本项</w:t>
            </w:r>
            <w:r>
              <w:rPr>
                <w:color w:val="auto"/>
                <w:spacing w:val="3"/>
                <w:lang w:eastAsia="zh-CN"/>
              </w:rPr>
              <w:t>目用水为生活用水和生产用水，</w:t>
            </w:r>
            <w:r>
              <w:rPr>
                <w:rFonts w:hint="eastAsia"/>
                <w:color w:val="auto"/>
                <w:spacing w:val="3"/>
                <w:lang w:eastAsia="zh-CN"/>
              </w:rPr>
              <w:t>生活用水和生产用水均有朱仙庄镇自来水厂提供</w:t>
            </w:r>
            <w:r>
              <w:rPr>
                <w:color w:val="auto"/>
                <w:spacing w:val="2"/>
                <w:lang w:eastAsia="zh-CN"/>
              </w:rPr>
              <w:t>，项目用水远小于</w:t>
            </w:r>
            <w:r>
              <w:rPr>
                <w:color w:val="auto"/>
                <w:spacing w:val="3"/>
                <w:lang w:eastAsia="zh-CN"/>
              </w:rPr>
              <w:t>区域供水能力。从资源角度，本项目的建设充</w:t>
            </w:r>
            <w:r>
              <w:rPr>
                <w:color w:val="auto"/>
                <w:spacing w:val="2"/>
                <w:lang w:eastAsia="zh-CN"/>
              </w:rPr>
              <w:t>分利用了现有土地</w:t>
            </w:r>
            <w:r>
              <w:rPr>
                <w:color w:val="auto"/>
                <w:spacing w:val="3"/>
                <w:lang w:eastAsia="zh-CN"/>
              </w:rPr>
              <w:t>资源，减少了土地资源的浪费。项目使用能源</w:t>
            </w:r>
            <w:r>
              <w:rPr>
                <w:color w:val="auto"/>
                <w:spacing w:val="2"/>
                <w:lang w:eastAsia="zh-CN"/>
              </w:rPr>
              <w:t>主要为电，项目不</w:t>
            </w:r>
            <w:r>
              <w:rPr>
                <w:color w:val="auto"/>
                <w:spacing w:val="-2"/>
                <w:lang w:eastAsia="zh-CN"/>
              </w:rPr>
              <w:t>涉及煤炭等高污染能源。</w:t>
            </w:r>
          </w:p>
          <w:p w14:paraId="70ECEEA0">
            <w:pPr>
              <w:autoSpaceDE w:val="0"/>
              <w:autoSpaceDN w:val="0"/>
              <w:spacing w:line="360" w:lineRule="auto"/>
              <w:ind w:firstLine="480" w:firstLineChars="200"/>
              <w:rPr>
                <w:color w:val="auto"/>
                <w:sz w:val="24"/>
              </w:rPr>
            </w:pPr>
            <w:r>
              <w:rPr>
                <w:color w:val="auto"/>
                <w:sz w:val="24"/>
              </w:rPr>
              <w:t>（4）生态环境准入清单</w:t>
            </w:r>
          </w:p>
          <w:p w14:paraId="4C8B6A55">
            <w:pPr>
              <w:spacing w:line="360" w:lineRule="auto"/>
              <w:ind w:firstLine="480" w:firstLineChars="200"/>
              <w:rPr>
                <w:color w:val="auto"/>
                <w:sz w:val="24"/>
              </w:rPr>
            </w:pPr>
            <w:r>
              <w:rPr>
                <w:color w:val="auto"/>
                <w:sz w:val="24"/>
              </w:rPr>
              <w:t>本环评对照国家及地方产业政策和《市场准入负面清单（2022年版）》进行说明：本项目为</w:t>
            </w:r>
            <w:r>
              <w:rPr>
                <w:rFonts w:hint="eastAsia"/>
                <w:color w:val="auto"/>
                <w:sz w:val="24"/>
              </w:rPr>
              <w:t>【</w:t>
            </w:r>
            <w:r>
              <w:rPr>
                <w:color w:val="auto"/>
                <w:sz w:val="24"/>
              </w:rPr>
              <w:t>C</w:t>
            </w:r>
            <w:r>
              <w:rPr>
                <w:rFonts w:hint="eastAsia"/>
                <w:color w:val="auto"/>
                <w:sz w:val="24"/>
              </w:rPr>
              <w:t>3031】粘土砖瓦及建筑砌块砖制造</w:t>
            </w:r>
            <w:r>
              <w:rPr>
                <w:color w:val="auto"/>
                <w:sz w:val="24"/>
              </w:rPr>
              <w:t>，不属于《市场准入负面清单（2022年版）》中禁止准入类项目。根据《产业结构调整指导目录（</w:t>
            </w:r>
            <w:r>
              <w:rPr>
                <w:rFonts w:hint="eastAsia"/>
                <w:color w:val="auto"/>
                <w:sz w:val="24"/>
              </w:rPr>
              <w:t>2024</w:t>
            </w:r>
            <w:r>
              <w:rPr>
                <w:color w:val="auto"/>
                <w:sz w:val="24"/>
              </w:rPr>
              <w:t>年本）》，本项目不属于限制类及淘汰类产业项目，视为“允许类”。因此本项目的建设符合国家的产业政策。</w:t>
            </w:r>
          </w:p>
          <w:p w14:paraId="1B7B229C">
            <w:pPr>
              <w:autoSpaceDE w:val="0"/>
              <w:autoSpaceDN w:val="0"/>
              <w:spacing w:line="360" w:lineRule="auto"/>
              <w:ind w:firstLine="480" w:firstLineChars="200"/>
              <w:rPr>
                <w:bCs/>
                <w:color w:val="auto"/>
                <w:kern w:val="0"/>
                <w:sz w:val="24"/>
              </w:rPr>
            </w:pPr>
            <w:r>
              <w:rPr>
                <w:bCs/>
                <w:color w:val="auto"/>
                <w:kern w:val="0"/>
                <w:sz w:val="24"/>
              </w:rPr>
              <w:t>综上所述，本项目不在主导生态功能区范围内，且不在当地饮用水源、风景区、自然保护区等生态保护区内：区域</w:t>
            </w:r>
            <w:r>
              <w:rPr>
                <w:rFonts w:hint="eastAsia"/>
                <w:bCs/>
                <w:color w:val="auto"/>
                <w:kern w:val="0"/>
                <w:sz w:val="24"/>
              </w:rPr>
              <w:t>环境</w:t>
            </w:r>
            <w:r>
              <w:rPr>
                <w:bCs/>
                <w:color w:val="auto"/>
                <w:kern w:val="0"/>
                <w:sz w:val="24"/>
              </w:rPr>
              <w:t>质量不低于项目所在地环境功能区划要求，且有一定的环境容量，且各污染物均不超标：符合环境准入标准和要求。</w:t>
            </w:r>
          </w:p>
          <w:p w14:paraId="5DEB8B71">
            <w:pPr>
              <w:autoSpaceDE w:val="0"/>
              <w:autoSpaceDN w:val="0"/>
              <w:spacing w:line="360" w:lineRule="auto"/>
              <w:ind w:firstLine="480" w:firstLineChars="200"/>
              <w:rPr>
                <w:bCs/>
                <w:color w:val="auto"/>
                <w:kern w:val="0"/>
                <w:sz w:val="24"/>
              </w:rPr>
            </w:pPr>
            <w:r>
              <w:rPr>
                <w:rFonts w:hint="eastAsia"/>
                <w:bCs/>
                <w:color w:val="auto"/>
                <w:kern w:val="0"/>
                <w:sz w:val="24"/>
              </w:rPr>
              <w:t>（5）</w:t>
            </w:r>
            <w:r>
              <w:rPr>
                <w:bCs/>
                <w:color w:val="auto"/>
                <w:kern w:val="0"/>
                <w:sz w:val="24"/>
              </w:rPr>
              <w:t>环境分区管控</w:t>
            </w:r>
          </w:p>
          <w:p w14:paraId="305166E9">
            <w:pPr>
              <w:pStyle w:val="33"/>
              <w:spacing w:line="360" w:lineRule="auto"/>
              <w:rPr>
                <w:color w:val="auto"/>
                <w:sz w:val="24"/>
              </w:rPr>
            </w:pPr>
            <w:r>
              <w:rPr>
                <w:color w:val="auto"/>
                <w:sz w:val="24"/>
              </w:rPr>
              <w:t>对照安徽省“三线一单”公众服务平台，本项目位于安徽省</w:t>
            </w:r>
            <w:r>
              <w:rPr>
                <w:rFonts w:hint="eastAsia"/>
                <w:color w:val="auto"/>
                <w:sz w:val="24"/>
              </w:rPr>
              <w:t>宿州市埇桥区</w:t>
            </w:r>
            <w:r>
              <w:rPr>
                <w:color w:val="auto"/>
                <w:sz w:val="24"/>
              </w:rPr>
              <w:t>环境综合管控单元工业</w:t>
            </w:r>
            <w:r>
              <w:rPr>
                <w:rFonts w:hint="eastAsia"/>
                <w:color w:val="auto"/>
                <w:sz w:val="24"/>
              </w:rPr>
              <w:t>一般</w:t>
            </w:r>
            <w:r>
              <w:rPr>
                <w:color w:val="auto"/>
                <w:sz w:val="24"/>
              </w:rPr>
              <w:t>管控单元（管控单元编号：</w:t>
            </w:r>
            <w:r>
              <w:rPr>
                <w:rFonts w:hint="eastAsia"/>
                <w:color w:val="auto"/>
                <w:sz w:val="24"/>
              </w:rPr>
              <w:t>ZH34130220013</w:t>
            </w:r>
            <w:r>
              <w:rPr>
                <w:color w:val="auto"/>
                <w:sz w:val="24"/>
              </w:rPr>
              <w:t>），根据安徽省三线一单符合性分析查询，本项目涉及的环境管控单元见下表。</w:t>
            </w:r>
          </w:p>
          <w:p w14:paraId="3DE5D1F6">
            <w:pPr>
              <w:pStyle w:val="31"/>
              <w:spacing w:line="240" w:lineRule="auto"/>
              <w:ind w:firstLine="0" w:firstLineChars="0"/>
              <w:jc w:val="center"/>
              <w:rPr>
                <w:rFonts w:eastAsia="宋体"/>
                <w:b/>
                <w:bCs/>
                <w:color w:val="auto"/>
                <w:kern w:val="2"/>
                <w:lang w:bidi="ar"/>
              </w:rPr>
            </w:pPr>
            <w:r>
              <w:rPr>
                <w:rFonts w:eastAsia="宋体"/>
                <w:b/>
                <w:bCs/>
                <w:color w:val="auto"/>
                <w:kern w:val="2"/>
                <w:lang w:bidi="ar"/>
              </w:rPr>
              <w:t>表1-</w:t>
            </w:r>
            <w:r>
              <w:rPr>
                <w:rFonts w:hint="eastAsia" w:eastAsia="宋体"/>
                <w:b/>
                <w:bCs/>
                <w:color w:val="auto"/>
                <w:kern w:val="2"/>
                <w:lang w:bidi="ar"/>
              </w:rPr>
              <w:t>3</w:t>
            </w:r>
            <w:r>
              <w:rPr>
                <w:rFonts w:eastAsia="宋体"/>
                <w:b/>
                <w:bCs/>
                <w:color w:val="auto"/>
                <w:kern w:val="2"/>
                <w:lang w:bidi="ar"/>
              </w:rPr>
              <w:t xml:space="preserve">  项目分区管控单元基本信息</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5"/>
              <w:gridCol w:w="4400"/>
              <w:gridCol w:w="2639"/>
            </w:tblGrid>
            <w:tr w14:paraId="1FBF2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3" w:type="pct"/>
                  <w:vAlign w:val="center"/>
                </w:tcPr>
                <w:p w14:paraId="34B491A0">
                  <w:pPr>
                    <w:jc w:val="center"/>
                    <w:rPr>
                      <w:bCs/>
                      <w:color w:val="auto"/>
                    </w:rPr>
                  </w:pPr>
                  <w:r>
                    <w:rPr>
                      <w:bCs/>
                      <w:color w:val="auto"/>
                    </w:rPr>
                    <w:t>序号</w:t>
                  </w:r>
                </w:p>
              </w:tc>
              <w:tc>
                <w:tcPr>
                  <w:tcW w:w="2779" w:type="pct"/>
                  <w:vAlign w:val="center"/>
                </w:tcPr>
                <w:p w14:paraId="0E437700">
                  <w:pPr>
                    <w:jc w:val="center"/>
                    <w:rPr>
                      <w:bCs/>
                      <w:color w:val="auto"/>
                    </w:rPr>
                  </w:pPr>
                  <w:r>
                    <w:rPr>
                      <w:bCs/>
                      <w:color w:val="auto"/>
                    </w:rPr>
                    <w:t>类别</w:t>
                  </w:r>
                </w:p>
              </w:tc>
              <w:tc>
                <w:tcPr>
                  <w:tcW w:w="1667" w:type="pct"/>
                  <w:vAlign w:val="center"/>
                </w:tcPr>
                <w:p w14:paraId="4D39069A">
                  <w:pPr>
                    <w:jc w:val="center"/>
                    <w:rPr>
                      <w:bCs/>
                      <w:color w:val="auto"/>
                    </w:rPr>
                  </w:pPr>
                  <w:r>
                    <w:rPr>
                      <w:bCs/>
                      <w:color w:val="auto"/>
                    </w:rPr>
                    <w:t>本项目</w:t>
                  </w:r>
                </w:p>
              </w:tc>
            </w:tr>
            <w:tr w14:paraId="4BBE9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3" w:type="pct"/>
                  <w:vAlign w:val="center"/>
                </w:tcPr>
                <w:p w14:paraId="032F0D76">
                  <w:pPr>
                    <w:jc w:val="center"/>
                    <w:rPr>
                      <w:bCs/>
                      <w:color w:val="auto"/>
                    </w:rPr>
                  </w:pPr>
                  <w:r>
                    <w:rPr>
                      <w:bCs/>
                      <w:color w:val="auto"/>
                    </w:rPr>
                    <w:t>1</w:t>
                  </w:r>
                </w:p>
              </w:tc>
              <w:tc>
                <w:tcPr>
                  <w:tcW w:w="2779" w:type="pct"/>
                  <w:vAlign w:val="center"/>
                </w:tcPr>
                <w:p w14:paraId="3F241546">
                  <w:pPr>
                    <w:jc w:val="center"/>
                    <w:rPr>
                      <w:bCs/>
                      <w:color w:val="auto"/>
                    </w:rPr>
                  </w:pPr>
                  <w:r>
                    <w:rPr>
                      <w:bCs/>
                      <w:color w:val="auto"/>
                    </w:rPr>
                    <w:t>环境管控单元编码</w:t>
                  </w:r>
                </w:p>
              </w:tc>
              <w:tc>
                <w:tcPr>
                  <w:tcW w:w="1667" w:type="pct"/>
                  <w:vAlign w:val="center"/>
                </w:tcPr>
                <w:p w14:paraId="6650FB1E">
                  <w:pPr>
                    <w:jc w:val="center"/>
                    <w:rPr>
                      <w:bCs/>
                      <w:color w:val="auto"/>
                    </w:rPr>
                  </w:pPr>
                  <w:r>
                    <w:rPr>
                      <w:rFonts w:hint="eastAsia"/>
                      <w:bCs/>
                      <w:color w:val="auto"/>
                      <w:szCs w:val="21"/>
                    </w:rPr>
                    <w:t>ZH34130220013</w:t>
                  </w:r>
                </w:p>
              </w:tc>
            </w:tr>
            <w:tr w14:paraId="029AA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3" w:type="pct"/>
                  <w:vAlign w:val="center"/>
                </w:tcPr>
                <w:p w14:paraId="69139C31">
                  <w:pPr>
                    <w:jc w:val="center"/>
                    <w:rPr>
                      <w:bCs/>
                      <w:color w:val="auto"/>
                    </w:rPr>
                  </w:pPr>
                  <w:r>
                    <w:rPr>
                      <w:bCs/>
                      <w:color w:val="auto"/>
                    </w:rPr>
                    <w:t>2</w:t>
                  </w:r>
                </w:p>
              </w:tc>
              <w:tc>
                <w:tcPr>
                  <w:tcW w:w="2779" w:type="pct"/>
                  <w:vAlign w:val="center"/>
                </w:tcPr>
                <w:p w14:paraId="305BE116">
                  <w:pPr>
                    <w:jc w:val="center"/>
                    <w:rPr>
                      <w:bCs/>
                      <w:color w:val="auto"/>
                    </w:rPr>
                  </w:pPr>
                  <w:r>
                    <w:rPr>
                      <w:bCs/>
                      <w:color w:val="auto"/>
                    </w:rPr>
                    <w:t>管控单元分类</w:t>
                  </w:r>
                </w:p>
              </w:tc>
              <w:tc>
                <w:tcPr>
                  <w:tcW w:w="1667" w:type="pct"/>
                  <w:vAlign w:val="center"/>
                </w:tcPr>
                <w:p w14:paraId="4FD6E84D">
                  <w:pPr>
                    <w:jc w:val="center"/>
                    <w:rPr>
                      <w:bCs/>
                      <w:color w:val="auto"/>
                    </w:rPr>
                  </w:pPr>
                  <w:r>
                    <w:rPr>
                      <w:rFonts w:hint="eastAsia"/>
                      <w:bCs/>
                      <w:color w:val="auto"/>
                    </w:rPr>
                    <w:t>重点</w:t>
                  </w:r>
                  <w:r>
                    <w:rPr>
                      <w:bCs/>
                      <w:color w:val="auto"/>
                    </w:rPr>
                    <w:t>管控单元</w:t>
                  </w:r>
                </w:p>
              </w:tc>
            </w:tr>
            <w:tr w14:paraId="0041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3" w:type="pct"/>
                  <w:vAlign w:val="center"/>
                </w:tcPr>
                <w:p w14:paraId="03031922">
                  <w:pPr>
                    <w:jc w:val="center"/>
                    <w:rPr>
                      <w:bCs/>
                      <w:color w:val="auto"/>
                    </w:rPr>
                  </w:pPr>
                  <w:r>
                    <w:rPr>
                      <w:bCs/>
                      <w:color w:val="auto"/>
                    </w:rPr>
                    <w:t>3</w:t>
                  </w:r>
                </w:p>
              </w:tc>
              <w:tc>
                <w:tcPr>
                  <w:tcW w:w="2779" w:type="pct"/>
                  <w:vAlign w:val="center"/>
                </w:tcPr>
                <w:p w14:paraId="28E7F091">
                  <w:pPr>
                    <w:jc w:val="center"/>
                    <w:rPr>
                      <w:bCs/>
                      <w:color w:val="auto"/>
                    </w:rPr>
                  </w:pPr>
                  <w:r>
                    <w:rPr>
                      <w:bCs/>
                      <w:color w:val="auto"/>
                    </w:rPr>
                    <w:t>行政区</w:t>
                  </w:r>
                </w:p>
              </w:tc>
              <w:tc>
                <w:tcPr>
                  <w:tcW w:w="1667" w:type="pct"/>
                  <w:vAlign w:val="center"/>
                </w:tcPr>
                <w:p w14:paraId="6504B287">
                  <w:pPr>
                    <w:jc w:val="center"/>
                    <w:rPr>
                      <w:bCs/>
                      <w:color w:val="auto"/>
                    </w:rPr>
                  </w:pPr>
                  <w:r>
                    <w:rPr>
                      <w:rFonts w:hint="eastAsia"/>
                      <w:bCs/>
                      <w:color w:val="auto"/>
                    </w:rPr>
                    <w:t>宿州市埇桥区</w:t>
                  </w:r>
                </w:p>
              </w:tc>
            </w:tr>
            <w:tr w14:paraId="35537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3" w:type="pct"/>
                  <w:vAlign w:val="center"/>
                </w:tcPr>
                <w:p w14:paraId="753C1629">
                  <w:pPr>
                    <w:jc w:val="center"/>
                    <w:rPr>
                      <w:bCs/>
                      <w:color w:val="auto"/>
                    </w:rPr>
                  </w:pPr>
                  <w:r>
                    <w:rPr>
                      <w:bCs/>
                      <w:color w:val="auto"/>
                    </w:rPr>
                    <w:t>4</w:t>
                  </w:r>
                </w:p>
              </w:tc>
              <w:tc>
                <w:tcPr>
                  <w:tcW w:w="2779" w:type="pct"/>
                  <w:vAlign w:val="center"/>
                </w:tcPr>
                <w:p w14:paraId="1D2B08A7">
                  <w:pPr>
                    <w:jc w:val="center"/>
                    <w:rPr>
                      <w:bCs/>
                      <w:color w:val="auto"/>
                    </w:rPr>
                  </w:pPr>
                  <w:r>
                    <w:rPr>
                      <w:bCs/>
                      <w:color w:val="auto"/>
                    </w:rPr>
                    <w:t>管控单元细分类</w:t>
                  </w:r>
                </w:p>
              </w:tc>
              <w:tc>
                <w:tcPr>
                  <w:tcW w:w="1667" w:type="pct"/>
                  <w:vAlign w:val="center"/>
                </w:tcPr>
                <w:p w14:paraId="16F7A3CC">
                  <w:pPr>
                    <w:jc w:val="center"/>
                    <w:rPr>
                      <w:bCs/>
                      <w:color w:val="auto"/>
                    </w:rPr>
                  </w:pPr>
                  <w:r>
                    <w:rPr>
                      <w:rFonts w:hint="eastAsia"/>
                      <w:bCs/>
                      <w:color w:val="auto"/>
                    </w:rPr>
                    <w:t>水/气重点管控</w:t>
                  </w:r>
                </w:p>
              </w:tc>
            </w:tr>
          </w:tbl>
          <w:p w14:paraId="5DA04685">
            <w:pPr>
              <w:spacing w:line="360" w:lineRule="auto"/>
              <w:ind w:firstLine="480" w:firstLineChars="200"/>
              <w:rPr>
                <w:color w:val="auto"/>
                <w:sz w:val="24"/>
              </w:rPr>
            </w:pPr>
            <w:r>
              <w:rPr>
                <w:rFonts w:hint="eastAsia"/>
                <w:color w:val="auto"/>
                <w:sz w:val="24"/>
              </w:rPr>
              <w:t>①大气分区管控</w:t>
            </w:r>
          </w:p>
          <w:p w14:paraId="68BE32C8">
            <w:pPr>
              <w:spacing w:line="360" w:lineRule="auto"/>
              <w:ind w:firstLine="480" w:firstLineChars="200"/>
              <w:rPr>
                <w:color w:val="auto"/>
                <w:sz w:val="24"/>
              </w:rPr>
            </w:pPr>
            <w:r>
              <w:rPr>
                <w:rFonts w:hint="eastAsia"/>
                <w:color w:val="auto"/>
                <w:sz w:val="24"/>
              </w:rPr>
              <w:t>对照宿州市大气分区管控图，</w:t>
            </w:r>
            <w:r>
              <w:rPr>
                <w:color w:val="auto"/>
                <w:sz w:val="24"/>
              </w:rPr>
              <w:t>本项目属于大气环境重点管控区，应落实重点管控区要求。</w:t>
            </w:r>
          </w:p>
          <w:p w14:paraId="63AF1405">
            <w:pPr>
              <w:spacing w:line="360" w:lineRule="auto"/>
              <w:ind w:firstLine="480" w:firstLineChars="200"/>
              <w:rPr>
                <w:color w:val="auto"/>
                <w:sz w:val="24"/>
              </w:rPr>
            </w:pPr>
            <w:r>
              <w:rPr>
                <w:color w:val="auto"/>
                <w:sz w:val="24"/>
              </w:rPr>
              <w:t>大气环境重点管控区：</w:t>
            </w:r>
            <w:r>
              <w:rPr>
                <w:rFonts w:hint="eastAsia"/>
                <w:color w:val="auto"/>
                <w:sz w:val="24"/>
              </w:rPr>
              <w:t>落实《安徽省大气污染防治条例》《安徽省碳达峰实施方案的通知》《安徽省工业领域碳达峰实施方案》《安徽省城乡建设领域碳达峰实施方案》《关于进一步加强新上“两高”项目管理的通知》《安徽省挥发性有机物污染整治工作方案》《关于进一步加强建设项目新增大气污染物总量控制指标管理工作的通知》《安徽省“十四五”节能减排实施方案》《宿州市“十四五”节能减排实施方案》严格目标实施计划，加强环境监管，促进生态环境质量好转；对新建、改建和扩建项目大气污染物实施“倍量替代”，对执行特别排放标准的行业实施提标升级改造。</w:t>
            </w:r>
          </w:p>
          <w:p w14:paraId="4E9FFD33">
            <w:pPr>
              <w:spacing w:line="360" w:lineRule="auto"/>
              <w:ind w:firstLine="480" w:firstLineChars="200"/>
              <w:rPr>
                <w:color w:val="auto"/>
                <w:sz w:val="24"/>
              </w:rPr>
            </w:pPr>
            <w:r>
              <w:rPr>
                <w:color w:val="auto"/>
                <w:sz w:val="24"/>
              </w:rPr>
              <w:t>项目产生的污染物经处理后均能达标排放，项目投产运行后不会改变当地的大气、地表水和声环境功能。建设项目排放的各大气污染物均可稳定达标排放，在落实总量排放指标的前提下，本项目的建设不会突破区域环境质量底线。</w:t>
            </w:r>
          </w:p>
          <w:p w14:paraId="6AC17141">
            <w:pPr>
              <w:pStyle w:val="32"/>
              <w:spacing w:line="360" w:lineRule="auto"/>
              <w:ind w:firstLine="480" w:firstLineChars="200"/>
              <w:rPr>
                <w:rFonts w:ascii="Times New Roman" w:hAnsi="Times New Roman" w:cs="Times New Roman"/>
                <w:bCs/>
                <w:color w:val="auto"/>
                <w:kern w:val="0"/>
                <w:lang w:eastAsia="zh-CN"/>
              </w:rPr>
            </w:pPr>
            <w:r>
              <w:rPr>
                <w:rFonts w:hint="eastAsia" w:ascii="Times New Roman" w:hAnsi="Times New Roman" w:cs="Times New Roman"/>
                <w:bCs/>
                <w:color w:val="auto"/>
                <w:kern w:val="0"/>
                <w:lang w:eastAsia="zh-CN"/>
              </w:rPr>
              <w:t>②水环境分区管控</w:t>
            </w:r>
          </w:p>
          <w:p w14:paraId="1A22C1C0">
            <w:pPr>
              <w:pStyle w:val="32"/>
              <w:spacing w:line="360" w:lineRule="auto"/>
              <w:ind w:firstLine="480" w:firstLineChars="200"/>
              <w:rPr>
                <w:rFonts w:ascii="Times New Roman" w:hAnsi="Times New Roman" w:cs="Times New Roman"/>
                <w:color w:val="auto"/>
                <w:lang w:eastAsia="zh-CN"/>
              </w:rPr>
            </w:pPr>
            <w:r>
              <w:rPr>
                <w:rFonts w:hint="eastAsia" w:ascii="Times New Roman" w:hAnsi="Times New Roman" w:cs="Times New Roman"/>
                <w:color w:val="auto"/>
                <w:lang w:eastAsia="zh-CN"/>
              </w:rPr>
              <w:t>对照宿州市水环境分区管控图，</w:t>
            </w:r>
            <w:r>
              <w:rPr>
                <w:rFonts w:ascii="Times New Roman" w:hAnsi="Times New Roman" w:cs="Times New Roman"/>
                <w:color w:val="auto"/>
                <w:lang w:eastAsia="zh-CN"/>
              </w:rPr>
              <w:t>本项目所在地属于水环境重点管控区，应落实重点管控区要求。</w:t>
            </w:r>
          </w:p>
          <w:p w14:paraId="426FB53F">
            <w:pPr>
              <w:spacing w:line="360" w:lineRule="auto"/>
              <w:ind w:firstLine="480" w:firstLineChars="200"/>
              <w:rPr>
                <w:color w:val="auto"/>
                <w:sz w:val="24"/>
              </w:rPr>
            </w:pPr>
            <w:r>
              <w:rPr>
                <w:color w:val="auto"/>
                <w:sz w:val="24"/>
              </w:rPr>
              <w:t>重点管控区：</w:t>
            </w:r>
            <w:r>
              <w:rPr>
                <w:rFonts w:hint="eastAsia"/>
                <w:color w:val="auto"/>
                <w:sz w:val="24"/>
              </w:rPr>
              <w:t>依据《中华人民共和国水污染防治法》《水污染防治行动计划》《安徽省水污染防治工作方案》及各市水污染防治工作方案对重点管控区实施管控；依据开发区规划、规划环评及审查意见相关要求对开发区实施管控；依据《长江经济带工业园区水污染整治专项行动工作方案》、开发区规划、规划环评及审查意见相关要求对开发区实施管控；落实《安徽省“十四五”生态环境保护规划》《安徽省“十四五”节能减排实施方案》；宿州市生态环境保护委员会，关于印发《“十四五”生态环境保护规划》的通知，宿环委会[2022]2 号；《宿州市水生态环境保护“十四五”规划要点》，宿州市人民政府，2020 年11月。</w:t>
            </w:r>
          </w:p>
          <w:p w14:paraId="52890B33">
            <w:pPr>
              <w:widowControl/>
              <w:autoSpaceDE w:val="0"/>
              <w:autoSpaceDN w:val="0"/>
              <w:spacing w:line="360" w:lineRule="auto"/>
              <w:ind w:firstLine="480" w:firstLineChars="200"/>
              <w:textAlignment w:val="baseline"/>
              <w:rPr>
                <w:b/>
                <w:color w:val="auto"/>
                <w:kern w:val="0"/>
              </w:rPr>
            </w:pPr>
            <w:r>
              <w:rPr>
                <w:color w:val="auto"/>
                <w:sz w:val="24"/>
              </w:rPr>
              <w:t>项目建成后，主要为生活污水</w:t>
            </w:r>
            <w:r>
              <w:rPr>
                <w:rFonts w:hint="eastAsia"/>
                <w:color w:val="auto"/>
                <w:sz w:val="24"/>
              </w:rPr>
              <w:t>和生产废水</w:t>
            </w:r>
            <w:r>
              <w:rPr>
                <w:color w:val="auto"/>
                <w:sz w:val="24"/>
              </w:rPr>
              <w:t>，</w:t>
            </w:r>
            <w:r>
              <w:rPr>
                <w:rFonts w:hint="eastAsia"/>
                <w:color w:val="auto"/>
                <w:sz w:val="24"/>
              </w:rPr>
              <w:t>生活污水</w:t>
            </w:r>
            <w:r>
              <w:rPr>
                <w:color w:val="auto"/>
                <w:sz w:val="24"/>
              </w:rPr>
              <w:t>经化粪池预处理后</w:t>
            </w:r>
            <w:r>
              <w:rPr>
                <w:rFonts w:hint="eastAsia"/>
                <w:color w:val="auto"/>
                <w:sz w:val="24"/>
              </w:rPr>
              <w:t>定期清掏，不外排</w:t>
            </w:r>
            <w:r>
              <w:rPr>
                <w:color w:val="auto"/>
                <w:sz w:val="24"/>
              </w:rPr>
              <w:t>，</w:t>
            </w:r>
            <w:r>
              <w:rPr>
                <w:rFonts w:hint="eastAsia"/>
                <w:color w:val="auto"/>
                <w:sz w:val="24"/>
              </w:rPr>
              <w:t>生产废水经沉淀池处理后回用于生产。</w:t>
            </w:r>
          </w:p>
          <w:p w14:paraId="6E7F9125">
            <w:pPr>
              <w:pStyle w:val="32"/>
              <w:spacing w:line="360" w:lineRule="auto"/>
              <w:ind w:firstLine="480" w:firstLineChars="200"/>
              <w:rPr>
                <w:rFonts w:ascii="Times New Roman" w:hAnsi="Times New Roman" w:cs="Times New Roman"/>
                <w:bCs/>
                <w:color w:val="auto"/>
                <w:kern w:val="0"/>
                <w:lang w:eastAsia="zh-CN"/>
              </w:rPr>
            </w:pPr>
            <w:r>
              <w:rPr>
                <w:rFonts w:hint="eastAsia" w:ascii="Times New Roman" w:hAnsi="Times New Roman" w:cs="Times New Roman"/>
                <w:bCs/>
                <w:color w:val="auto"/>
                <w:kern w:val="0"/>
                <w:lang w:eastAsia="zh-CN"/>
              </w:rPr>
              <w:t>③土壤环境分区管控</w:t>
            </w:r>
          </w:p>
          <w:p w14:paraId="2EF02EAE">
            <w:pPr>
              <w:autoSpaceDE w:val="0"/>
              <w:autoSpaceDN w:val="0"/>
              <w:spacing w:line="360" w:lineRule="auto"/>
              <w:ind w:firstLine="480" w:firstLineChars="200"/>
              <w:rPr>
                <w:bCs/>
                <w:color w:val="auto"/>
                <w:sz w:val="24"/>
              </w:rPr>
            </w:pPr>
            <w:r>
              <w:rPr>
                <w:rFonts w:hint="eastAsia"/>
                <w:bCs/>
                <w:color w:val="auto"/>
                <w:kern w:val="0"/>
                <w:sz w:val="24"/>
              </w:rPr>
              <w:t>对照宿州市土壤污染分区管控图，</w:t>
            </w:r>
            <w:r>
              <w:rPr>
                <w:bCs/>
                <w:color w:val="auto"/>
                <w:sz w:val="24"/>
              </w:rPr>
              <w:t>本项目所在地属于土壤污染风险一般管控区，应落实一般管控区要求。</w:t>
            </w:r>
          </w:p>
          <w:p w14:paraId="4F3B94F6">
            <w:pPr>
              <w:autoSpaceDE w:val="0"/>
              <w:autoSpaceDN w:val="0"/>
              <w:spacing w:line="360" w:lineRule="auto"/>
              <w:ind w:firstLine="480" w:firstLineChars="200"/>
              <w:rPr>
                <w:color w:val="auto"/>
                <w:sz w:val="24"/>
              </w:rPr>
            </w:pPr>
            <w:r>
              <w:rPr>
                <w:color w:val="auto"/>
                <w:sz w:val="24"/>
              </w:rPr>
              <w:t>一般防控区：</w:t>
            </w:r>
            <w:r>
              <w:rPr>
                <w:rFonts w:hint="eastAsia"/>
                <w:color w:val="auto"/>
                <w:sz w:val="24"/>
              </w:rPr>
              <w:t>依据《中华人民共和国土壤污染防治法》《土壤污染防治行动计划》《安徽省土壤污染防治工作方案》《安徽省“十四五” 环境保护规划》《安徽省“十四五”土壤、地下水和农村生态环境保护规划》《安徽省重金属污染防控工作方案》《安徽省“十四五”危险废物工业固体废物污染环境防治规划》《安徽省土壤污染防治工作方案》《宿州市“十四五”生态环境保护规划》对一般管控区实施管控。</w:t>
            </w:r>
          </w:p>
          <w:p w14:paraId="3BCE93B5">
            <w:pPr>
              <w:spacing w:line="360" w:lineRule="auto"/>
              <w:ind w:firstLine="480" w:firstLineChars="200"/>
              <w:rPr>
                <w:b/>
                <w:color w:val="auto"/>
                <w:kern w:val="0"/>
              </w:rPr>
            </w:pPr>
            <w:r>
              <w:rPr>
                <w:rFonts w:hint="eastAsia"/>
                <w:color w:val="auto"/>
                <w:sz w:val="24"/>
              </w:rPr>
              <w:t>本项目危废库、沉淀池采取重点防渗措施，满足土壤风险防控管控要求。</w:t>
            </w:r>
          </w:p>
          <w:p w14:paraId="7F0567A2">
            <w:pPr>
              <w:jc w:val="center"/>
              <w:rPr>
                <w:b/>
                <w:color w:val="auto"/>
                <w:sz w:val="24"/>
              </w:rPr>
            </w:pPr>
            <w:r>
              <w:rPr>
                <w:b/>
                <w:color w:val="auto"/>
                <w:sz w:val="24"/>
              </w:rPr>
              <w:t>表1-5  安徽省“三线一单”公众服务平台查询项目区域具体管控要求结果一览表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
              <w:gridCol w:w="3807"/>
              <w:gridCol w:w="2275"/>
              <w:gridCol w:w="915"/>
            </w:tblGrid>
            <w:tr w14:paraId="3D229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9" w:type="dxa"/>
                  <w:vAlign w:val="center"/>
                </w:tcPr>
                <w:p w14:paraId="0D65ACBD">
                  <w:pPr>
                    <w:pStyle w:val="31"/>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w:t>
                  </w:r>
                </w:p>
              </w:tc>
              <w:tc>
                <w:tcPr>
                  <w:tcW w:w="3888" w:type="dxa"/>
                  <w:vAlign w:val="center"/>
                </w:tcPr>
                <w:p w14:paraId="10A07DF1">
                  <w:pPr>
                    <w:pStyle w:val="31"/>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摘录相关管控要求</w:t>
                  </w:r>
                </w:p>
              </w:tc>
              <w:tc>
                <w:tcPr>
                  <w:tcW w:w="2340" w:type="dxa"/>
                  <w:vAlign w:val="center"/>
                </w:tcPr>
                <w:p w14:paraId="780C51A0">
                  <w:pPr>
                    <w:pStyle w:val="31"/>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本项目情况</w:t>
                  </w:r>
                </w:p>
              </w:tc>
              <w:tc>
                <w:tcPr>
                  <w:tcW w:w="936" w:type="dxa"/>
                  <w:vAlign w:val="center"/>
                </w:tcPr>
                <w:p w14:paraId="0BA4677B">
                  <w:pPr>
                    <w:pStyle w:val="31"/>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符合性</w:t>
                  </w:r>
                </w:p>
              </w:tc>
            </w:tr>
            <w:tr w14:paraId="2E4F8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9" w:type="dxa"/>
                  <w:vAlign w:val="center"/>
                </w:tcPr>
                <w:p w14:paraId="726E657A">
                  <w:pPr>
                    <w:pStyle w:val="31"/>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空间布局约束</w:t>
                  </w:r>
                </w:p>
              </w:tc>
              <w:tc>
                <w:tcPr>
                  <w:tcW w:w="3888" w:type="dxa"/>
                  <w:vAlign w:val="center"/>
                </w:tcPr>
                <w:p w14:paraId="1037EA8A">
                  <w:pPr>
                    <w:widowControl/>
                    <w:jc w:val="center"/>
                    <w:rPr>
                      <w:rFonts w:hint="eastAsia" w:ascii="宋体" w:hAnsi="宋体" w:cs="宋体"/>
                      <w:color w:val="auto"/>
                      <w:szCs w:val="21"/>
                    </w:rPr>
                  </w:pPr>
                  <w:r>
                    <w:rPr>
                      <w:rFonts w:hint="eastAsia" w:ascii="宋体" w:hAnsi="宋体" w:cs="宋体"/>
                      <w:color w:val="auto"/>
                      <w:kern w:val="0"/>
                      <w:szCs w:val="21"/>
                      <w:lang w:bidi="ar"/>
                    </w:rPr>
                    <w:t>严格城市规划蓝线管理，城市规划区范围内应保留一定比例的水域面积，现有水域面积不得减少。新建项目一律不得违规占用水域。引导石化、化工、钢铁、建材、有色金属等重点行业合理布局，提高化工、有色金属、农副食品加工、印染、制革、原料药制造、电镀等行业集聚水平。持续开展涉水</w:t>
                  </w:r>
                  <w:r>
                    <w:rPr>
                      <w:color w:val="auto"/>
                      <w:kern w:val="0"/>
                      <w:szCs w:val="21"/>
                      <w:lang w:bidi="ar"/>
                    </w:rPr>
                    <w:t>“</w:t>
                  </w:r>
                  <w:r>
                    <w:rPr>
                      <w:rFonts w:hint="eastAsia" w:ascii="宋体" w:hAnsi="宋体" w:cs="宋体"/>
                      <w:color w:val="auto"/>
                      <w:kern w:val="0"/>
                      <w:szCs w:val="21"/>
                      <w:lang w:bidi="ar"/>
                    </w:rPr>
                    <w:t>散乱污</w:t>
                  </w:r>
                  <w:r>
                    <w:rPr>
                      <w:color w:val="auto"/>
                      <w:kern w:val="0"/>
                      <w:szCs w:val="21"/>
                      <w:lang w:bidi="ar"/>
                    </w:rPr>
                    <w:t>”</w:t>
                  </w:r>
                  <w:r>
                    <w:rPr>
                      <w:rFonts w:hint="eastAsia" w:ascii="宋体" w:hAnsi="宋体" w:cs="宋体"/>
                      <w:color w:val="auto"/>
                      <w:kern w:val="0"/>
                      <w:szCs w:val="21"/>
                      <w:lang w:bidi="ar"/>
                    </w:rPr>
                    <w:t>企业 清理整治，严把能耗、环保等标准，促使一批达不到标准或淘汰类产能的企业，依法依规关停退出。推动污染企业退出。城市建成区内现有钢铁、有色金属、造纸、印染、原料药制造、化工等污染较重的企业应有序搬迁改造或依法关闭。排入城镇水体的工业污水应符合相关行业标准及地方标准要求，严禁任何企业、单位超标和超总量排污，对超标或超总量的排污单位一律限制生产或停产整顿。严格执行国家关于</w:t>
                  </w:r>
                  <w:r>
                    <w:rPr>
                      <w:color w:val="auto"/>
                      <w:kern w:val="0"/>
                      <w:szCs w:val="21"/>
                      <w:lang w:bidi="ar"/>
                    </w:rPr>
                    <w:t>“</w:t>
                  </w:r>
                  <w:r>
                    <w:rPr>
                      <w:rFonts w:hint="eastAsia" w:ascii="宋体" w:hAnsi="宋体" w:cs="宋体"/>
                      <w:color w:val="auto"/>
                      <w:kern w:val="0"/>
                      <w:szCs w:val="21"/>
                      <w:lang w:bidi="ar"/>
                    </w:rPr>
                    <w:t>两高</w:t>
                  </w:r>
                  <w:r>
                    <w:rPr>
                      <w:color w:val="auto"/>
                      <w:kern w:val="0"/>
                      <w:szCs w:val="21"/>
                      <w:lang w:bidi="ar"/>
                    </w:rPr>
                    <w:t>”</w:t>
                  </w:r>
                  <w:r>
                    <w:rPr>
                      <w:rFonts w:hint="eastAsia" w:ascii="宋体" w:hAnsi="宋体" w:cs="宋体"/>
                      <w:color w:val="auto"/>
                      <w:kern w:val="0"/>
                      <w:szCs w:val="21"/>
                      <w:lang w:bidi="ar"/>
                    </w:rPr>
                    <w:t>产业准入目录和产能总量控制政策措施。严格环境准入，在水污染防治重点控制单元的区域内，限制新建耗水量大、废水排放量大的项目和单纯扩大产能的项目。优化产业布局，划定并坚守生态红线，严禁在生态脆弱或环境敏感区建设</w:t>
                  </w:r>
                  <w:r>
                    <w:rPr>
                      <w:color w:val="auto"/>
                      <w:kern w:val="0"/>
                      <w:szCs w:val="21"/>
                      <w:lang w:bidi="ar"/>
                    </w:rPr>
                    <w:t>“</w:t>
                  </w:r>
                  <w:r>
                    <w:rPr>
                      <w:rFonts w:hint="eastAsia" w:ascii="宋体" w:hAnsi="宋体" w:cs="宋体"/>
                      <w:color w:val="auto"/>
                      <w:kern w:val="0"/>
                      <w:szCs w:val="21"/>
                      <w:lang w:bidi="ar"/>
                    </w:rPr>
                    <w:t>两高</w:t>
                  </w:r>
                  <w:r>
                    <w:rPr>
                      <w:color w:val="auto"/>
                      <w:kern w:val="0"/>
                      <w:szCs w:val="21"/>
                      <w:lang w:bidi="ar"/>
                    </w:rPr>
                    <w:t>”</w:t>
                  </w:r>
                  <w:r>
                    <w:rPr>
                      <w:rFonts w:hint="eastAsia" w:ascii="宋体" w:hAnsi="宋体" w:cs="宋体"/>
                      <w:color w:val="auto"/>
                      <w:kern w:val="0"/>
                      <w:szCs w:val="21"/>
                      <w:lang w:bidi="ar"/>
                    </w:rPr>
                    <w:t>项目。严禁新建《产业结构调整指导目录》限制类和新（改、扩）建淘</w:t>
                  </w:r>
                </w:p>
              </w:tc>
              <w:tc>
                <w:tcPr>
                  <w:tcW w:w="2340" w:type="dxa"/>
                  <w:vAlign w:val="center"/>
                </w:tcPr>
                <w:p w14:paraId="4C2D754B">
                  <w:pPr>
                    <w:jc w:val="center"/>
                    <w:rPr>
                      <w:rFonts w:hint="eastAsia" w:ascii="宋体" w:hAnsi="宋体" w:cs="宋体"/>
                      <w:color w:val="auto"/>
                      <w:szCs w:val="21"/>
                    </w:rPr>
                  </w:pPr>
                  <w:r>
                    <w:rPr>
                      <w:color w:val="auto"/>
                      <w:szCs w:val="21"/>
                    </w:rPr>
                    <w:t>本项目属于</w:t>
                  </w:r>
                  <w:r>
                    <w:rPr>
                      <w:rFonts w:hint="eastAsia"/>
                      <w:color w:val="auto"/>
                      <w:szCs w:val="21"/>
                    </w:rPr>
                    <w:t>C3031粘土砖瓦及建筑砌块制造；不属于“两高”项目，没有淘汰落后产品工艺，不属于《产业结构调整指导目录》限制类和淘汰类项目；项目采用先进设备，无生产废水外排。根据前文分析，本项目符合“三区三线”要求，符合区域规划要求</w:t>
                  </w:r>
                </w:p>
              </w:tc>
              <w:tc>
                <w:tcPr>
                  <w:tcW w:w="936" w:type="dxa"/>
                  <w:vAlign w:val="center"/>
                </w:tcPr>
                <w:p w14:paraId="06F98AD4">
                  <w:pPr>
                    <w:pStyle w:val="31"/>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14:paraId="17D9E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9" w:type="dxa"/>
                  <w:vAlign w:val="center"/>
                </w:tcPr>
                <w:p w14:paraId="3CCFFD80">
                  <w:pPr>
                    <w:widowControl/>
                    <w:jc w:val="center"/>
                    <w:rPr>
                      <w:rFonts w:hint="eastAsia" w:ascii="宋体" w:hAnsi="宋体" w:cs="宋体"/>
                      <w:color w:val="auto"/>
                      <w:szCs w:val="21"/>
                    </w:rPr>
                  </w:pPr>
                  <w:r>
                    <w:rPr>
                      <w:rFonts w:hint="eastAsia" w:ascii="宋体" w:hAnsi="宋体" w:cs="宋体"/>
                      <w:color w:val="auto"/>
                      <w:szCs w:val="21"/>
                    </w:rPr>
                    <w:t>污染物排放管控</w:t>
                  </w:r>
                </w:p>
              </w:tc>
              <w:tc>
                <w:tcPr>
                  <w:tcW w:w="3888" w:type="dxa"/>
                  <w:vAlign w:val="center"/>
                </w:tcPr>
                <w:p w14:paraId="123CF025">
                  <w:pPr>
                    <w:widowControl/>
                    <w:jc w:val="center"/>
                    <w:rPr>
                      <w:rFonts w:hint="eastAsia" w:ascii="宋体" w:hAnsi="宋体" w:cs="宋体"/>
                      <w:color w:val="auto"/>
                      <w:szCs w:val="21"/>
                    </w:rPr>
                  </w:pPr>
                  <w:r>
                    <w:rPr>
                      <w:rFonts w:hint="eastAsia" w:ascii="宋体" w:hAnsi="宋体" w:cs="宋体"/>
                      <w:color w:val="auto"/>
                      <w:kern w:val="0"/>
                      <w:szCs w:val="21"/>
                      <w:lang w:bidi="ar"/>
                    </w:rPr>
                    <w:t>企业事业单位和其他生产经营者超过污染物排放标准或者超过重点污染物排放总量控制指标排放污染物的，县级以上人民政府环境保护主管部门可以责令其采取限制生产、停产整治等措施；情节严重的，报经有批准权的人民政府批准，责令停业、关闭。积极推进清洁生产审核，对焦化、有色金属、石化、化工、电镀、制革、石油开采、造纸、印染、 农副食品加工等行业，全面推进清洁生产改造或清洁化改造。专项整治十大重点行业。逐一排查工业企业排污情况，达标企业应采取措施确保稳定达标；对超标和超总量的企业予以</w:t>
                  </w:r>
                  <w:r>
                    <w:rPr>
                      <w:color w:val="auto"/>
                      <w:kern w:val="0"/>
                      <w:szCs w:val="21"/>
                      <w:lang w:bidi="ar"/>
                    </w:rPr>
                    <w:t>“</w:t>
                  </w:r>
                  <w:r>
                    <w:rPr>
                      <w:rFonts w:hint="eastAsia" w:ascii="宋体" w:hAnsi="宋体" w:cs="宋体"/>
                      <w:color w:val="auto"/>
                      <w:kern w:val="0"/>
                      <w:szCs w:val="21"/>
                      <w:lang w:bidi="ar"/>
                    </w:rPr>
                    <w:t>黄牌</w:t>
                  </w:r>
                  <w:r>
                    <w:rPr>
                      <w:color w:val="auto"/>
                      <w:kern w:val="0"/>
                      <w:szCs w:val="21"/>
                      <w:lang w:bidi="ar"/>
                    </w:rPr>
                    <w:t>”</w:t>
                  </w:r>
                  <w:r>
                    <w:rPr>
                      <w:rFonts w:hint="eastAsia" w:ascii="宋体" w:hAnsi="宋体" w:cs="宋体"/>
                      <w:color w:val="auto"/>
                      <w:kern w:val="0"/>
                      <w:szCs w:val="21"/>
                      <w:lang w:bidi="ar"/>
                    </w:rPr>
                    <w:t>警示，一律限制生产或停产整治；对整治仍不能达到要求且情节严重的企业予以</w:t>
                  </w:r>
                  <w:r>
                    <w:rPr>
                      <w:color w:val="auto"/>
                      <w:kern w:val="0"/>
                      <w:szCs w:val="21"/>
                      <w:lang w:bidi="ar"/>
                    </w:rPr>
                    <w:t>“</w:t>
                  </w:r>
                  <w:r>
                    <w:rPr>
                      <w:rFonts w:hint="eastAsia" w:ascii="宋体" w:hAnsi="宋体" w:cs="宋体"/>
                      <w:color w:val="auto"/>
                      <w:kern w:val="0"/>
                      <w:szCs w:val="21"/>
                      <w:lang w:bidi="ar"/>
                    </w:rPr>
                    <w:t>红牌</w:t>
                  </w:r>
                  <w:r>
                    <w:rPr>
                      <w:color w:val="auto"/>
                      <w:kern w:val="0"/>
                      <w:szCs w:val="21"/>
                      <w:lang w:bidi="ar"/>
                    </w:rPr>
                    <w:t>”</w:t>
                  </w:r>
                  <w:r>
                    <w:rPr>
                      <w:rFonts w:hint="eastAsia" w:ascii="宋体" w:hAnsi="宋体" w:cs="宋体"/>
                      <w:color w:val="auto"/>
                      <w:kern w:val="0"/>
                      <w:szCs w:val="21"/>
                      <w:lang w:bidi="ar"/>
                    </w:rPr>
                    <w:t>处罚，一律停业、关闭。开展经济技术开发区、高新技术产业开发区、出口加工区等工业集聚区水污染治理设施排查和污染治理，全面推行工业集聚区企业废水量、水污染物纳管总量双控制度。集聚区内工业废水必须经预处理达到集中处理要求，方可进入污水集中处理设施。推进污泥处理处置。污水处理设施产生的污泥应进行稳定化、无害化和资源化处理处置，禁止处理处置不达标的污泥进入耕地。非法污泥堆放点一律予以取缔。新建、改建、扩建排放重点大气污染物的项目不符合总量控制要求的，不得通过环境影响评价。推进园区电、热、冷、气等多种能源协同的综合能源项目建设。加快推进石化、化工、涂装、医药、包装印刷和油品储运销等重点行业挥发性有机物深度治理，全面提升废气收集率、治理设施同步运行率和去除率，提高水性、高固体分、无溶剂、粉末、辐射固化等低挥发性有机物含量产品的比重。实行重点排放源排放浓度与去除效率双重控制。车间或生产设施收集排放的废气，</w:t>
                  </w:r>
                  <w:r>
                    <w:rPr>
                      <w:color w:val="auto"/>
                      <w:kern w:val="0"/>
                      <w:szCs w:val="21"/>
                      <w:lang w:bidi="ar"/>
                    </w:rPr>
                    <w:t xml:space="preserve">VOCs </w:t>
                  </w:r>
                  <w:r>
                    <w:rPr>
                      <w:rFonts w:hint="eastAsia" w:ascii="宋体" w:hAnsi="宋体" w:cs="宋体"/>
                      <w:color w:val="auto"/>
                      <w:kern w:val="0"/>
                      <w:szCs w:val="21"/>
                      <w:lang w:bidi="ar"/>
                    </w:rPr>
                    <w:t xml:space="preserve">初始排放速率大于等于 </w:t>
                  </w:r>
                  <w:r>
                    <w:rPr>
                      <w:color w:val="auto"/>
                      <w:kern w:val="0"/>
                      <w:szCs w:val="21"/>
                      <w:lang w:bidi="ar"/>
                    </w:rPr>
                    <w:t xml:space="preserve">2 </w:t>
                  </w:r>
                  <w:r>
                    <w:rPr>
                      <w:rFonts w:hint="eastAsia" w:ascii="宋体" w:hAnsi="宋体" w:cs="宋体"/>
                      <w:color w:val="auto"/>
                      <w:kern w:val="0"/>
                      <w:szCs w:val="21"/>
                      <w:lang w:bidi="ar"/>
                    </w:rPr>
                    <w:t>千克</w:t>
                  </w:r>
                  <w:r>
                    <w:rPr>
                      <w:color w:val="auto"/>
                      <w:kern w:val="0"/>
                      <w:szCs w:val="21"/>
                      <w:lang w:bidi="ar"/>
                    </w:rPr>
                    <w:t>/</w:t>
                  </w:r>
                  <w:r>
                    <w:rPr>
                      <w:rFonts w:hint="eastAsia" w:ascii="宋体" w:hAnsi="宋体" w:cs="宋体"/>
                      <w:color w:val="auto"/>
                      <w:kern w:val="0"/>
                      <w:szCs w:val="21"/>
                      <w:lang w:bidi="ar"/>
                    </w:rPr>
                    <w:t xml:space="preserve">小时的，应加大控制力度，除确保排放浓度稳定达标外，还应实行去除效率控制，去除效率不低于 </w:t>
                  </w:r>
                  <w:r>
                    <w:rPr>
                      <w:color w:val="auto"/>
                      <w:kern w:val="0"/>
                      <w:szCs w:val="21"/>
                      <w:lang w:bidi="ar"/>
                    </w:rPr>
                    <w:t>80%</w:t>
                  </w:r>
                  <w:r>
                    <w:rPr>
                      <w:rFonts w:hint="eastAsia" w:ascii="宋体" w:hAnsi="宋体" w:cs="宋体"/>
                      <w:color w:val="auto"/>
                      <w:kern w:val="0"/>
                      <w:szCs w:val="21"/>
                      <w:lang w:bidi="ar"/>
                    </w:rPr>
                    <w:t xml:space="preserve">；采用的原辅材料符合国家有关低 </w:t>
                  </w:r>
                  <w:r>
                    <w:rPr>
                      <w:color w:val="auto"/>
                      <w:kern w:val="0"/>
                      <w:szCs w:val="21"/>
                      <w:lang w:bidi="ar"/>
                    </w:rPr>
                    <w:t xml:space="preserve">VOCs </w:t>
                  </w:r>
                  <w:r>
                    <w:rPr>
                      <w:rFonts w:hint="eastAsia" w:ascii="宋体" w:hAnsi="宋体" w:cs="宋体"/>
                      <w:color w:val="auto"/>
                      <w:kern w:val="0"/>
                      <w:szCs w:val="21"/>
                      <w:lang w:bidi="ar"/>
                    </w:rPr>
                    <w:t>含量产品规定的除外，有行业排放标准的按其相关规定执行。按《挥发性有机物无组织排放控制标准（</w:t>
                  </w:r>
                  <w:r>
                    <w:rPr>
                      <w:color w:val="auto"/>
                      <w:kern w:val="0"/>
                      <w:szCs w:val="21"/>
                      <w:lang w:bidi="ar"/>
                    </w:rPr>
                    <w:t>GB37822-2019</w:t>
                  </w:r>
                  <w:r>
                    <w:rPr>
                      <w:rFonts w:hint="eastAsia" w:ascii="宋体" w:hAnsi="宋体" w:cs="宋体"/>
                      <w:color w:val="auto"/>
                      <w:kern w:val="0"/>
                      <w:szCs w:val="21"/>
                      <w:lang w:bidi="ar"/>
                    </w:rPr>
                    <w:t xml:space="preserve">）要求，做好 </w:t>
                  </w:r>
                  <w:r>
                    <w:rPr>
                      <w:color w:val="auto"/>
                      <w:kern w:val="0"/>
                      <w:szCs w:val="21"/>
                      <w:lang w:bidi="ar"/>
                    </w:rPr>
                    <w:t xml:space="preserve">VOCs </w:t>
                  </w:r>
                  <w:r>
                    <w:rPr>
                      <w:rFonts w:hint="eastAsia" w:ascii="宋体" w:hAnsi="宋体" w:cs="宋体"/>
                      <w:color w:val="auto"/>
                      <w:kern w:val="0"/>
                      <w:szCs w:val="21"/>
                      <w:lang w:bidi="ar"/>
                    </w:rPr>
                    <w:t xml:space="preserve">物料储存、物料转移和输送、工艺过程、设备与管线组件、敞开液面 </w:t>
                  </w:r>
                  <w:r>
                    <w:rPr>
                      <w:color w:val="auto"/>
                      <w:kern w:val="0"/>
                      <w:szCs w:val="21"/>
                      <w:lang w:bidi="ar"/>
                    </w:rPr>
                    <w:t xml:space="preserve">VOCs </w:t>
                  </w:r>
                  <w:r>
                    <w:rPr>
                      <w:rFonts w:hint="eastAsia" w:ascii="宋体" w:hAnsi="宋体" w:cs="宋体"/>
                      <w:color w:val="auto"/>
                      <w:kern w:val="0"/>
                      <w:szCs w:val="21"/>
                      <w:lang w:bidi="ar"/>
                    </w:rPr>
                    <w:t xml:space="preserve">排放，以及 </w:t>
                  </w:r>
                  <w:r>
                    <w:rPr>
                      <w:color w:val="auto"/>
                      <w:kern w:val="0"/>
                      <w:szCs w:val="21"/>
                      <w:lang w:bidi="ar"/>
                    </w:rPr>
                    <w:t>VOCs</w:t>
                  </w:r>
                  <w:r>
                    <w:rPr>
                      <w:rFonts w:hint="eastAsia" w:ascii="宋体" w:hAnsi="宋体" w:cs="宋体"/>
                      <w:color w:val="auto"/>
                      <w:kern w:val="0"/>
                      <w:szCs w:val="21"/>
                      <w:lang w:bidi="ar"/>
                    </w:rPr>
                    <w:t xml:space="preserve">无组织排放废气收集处理系统要求。强化工业企业无组织排放管理，推进挥发性有机物排放综合整治，开展大气氨排放控制试点。深化工业污染治理，工业污染源全面达标排放，未达标排放的企业一律依法停产整治。实施工业污染源全面达标排放控制，重点工业污染源全面安装烟气在线监控设施。分行业按期执行特别排放限值要求，包括新、改、扩建项目和现有项目全面执行特别排放限值。继续推进重点行业污染治理设施升级改造，强化工业企业无组织排放治理，在安全许可要求下，实施封闭储存、密闭输送、系统收集。提升改造电力、化工、水泥等工业领域低氮燃烧、除尘、脱硝、脱硫设施，强化二氧化硫、氮氧化物、颗粒物及挥发性有机物污染治理。到 </w:t>
                  </w:r>
                  <w:r>
                    <w:rPr>
                      <w:color w:val="auto"/>
                      <w:kern w:val="0"/>
                      <w:szCs w:val="21"/>
                      <w:lang w:bidi="ar"/>
                    </w:rPr>
                    <w:t xml:space="preserve">2025 </w:t>
                  </w:r>
                  <w:r>
                    <w:rPr>
                      <w:rFonts w:hint="eastAsia" w:ascii="宋体" w:hAnsi="宋体" w:cs="宋体"/>
                      <w:color w:val="auto"/>
                      <w:kern w:val="0"/>
                      <w:szCs w:val="21"/>
                      <w:lang w:bidi="ar"/>
                    </w:rPr>
                    <w:t>年底，土壤污染重点监管单位排污许可证应当全部载明土壤污染防治义务，至少完成一次土壤和地下水隐患排查，制定整改方案和台账并落实。</w:t>
                  </w:r>
                </w:p>
              </w:tc>
              <w:tc>
                <w:tcPr>
                  <w:tcW w:w="2340" w:type="dxa"/>
                  <w:vAlign w:val="center"/>
                </w:tcPr>
                <w:p w14:paraId="46D56A59">
                  <w:pPr>
                    <w:pStyle w:val="31"/>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本项目废气排放量由原有项目中倍量替代。本项目采用自动化智能设备，从产生源头进一步控制废气产生量，产污节点收集管线建设以及废气治理措施建设；项目生活污水经化粪池处理后定期清掏，不外排，无排放生产废水。针对高噪声设备采取降噪措施；固废妥善处置，避免二次污染，同时加强日常监管，项目通过以上措施，对周边环境影响较小。</w:t>
                  </w:r>
                </w:p>
              </w:tc>
              <w:tc>
                <w:tcPr>
                  <w:tcW w:w="936" w:type="dxa"/>
                  <w:vAlign w:val="center"/>
                </w:tcPr>
                <w:p w14:paraId="045DA6F0">
                  <w:pPr>
                    <w:pStyle w:val="31"/>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14:paraId="3C709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9" w:type="dxa"/>
                  <w:vAlign w:val="center"/>
                </w:tcPr>
                <w:p w14:paraId="1D81E1D3">
                  <w:pPr>
                    <w:pStyle w:val="31"/>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环境风险防控</w:t>
                  </w:r>
                </w:p>
              </w:tc>
              <w:tc>
                <w:tcPr>
                  <w:tcW w:w="3888" w:type="dxa"/>
                  <w:vAlign w:val="center"/>
                </w:tcPr>
                <w:p w14:paraId="1AC1180C">
                  <w:pPr>
                    <w:widowControl/>
                    <w:jc w:val="center"/>
                    <w:rPr>
                      <w:rFonts w:hint="eastAsia" w:ascii="宋体" w:hAnsi="宋体" w:cs="宋体"/>
                      <w:color w:val="auto"/>
                      <w:szCs w:val="21"/>
                    </w:rPr>
                  </w:pPr>
                  <w:r>
                    <w:rPr>
                      <w:rFonts w:hint="eastAsia" w:ascii="宋体" w:hAnsi="宋体" w:cs="宋体"/>
                      <w:color w:val="auto"/>
                      <w:kern w:val="0"/>
                      <w:szCs w:val="21"/>
                      <w:lang w:bidi="ar"/>
                    </w:rPr>
                    <w:t>落实工业企业环境风险防范主体责任，以石油、化工、涉重金属等企业为重点，合理布设企业生产设施，强化工业企业应急导流槽、事故调蓄池、应急闸坝等事故排水收集截留设施以及事故水输送设施建设，合理设置消防事故水池。加强园区内工业废水的分类分质处理和监控，开展工业园区污水处理厂综合毒性试点监测。推进既有产业园区和产业集群循环化改造，推进企业内部工业用水循环利用、园区内企业间用水系统集成优化积极推进清洁生产审核，推动石化、化工、印染、电镀、有色金属等重点行业制定清洁生产改造提升计划推进新能源与节能环保产业发展，带动重大水生态环境治理项目实施。以化工园区、尾矿库、冶炼企业等为重点，严格落实企业生态环境风险防范主体责任。对使用有毒有害化学物质或在生产过程中排放有毒有害物质的企业，全面实施强制性清洁生产审核，严格执行产品质量标准中有毒有害化学物质的含量限值，加强农药、石化、涂料、印染、医药等行业新污染物环境风险管控。</w:t>
                  </w:r>
                </w:p>
              </w:tc>
              <w:tc>
                <w:tcPr>
                  <w:tcW w:w="2340" w:type="dxa"/>
                  <w:vAlign w:val="center"/>
                </w:tcPr>
                <w:p w14:paraId="7CC44744">
                  <w:pPr>
                    <w:pStyle w:val="31"/>
                    <w:spacing w:line="240" w:lineRule="auto"/>
                    <w:ind w:firstLine="0" w:firstLineChars="0"/>
                    <w:jc w:val="center"/>
                    <w:rPr>
                      <w:rFonts w:hint="eastAsia" w:ascii="宋体" w:hAnsi="宋体" w:eastAsia="宋体" w:cs="宋体"/>
                      <w:color w:val="auto"/>
                      <w:sz w:val="21"/>
                      <w:szCs w:val="21"/>
                    </w:rPr>
                  </w:pPr>
                  <w:r>
                    <w:rPr>
                      <w:rFonts w:eastAsia="宋体"/>
                      <w:color w:val="auto"/>
                      <w:sz w:val="21"/>
                      <w:szCs w:val="21"/>
                    </w:rPr>
                    <w:t>本项目属于</w:t>
                  </w:r>
                  <w:r>
                    <w:rPr>
                      <w:rFonts w:hint="eastAsia" w:eastAsia="宋体"/>
                      <w:color w:val="auto"/>
                      <w:sz w:val="21"/>
                      <w:szCs w:val="21"/>
                    </w:rPr>
                    <w:t>C3031粘土砖瓦及建筑砌块制造；项目严格执行环境风险防范措施环境风险可控可接受；定期组织应急演练，提升突发环境事件应急处理处置能力。</w:t>
                  </w:r>
                </w:p>
              </w:tc>
              <w:tc>
                <w:tcPr>
                  <w:tcW w:w="936" w:type="dxa"/>
                  <w:vAlign w:val="center"/>
                </w:tcPr>
                <w:p w14:paraId="10EF03C7">
                  <w:pPr>
                    <w:pStyle w:val="31"/>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14:paraId="3AE0F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9" w:type="dxa"/>
                  <w:vAlign w:val="center"/>
                </w:tcPr>
                <w:p w14:paraId="466C0C8D">
                  <w:pPr>
                    <w:pStyle w:val="31"/>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资源开发效率要求</w:t>
                  </w:r>
                </w:p>
              </w:tc>
              <w:tc>
                <w:tcPr>
                  <w:tcW w:w="3888" w:type="dxa"/>
                  <w:vAlign w:val="center"/>
                </w:tcPr>
                <w:p w14:paraId="3A2A4C6C">
                  <w:pPr>
                    <w:widowControl/>
                    <w:jc w:val="center"/>
                    <w:rPr>
                      <w:rFonts w:hint="eastAsia" w:ascii="宋体" w:hAnsi="宋体" w:cs="宋体"/>
                      <w:color w:val="auto"/>
                      <w:szCs w:val="21"/>
                    </w:rPr>
                  </w:pPr>
                  <w:r>
                    <w:rPr>
                      <w:rFonts w:hint="eastAsia" w:ascii="宋体" w:hAnsi="宋体" w:cs="宋体"/>
                      <w:color w:val="auto"/>
                      <w:kern w:val="0"/>
                      <w:szCs w:val="21"/>
                      <w:lang w:bidi="ar"/>
                    </w:rPr>
                    <w:t>严格落实主体功能区规划，在生态脆弱、严重缺水和地下水超采地区，严格控制高耗水新建、改建、扩建项目，推进高耗水企业向水资源条件允许的工业园区集中。对采用列入淘汰目录工艺、技术和装备的项目，不予批准取水许可；未按期淘汰的，有关部门和地方政府要依法严格查处。地下水限采区内不得新增地下水开采量。严控工农业等生产性用水新增地下水开采量。在地下水超采区，禁止农业、工业建设项目和服务业新增取用中深层地下水，并削减开采量，逐步实现地下水采补平衡。皖北平原地区应当限制高耗水、重污染产业发展，提高城镇污水处理标准，加强污水、采矿排水再生利用；支持规模农业使用高效节水灌溉技术；对地下水超采地区，应当制定综合治理措施，控制开采量，逐步实现采补平衡。推动煤电行业实施节能降耗改造、供热改造和灵活性改造</w:t>
                  </w:r>
                  <w:r>
                    <w:rPr>
                      <w:color w:val="auto"/>
                      <w:kern w:val="0"/>
                      <w:szCs w:val="21"/>
                      <w:lang w:bidi="ar"/>
                    </w:rPr>
                    <w:t>“</w:t>
                  </w:r>
                  <w:r>
                    <w:rPr>
                      <w:rFonts w:hint="eastAsia" w:ascii="宋体" w:hAnsi="宋体" w:cs="宋体"/>
                      <w:color w:val="auto"/>
                      <w:kern w:val="0"/>
                      <w:szCs w:val="21"/>
                      <w:lang w:bidi="ar"/>
                    </w:rPr>
                    <w:t>三改联动</w:t>
                  </w:r>
                  <w:r>
                    <w:rPr>
                      <w:color w:val="auto"/>
                      <w:kern w:val="0"/>
                      <w:szCs w:val="21"/>
                      <w:lang w:bidi="ar"/>
                    </w:rPr>
                    <w:t>”</w:t>
                  </w:r>
                  <w:r>
                    <w:rPr>
                      <w:rFonts w:hint="eastAsia" w:ascii="宋体" w:hAnsi="宋体" w:cs="宋体"/>
                      <w:color w:val="auto"/>
                      <w:kern w:val="0"/>
                      <w:szCs w:val="21"/>
                      <w:lang w:bidi="ar"/>
                    </w:rPr>
                    <w:t xml:space="preserve">。加快供热管网建设，淘汰管网覆盖范围内的燃煤锅炉和散煤。新建耗煤项目实行煤炭减量替代。对煤炭开采与洗选业、化学原料和化学制品制造业、非金属矿物制品业、黑色金属冶炼和压延加工业、有色金属冶炼和压延加工业、电力热力生产和供应业等行业新增耗煤（电力行业除外），实施煤炭消费量 </w:t>
                  </w:r>
                  <w:r>
                    <w:rPr>
                      <w:color w:val="auto"/>
                      <w:kern w:val="0"/>
                      <w:szCs w:val="21"/>
                      <w:lang w:bidi="ar"/>
                    </w:rPr>
                    <w:t>1.5</w:t>
                  </w:r>
                  <w:r>
                    <w:rPr>
                      <w:rFonts w:hint="eastAsia" w:ascii="宋体" w:hAnsi="宋体" w:cs="宋体"/>
                      <w:color w:val="auto"/>
                      <w:kern w:val="0"/>
                      <w:szCs w:val="21"/>
                      <w:lang w:bidi="ar"/>
                    </w:rPr>
                    <w:t>倍减量替代。</w:t>
                  </w:r>
                </w:p>
              </w:tc>
              <w:tc>
                <w:tcPr>
                  <w:tcW w:w="2340" w:type="dxa"/>
                  <w:vAlign w:val="center"/>
                </w:tcPr>
                <w:p w14:paraId="03C2A4DA">
                  <w:pPr>
                    <w:pStyle w:val="31"/>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本项目供水主要来自朱仙庄镇供应自来水，不涉及地下水开采，不涉及锅炉建设。</w:t>
                  </w:r>
                </w:p>
              </w:tc>
              <w:tc>
                <w:tcPr>
                  <w:tcW w:w="936" w:type="dxa"/>
                  <w:vAlign w:val="center"/>
                </w:tcPr>
                <w:p w14:paraId="5D3AFBF6">
                  <w:pPr>
                    <w:pStyle w:val="31"/>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bl>
          <w:p w14:paraId="62B55C5C">
            <w:pPr>
              <w:pStyle w:val="52"/>
              <w:adjustRightInd/>
              <w:spacing w:after="0" w:line="360" w:lineRule="auto"/>
              <w:rPr>
                <w:rFonts w:ascii="Times New Roman" w:hAnsi="Times New Roman" w:cs="Times New Roman"/>
                <w:b/>
                <w:color w:val="auto"/>
              </w:rPr>
            </w:pPr>
            <w:r>
              <w:rPr>
                <w:rFonts w:hint="eastAsia" w:ascii="Times New Roman" w:cs="Times New Roman"/>
                <w:b/>
                <w:color w:val="auto"/>
              </w:rPr>
              <w:t>四、相关法规政策相符性分析</w:t>
            </w:r>
          </w:p>
          <w:p w14:paraId="62A5321A">
            <w:pPr>
              <w:pStyle w:val="33"/>
              <w:widowControl/>
              <w:autoSpaceDE w:val="0"/>
              <w:autoSpaceDN w:val="0"/>
              <w:spacing w:line="360" w:lineRule="auto"/>
              <w:ind w:firstLine="482"/>
              <w:textAlignment w:val="baseline"/>
              <w:rPr>
                <w:b/>
                <w:bCs/>
                <w:color w:val="auto"/>
                <w:kern w:val="0"/>
                <w:sz w:val="24"/>
              </w:rPr>
            </w:pPr>
            <w:r>
              <w:rPr>
                <w:rFonts w:hint="eastAsia"/>
                <w:b/>
                <w:bCs/>
                <w:color w:val="auto"/>
                <w:kern w:val="0"/>
                <w:sz w:val="24"/>
              </w:rPr>
              <w:t xml:space="preserve">（1）与环境空气细颗粒物污染综合防治技术政策相符性表 </w:t>
            </w:r>
          </w:p>
          <w:p w14:paraId="767FF2DF">
            <w:pPr>
              <w:pStyle w:val="33"/>
              <w:widowControl/>
              <w:autoSpaceDE w:val="0"/>
              <w:autoSpaceDN w:val="0"/>
              <w:spacing w:line="360" w:lineRule="auto"/>
              <w:ind w:firstLine="0" w:firstLineChars="0"/>
              <w:jc w:val="center"/>
              <w:textAlignment w:val="baseline"/>
              <w:rPr>
                <w:b/>
                <w:bCs/>
                <w:color w:val="auto"/>
                <w:kern w:val="0"/>
                <w:sz w:val="24"/>
              </w:rPr>
            </w:pPr>
            <w:r>
              <w:rPr>
                <w:rFonts w:hint="eastAsia"/>
                <w:b/>
                <w:bCs/>
                <w:color w:val="auto"/>
                <w:kern w:val="0"/>
                <w:sz w:val="24"/>
              </w:rPr>
              <w:t>表1-1  项目与《环境空气细颗粒物污染综合防治技术政策》相符性分析</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8"/>
              <w:gridCol w:w="3464"/>
              <w:gridCol w:w="2710"/>
              <w:gridCol w:w="1142"/>
            </w:tblGrid>
            <w:tr w14:paraId="53765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78" w:type="pct"/>
                  <w:vAlign w:val="center"/>
                </w:tcPr>
                <w:p w14:paraId="259556A4">
                  <w:pPr>
                    <w:pStyle w:val="32"/>
                    <w:jc w:val="center"/>
                    <w:rPr>
                      <w:rFonts w:hint="eastAsia"/>
                      <w:b/>
                      <w:bCs/>
                      <w:color w:val="auto"/>
                      <w:kern w:val="0"/>
                      <w:sz w:val="21"/>
                      <w:szCs w:val="21"/>
                    </w:rPr>
                  </w:pPr>
                  <w:r>
                    <w:rPr>
                      <w:rFonts w:hint="eastAsia"/>
                      <w:b/>
                      <w:bCs/>
                      <w:color w:val="auto"/>
                      <w:spacing w:val="4"/>
                      <w:sz w:val="21"/>
                      <w:szCs w:val="21"/>
                    </w:rPr>
                    <w:t>序号</w:t>
                  </w:r>
                </w:p>
              </w:tc>
              <w:tc>
                <w:tcPr>
                  <w:tcW w:w="2187" w:type="pct"/>
                  <w:vAlign w:val="center"/>
                </w:tcPr>
                <w:p w14:paraId="6D298E58">
                  <w:pPr>
                    <w:pStyle w:val="32"/>
                    <w:jc w:val="center"/>
                    <w:rPr>
                      <w:rFonts w:hint="eastAsia"/>
                      <w:b/>
                      <w:bCs/>
                      <w:color w:val="auto"/>
                      <w:kern w:val="0"/>
                      <w:sz w:val="21"/>
                      <w:szCs w:val="21"/>
                    </w:rPr>
                  </w:pPr>
                  <w:r>
                    <w:rPr>
                      <w:rFonts w:hint="eastAsia"/>
                      <w:b/>
                      <w:bCs/>
                      <w:color w:val="auto"/>
                      <w:spacing w:val="6"/>
                      <w:sz w:val="21"/>
                      <w:szCs w:val="21"/>
                    </w:rPr>
                    <w:t>方案内容</w:t>
                  </w:r>
                </w:p>
              </w:tc>
              <w:tc>
                <w:tcPr>
                  <w:tcW w:w="1711" w:type="pct"/>
                  <w:vAlign w:val="center"/>
                </w:tcPr>
                <w:p w14:paraId="6E46ABB8">
                  <w:pPr>
                    <w:pStyle w:val="32"/>
                    <w:jc w:val="center"/>
                    <w:rPr>
                      <w:rFonts w:hint="eastAsia"/>
                      <w:b/>
                      <w:bCs/>
                      <w:color w:val="auto"/>
                      <w:kern w:val="0"/>
                      <w:sz w:val="21"/>
                      <w:szCs w:val="21"/>
                    </w:rPr>
                  </w:pPr>
                  <w:r>
                    <w:rPr>
                      <w:rFonts w:hint="eastAsia"/>
                      <w:b/>
                      <w:bCs/>
                      <w:color w:val="auto"/>
                      <w:spacing w:val="5"/>
                      <w:sz w:val="21"/>
                      <w:szCs w:val="21"/>
                    </w:rPr>
                    <w:t>项目情况</w:t>
                  </w:r>
                </w:p>
              </w:tc>
              <w:tc>
                <w:tcPr>
                  <w:tcW w:w="721" w:type="pct"/>
                  <w:vAlign w:val="center"/>
                </w:tcPr>
                <w:p w14:paraId="2836A576">
                  <w:pPr>
                    <w:pStyle w:val="32"/>
                    <w:jc w:val="center"/>
                    <w:rPr>
                      <w:rFonts w:hint="eastAsia"/>
                      <w:b/>
                      <w:bCs/>
                      <w:color w:val="auto"/>
                      <w:kern w:val="0"/>
                      <w:sz w:val="21"/>
                      <w:szCs w:val="21"/>
                    </w:rPr>
                  </w:pPr>
                  <w:r>
                    <w:rPr>
                      <w:rFonts w:hint="eastAsia"/>
                      <w:b/>
                      <w:bCs/>
                      <w:color w:val="auto"/>
                      <w:spacing w:val="5"/>
                      <w:sz w:val="21"/>
                      <w:szCs w:val="21"/>
                    </w:rPr>
                    <w:t>相符性</w:t>
                  </w:r>
                </w:p>
              </w:tc>
            </w:tr>
            <w:tr w14:paraId="0B219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8" w:type="pct"/>
                  <w:vAlign w:val="center"/>
                </w:tcPr>
                <w:p w14:paraId="7EFA9688">
                  <w:pPr>
                    <w:pStyle w:val="32"/>
                    <w:jc w:val="center"/>
                    <w:rPr>
                      <w:rFonts w:ascii="Times New Roman" w:hAnsi="Times New Roman" w:cs="Times New Roman"/>
                      <w:color w:val="auto"/>
                      <w:spacing w:val="4"/>
                      <w:sz w:val="21"/>
                      <w:szCs w:val="21"/>
                      <w:lang w:eastAsia="zh-CN"/>
                    </w:rPr>
                  </w:pPr>
                  <w:r>
                    <w:rPr>
                      <w:rFonts w:ascii="Times New Roman" w:hAnsi="Times New Roman" w:cs="Times New Roman"/>
                      <w:color w:val="auto"/>
                      <w:spacing w:val="4"/>
                      <w:sz w:val="21"/>
                      <w:szCs w:val="21"/>
                      <w:lang w:eastAsia="zh-CN"/>
                    </w:rPr>
                    <w:t>1</w:t>
                  </w:r>
                </w:p>
              </w:tc>
              <w:tc>
                <w:tcPr>
                  <w:tcW w:w="2187" w:type="pct"/>
                  <w:vAlign w:val="center"/>
                </w:tcPr>
                <w:p w14:paraId="6E6DDDA8">
                  <w:pPr>
                    <w:pStyle w:val="32"/>
                    <w:jc w:val="center"/>
                    <w:rPr>
                      <w:rFonts w:hint="eastAsia"/>
                      <w:color w:val="auto"/>
                      <w:spacing w:val="5"/>
                      <w:sz w:val="21"/>
                      <w:szCs w:val="21"/>
                      <w:lang w:eastAsia="zh-CN"/>
                    </w:rPr>
                  </w:pPr>
                  <w:r>
                    <w:rPr>
                      <w:color w:val="auto"/>
                      <w:spacing w:val="5"/>
                      <w:sz w:val="21"/>
                      <w:szCs w:val="21"/>
                      <w:lang w:eastAsia="zh-CN"/>
                    </w:rPr>
                    <w:t>（十）应将排放细颗粒物和前体污染物排放量较大的行业作为工业污染源治理的重点，包括：火电、冶金、建材、石油化工、合成材料、制药、塑料加工、表面涂装、电子产品与设备制造、包装印刷等。工业污染源的污染防治，应参照燃煤二氧化硫、火电厂氮氧化物和冶金、建材、化工等污染防治技术政策的具体内容，开展相关工作。</w:t>
                  </w:r>
                </w:p>
              </w:tc>
              <w:tc>
                <w:tcPr>
                  <w:tcW w:w="1711" w:type="pct"/>
                  <w:vAlign w:val="center"/>
                </w:tcPr>
                <w:p w14:paraId="07DD78C9">
                  <w:pPr>
                    <w:pStyle w:val="32"/>
                    <w:jc w:val="center"/>
                    <w:rPr>
                      <w:rFonts w:hint="eastAsia"/>
                      <w:color w:val="auto"/>
                      <w:spacing w:val="5"/>
                      <w:sz w:val="21"/>
                      <w:szCs w:val="21"/>
                      <w:lang w:eastAsia="zh-CN"/>
                    </w:rPr>
                  </w:pPr>
                  <w:r>
                    <w:rPr>
                      <w:rFonts w:hint="eastAsia"/>
                      <w:color w:val="auto"/>
                      <w:spacing w:val="5"/>
                      <w:sz w:val="21"/>
                      <w:szCs w:val="21"/>
                      <w:lang w:eastAsia="zh-CN"/>
                    </w:rPr>
                    <w:t>项目为粘土砖瓦及建筑砌块砖制造，属于建材行业，但本项目不涉及燃煤工序，项目参照建材污染防治技术政策来开展相关工作</w:t>
                  </w:r>
                </w:p>
              </w:tc>
              <w:tc>
                <w:tcPr>
                  <w:tcW w:w="721" w:type="pct"/>
                  <w:vAlign w:val="center"/>
                </w:tcPr>
                <w:p w14:paraId="566F6925">
                  <w:pPr>
                    <w:pStyle w:val="32"/>
                    <w:jc w:val="center"/>
                    <w:rPr>
                      <w:rFonts w:hint="eastAsia"/>
                      <w:color w:val="auto"/>
                      <w:spacing w:val="5"/>
                      <w:sz w:val="21"/>
                      <w:szCs w:val="21"/>
                      <w:lang w:eastAsia="zh-CN"/>
                    </w:rPr>
                  </w:pPr>
                  <w:r>
                    <w:rPr>
                      <w:rFonts w:hint="eastAsia"/>
                      <w:color w:val="auto"/>
                      <w:spacing w:val="5"/>
                      <w:sz w:val="21"/>
                      <w:szCs w:val="21"/>
                      <w:lang w:eastAsia="zh-CN"/>
                    </w:rPr>
                    <w:t>符合</w:t>
                  </w:r>
                </w:p>
              </w:tc>
            </w:tr>
            <w:tr w14:paraId="03C11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8" w:type="pct"/>
                  <w:vAlign w:val="center"/>
                </w:tcPr>
                <w:p w14:paraId="23BC7B8F">
                  <w:pPr>
                    <w:pStyle w:val="32"/>
                    <w:jc w:val="center"/>
                    <w:rPr>
                      <w:rFonts w:hint="eastAsia"/>
                      <w:b/>
                      <w:bCs/>
                      <w:color w:val="auto"/>
                      <w:spacing w:val="4"/>
                      <w:sz w:val="21"/>
                      <w:szCs w:val="21"/>
                      <w:lang w:eastAsia="zh-CN"/>
                    </w:rPr>
                  </w:pPr>
                  <w:r>
                    <w:rPr>
                      <w:rFonts w:ascii="Times New Roman" w:hAnsi="Times New Roman" w:cs="Times New Roman"/>
                      <w:color w:val="auto"/>
                      <w:spacing w:val="4"/>
                      <w:sz w:val="21"/>
                      <w:szCs w:val="21"/>
                      <w:lang w:eastAsia="zh-CN"/>
                    </w:rPr>
                    <w:t>2</w:t>
                  </w:r>
                </w:p>
              </w:tc>
              <w:tc>
                <w:tcPr>
                  <w:tcW w:w="2187" w:type="pct"/>
                  <w:vAlign w:val="center"/>
                </w:tcPr>
                <w:p w14:paraId="10DCE46F">
                  <w:pPr>
                    <w:pStyle w:val="32"/>
                    <w:jc w:val="center"/>
                    <w:rPr>
                      <w:rFonts w:hint="eastAsia"/>
                      <w:color w:val="auto"/>
                      <w:spacing w:val="5"/>
                      <w:sz w:val="21"/>
                      <w:szCs w:val="21"/>
                      <w:lang w:eastAsia="zh-CN"/>
                    </w:rPr>
                  </w:pPr>
                  <w:r>
                    <w:rPr>
                      <w:color w:val="auto"/>
                      <w:spacing w:val="5"/>
                      <w:sz w:val="21"/>
                      <w:szCs w:val="21"/>
                      <w:lang w:eastAsia="zh-CN"/>
                    </w:rPr>
                    <w:t>（十三）对于排放细颗粒物的工业污染源，应按照生产工艺、排放方式和烟（废）气组成的特点，选取适用的污染防治技术。工业污染源有组织排放的颗粒物，宜采取袋除尘、电除尘、电袋除尘等高效除尘技术，鼓励火电机组和大型燃煤锅炉采用湿式电除尘等新技术。</w:t>
                  </w:r>
                </w:p>
              </w:tc>
              <w:tc>
                <w:tcPr>
                  <w:tcW w:w="1711" w:type="pct"/>
                  <w:vAlign w:val="center"/>
                </w:tcPr>
                <w:p w14:paraId="053434BE">
                  <w:pPr>
                    <w:pStyle w:val="32"/>
                    <w:jc w:val="center"/>
                    <w:rPr>
                      <w:rFonts w:hint="eastAsia"/>
                      <w:color w:val="auto"/>
                      <w:spacing w:val="5"/>
                      <w:sz w:val="21"/>
                      <w:szCs w:val="21"/>
                      <w:lang w:eastAsia="zh-CN"/>
                    </w:rPr>
                  </w:pPr>
                  <w:r>
                    <w:rPr>
                      <w:rFonts w:hint="eastAsia" w:ascii="Times New Roman" w:hAnsi="Times New Roman" w:cs="Times New Roman"/>
                      <w:color w:val="auto"/>
                      <w:spacing w:val="5"/>
                      <w:sz w:val="21"/>
                      <w:szCs w:val="21"/>
                      <w:lang w:eastAsia="zh-CN"/>
                    </w:rPr>
                    <w:t>扩建</w:t>
                  </w:r>
                  <w:r>
                    <w:rPr>
                      <w:rFonts w:ascii="Times New Roman" w:hAnsi="Times New Roman" w:cs="Times New Roman"/>
                      <w:color w:val="auto"/>
                      <w:spacing w:val="5"/>
                      <w:sz w:val="21"/>
                      <w:szCs w:val="21"/>
                      <w:lang w:eastAsia="zh-CN"/>
                    </w:rPr>
                    <w:t>项目破碎、</w:t>
                  </w:r>
                  <w:r>
                    <w:rPr>
                      <w:rFonts w:hint="eastAsia" w:ascii="Times New Roman" w:hAnsi="Times New Roman" w:cs="Times New Roman"/>
                      <w:color w:val="auto"/>
                      <w:spacing w:val="5"/>
                      <w:sz w:val="21"/>
                      <w:szCs w:val="21"/>
                      <w:lang w:eastAsia="zh-CN"/>
                    </w:rPr>
                    <w:t>筛分粉尘经集气罩收集+高效布袋除尘器处理后通过15m高排气筒排风（DA001）；搅拌粉尘经集气罩收集+高效布袋除尘器处理后通过15m高排气筒排放（DA003）</w:t>
                  </w:r>
                </w:p>
              </w:tc>
              <w:tc>
                <w:tcPr>
                  <w:tcW w:w="721" w:type="pct"/>
                  <w:vAlign w:val="center"/>
                </w:tcPr>
                <w:p w14:paraId="3ED81C43">
                  <w:pPr>
                    <w:pStyle w:val="32"/>
                    <w:jc w:val="center"/>
                    <w:rPr>
                      <w:rFonts w:hint="eastAsia"/>
                      <w:color w:val="auto"/>
                      <w:spacing w:val="5"/>
                      <w:sz w:val="21"/>
                      <w:szCs w:val="21"/>
                      <w:lang w:eastAsia="zh-CN"/>
                    </w:rPr>
                  </w:pPr>
                  <w:r>
                    <w:rPr>
                      <w:rFonts w:hint="eastAsia"/>
                      <w:color w:val="auto"/>
                      <w:spacing w:val="5"/>
                      <w:sz w:val="21"/>
                      <w:szCs w:val="21"/>
                      <w:lang w:eastAsia="zh-CN"/>
                    </w:rPr>
                    <w:t>符合</w:t>
                  </w:r>
                </w:p>
              </w:tc>
            </w:tr>
            <w:tr w14:paraId="6A8E7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8" w:type="pct"/>
                  <w:vAlign w:val="center"/>
                </w:tcPr>
                <w:p w14:paraId="2256F236">
                  <w:pPr>
                    <w:pStyle w:val="32"/>
                    <w:jc w:val="center"/>
                    <w:rPr>
                      <w:rFonts w:ascii="Times New Roman" w:hAnsi="Times New Roman" w:cs="Times New Roman"/>
                      <w:color w:val="auto"/>
                      <w:spacing w:val="4"/>
                      <w:sz w:val="21"/>
                      <w:szCs w:val="21"/>
                      <w:lang w:eastAsia="zh-CN"/>
                    </w:rPr>
                  </w:pPr>
                  <w:r>
                    <w:rPr>
                      <w:rFonts w:hint="eastAsia" w:ascii="Times New Roman" w:hAnsi="Times New Roman" w:cs="Times New Roman"/>
                      <w:color w:val="auto"/>
                      <w:spacing w:val="4"/>
                      <w:sz w:val="21"/>
                      <w:szCs w:val="21"/>
                      <w:lang w:eastAsia="zh-CN"/>
                    </w:rPr>
                    <w:t>4</w:t>
                  </w:r>
                </w:p>
              </w:tc>
              <w:tc>
                <w:tcPr>
                  <w:tcW w:w="2187" w:type="pct"/>
                  <w:vAlign w:val="center"/>
                </w:tcPr>
                <w:p w14:paraId="7C96BDEE">
                  <w:pPr>
                    <w:pStyle w:val="32"/>
                    <w:jc w:val="center"/>
                    <w:rPr>
                      <w:rFonts w:hint="eastAsia"/>
                      <w:color w:val="auto"/>
                      <w:spacing w:val="5"/>
                      <w:sz w:val="21"/>
                      <w:szCs w:val="21"/>
                      <w:lang w:eastAsia="zh-CN"/>
                    </w:rPr>
                  </w:pPr>
                  <w:r>
                    <w:rPr>
                      <w:color w:val="auto"/>
                      <w:spacing w:val="5"/>
                      <w:sz w:val="21"/>
                      <w:szCs w:val="21"/>
                      <w:lang w:eastAsia="zh-CN"/>
                    </w:rPr>
                    <w:t>（十五）产生大气颗粒物及其前体物污染物的生产活动应尽量采用密闭装置，避免无组织排放；无法完全密闭的，应安装集气装 置收集逸散的污染物，经净化后排放。</w:t>
                  </w:r>
                </w:p>
              </w:tc>
              <w:tc>
                <w:tcPr>
                  <w:tcW w:w="1711" w:type="pct"/>
                  <w:vAlign w:val="center"/>
                </w:tcPr>
                <w:p w14:paraId="3E015C21">
                  <w:pPr>
                    <w:pStyle w:val="32"/>
                    <w:jc w:val="center"/>
                    <w:rPr>
                      <w:rFonts w:hint="eastAsia"/>
                      <w:color w:val="auto"/>
                      <w:spacing w:val="5"/>
                      <w:sz w:val="21"/>
                      <w:szCs w:val="21"/>
                      <w:lang w:eastAsia="zh-CN"/>
                    </w:rPr>
                  </w:pPr>
                  <w:r>
                    <w:rPr>
                      <w:rFonts w:hint="eastAsia" w:ascii="Times New Roman" w:hAnsi="Times New Roman" w:cs="Times New Roman"/>
                      <w:color w:val="auto"/>
                      <w:spacing w:val="5"/>
                      <w:sz w:val="21"/>
                      <w:szCs w:val="21"/>
                      <w:lang w:eastAsia="zh-CN"/>
                    </w:rPr>
                    <w:t>扩建</w:t>
                  </w:r>
                  <w:r>
                    <w:rPr>
                      <w:rFonts w:ascii="Times New Roman" w:hAnsi="Times New Roman" w:cs="Times New Roman"/>
                      <w:color w:val="auto"/>
                      <w:spacing w:val="5"/>
                      <w:sz w:val="21"/>
                      <w:szCs w:val="21"/>
                      <w:lang w:eastAsia="zh-CN"/>
                    </w:rPr>
                    <w:t>项目破碎、</w:t>
                  </w:r>
                  <w:r>
                    <w:rPr>
                      <w:rFonts w:hint="eastAsia" w:ascii="Times New Roman" w:hAnsi="Times New Roman" w:cs="Times New Roman"/>
                      <w:color w:val="auto"/>
                      <w:spacing w:val="5"/>
                      <w:sz w:val="21"/>
                      <w:szCs w:val="21"/>
                      <w:lang w:eastAsia="zh-CN"/>
                    </w:rPr>
                    <w:t>筛分粉尘经集气罩收集+高效布袋除尘器处理后通过15m高排气筒排风（DA001）；搅拌粉尘经集气罩收集+高效布袋除尘器处理后通过15m高排气筒排放（DA003）</w:t>
                  </w:r>
                  <w:r>
                    <w:rPr>
                      <w:rFonts w:ascii="Times New Roman" w:hAnsi="Times New Roman" w:cs="Times New Roman"/>
                      <w:color w:val="auto"/>
                      <w:spacing w:val="5"/>
                      <w:sz w:val="21"/>
                      <w:szCs w:val="21"/>
                      <w:lang w:eastAsia="zh-CN"/>
                    </w:rPr>
                    <w:t>，车辆运输起尘经洗车台抑尘，原料堆场粉尘经封闭车间内喷淋降尘</w:t>
                  </w:r>
                </w:p>
              </w:tc>
              <w:tc>
                <w:tcPr>
                  <w:tcW w:w="721" w:type="pct"/>
                  <w:vAlign w:val="center"/>
                </w:tcPr>
                <w:p w14:paraId="553843D1">
                  <w:pPr>
                    <w:pStyle w:val="32"/>
                    <w:jc w:val="center"/>
                    <w:rPr>
                      <w:rFonts w:hint="eastAsia"/>
                      <w:color w:val="auto"/>
                      <w:spacing w:val="5"/>
                      <w:sz w:val="21"/>
                      <w:szCs w:val="21"/>
                      <w:lang w:eastAsia="zh-CN"/>
                    </w:rPr>
                  </w:pPr>
                  <w:r>
                    <w:rPr>
                      <w:rFonts w:hint="eastAsia"/>
                      <w:color w:val="auto"/>
                      <w:spacing w:val="5"/>
                      <w:sz w:val="21"/>
                      <w:szCs w:val="21"/>
                      <w:lang w:eastAsia="zh-CN"/>
                    </w:rPr>
                    <w:t>符合</w:t>
                  </w:r>
                </w:p>
              </w:tc>
            </w:tr>
          </w:tbl>
          <w:p w14:paraId="775E14D4">
            <w:pPr>
              <w:spacing w:line="360" w:lineRule="auto"/>
              <w:ind w:firstLine="482" w:firstLineChars="200"/>
              <w:rPr>
                <w:color w:val="auto"/>
                <w:sz w:val="24"/>
                <w:szCs w:val="32"/>
              </w:rPr>
            </w:pPr>
            <w:r>
              <w:rPr>
                <w:rFonts w:hint="eastAsia"/>
                <w:b/>
                <w:bCs/>
                <w:color w:val="auto"/>
                <w:sz w:val="24"/>
                <w:szCs w:val="32"/>
              </w:rPr>
              <w:t>（2）与《安徽省空气质量持续改善行动方案》的通知（皖政【2024】36号）相符性分析</w:t>
            </w:r>
          </w:p>
          <w:p w14:paraId="6F52132E">
            <w:pPr>
              <w:pStyle w:val="67"/>
              <w:adjustRightInd/>
              <w:snapToGrid/>
              <w:rPr>
                <w:rFonts w:hint="default"/>
                <w:color w:val="auto"/>
                <w:sz w:val="24"/>
                <w:szCs w:val="32"/>
              </w:rPr>
            </w:pPr>
            <w:r>
              <w:rPr>
                <w:color w:val="auto"/>
                <w:sz w:val="24"/>
                <w:szCs w:val="32"/>
              </w:rPr>
              <w:t>表1-2  与《空气质量持续改善行动计划》相符性分析一览表</w:t>
            </w:r>
          </w:p>
          <w:tbl>
            <w:tblPr>
              <w:tblStyle w:val="24"/>
              <w:tblW w:w="4987"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426"/>
              <w:gridCol w:w="4162"/>
              <w:gridCol w:w="2444"/>
              <w:gridCol w:w="866"/>
            </w:tblGrid>
            <w:tr w14:paraId="4790B0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39" w:hRule="atLeast"/>
                <w:jc w:val="center"/>
              </w:trPr>
              <w:tc>
                <w:tcPr>
                  <w:tcW w:w="266" w:type="pct"/>
                  <w:tcMar>
                    <w:top w:w="0" w:type="dxa"/>
                    <w:left w:w="0" w:type="dxa"/>
                    <w:bottom w:w="0" w:type="dxa"/>
                    <w:right w:w="0" w:type="dxa"/>
                  </w:tcMar>
                  <w:vAlign w:val="center"/>
                </w:tcPr>
                <w:p w14:paraId="3AB6C9D1">
                  <w:pPr>
                    <w:pStyle w:val="42"/>
                    <w:ind w:left="105" w:leftChars="50" w:right="105" w:rightChars="50"/>
                    <w:rPr>
                      <w:color w:val="auto"/>
                    </w:rPr>
                  </w:pPr>
                  <w:r>
                    <w:rPr>
                      <w:color w:val="auto"/>
                    </w:rPr>
                    <w:t>序号</w:t>
                  </w:r>
                </w:p>
              </w:tc>
              <w:tc>
                <w:tcPr>
                  <w:tcW w:w="2635" w:type="pct"/>
                  <w:tcMar>
                    <w:top w:w="0" w:type="dxa"/>
                    <w:left w:w="0" w:type="dxa"/>
                    <w:bottom w:w="0" w:type="dxa"/>
                    <w:right w:w="0" w:type="dxa"/>
                  </w:tcMar>
                  <w:vAlign w:val="center"/>
                </w:tcPr>
                <w:p w14:paraId="11692561">
                  <w:pPr>
                    <w:pStyle w:val="42"/>
                    <w:ind w:left="105" w:leftChars="50" w:right="105" w:rightChars="50"/>
                    <w:rPr>
                      <w:color w:val="auto"/>
                    </w:rPr>
                  </w:pPr>
                  <w:r>
                    <w:rPr>
                      <w:color w:val="auto"/>
                    </w:rPr>
                    <w:t>文件要求</w:t>
                  </w:r>
                </w:p>
              </w:tc>
              <w:tc>
                <w:tcPr>
                  <w:tcW w:w="1548" w:type="pct"/>
                  <w:tcMar>
                    <w:top w:w="0" w:type="dxa"/>
                    <w:left w:w="0" w:type="dxa"/>
                    <w:bottom w:w="0" w:type="dxa"/>
                    <w:right w:w="0" w:type="dxa"/>
                  </w:tcMar>
                  <w:vAlign w:val="center"/>
                </w:tcPr>
                <w:p w14:paraId="09CBB489">
                  <w:pPr>
                    <w:pStyle w:val="42"/>
                    <w:ind w:left="105" w:leftChars="50" w:right="105" w:rightChars="50"/>
                    <w:rPr>
                      <w:color w:val="auto"/>
                    </w:rPr>
                  </w:pPr>
                  <w:r>
                    <w:rPr>
                      <w:color w:val="auto"/>
                    </w:rPr>
                    <w:t>项目情况</w:t>
                  </w:r>
                </w:p>
              </w:tc>
              <w:tc>
                <w:tcPr>
                  <w:tcW w:w="549" w:type="pct"/>
                  <w:tcMar>
                    <w:top w:w="0" w:type="dxa"/>
                    <w:left w:w="0" w:type="dxa"/>
                    <w:bottom w:w="0" w:type="dxa"/>
                    <w:right w:w="0" w:type="dxa"/>
                  </w:tcMar>
                  <w:vAlign w:val="center"/>
                </w:tcPr>
                <w:p w14:paraId="66D9AB62">
                  <w:pPr>
                    <w:pStyle w:val="42"/>
                    <w:ind w:left="105" w:leftChars="50" w:right="105" w:rightChars="50"/>
                    <w:rPr>
                      <w:color w:val="auto"/>
                    </w:rPr>
                  </w:pPr>
                  <w:r>
                    <w:rPr>
                      <w:color w:val="auto"/>
                    </w:rPr>
                    <w:t>相符性</w:t>
                  </w:r>
                </w:p>
              </w:tc>
            </w:tr>
            <w:tr w14:paraId="5B535E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66" w:type="pct"/>
                  <w:tcMar>
                    <w:top w:w="0" w:type="dxa"/>
                    <w:left w:w="0" w:type="dxa"/>
                    <w:bottom w:w="0" w:type="dxa"/>
                    <w:right w:w="0" w:type="dxa"/>
                  </w:tcMar>
                  <w:vAlign w:val="center"/>
                </w:tcPr>
                <w:p w14:paraId="14D41AA1">
                  <w:pPr>
                    <w:pStyle w:val="55"/>
                    <w:adjustRightInd/>
                    <w:snapToGrid/>
                    <w:ind w:left="105" w:leftChars="50" w:right="105" w:rightChars="50" w:firstLine="0" w:firstLineChars="0"/>
                    <w:rPr>
                      <w:color w:val="auto"/>
                    </w:rPr>
                  </w:pPr>
                  <w:r>
                    <w:rPr>
                      <w:color w:val="auto"/>
                    </w:rPr>
                    <w:t>1</w:t>
                  </w:r>
                </w:p>
              </w:tc>
              <w:tc>
                <w:tcPr>
                  <w:tcW w:w="2635" w:type="pct"/>
                  <w:tcMar>
                    <w:top w:w="0" w:type="dxa"/>
                    <w:left w:w="0" w:type="dxa"/>
                    <w:bottom w:w="0" w:type="dxa"/>
                    <w:right w:w="0" w:type="dxa"/>
                  </w:tcMar>
                  <w:vAlign w:val="center"/>
                </w:tcPr>
                <w:p w14:paraId="280E50AE">
                  <w:pPr>
                    <w:pStyle w:val="55"/>
                    <w:adjustRightInd/>
                    <w:snapToGrid/>
                    <w:ind w:left="105" w:leftChars="50" w:right="105" w:rightChars="50" w:firstLine="0" w:firstLineChars="0"/>
                    <w:rPr>
                      <w:color w:val="auto"/>
                    </w:rPr>
                  </w:pPr>
                  <w:r>
                    <w:rPr>
                      <w:rFonts w:hint="eastAsia"/>
                      <w:color w:val="auto"/>
                    </w:rPr>
                    <w:t>坚决遏制高耗能、高排放、低水平项目盲目上马。新改扩建项目严格落实国家产业规划、产业政策、生态环境分区管理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实施“高污染、高耗能”项目部门联审，源头管控低水泥项目上马。制定实施安徽省加强生态环境分区管控方案。</w:t>
                  </w:r>
                </w:p>
              </w:tc>
              <w:tc>
                <w:tcPr>
                  <w:tcW w:w="1548" w:type="pct"/>
                  <w:tcMar>
                    <w:top w:w="0" w:type="dxa"/>
                    <w:left w:w="0" w:type="dxa"/>
                    <w:bottom w:w="0" w:type="dxa"/>
                    <w:right w:w="0" w:type="dxa"/>
                  </w:tcMar>
                  <w:vAlign w:val="center"/>
                </w:tcPr>
                <w:p w14:paraId="4839F3E9">
                  <w:pPr>
                    <w:pStyle w:val="55"/>
                    <w:adjustRightInd/>
                    <w:snapToGrid/>
                    <w:ind w:left="105" w:leftChars="50" w:right="105" w:rightChars="50" w:firstLine="0" w:firstLineChars="0"/>
                    <w:rPr>
                      <w:color w:val="auto"/>
                    </w:rPr>
                  </w:pPr>
                  <w:r>
                    <w:rPr>
                      <w:rFonts w:hint="eastAsia"/>
                      <w:color w:val="auto"/>
                    </w:rPr>
                    <w:t>本项目为C3031粘土砖瓦及建筑砌块制造，不属于“高耗能、高排放、低水平项目”</w:t>
                  </w:r>
                </w:p>
              </w:tc>
              <w:tc>
                <w:tcPr>
                  <w:tcW w:w="549" w:type="pct"/>
                  <w:tcMar>
                    <w:top w:w="0" w:type="dxa"/>
                    <w:left w:w="0" w:type="dxa"/>
                    <w:bottom w:w="0" w:type="dxa"/>
                    <w:right w:w="0" w:type="dxa"/>
                  </w:tcMar>
                  <w:vAlign w:val="center"/>
                </w:tcPr>
                <w:p w14:paraId="724EFD2B">
                  <w:pPr>
                    <w:pStyle w:val="55"/>
                    <w:adjustRightInd/>
                    <w:snapToGrid/>
                    <w:ind w:left="105" w:leftChars="50" w:right="105" w:rightChars="50" w:firstLine="0" w:firstLineChars="0"/>
                    <w:rPr>
                      <w:color w:val="auto"/>
                    </w:rPr>
                  </w:pPr>
                  <w:r>
                    <w:rPr>
                      <w:color w:val="auto"/>
                    </w:rPr>
                    <w:t>符合</w:t>
                  </w:r>
                </w:p>
              </w:tc>
            </w:tr>
            <w:tr w14:paraId="087161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66" w:type="pct"/>
                  <w:tcMar>
                    <w:top w:w="0" w:type="dxa"/>
                    <w:left w:w="0" w:type="dxa"/>
                    <w:bottom w:w="0" w:type="dxa"/>
                    <w:right w:w="0" w:type="dxa"/>
                  </w:tcMar>
                  <w:vAlign w:val="center"/>
                </w:tcPr>
                <w:p w14:paraId="285A1C31">
                  <w:pPr>
                    <w:pStyle w:val="55"/>
                    <w:adjustRightInd/>
                    <w:snapToGrid/>
                    <w:ind w:left="105" w:leftChars="50" w:right="105" w:rightChars="50" w:firstLine="0" w:firstLineChars="0"/>
                    <w:rPr>
                      <w:color w:val="auto"/>
                    </w:rPr>
                  </w:pPr>
                  <w:r>
                    <w:rPr>
                      <w:color w:val="auto"/>
                    </w:rPr>
                    <w:t>2</w:t>
                  </w:r>
                </w:p>
              </w:tc>
              <w:tc>
                <w:tcPr>
                  <w:tcW w:w="2635" w:type="pct"/>
                  <w:tcMar>
                    <w:top w:w="0" w:type="dxa"/>
                    <w:left w:w="0" w:type="dxa"/>
                    <w:bottom w:w="0" w:type="dxa"/>
                    <w:right w:w="0" w:type="dxa"/>
                  </w:tcMar>
                  <w:vAlign w:val="center"/>
                </w:tcPr>
                <w:p w14:paraId="23F85E2B">
                  <w:pPr>
                    <w:pStyle w:val="55"/>
                    <w:adjustRightInd/>
                    <w:snapToGrid/>
                    <w:ind w:left="105" w:leftChars="50" w:right="105" w:rightChars="50" w:firstLine="0" w:firstLineChars="0"/>
                    <w:rPr>
                      <w:color w:val="auto"/>
                    </w:rPr>
                  </w:pPr>
                  <w:r>
                    <w:rPr>
                      <w:color w:val="auto"/>
                    </w:rPr>
                    <w:t>有序推动落后产能淘汰。严格执行《产业结构调整指导目录》。综合运用能耗、环保、质量、安全、技术等要求，依法依规推动落后产能退出，逐步退出限制类涉气行业工艺和装备。</w:t>
                  </w:r>
                </w:p>
              </w:tc>
              <w:tc>
                <w:tcPr>
                  <w:tcW w:w="1548" w:type="pct"/>
                  <w:tcMar>
                    <w:top w:w="0" w:type="dxa"/>
                    <w:left w:w="0" w:type="dxa"/>
                    <w:bottom w:w="0" w:type="dxa"/>
                    <w:right w:w="0" w:type="dxa"/>
                  </w:tcMar>
                  <w:vAlign w:val="center"/>
                </w:tcPr>
                <w:p w14:paraId="0A414D59">
                  <w:pPr>
                    <w:pStyle w:val="55"/>
                    <w:adjustRightInd/>
                    <w:snapToGrid/>
                    <w:ind w:left="105" w:leftChars="50" w:right="105" w:rightChars="50" w:firstLine="0" w:firstLineChars="0"/>
                    <w:rPr>
                      <w:color w:val="auto"/>
                    </w:rPr>
                  </w:pPr>
                  <w:r>
                    <w:rPr>
                      <w:rFonts w:hint="eastAsia"/>
                      <w:color w:val="auto"/>
                    </w:rPr>
                    <w:t>对照《产业结构调整指导目录》，本项目属于“允许类”，且本项目采用的设备不属于高能耗设备，产生的废气经“高效布袋除尘器”处理后可达标排放</w:t>
                  </w:r>
                </w:p>
              </w:tc>
              <w:tc>
                <w:tcPr>
                  <w:tcW w:w="549" w:type="pct"/>
                  <w:tcMar>
                    <w:top w:w="0" w:type="dxa"/>
                    <w:left w:w="0" w:type="dxa"/>
                    <w:bottom w:w="0" w:type="dxa"/>
                    <w:right w:w="0" w:type="dxa"/>
                  </w:tcMar>
                  <w:vAlign w:val="center"/>
                </w:tcPr>
                <w:p w14:paraId="06410BE1">
                  <w:pPr>
                    <w:pStyle w:val="55"/>
                    <w:adjustRightInd/>
                    <w:snapToGrid/>
                    <w:ind w:left="105" w:leftChars="50" w:right="105" w:rightChars="50" w:firstLine="0" w:firstLineChars="0"/>
                    <w:rPr>
                      <w:color w:val="auto"/>
                    </w:rPr>
                  </w:pPr>
                  <w:r>
                    <w:rPr>
                      <w:color w:val="auto"/>
                    </w:rPr>
                    <w:t>符合</w:t>
                  </w:r>
                </w:p>
              </w:tc>
            </w:tr>
          </w:tbl>
          <w:p w14:paraId="00ABA12D">
            <w:pPr>
              <w:pStyle w:val="33"/>
              <w:widowControl/>
              <w:autoSpaceDE w:val="0"/>
              <w:autoSpaceDN w:val="0"/>
              <w:spacing w:line="360" w:lineRule="auto"/>
              <w:ind w:firstLine="482"/>
              <w:textAlignment w:val="baseline"/>
              <w:rPr>
                <w:b/>
                <w:bCs/>
                <w:color w:val="auto"/>
                <w:kern w:val="0"/>
                <w:sz w:val="24"/>
              </w:rPr>
            </w:pPr>
            <w:r>
              <w:rPr>
                <w:rFonts w:hint="eastAsia"/>
                <w:b/>
                <w:bCs/>
                <w:color w:val="auto"/>
                <w:kern w:val="0"/>
                <w:sz w:val="24"/>
              </w:rPr>
              <w:t xml:space="preserve">（3）与《2023年安徽省住建系统大气污染防治工作方案》（建质函【2023】109号）的相符性表 </w:t>
            </w:r>
          </w:p>
          <w:p w14:paraId="5352EA2D">
            <w:pPr>
              <w:pStyle w:val="33"/>
              <w:widowControl/>
              <w:autoSpaceDE w:val="0"/>
              <w:autoSpaceDN w:val="0"/>
              <w:spacing w:line="240" w:lineRule="auto"/>
              <w:ind w:firstLine="0" w:firstLineChars="0"/>
              <w:jc w:val="center"/>
              <w:textAlignment w:val="baseline"/>
              <w:rPr>
                <w:b/>
                <w:bCs/>
                <w:color w:val="auto"/>
                <w:kern w:val="0"/>
                <w:sz w:val="24"/>
              </w:rPr>
            </w:pPr>
            <w:r>
              <w:rPr>
                <w:rFonts w:hint="eastAsia"/>
                <w:b/>
                <w:bCs/>
                <w:color w:val="auto"/>
                <w:kern w:val="0"/>
                <w:sz w:val="24"/>
              </w:rPr>
              <w:t>表1-3  与《2023 年安徽省住建系统大气污染防治工作方案》（建质函【2023】109 号）相符性分析一览表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0"/>
              <w:gridCol w:w="3642"/>
              <w:gridCol w:w="2530"/>
              <w:gridCol w:w="1142"/>
            </w:tblGrid>
            <w:tr w14:paraId="3EC7B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Align w:val="center"/>
                </w:tcPr>
                <w:p w14:paraId="2EEEAE58">
                  <w:pPr>
                    <w:pStyle w:val="32"/>
                    <w:jc w:val="center"/>
                    <w:rPr>
                      <w:rFonts w:hint="eastAsia"/>
                      <w:b/>
                      <w:bCs/>
                      <w:color w:val="auto"/>
                      <w:kern w:val="0"/>
                      <w:sz w:val="21"/>
                      <w:szCs w:val="21"/>
                    </w:rPr>
                  </w:pPr>
                  <w:r>
                    <w:rPr>
                      <w:rFonts w:hint="eastAsia"/>
                      <w:b/>
                      <w:bCs/>
                      <w:color w:val="auto"/>
                      <w:spacing w:val="4"/>
                      <w:sz w:val="21"/>
                      <w:szCs w:val="21"/>
                    </w:rPr>
                    <w:t>序号</w:t>
                  </w:r>
                </w:p>
              </w:tc>
              <w:tc>
                <w:tcPr>
                  <w:tcW w:w="2300" w:type="pct"/>
                  <w:vAlign w:val="center"/>
                </w:tcPr>
                <w:p w14:paraId="15A33DCA">
                  <w:pPr>
                    <w:pStyle w:val="32"/>
                    <w:jc w:val="center"/>
                    <w:rPr>
                      <w:rFonts w:hint="eastAsia"/>
                      <w:b/>
                      <w:bCs/>
                      <w:color w:val="auto"/>
                      <w:kern w:val="0"/>
                      <w:sz w:val="21"/>
                      <w:szCs w:val="21"/>
                    </w:rPr>
                  </w:pPr>
                  <w:r>
                    <w:rPr>
                      <w:rFonts w:hint="eastAsia"/>
                      <w:b/>
                      <w:bCs/>
                      <w:color w:val="auto"/>
                      <w:spacing w:val="6"/>
                      <w:sz w:val="21"/>
                      <w:szCs w:val="21"/>
                    </w:rPr>
                    <w:t>方案内容</w:t>
                  </w:r>
                </w:p>
              </w:tc>
              <w:tc>
                <w:tcPr>
                  <w:tcW w:w="1598" w:type="pct"/>
                  <w:vAlign w:val="center"/>
                </w:tcPr>
                <w:p w14:paraId="32861D5D">
                  <w:pPr>
                    <w:pStyle w:val="32"/>
                    <w:jc w:val="center"/>
                    <w:rPr>
                      <w:rFonts w:hint="eastAsia"/>
                      <w:b/>
                      <w:bCs/>
                      <w:color w:val="auto"/>
                      <w:kern w:val="0"/>
                      <w:sz w:val="21"/>
                      <w:szCs w:val="21"/>
                    </w:rPr>
                  </w:pPr>
                  <w:r>
                    <w:rPr>
                      <w:rFonts w:hint="eastAsia"/>
                      <w:b/>
                      <w:bCs/>
                      <w:color w:val="auto"/>
                      <w:spacing w:val="5"/>
                      <w:sz w:val="21"/>
                      <w:szCs w:val="21"/>
                    </w:rPr>
                    <w:t>项目情况</w:t>
                  </w:r>
                </w:p>
              </w:tc>
              <w:tc>
                <w:tcPr>
                  <w:tcW w:w="721" w:type="pct"/>
                  <w:vAlign w:val="center"/>
                </w:tcPr>
                <w:p w14:paraId="5E214E5A">
                  <w:pPr>
                    <w:pStyle w:val="32"/>
                    <w:jc w:val="center"/>
                    <w:rPr>
                      <w:rFonts w:hint="eastAsia"/>
                      <w:b/>
                      <w:bCs/>
                      <w:color w:val="auto"/>
                      <w:kern w:val="0"/>
                      <w:sz w:val="21"/>
                      <w:szCs w:val="21"/>
                    </w:rPr>
                  </w:pPr>
                  <w:r>
                    <w:rPr>
                      <w:rFonts w:hint="eastAsia"/>
                      <w:b/>
                      <w:bCs/>
                      <w:color w:val="auto"/>
                      <w:spacing w:val="5"/>
                      <w:sz w:val="21"/>
                      <w:szCs w:val="21"/>
                    </w:rPr>
                    <w:t>相符性</w:t>
                  </w:r>
                </w:p>
              </w:tc>
            </w:tr>
            <w:tr w14:paraId="75B75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Align w:val="center"/>
                </w:tcPr>
                <w:p w14:paraId="0FB0F8BC">
                  <w:pPr>
                    <w:pStyle w:val="32"/>
                    <w:jc w:val="center"/>
                    <w:rPr>
                      <w:rFonts w:ascii="Times New Roman" w:hAnsi="Times New Roman" w:cs="Times New Roman"/>
                      <w:color w:val="auto"/>
                      <w:spacing w:val="4"/>
                      <w:sz w:val="21"/>
                      <w:szCs w:val="21"/>
                      <w:lang w:eastAsia="zh-CN"/>
                    </w:rPr>
                  </w:pPr>
                  <w:r>
                    <w:rPr>
                      <w:rFonts w:ascii="Times New Roman" w:hAnsi="Times New Roman" w:cs="Times New Roman"/>
                      <w:color w:val="auto"/>
                      <w:spacing w:val="4"/>
                      <w:sz w:val="21"/>
                      <w:szCs w:val="21"/>
                      <w:lang w:eastAsia="zh-CN"/>
                    </w:rPr>
                    <w:t>1</w:t>
                  </w:r>
                </w:p>
              </w:tc>
              <w:tc>
                <w:tcPr>
                  <w:tcW w:w="2300" w:type="pct"/>
                </w:tcPr>
                <w:p w14:paraId="1342FD2C">
                  <w:pPr>
                    <w:pStyle w:val="32"/>
                    <w:jc w:val="center"/>
                    <w:rPr>
                      <w:rFonts w:hint="eastAsia"/>
                      <w:color w:val="auto"/>
                      <w:spacing w:val="5"/>
                      <w:sz w:val="21"/>
                      <w:szCs w:val="21"/>
                      <w:lang w:eastAsia="zh-CN"/>
                    </w:rPr>
                  </w:pPr>
                  <w:r>
                    <w:rPr>
                      <w:color w:val="auto"/>
                      <w:spacing w:val="5"/>
                      <w:sz w:val="21"/>
                      <w:szCs w:val="21"/>
                      <w:lang w:eastAsia="zh-CN"/>
                    </w:rPr>
                    <w:t>聚焦精准防治重点。针对省委生态环境保护督察组反馈问题，强化土方开挖、渣土转运、绿化施工、房屋拆除等重点环节，加强县、区（工业园区）薄弱项目的监管力度，实施清单管理，严格落实建筑施工扬尘“六个百分百”措施。</w:t>
                  </w:r>
                </w:p>
              </w:tc>
              <w:tc>
                <w:tcPr>
                  <w:tcW w:w="1598" w:type="pct"/>
                  <w:vAlign w:val="center"/>
                </w:tcPr>
                <w:p w14:paraId="0BF72F4B">
                  <w:pPr>
                    <w:pStyle w:val="32"/>
                    <w:jc w:val="center"/>
                    <w:rPr>
                      <w:rFonts w:hint="eastAsia"/>
                      <w:color w:val="auto"/>
                      <w:spacing w:val="5"/>
                      <w:sz w:val="21"/>
                      <w:szCs w:val="21"/>
                      <w:lang w:eastAsia="zh-CN"/>
                    </w:rPr>
                  </w:pPr>
                  <w:r>
                    <w:rPr>
                      <w:rFonts w:hint="eastAsia"/>
                      <w:color w:val="auto"/>
                      <w:spacing w:val="5"/>
                      <w:sz w:val="21"/>
                      <w:szCs w:val="21"/>
                      <w:lang w:eastAsia="zh-CN"/>
                    </w:rPr>
                    <w:t>项目施工期严格落实建筑施工扬尘“六个百分百”措施</w:t>
                  </w:r>
                </w:p>
              </w:tc>
              <w:tc>
                <w:tcPr>
                  <w:tcW w:w="721" w:type="pct"/>
                  <w:vAlign w:val="center"/>
                </w:tcPr>
                <w:p w14:paraId="24DE0D77">
                  <w:pPr>
                    <w:pStyle w:val="32"/>
                    <w:jc w:val="center"/>
                    <w:rPr>
                      <w:rFonts w:hint="eastAsia"/>
                      <w:color w:val="auto"/>
                      <w:spacing w:val="5"/>
                      <w:sz w:val="21"/>
                      <w:szCs w:val="21"/>
                      <w:lang w:eastAsia="zh-CN"/>
                    </w:rPr>
                  </w:pPr>
                  <w:r>
                    <w:rPr>
                      <w:rFonts w:hint="eastAsia"/>
                      <w:color w:val="auto"/>
                      <w:spacing w:val="5"/>
                      <w:sz w:val="21"/>
                      <w:szCs w:val="21"/>
                      <w:lang w:eastAsia="zh-CN"/>
                    </w:rPr>
                    <w:t>符合</w:t>
                  </w:r>
                </w:p>
              </w:tc>
            </w:tr>
            <w:tr w14:paraId="07805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trPr>
              <w:tc>
                <w:tcPr>
                  <w:tcW w:w="379" w:type="pct"/>
                  <w:vAlign w:val="center"/>
                </w:tcPr>
                <w:p w14:paraId="14ADD3EB">
                  <w:pPr>
                    <w:pStyle w:val="32"/>
                    <w:jc w:val="center"/>
                    <w:rPr>
                      <w:rFonts w:hint="eastAsia"/>
                      <w:b/>
                      <w:bCs/>
                      <w:color w:val="auto"/>
                      <w:spacing w:val="4"/>
                      <w:sz w:val="21"/>
                      <w:szCs w:val="21"/>
                      <w:lang w:eastAsia="zh-CN"/>
                    </w:rPr>
                  </w:pPr>
                  <w:r>
                    <w:rPr>
                      <w:rFonts w:ascii="Times New Roman" w:hAnsi="Times New Roman" w:cs="Times New Roman"/>
                      <w:color w:val="auto"/>
                      <w:spacing w:val="4"/>
                      <w:sz w:val="21"/>
                      <w:szCs w:val="21"/>
                      <w:lang w:eastAsia="zh-CN"/>
                    </w:rPr>
                    <w:t>2</w:t>
                  </w:r>
                </w:p>
              </w:tc>
              <w:tc>
                <w:tcPr>
                  <w:tcW w:w="2300" w:type="pct"/>
                </w:tcPr>
                <w:p w14:paraId="6BA790A5">
                  <w:pPr>
                    <w:pStyle w:val="32"/>
                    <w:jc w:val="center"/>
                    <w:rPr>
                      <w:rFonts w:hint="eastAsia"/>
                      <w:color w:val="auto"/>
                      <w:spacing w:val="5"/>
                      <w:sz w:val="21"/>
                      <w:szCs w:val="21"/>
                      <w:lang w:eastAsia="zh-CN"/>
                    </w:rPr>
                  </w:pPr>
                  <w:r>
                    <w:rPr>
                      <w:color w:val="auto"/>
                      <w:spacing w:val="5"/>
                      <w:sz w:val="21"/>
                      <w:szCs w:val="21"/>
                      <w:lang w:eastAsia="zh-CN"/>
                    </w:rPr>
                    <w:t>完善智慧防治。以创建“智慧工地”为契机推动扬尘防治数字化管理。施工现场安装远程视频监控设备，实现对车辆进出通道口、施工作业面、基坑、非道路移动机械等施工现场重点部位和区域场所实现远程高清视频监控</w:t>
                  </w:r>
                </w:p>
              </w:tc>
              <w:tc>
                <w:tcPr>
                  <w:tcW w:w="1598" w:type="pct"/>
                  <w:vAlign w:val="center"/>
                </w:tcPr>
                <w:p w14:paraId="16650593">
                  <w:pPr>
                    <w:pStyle w:val="32"/>
                    <w:jc w:val="center"/>
                    <w:rPr>
                      <w:rFonts w:hint="eastAsia"/>
                      <w:color w:val="auto"/>
                      <w:spacing w:val="5"/>
                      <w:sz w:val="21"/>
                      <w:szCs w:val="21"/>
                      <w:lang w:eastAsia="zh-CN"/>
                    </w:rPr>
                  </w:pPr>
                  <w:r>
                    <w:rPr>
                      <w:color w:val="auto"/>
                      <w:spacing w:val="5"/>
                      <w:sz w:val="21"/>
                      <w:szCs w:val="21"/>
                      <w:lang w:eastAsia="zh-CN"/>
                    </w:rPr>
                    <w:t>项目现场已安装远程视频监控设备，实现对施工现场重点部位和区域场所实现远程高清视频监控</w:t>
                  </w:r>
                </w:p>
              </w:tc>
              <w:tc>
                <w:tcPr>
                  <w:tcW w:w="721" w:type="pct"/>
                  <w:vAlign w:val="center"/>
                </w:tcPr>
                <w:p w14:paraId="3C93A727">
                  <w:pPr>
                    <w:pStyle w:val="32"/>
                    <w:jc w:val="center"/>
                    <w:rPr>
                      <w:rFonts w:hint="eastAsia"/>
                      <w:color w:val="auto"/>
                      <w:spacing w:val="5"/>
                      <w:sz w:val="21"/>
                      <w:szCs w:val="21"/>
                      <w:lang w:eastAsia="zh-CN"/>
                    </w:rPr>
                  </w:pPr>
                  <w:r>
                    <w:rPr>
                      <w:rFonts w:hint="eastAsia"/>
                      <w:color w:val="auto"/>
                      <w:spacing w:val="5"/>
                      <w:sz w:val="21"/>
                      <w:szCs w:val="21"/>
                      <w:lang w:eastAsia="zh-CN"/>
                    </w:rPr>
                    <w:t>符合</w:t>
                  </w:r>
                </w:p>
              </w:tc>
            </w:tr>
            <w:tr w14:paraId="7148B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Align w:val="center"/>
                </w:tcPr>
                <w:p w14:paraId="61F00DBC">
                  <w:pPr>
                    <w:pStyle w:val="32"/>
                    <w:jc w:val="center"/>
                    <w:rPr>
                      <w:rFonts w:ascii="Times New Roman" w:hAnsi="Times New Roman" w:cs="Times New Roman"/>
                      <w:color w:val="auto"/>
                      <w:spacing w:val="4"/>
                      <w:sz w:val="21"/>
                      <w:szCs w:val="21"/>
                      <w:lang w:eastAsia="zh-CN"/>
                    </w:rPr>
                  </w:pPr>
                  <w:r>
                    <w:rPr>
                      <w:rFonts w:hint="eastAsia" w:ascii="Times New Roman" w:hAnsi="Times New Roman" w:cs="Times New Roman"/>
                      <w:color w:val="auto"/>
                      <w:spacing w:val="4"/>
                      <w:sz w:val="21"/>
                      <w:szCs w:val="21"/>
                      <w:lang w:eastAsia="zh-CN"/>
                    </w:rPr>
                    <w:t>3</w:t>
                  </w:r>
                </w:p>
              </w:tc>
              <w:tc>
                <w:tcPr>
                  <w:tcW w:w="2300" w:type="pct"/>
                </w:tcPr>
                <w:p w14:paraId="514BC8CD">
                  <w:pPr>
                    <w:pStyle w:val="32"/>
                    <w:jc w:val="center"/>
                    <w:rPr>
                      <w:rFonts w:hint="eastAsia"/>
                      <w:color w:val="auto"/>
                      <w:spacing w:val="5"/>
                      <w:sz w:val="21"/>
                      <w:szCs w:val="21"/>
                      <w:lang w:eastAsia="zh-CN"/>
                    </w:rPr>
                  </w:pPr>
                  <w:r>
                    <w:rPr>
                      <w:color w:val="auto"/>
                      <w:spacing w:val="5"/>
                      <w:sz w:val="21"/>
                      <w:szCs w:val="21"/>
                      <w:lang w:eastAsia="zh-CN"/>
                    </w:rPr>
                    <w:t>转变混凝土搅拌站发展方式。推动混凝土搅拌站绿色发展，实现废渣废水循环利用零排放。突出解决好废渣露天堆放、污水外排、骨料大棚面积与</w:t>
                  </w:r>
                  <w:r>
                    <w:rPr>
                      <w:rFonts w:hint="eastAsia"/>
                      <w:color w:val="auto"/>
                      <w:spacing w:val="5"/>
                      <w:sz w:val="21"/>
                      <w:szCs w:val="21"/>
                      <w:lang w:eastAsia="zh-CN"/>
                    </w:rPr>
                    <w:t>实际</w:t>
                  </w:r>
                  <w:r>
                    <w:rPr>
                      <w:color w:val="auto"/>
                      <w:spacing w:val="5"/>
                      <w:sz w:val="21"/>
                      <w:szCs w:val="21"/>
                      <w:lang w:eastAsia="zh-CN"/>
                    </w:rPr>
                    <w:t>产能不匹配等问题</w:t>
                  </w:r>
                </w:p>
              </w:tc>
              <w:tc>
                <w:tcPr>
                  <w:tcW w:w="1598" w:type="pct"/>
                  <w:vAlign w:val="center"/>
                </w:tcPr>
                <w:p w14:paraId="636342B4">
                  <w:pPr>
                    <w:pStyle w:val="32"/>
                    <w:jc w:val="center"/>
                    <w:rPr>
                      <w:rFonts w:hint="eastAsia"/>
                      <w:color w:val="auto"/>
                      <w:spacing w:val="5"/>
                      <w:sz w:val="21"/>
                      <w:szCs w:val="21"/>
                      <w:lang w:eastAsia="zh-CN"/>
                    </w:rPr>
                  </w:pPr>
                  <w:r>
                    <w:rPr>
                      <w:color w:val="auto"/>
                      <w:spacing w:val="5"/>
                      <w:sz w:val="21"/>
                      <w:szCs w:val="21"/>
                      <w:lang w:eastAsia="zh-CN"/>
                    </w:rPr>
                    <w:t>项目生产废水经</w:t>
                  </w:r>
                  <w:r>
                    <w:rPr>
                      <w:rFonts w:hint="eastAsia"/>
                      <w:color w:val="auto"/>
                      <w:spacing w:val="5"/>
                      <w:sz w:val="21"/>
                      <w:szCs w:val="21"/>
                      <w:lang w:eastAsia="zh-CN"/>
                    </w:rPr>
                    <w:t>沉淀池沉淀</w:t>
                  </w:r>
                  <w:r>
                    <w:rPr>
                      <w:color w:val="auto"/>
                      <w:spacing w:val="5"/>
                      <w:sz w:val="21"/>
                      <w:szCs w:val="21"/>
                      <w:lang w:eastAsia="zh-CN"/>
                    </w:rPr>
                    <w:t>后</w:t>
                  </w:r>
                  <w:r>
                    <w:rPr>
                      <w:rFonts w:hint="eastAsia"/>
                      <w:color w:val="auto"/>
                      <w:spacing w:val="5"/>
                      <w:sz w:val="21"/>
                      <w:szCs w:val="21"/>
                      <w:lang w:eastAsia="zh-CN"/>
                    </w:rPr>
                    <w:t>回用于生产</w:t>
                  </w:r>
                  <w:r>
                    <w:rPr>
                      <w:color w:val="auto"/>
                      <w:spacing w:val="5"/>
                      <w:sz w:val="21"/>
                      <w:szCs w:val="21"/>
                      <w:lang w:eastAsia="zh-CN"/>
                    </w:rPr>
                    <w:t>，不外排</w:t>
                  </w:r>
                </w:p>
              </w:tc>
              <w:tc>
                <w:tcPr>
                  <w:tcW w:w="721" w:type="pct"/>
                  <w:vAlign w:val="center"/>
                </w:tcPr>
                <w:p w14:paraId="7202D23F">
                  <w:pPr>
                    <w:pStyle w:val="32"/>
                    <w:jc w:val="center"/>
                    <w:rPr>
                      <w:rFonts w:hint="eastAsia"/>
                      <w:color w:val="auto"/>
                      <w:spacing w:val="5"/>
                      <w:sz w:val="21"/>
                      <w:szCs w:val="21"/>
                      <w:lang w:eastAsia="zh-CN"/>
                    </w:rPr>
                  </w:pPr>
                  <w:r>
                    <w:rPr>
                      <w:rFonts w:hint="eastAsia"/>
                      <w:color w:val="auto"/>
                      <w:spacing w:val="5"/>
                      <w:sz w:val="21"/>
                      <w:szCs w:val="21"/>
                      <w:lang w:eastAsia="zh-CN"/>
                    </w:rPr>
                    <w:t>符合</w:t>
                  </w:r>
                </w:p>
              </w:tc>
            </w:tr>
          </w:tbl>
          <w:p w14:paraId="0DFEF5F3">
            <w:pPr>
              <w:pStyle w:val="33"/>
              <w:widowControl/>
              <w:autoSpaceDE w:val="0"/>
              <w:autoSpaceDN w:val="0"/>
              <w:spacing w:line="360" w:lineRule="auto"/>
              <w:ind w:firstLine="482"/>
              <w:textAlignment w:val="baseline"/>
              <w:rPr>
                <w:b/>
                <w:bCs/>
                <w:color w:val="auto"/>
                <w:kern w:val="0"/>
                <w:sz w:val="24"/>
              </w:rPr>
            </w:pPr>
            <w:r>
              <w:rPr>
                <w:rFonts w:hint="eastAsia"/>
                <w:b/>
                <w:bCs/>
                <w:color w:val="auto"/>
                <w:kern w:val="0"/>
                <w:sz w:val="24"/>
              </w:rPr>
              <w:t xml:space="preserve">（4）与《安徽省建筑工程施工和预拌混凝土生产扬尘防治标准（试行）》（皖环发【2019】17号）的相符性表 </w:t>
            </w:r>
          </w:p>
          <w:p w14:paraId="092E3349">
            <w:pPr>
              <w:pStyle w:val="33"/>
              <w:widowControl/>
              <w:autoSpaceDE w:val="0"/>
              <w:autoSpaceDN w:val="0"/>
              <w:spacing w:line="240" w:lineRule="auto"/>
              <w:ind w:firstLine="0" w:firstLineChars="0"/>
              <w:jc w:val="center"/>
              <w:textAlignment w:val="baseline"/>
              <w:rPr>
                <w:b/>
                <w:bCs/>
                <w:color w:val="auto"/>
                <w:kern w:val="0"/>
                <w:sz w:val="24"/>
              </w:rPr>
            </w:pPr>
            <w:r>
              <w:rPr>
                <w:rFonts w:hint="eastAsia"/>
                <w:b/>
                <w:bCs/>
                <w:color w:val="auto"/>
                <w:kern w:val="0"/>
                <w:sz w:val="24"/>
              </w:rPr>
              <w:t>表1-4  与《安徽省建筑工程施工和预拌混凝土生产扬尘防治标准（试行）》（皖环发【2019】17 号）相符性分析一览表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8"/>
              <w:gridCol w:w="3464"/>
              <w:gridCol w:w="2710"/>
              <w:gridCol w:w="1142"/>
            </w:tblGrid>
            <w:tr w14:paraId="2145C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8" w:type="pct"/>
                  <w:vAlign w:val="center"/>
                </w:tcPr>
                <w:p w14:paraId="4C724059">
                  <w:pPr>
                    <w:pStyle w:val="32"/>
                    <w:jc w:val="center"/>
                    <w:rPr>
                      <w:rFonts w:ascii="Times New Roman" w:hAnsi="Times New Roman" w:cs="Times New Roman"/>
                      <w:b/>
                      <w:bCs/>
                      <w:color w:val="auto"/>
                      <w:kern w:val="0"/>
                      <w:sz w:val="21"/>
                      <w:szCs w:val="21"/>
                    </w:rPr>
                  </w:pPr>
                  <w:r>
                    <w:rPr>
                      <w:rFonts w:ascii="Times New Roman" w:hAnsi="Times New Roman" w:cs="Times New Roman"/>
                      <w:b/>
                      <w:bCs/>
                      <w:color w:val="auto"/>
                      <w:spacing w:val="4"/>
                      <w:sz w:val="21"/>
                      <w:szCs w:val="21"/>
                    </w:rPr>
                    <w:t>序号</w:t>
                  </w:r>
                </w:p>
              </w:tc>
              <w:tc>
                <w:tcPr>
                  <w:tcW w:w="2187" w:type="pct"/>
                  <w:vAlign w:val="center"/>
                </w:tcPr>
                <w:p w14:paraId="561B8573">
                  <w:pPr>
                    <w:pStyle w:val="32"/>
                    <w:jc w:val="center"/>
                    <w:rPr>
                      <w:rFonts w:ascii="Times New Roman" w:hAnsi="Times New Roman" w:cs="Times New Roman"/>
                      <w:b/>
                      <w:bCs/>
                      <w:color w:val="auto"/>
                      <w:kern w:val="0"/>
                      <w:sz w:val="21"/>
                      <w:szCs w:val="21"/>
                    </w:rPr>
                  </w:pPr>
                  <w:r>
                    <w:rPr>
                      <w:rFonts w:ascii="Times New Roman" w:hAnsi="Times New Roman" w:cs="Times New Roman"/>
                      <w:b/>
                      <w:bCs/>
                      <w:color w:val="auto"/>
                      <w:spacing w:val="6"/>
                      <w:sz w:val="21"/>
                      <w:szCs w:val="21"/>
                    </w:rPr>
                    <w:t>方案内容</w:t>
                  </w:r>
                </w:p>
              </w:tc>
              <w:tc>
                <w:tcPr>
                  <w:tcW w:w="1711" w:type="pct"/>
                  <w:vAlign w:val="center"/>
                </w:tcPr>
                <w:p w14:paraId="78DB74ED">
                  <w:pPr>
                    <w:pStyle w:val="32"/>
                    <w:jc w:val="center"/>
                    <w:rPr>
                      <w:rFonts w:ascii="Times New Roman" w:hAnsi="Times New Roman" w:cs="Times New Roman"/>
                      <w:b/>
                      <w:bCs/>
                      <w:color w:val="auto"/>
                      <w:kern w:val="0"/>
                      <w:sz w:val="21"/>
                      <w:szCs w:val="21"/>
                    </w:rPr>
                  </w:pPr>
                  <w:r>
                    <w:rPr>
                      <w:rFonts w:ascii="Times New Roman" w:hAnsi="Times New Roman" w:cs="Times New Roman"/>
                      <w:b/>
                      <w:bCs/>
                      <w:color w:val="auto"/>
                      <w:spacing w:val="5"/>
                      <w:sz w:val="21"/>
                      <w:szCs w:val="21"/>
                    </w:rPr>
                    <w:t>项目情况</w:t>
                  </w:r>
                </w:p>
              </w:tc>
              <w:tc>
                <w:tcPr>
                  <w:tcW w:w="721" w:type="pct"/>
                  <w:vAlign w:val="center"/>
                </w:tcPr>
                <w:p w14:paraId="1621945F">
                  <w:pPr>
                    <w:pStyle w:val="32"/>
                    <w:jc w:val="center"/>
                    <w:rPr>
                      <w:rFonts w:ascii="Times New Roman" w:hAnsi="Times New Roman" w:cs="Times New Roman"/>
                      <w:b/>
                      <w:bCs/>
                      <w:color w:val="auto"/>
                      <w:kern w:val="0"/>
                      <w:sz w:val="21"/>
                      <w:szCs w:val="21"/>
                    </w:rPr>
                  </w:pPr>
                  <w:r>
                    <w:rPr>
                      <w:rFonts w:ascii="Times New Roman" w:hAnsi="Times New Roman" w:cs="Times New Roman"/>
                      <w:b/>
                      <w:bCs/>
                      <w:color w:val="auto"/>
                      <w:spacing w:val="5"/>
                      <w:sz w:val="21"/>
                      <w:szCs w:val="21"/>
                    </w:rPr>
                    <w:t>相符性</w:t>
                  </w:r>
                </w:p>
              </w:tc>
            </w:tr>
            <w:tr w14:paraId="5EB2A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8" w:type="pct"/>
                  <w:vAlign w:val="center"/>
                </w:tcPr>
                <w:p w14:paraId="0CCE634A">
                  <w:pPr>
                    <w:pStyle w:val="32"/>
                    <w:jc w:val="center"/>
                    <w:rPr>
                      <w:rFonts w:ascii="Times New Roman" w:hAnsi="Times New Roman" w:cs="Times New Roman"/>
                      <w:b/>
                      <w:bCs/>
                      <w:color w:val="auto"/>
                      <w:spacing w:val="4"/>
                      <w:sz w:val="21"/>
                      <w:szCs w:val="21"/>
                      <w:lang w:eastAsia="zh-CN"/>
                    </w:rPr>
                  </w:pPr>
                  <w:r>
                    <w:rPr>
                      <w:rFonts w:hint="eastAsia" w:ascii="Times New Roman" w:hAnsi="Times New Roman" w:cs="Times New Roman"/>
                      <w:b/>
                      <w:bCs/>
                      <w:color w:val="auto"/>
                      <w:spacing w:val="4"/>
                      <w:sz w:val="21"/>
                      <w:szCs w:val="21"/>
                      <w:lang w:eastAsia="zh-CN"/>
                    </w:rPr>
                    <w:t>1</w:t>
                  </w:r>
                </w:p>
              </w:tc>
              <w:tc>
                <w:tcPr>
                  <w:tcW w:w="2187" w:type="pct"/>
                  <w:vAlign w:val="center"/>
                </w:tcPr>
                <w:p w14:paraId="64C3C10F">
                  <w:pPr>
                    <w:pStyle w:val="32"/>
                    <w:jc w:val="center"/>
                    <w:rPr>
                      <w:rFonts w:ascii="Times New Roman" w:hAnsi="Times New Roman" w:cs="Times New Roman"/>
                      <w:color w:val="auto"/>
                      <w:spacing w:val="5"/>
                      <w:sz w:val="21"/>
                      <w:szCs w:val="21"/>
                      <w:lang w:eastAsia="zh-CN"/>
                    </w:rPr>
                  </w:pPr>
                  <w:r>
                    <w:rPr>
                      <w:rFonts w:ascii="Times New Roman" w:hAnsi="Times New Roman" w:cs="Times New Roman"/>
                      <w:color w:val="auto"/>
                      <w:spacing w:val="5"/>
                      <w:sz w:val="21"/>
                      <w:szCs w:val="21"/>
                      <w:lang w:eastAsia="zh-CN"/>
                    </w:rPr>
                    <w:t>砂石等散体材料应设置围挡，集中、分类堆放，并采取防尘网覆盖或其他防尘措施</w:t>
                  </w:r>
                </w:p>
              </w:tc>
              <w:tc>
                <w:tcPr>
                  <w:tcW w:w="1711" w:type="pct"/>
                  <w:vAlign w:val="center"/>
                </w:tcPr>
                <w:p w14:paraId="44D2389C">
                  <w:pPr>
                    <w:pStyle w:val="32"/>
                    <w:jc w:val="center"/>
                    <w:rPr>
                      <w:rFonts w:ascii="Times New Roman" w:hAnsi="Times New Roman" w:cs="Times New Roman"/>
                      <w:color w:val="auto"/>
                      <w:spacing w:val="5"/>
                      <w:sz w:val="21"/>
                      <w:szCs w:val="21"/>
                      <w:lang w:eastAsia="zh-CN"/>
                    </w:rPr>
                  </w:pPr>
                  <w:r>
                    <w:rPr>
                      <w:rFonts w:ascii="Times New Roman" w:hAnsi="Times New Roman" w:cs="Times New Roman"/>
                      <w:color w:val="auto"/>
                      <w:spacing w:val="5"/>
                      <w:sz w:val="21"/>
                      <w:szCs w:val="21"/>
                      <w:lang w:eastAsia="zh-CN"/>
                    </w:rPr>
                    <w:t>项目原料砂石等散体材料分类堆放在封闭厂房内</w:t>
                  </w:r>
                  <w:r>
                    <w:rPr>
                      <w:rFonts w:hint="eastAsia" w:ascii="Times New Roman" w:hAnsi="Times New Roman" w:cs="Times New Roman"/>
                      <w:color w:val="auto"/>
                      <w:spacing w:val="5"/>
                      <w:sz w:val="21"/>
                      <w:szCs w:val="21"/>
                      <w:lang w:eastAsia="zh-CN"/>
                    </w:rPr>
                    <w:t>，并进行洒水降尘</w:t>
                  </w:r>
                </w:p>
              </w:tc>
              <w:tc>
                <w:tcPr>
                  <w:tcW w:w="721" w:type="pct"/>
                  <w:vAlign w:val="center"/>
                </w:tcPr>
                <w:p w14:paraId="4FD2A28B">
                  <w:pPr>
                    <w:pStyle w:val="32"/>
                    <w:jc w:val="center"/>
                    <w:rPr>
                      <w:rFonts w:ascii="Times New Roman" w:hAnsi="Times New Roman" w:cs="Times New Roman"/>
                      <w:color w:val="auto"/>
                      <w:spacing w:val="5"/>
                      <w:sz w:val="21"/>
                      <w:szCs w:val="21"/>
                      <w:lang w:eastAsia="zh-CN"/>
                    </w:rPr>
                  </w:pPr>
                  <w:r>
                    <w:rPr>
                      <w:rFonts w:ascii="Times New Roman" w:hAnsi="Times New Roman" w:cs="Times New Roman"/>
                      <w:color w:val="auto"/>
                      <w:spacing w:val="5"/>
                      <w:sz w:val="21"/>
                      <w:szCs w:val="21"/>
                      <w:lang w:eastAsia="zh-CN"/>
                    </w:rPr>
                    <w:t>符合</w:t>
                  </w:r>
                </w:p>
              </w:tc>
            </w:tr>
            <w:tr w14:paraId="73D56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trPr>
              <w:tc>
                <w:tcPr>
                  <w:tcW w:w="378" w:type="pct"/>
                  <w:vAlign w:val="center"/>
                </w:tcPr>
                <w:p w14:paraId="05EDD156">
                  <w:pPr>
                    <w:pStyle w:val="32"/>
                    <w:jc w:val="center"/>
                    <w:rPr>
                      <w:rFonts w:ascii="Times New Roman" w:hAnsi="Times New Roman" w:cs="Times New Roman"/>
                      <w:color w:val="auto"/>
                      <w:spacing w:val="4"/>
                      <w:sz w:val="21"/>
                      <w:szCs w:val="21"/>
                      <w:lang w:eastAsia="zh-CN"/>
                    </w:rPr>
                  </w:pPr>
                  <w:r>
                    <w:rPr>
                      <w:rFonts w:hint="eastAsia" w:ascii="Times New Roman" w:hAnsi="Times New Roman" w:cs="Times New Roman"/>
                      <w:color w:val="auto"/>
                      <w:spacing w:val="4"/>
                      <w:sz w:val="21"/>
                      <w:szCs w:val="21"/>
                      <w:lang w:eastAsia="zh-CN"/>
                    </w:rPr>
                    <w:t>2</w:t>
                  </w:r>
                </w:p>
              </w:tc>
              <w:tc>
                <w:tcPr>
                  <w:tcW w:w="2187" w:type="pct"/>
                  <w:vAlign w:val="center"/>
                </w:tcPr>
                <w:p w14:paraId="0F847B8E">
                  <w:pPr>
                    <w:pStyle w:val="32"/>
                    <w:jc w:val="center"/>
                    <w:rPr>
                      <w:rFonts w:ascii="Times New Roman" w:hAnsi="Times New Roman" w:cs="Times New Roman"/>
                      <w:color w:val="auto"/>
                      <w:spacing w:val="5"/>
                      <w:sz w:val="21"/>
                      <w:szCs w:val="21"/>
                      <w:lang w:eastAsia="zh-CN"/>
                    </w:rPr>
                  </w:pPr>
                  <w:r>
                    <w:rPr>
                      <w:rFonts w:ascii="Times New Roman" w:hAnsi="Times New Roman" w:cs="Times New Roman"/>
                      <w:color w:val="auto"/>
                      <w:spacing w:val="5"/>
                      <w:sz w:val="21"/>
                      <w:szCs w:val="21"/>
                      <w:lang w:eastAsia="zh-CN"/>
                    </w:rPr>
                    <w:t>水泥、粉煤灰、灰土等易产生扬尘的细颗粒建筑材料应进行密闭存放或设置围挡进行封闭、覆盖，使用过程中应采取有效抑尘措施</w:t>
                  </w:r>
                </w:p>
              </w:tc>
              <w:tc>
                <w:tcPr>
                  <w:tcW w:w="1711" w:type="pct"/>
                  <w:vAlign w:val="center"/>
                </w:tcPr>
                <w:p w14:paraId="6884A99C">
                  <w:pPr>
                    <w:pStyle w:val="32"/>
                    <w:jc w:val="center"/>
                    <w:rPr>
                      <w:rFonts w:ascii="Times New Roman" w:hAnsi="Times New Roman" w:cs="Times New Roman"/>
                      <w:color w:val="auto"/>
                      <w:spacing w:val="5"/>
                      <w:sz w:val="21"/>
                      <w:szCs w:val="21"/>
                      <w:lang w:eastAsia="zh-CN"/>
                    </w:rPr>
                  </w:pPr>
                  <w:r>
                    <w:rPr>
                      <w:rFonts w:ascii="Times New Roman" w:hAnsi="Times New Roman" w:cs="Times New Roman"/>
                      <w:color w:val="auto"/>
                      <w:spacing w:val="5"/>
                      <w:sz w:val="21"/>
                      <w:szCs w:val="21"/>
                      <w:lang w:eastAsia="zh-CN"/>
                    </w:rPr>
                    <w:t>现有项目原料水泥、粉煤灰等存放在封闭筒仓内，原辅材料经罐车运送至厂区输送至筒仓内贮存，筒仓配套除尘设施，可以有效抑尘</w:t>
                  </w:r>
                </w:p>
              </w:tc>
              <w:tc>
                <w:tcPr>
                  <w:tcW w:w="721" w:type="pct"/>
                  <w:vAlign w:val="center"/>
                </w:tcPr>
                <w:p w14:paraId="446BBA43">
                  <w:pPr>
                    <w:pStyle w:val="32"/>
                    <w:jc w:val="center"/>
                    <w:rPr>
                      <w:rFonts w:ascii="Times New Roman" w:hAnsi="Times New Roman" w:cs="Times New Roman"/>
                      <w:color w:val="auto"/>
                      <w:spacing w:val="5"/>
                      <w:sz w:val="21"/>
                      <w:szCs w:val="21"/>
                      <w:lang w:eastAsia="zh-CN"/>
                    </w:rPr>
                  </w:pPr>
                  <w:r>
                    <w:rPr>
                      <w:rFonts w:ascii="Times New Roman" w:hAnsi="Times New Roman" w:cs="Times New Roman"/>
                      <w:color w:val="auto"/>
                      <w:spacing w:val="5"/>
                      <w:sz w:val="21"/>
                      <w:szCs w:val="21"/>
                      <w:lang w:eastAsia="zh-CN"/>
                    </w:rPr>
                    <w:t>符合</w:t>
                  </w:r>
                </w:p>
              </w:tc>
            </w:tr>
            <w:tr w14:paraId="398D6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8" w:type="pct"/>
                  <w:vAlign w:val="center"/>
                </w:tcPr>
                <w:p w14:paraId="5D072CB2">
                  <w:pPr>
                    <w:pStyle w:val="32"/>
                    <w:jc w:val="center"/>
                    <w:rPr>
                      <w:rFonts w:ascii="Times New Roman" w:hAnsi="Times New Roman" w:cs="Times New Roman"/>
                      <w:color w:val="auto"/>
                      <w:spacing w:val="4"/>
                      <w:sz w:val="21"/>
                      <w:szCs w:val="21"/>
                      <w:lang w:eastAsia="zh-CN"/>
                    </w:rPr>
                  </w:pPr>
                  <w:r>
                    <w:rPr>
                      <w:rFonts w:hint="eastAsia" w:ascii="Times New Roman" w:hAnsi="Times New Roman" w:cs="Times New Roman"/>
                      <w:color w:val="auto"/>
                      <w:spacing w:val="4"/>
                      <w:sz w:val="21"/>
                      <w:szCs w:val="21"/>
                      <w:lang w:eastAsia="zh-CN"/>
                    </w:rPr>
                    <w:t>3</w:t>
                  </w:r>
                </w:p>
              </w:tc>
              <w:tc>
                <w:tcPr>
                  <w:tcW w:w="2187" w:type="pct"/>
                </w:tcPr>
                <w:p w14:paraId="774A89B1">
                  <w:pPr>
                    <w:pStyle w:val="32"/>
                    <w:jc w:val="center"/>
                    <w:rPr>
                      <w:rFonts w:ascii="Times New Roman" w:hAnsi="Times New Roman" w:cs="Times New Roman"/>
                      <w:color w:val="auto"/>
                      <w:spacing w:val="5"/>
                      <w:sz w:val="21"/>
                      <w:szCs w:val="21"/>
                      <w:lang w:eastAsia="zh-CN"/>
                    </w:rPr>
                  </w:pPr>
                  <w:r>
                    <w:rPr>
                      <w:rFonts w:ascii="Times New Roman" w:hAnsi="Times New Roman" w:cs="Times New Roman"/>
                      <w:color w:val="auto"/>
                      <w:spacing w:val="5"/>
                      <w:sz w:val="21"/>
                      <w:szCs w:val="21"/>
                      <w:lang w:eastAsia="zh-CN"/>
                    </w:rPr>
                    <w:t>砂石堆场应建设分仓挡隔墙，宜设置排水沟。砂石堆场、卸料区、车辆进出口及骨料配料设施应有降尘抑尘设施设备。下料点应采取喷淋或其他抑尘措施。应建设车辆出厂冲洗设施。运输车辆出厂前必须冲洗清理，车体应保持清洁，冲洗废水应循环使用</w:t>
                  </w:r>
                </w:p>
              </w:tc>
              <w:tc>
                <w:tcPr>
                  <w:tcW w:w="1711" w:type="pct"/>
                  <w:vAlign w:val="center"/>
                </w:tcPr>
                <w:p w14:paraId="01915420">
                  <w:pPr>
                    <w:pStyle w:val="32"/>
                    <w:jc w:val="center"/>
                    <w:rPr>
                      <w:rFonts w:ascii="Times New Roman" w:hAnsi="Times New Roman" w:cs="Times New Roman"/>
                      <w:color w:val="auto"/>
                      <w:spacing w:val="5"/>
                      <w:sz w:val="21"/>
                      <w:szCs w:val="21"/>
                      <w:lang w:eastAsia="zh-CN"/>
                    </w:rPr>
                  </w:pPr>
                  <w:r>
                    <w:rPr>
                      <w:rFonts w:ascii="Times New Roman" w:hAnsi="Times New Roman" w:cs="Times New Roman"/>
                      <w:color w:val="auto"/>
                      <w:spacing w:val="5"/>
                      <w:sz w:val="21"/>
                      <w:szCs w:val="21"/>
                      <w:lang w:eastAsia="zh-CN"/>
                    </w:rPr>
                    <w:t>建设单位设置分仓挡隔墙，设置排水沟；建设洗车台、沉淀池、安装喷淋设施等；废水经沉淀池沉淀回用于生产，不外排</w:t>
                  </w:r>
                </w:p>
              </w:tc>
              <w:tc>
                <w:tcPr>
                  <w:tcW w:w="721" w:type="pct"/>
                  <w:vAlign w:val="center"/>
                </w:tcPr>
                <w:p w14:paraId="3F54F6D0">
                  <w:pPr>
                    <w:pStyle w:val="32"/>
                    <w:jc w:val="center"/>
                    <w:rPr>
                      <w:rFonts w:ascii="Times New Roman" w:hAnsi="Times New Roman" w:cs="Times New Roman"/>
                      <w:color w:val="auto"/>
                      <w:spacing w:val="5"/>
                      <w:sz w:val="21"/>
                      <w:szCs w:val="21"/>
                      <w:lang w:eastAsia="zh-CN"/>
                    </w:rPr>
                  </w:pPr>
                  <w:r>
                    <w:rPr>
                      <w:rFonts w:ascii="Times New Roman" w:hAnsi="Times New Roman" w:cs="Times New Roman"/>
                      <w:color w:val="auto"/>
                      <w:spacing w:val="5"/>
                      <w:sz w:val="21"/>
                      <w:szCs w:val="21"/>
                      <w:lang w:eastAsia="zh-CN"/>
                    </w:rPr>
                    <w:t>符合</w:t>
                  </w:r>
                </w:p>
              </w:tc>
            </w:tr>
            <w:tr w14:paraId="6124F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78" w:type="pct"/>
                  <w:vAlign w:val="center"/>
                </w:tcPr>
                <w:p w14:paraId="002863B0">
                  <w:pPr>
                    <w:pStyle w:val="32"/>
                    <w:jc w:val="center"/>
                    <w:rPr>
                      <w:rFonts w:ascii="Times New Roman" w:hAnsi="Times New Roman" w:cs="Times New Roman"/>
                      <w:color w:val="auto"/>
                      <w:spacing w:val="4"/>
                      <w:sz w:val="21"/>
                      <w:szCs w:val="21"/>
                      <w:lang w:eastAsia="zh-CN"/>
                    </w:rPr>
                  </w:pPr>
                  <w:r>
                    <w:rPr>
                      <w:rFonts w:hint="eastAsia" w:ascii="Times New Roman" w:hAnsi="Times New Roman" w:cs="Times New Roman"/>
                      <w:color w:val="auto"/>
                      <w:spacing w:val="4"/>
                      <w:sz w:val="21"/>
                      <w:szCs w:val="21"/>
                      <w:lang w:eastAsia="zh-CN"/>
                    </w:rPr>
                    <w:t>4</w:t>
                  </w:r>
                </w:p>
              </w:tc>
              <w:tc>
                <w:tcPr>
                  <w:tcW w:w="2187" w:type="pct"/>
                  <w:vAlign w:val="center"/>
                </w:tcPr>
                <w:p w14:paraId="28850612">
                  <w:pPr>
                    <w:pStyle w:val="32"/>
                    <w:jc w:val="center"/>
                    <w:rPr>
                      <w:rFonts w:ascii="Times New Roman" w:hAnsi="Times New Roman" w:cs="Times New Roman"/>
                      <w:color w:val="auto"/>
                      <w:spacing w:val="5"/>
                      <w:sz w:val="21"/>
                      <w:szCs w:val="21"/>
                      <w:lang w:eastAsia="zh-CN"/>
                    </w:rPr>
                  </w:pPr>
                  <w:r>
                    <w:rPr>
                      <w:rFonts w:ascii="Times New Roman" w:hAnsi="Times New Roman" w:cs="Times New Roman"/>
                      <w:color w:val="auto"/>
                      <w:spacing w:val="5"/>
                      <w:sz w:val="21"/>
                      <w:szCs w:val="21"/>
                      <w:lang w:eastAsia="zh-CN"/>
                    </w:rPr>
                    <w:t>搅拌主机、骨料集料仓及粉料筒仓应安装强制式除尘脉冲清理设备，滤芯宜采用专用除尘布袋，除尘机宜安装用于判断滤芯使用有效性的压力感应设备。螺旋机与枰体软连接应采用专用除尘布袋。除尘设备必须保持正常使用状态，滤芯、除尘布袋等易损部件必须定期保养、更换</w:t>
                  </w:r>
                </w:p>
              </w:tc>
              <w:tc>
                <w:tcPr>
                  <w:tcW w:w="1711" w:type="pct"/>
                  <w:vAlign w:val="center"/>
                </w:tcPr>
                <w:p w14:paraId="12469DAF">
                  <w:pPr>
                    <w:pStyle w:val="32"/>
                    <w:jc w:val="center"/>
                    <w:rPr>
                      <w:rFonts w:ascii="Times New Roman" w:hAnsi="Times New Roman" w:cs="Times New Roman"/>
                      <w:color w:val="auto"/>
                      <w:spacing w:val="5"/>
                      <w:sz w:val="21"/>
                      <w:szCs w:val="21"/>
                      <w:lang w:eastAsia="zh-CN"/>
                    </w:rPr>
                  </w:pPr>
                  <w:r>
                    <w:rPr>
                      <w:rFonts w:ascii="Times New Roman" w:hAnsi="Times New Roman" w:cs="Times New Roman"/>
                      <w:color w:val="auto"/>
                      <w:spacing w:val="5"/>
                      <w:sz w:val="21"/>
                      <w:szCs w:val="21"/>
                      <w:lang w:eastAsia="zh-CN"/>
                    </w:rPr>
                    <w:t>项目破碎</w:t>
                  </w:r>
                  <w:r>
                    <w:rPr>
                      <w:rFonts w:hint="eastAsia" w:ascii="Times New Roman" w:hAnsi="Times New Roman" w:cs="Times New Roman"/>
                      <w:color w:val="auto"/>
                      <w:spacing w:val="5"/>
                      <w:sz w:val="21"/>
                      <w:szCs w:val="21"/>
                      <w:lang w:eastAsia="zh-CN"/>
                    </w:rPr>
                    <w:t>、搅拌</w:t>
                  </w:r>
                  <w:r>
                    <w:rPr>
                      <w:rFonts w:ascii="Times New Roman" w:hAnsi="Times New Roman" w:cs="Times New Roman"/>
                      <w:color w:val="auto"/>
                      <w:spacing w:val="5"/>
                      <w:sz w:val="21"/>
                      <w:szCs w:val="21"/>
                      <w:lang w:eastAsia="zh-CN"/>
                    </w:rPr>
                    <w:t>粉尘经集气罩收集后通过布袋除尘器处理后通过一根排气筒排放</w:t>
                  </w:r>
                  <w:r>
                    <w:rPr>
                      <w:rFonts w:hint="eastAsia" w:ascii="Times New Roman" w:hAnsi="Times New Roman" w:cs="Times New Roman"/>
                      <w:color w:val="auto"/>
                      <w:spacing w:val="5"/>
                      <w:sz w:val="21"/>
                      <w:szCs w:val="21"/>
                      <w:lang w:eastAsia="zh-CN"/>
                    </w:rPr>
                    <w:t>（DA001)，</w:t>
                  </w:r>
                  <w:r>
                    <w:rPr>
                      <w:rFonts w:ascii="Times New Roman" w:hAnsi="Times New Roman" w:cs="Times New Roman"/>
                      <w:color w:val="auto"/>
                      <w:spacing w:val="5"/>
                      <w:sz w:val="21"/>
                      <w:szCs w:val="21"/>
                      <w:lang w:eastAsia="zh-CN"/>
                    </w:rPr>
                    <w:t>项目废气经处理后，均能达标排放</w:t>
                  </w:r>
                </w:p>
              </w:tc>
              <w:tc>
                <w:tcPr>
                  <w:tcW w:w="721" w:type="pct"/>
                  <w:vAlign w:val="center"/>
                </w:tcPr>
                <w:p w14:paraId="3A1C0CD4">
                  <w:pPr>
                    <w:pStyle w:val="32"/>
                    <w:jc w:val="center"/>
                    <w:rPr>
                      <w:rFonts w:ascii="Times New Roman" w:hAnsi="Times New Roman" w:cs="Times New Roman"/>
                      <w:color w:val="auto"/>
                      <w:spacing w:val="5"/>
                      <w:sz w:val="21"/>
                      <w:szCs w:val="21"/>
                      <w:lang w:eastAsia="zh-CN"/>
                    </w:rPr>
                  </w:pPr>
                  <w:r>
                    <w:rPr>
                      <w:rFonts w:ascii="Times New Roman" w:hAnsi="Times New Roman" w:cs="Times New Roman"/>
                      <w:color w:val="auto"/>
                      <w:spacing w:val="5"/>
                      <w:sz w:val="21"/>
                      <w:szCs w:val="21"/>
                      <w:lang w:eastAsia="zh-CN"/>
                    </w:rPr>
                    <w:t>符合</w:t>
                  </w:r>
                </w:p>
              </w:tc>
            </w:tr>
            <w:tr w14:paraId="69DDC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8" w:type="pct"/>
                  <w:vAlign w:val="center"/>
                </w:tcPr>
                <w:p w14:paraId="62C114D7">
                  <w:pPr>
                    <w:pStyle w:val="32"/>
                    <w:jc w:val="center"/>
                    <w:rPr>
                      <w:rFonts w:ascii="Times New Roman" w:hAnsi="Times New Roman" w:cs="Times New Roman"/>
                      <w:color w:val="auto"/>
                      <w:spacing w:val="4"/>
                      <w:sz w:val="21"/>
                      <w:szCs w:val="21"/>
                      <w:lang w:eastAsia="zh-CN"/>
                    </w:rPr>
                  </w:pPr>
                  <w:r>
                    <w:rPr>
                      <w:rFonts w:hint="eastAsia" w:ascii="Times New Roman" w:hAnsi="Times New Roman" w:cs="Times New Roman"/>
                      <w:color w:val="auto"/>
                      <w:spacing w:val="4"/>
                      <w:sz w:val="21"/>
                      <w:szCs w:val="21"/>
                      <w:lang w:eastAsia="zh-CN"/>
                    </w:rPr>
                    <w:t>5</w:t>
                  </w:r>
                </w:p>
              </w:tc>
              <w:tc>
                <w:tcPr>
                  <w:tcW w:w="2187" w:type="pct"/>
                  <w:vAlign w:val="center"/>
                </w:tcPr>
                <w:p w14:paraId="24496F7F">
                  <w:pPr>
                    <w:pStyle w:val="32"/>
                    <w:jc w:val="center"/>
                    <w:rPr>
                      <w:rFonts w:ascii="Times New Roman" w:hAnsi="Times New Roman" w:cs="Times New Roman"/>
                      <w:color w:val="auto"/>
                      <w:spacing w:val="5"/>
                      <w:sz w:val="21"/>
                      <w:szCs w:val="21"/>
                      <w:lang w:eastAsia="zh-CN"/>
                    </w:rPr>
                  </w:pPr>
                  <w:r>
                    <w:rPr>
                      <w:rFonts w:ascii="Times New Roman" w:hAnsi="Times New Roman" w:cs="Times New Roman"/>
                      <w:color w:val="auto"/>
                      <w:spacing w:val="5"/>
                      <w:sz w:val="21"/>
                      <w:szCs w:val="21"/>
                      <w:lang w:eastAsia="zh-CN"/>
                    </w:rPr>
                    <w:t>搅拌主机除与各类材料样体和除尘设备连接口外，不应有其他通向大气的出口。粉料筒仓除吹灰管、除尘设备以及压力安全阀出口外，不应有其他通向厂房外界大气的出口</w:t>
                  </w:r>
                </w:p>
              </w:tc>
              <w:tc>
                <w:tcPr>
                  <w:tcW w:w="1711" w:type="pct"/>
                  <w:vAlign w:val="center"/>
                </w:tcPr>
                <w:p w14:paraId="30472A7D">
                  <w:pPr>
                    <w:pStyle w:val="32"/>
                    <w:jc w:val="center"/>
                    <w:rPr>
                      <w:rFonts w:ascii="Times New Roman" w:hAnsi="Times New Roman" w:cs="Times New Roman"/>
                      <w:color w:val="auto"/>
                      <w:spacing w:val="5"/>
                      <w:sz w:val="21"/>
                      <w:szCs w:val="21"/>
                      <w:lang w:eastAsia="zh-CN"/>
                    </w:rPr>
                  </w:pPr>
                  <w:r>
                    <w:rPr>
                      <w:rFonts w:ascii="Times New Roman" w:hAnsi="Times New Roman" w:cs="Times New Roman"/>
                      <w:color w:val="auto"/>
                      <w:spacing w:val="5"/>
                      <w:sz w:val="21"/>
                      <w:szCs w:val="21"/>
                      <w:lang w:eastAsia="zh-CN"/>
                    </w:rPr>
                    <w:t>搅拌主机及粉料筒仓均设置在封闭厂房内，无其他通向厂房外界大气的出口</w:t>
                  </w:r>
                </w:p>
              </w:tc>
              <w:tc>
                <w:tcPr>
                  <w:tcW w:w="721" w:type="pct"/>
                  <w:vAlign w:val="center"/>
                </w:tcPr>
                <w:p w14:paraId="3535BE99">
                  <w:pPr>
                    <w:pStyle w:val="32"/>
                    <w:jc w:val="center"/>
                    <w:rPr>
                      <w:rFonts w:ascii="Times New Roman" w:hAnsi="Times New Roman" w:cs="Times New Roman"/>
                      <w:color w:val="auto"/>
                      <w:spacing w:val="5"/>
                      <w:sz w:val="21"/>
                      <w:szCs w:val="21"/>
                      <w:lang w:eastAsia="zh-CN"/>
                    </w:rPr>
                  </w:pPr>
                  <w:r>
                    <w:rPr>
                      <w:rFonts w:ascii="Times New Roman" w:hAnsi="Times New Roman" w:cs="Times New Roman"/>
                      <w:color w:val="auto"/>
                      <w:spacing w:val="5"/>
                      <w:sz w:val="21"/>
                      <w:szCs w:val="21"/>
                      <w:lang w:eastAsia="zh-CN"/>
                    </w:rPr>
                    <w:t>符合</w:t>
                  </w:r>
                </w:p>
              </w:tc>
            </w:tr>
            <w:tr w14:paraId="31D48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8" w:type="pct"/>
                  <w:vAlign w:val="center"/>
                </w:tcPr>
                <w:p w14:paraId="7D46B818">
                  <w:pPr>
                    <w:pStyle w:val="32"/>
                    <w:jc w:val="center"/>
                    <w:rPr>
                      <w:rFonts w:ascii="Times New Roman" w:hAnsi="Times New Roman" w:cs="Times New Roman"/>
                      <w:color w:val="auto"/>
                      <w:spacing w:val="4"/>
                      <w:sz w:val="21"/>
                      <w:szCs w:val="21"/>
                      <w:lang w:eastAsia="zh-CN"/>
                    </w:rPr>
                  </w:pPr>
                  <w:r>
                    <w:rPr>
                      <w:rFonts w:hint="eastAsia" w:ascii="Times New Roman" w:hAnsi="Times New Roman" w:cs="Times New Roman"/>
                      <w:color w:val="auto"/>
                      <w:spacing w:val="4"/>
                      <w:sz w:val="21"/>
                      <w:szCs w:val="21"/>
                      <w:lang w:eastAsia="zh-CN"/>
                    </w:rPr>
                    <w:t>6</w:t>
                  </w:r>
                </w:p>
              </w:tc>
              <w:tc>
                <w:tcPr>
                  <w:tcW w:w="2187" w:type="pct"/>
                  <w:vAlign w:val="center"/>
                </w:tcPr>
                <w:p w14:paraId="1D115D24">
                  <w:pPr>
                    <w:pStyle w:val="32"/>
                    <w:jc w:val="center"/>
                    <w:rPr>
                      <w:rFonts w:ascii="Times New Roman" w:hAnsi="Times New Roman" w:cs="Times New Roman"/>
                      <w:color w:val="auto"/>
                      <w:spacing w:val="5"/>
                      <w:sz w:val="21"/>
                      <w:szCs w:val="21"/>
                      <w:lang w:eastAsia="zh-CN"/>
                    </w:rPr>
                  </w:pPr>
                  <w:r>
                    <w:rPr>
                      <w:rFonts w:ascii="Times New Roman" w:hAnsi="Times New Roman" w:cs="Times New Roman"/>
                      <w:color w:val="auto"/>
                      <w:spacing w:val="5"/>
                      <w:sz w:val="21"/>
                      <w:szCs w:val="21"/>
                      <w:lang w:eastAsia="zh-CN"/>
                    </w:rPr>
                    <w:t>厂界环境空气污染物中的总悬浮颗粒物、可吸入颗粒物和细颗粒物的浓度限值应符合《大气污染物综合排放标准》GB16297 要求，并满足环评执行标准要求</w:t>
                  </w:r>
                </w:p>
              </w:tc>
              <w:tc>
                <w:tcPr>
                  <w:tcW w:w="1711" w:type="pct"/>
                  <w:vAlign w:val="center"/>
                </w:tcPr>
                <w:p w14:paraId="3E2F01A0">
                  <w:pPr>
                    <w:pStyle w:val="32"/>
                    <w:jc w:val="center"/>
                    <w:rPr>
                      <w:rFonts w:ascii="Times New Roman" w:hAnsi="Times New Roman" w:cs="Times New Roman"/>
                      <w:color w:val="auto"/>
                      <w:spacing w:val="5"/>
                      <w:sz w:val="21"/>
                      <w:szCs w:val="21"/>
                      <w:lang w:eastAsia="zh-CN"/>
                    </w:rPr>
                  </w:pPr>
                  <w:r>
                    <w:rPr>
                      <w:rFonts w:ascii="Times New Roman" w:hAnsi="Times New Roman" w:cs="Times New Roman"/>
                      <w:color w:val="auto"/>
                      <w:spacing w:val="5"/>
                      <w:sz w:val="21"/>
                      <w:szCs w:val="21"/>
                      <w:lang w:eastAsia="zh-CN"/>
                    </w:rPr>
                    <w:t>项目标准执行</w:t>
                  </w:r>
                  <w:r>
                    <w:rPr>
                      <w:rFonts w:hint="eastAsia" w:ascii="Times New Roman" w:hAnsi="Times New Roman" w:cs="Times New Roman"/>
                      <w:color w:val="auto"/>
                      <w:spacing w:val="5"/>
                      <w:sz w:val="21"/>
                      <w:szCs w:val="21"/>
                      <w:lang w:eastAsia="zh-CN"/>
                    </w:rPr>
                    <w:t>安徽省地方标准《砖瓦工业大气污染物排放标准》DB34/4362-2023</w:t>
                  </w:r>
                  <w:r>
                    <w:rPr>
                      <w:rFonts w:ascii="Times New Roman" w:hAnsi="Times New Roman" w:cs="Times New Roman"/>
                      <w:color w:val="auto"/>
                      <w:spacing w:val="5"/>
                      <w:sz w:val="21"/>
                      <w:szCs w:val="21"/>
                      <w:lang w:eastAsia="zh-CN"/>
                    </w:rPr>
                    <w:t>，标准严于GB16297</w:t>
                  </w:r>
                </w:p>
              </w:tc>
              <w:tc>
                <w:tcPr>
                  <w:tcW w:w="721" w:type="pct"/>
                  <w:vAlign w:val="center"/>
                </w:tcPr>
                <w:p w14:paraId="2C5E1EE8">
                  <w:pPr>
                    <w:pStyle w:val="32"/>
                    <w:jc w:val="center"/>
                    <w:rPr>
                      <w:rFonts w:ascii="Times New Roman" w:hAnsi="Times New Roman" w:cs="Times New Roman"/>
                      <w:color w:val="auto"/>
                      <w:spacing w:val="5"/>
                      <w:sz w:val="21"/>
                      <w:szCs w:val="21"/>
                      <w:lang w:eastAsia="zh-CN"/>
                    </w:rPr>
                  </w:pPr>
                  <w:r>
                    <w:rPr>
                      <w:rFonts w:ascii="Times New Roman" w:hAnsi="Times New Roman" w:cs="Times New Roman"/>
                      <w:color w:val="auto"/>
                      <w:spacing w:val="5"/>
                      <w:sz w:val="21"/>
                      <w:szCs w:val="21"/>
                      <w:lang w:eastAsia="zh-CN"/>
                    </w:rPr>
                    <w:t>符合</w:t>
                  </w:r>
                </w:p>
              </w:tc>
            </w:tr>
          </w:tbl>
          <w:p w14:paraId="40EEAA28">
            <w:pPr>
              <w:pStyle w:val="32"/>
              <w:spacing w:line="360" w:lineRule="auto"/>
              <w:ind w:firstLine="482" w:firstLineChars="200"/>
              <w:rPr>
                <w:rFonts w:ascii="Times New Roman" w:hAnsi="Times New Roman" w:cs="Times New Roman"/>
                <w:b/>
                <w:color w:val="auto"/>
                <w:kern w:val="0"/>
                <w:lang w:eastAsia="zh-CN"/>
              </w:rPr>
            </w:pPr>
            <w:r>
              <w:rPr>
                <w:rFonts w:ascii="Times New Roman" w:hAnsi="Times New Roman" w:cs="Times New Roman"/>
                <w:b/>
                <w:color w:val="auto"/>
                <w:kern w:val="0"/>
                <w:lang w:eastAsia="zh-CN"/>
              </w:rPr>
              <w:t>（</w:t>
            </w:r>
            <w:r>
              <w:rPr>
                <w:rFonts w:hint="eastAsia" w:ascii="Times New Roman" w:hAnsi="Times New Roman" w:cs="Times New Roman"/>
                <w:b/>
                <w:color w:val="auto"/>
                <w:kern w:val="0"/>
                <w:lang w:eastAsia="zh-CN"/>
              </w:rPr>
              <w:t>5</w:t>
            </w:r>
            <w:r>
              <w:rPr>
                <w:rFonts w:ascii="Times New Roman" w:hAnsi="Times New Roman" w:cs="Times New Roman"/>
                <w:b/>
                <w:color w:val="auto"/>
                <w:kern w:val="0"/>
                <w:lang w:eastAsia="zh-CN"/>
              </w:rPr>
              <w:t>）与《宿州市</w:t>
            </w:r>
            <w:r>
              <w:rPr>
                <w:rFonts w:hint="eastAsia" w:ascii="Times New Roman" w:hAnsi="Times New Roman" w:cs="Times New Roman"/>
                <w:b/>
                <w:color w:val="auto"/>
                <w:kern w:val="0"/>
                <w:lang w:eastAsia="zh-CN"/>
              </w:rPr>
              <w:t>“</w:t>
            </w:r>
            <w:r>
              <w:rPr>
                <w:rFonts w:ascii="Times New Roman" w:hAnsi="Times New Roman" w:cs="Times New Roman"/>
                <w:b/>
                <w:color w:val="auto"/>
                <w:kern w:val="0"/>
                <w:lang w:eastAsia="zh-CN"/>
              </w:rPr>
              <w:t>十四五</w:t>
            </w:r>
            <w:r>
              <w:rPr>
                <w:rFonts w:hint="eastAsia" w:ascii="Times New Roman" w:hAnsi="Times New Roman" w:cs="Times New Roman"/>
                <w:b/>
                <w:color w:val="auto"/>
                <w:kern w:val="0"/>
                <w:lang w:eastAsia="zh-CN"/>
              </w:rPr>
              <w:t>”</w:t>
            </w:r>
            <w:r>
              <w:rPr>
                <w:rFonts w:ascii="Times New Roman" w:hAnsi="Times New Roman" w:cs="Times New Roman"/>
                <w:b/>
                <w:color w:val="auto"/>
                <w:kern w:val="0"/>
                <w:lang w:eastAsia="zh-CN"/>
              </w:rPr>
              <w:t>生态环境保护规划（宿环委会【2022】2号）》的相符性</w:t>
            </w:r>
          </w:p>
          <w:p w14:paraId="1F02A78F">
            <w:pPr>
              <w:ind w:firstLine="482" w:firstLineChars="200"/>
              <w:jc w:val="center"/>
              <w:rPr>
                <w:b/>
                <w:color w:val="auto"/>
                <w:kern w:val="0"/>
                <w:sz w:val="24"/>
              </w:rPr>
            </w:pPr>
            <w:r>
              <w:rPr>
                <w:rFonts w:hint="eastAsia"/>
                <w:b/>
                <w:color w:val="auto"/>
                <w:kern w:val="0"/>
                <w:sz w:val="24"/>
              </w:rPr>
              <w:t>表</w:t>
            </w:r>
            <w:r>
              <w:rPr>
                <w:b/>
                <w:color w:val="auto"/>
                <w:kern w:val="0"/>
                <w:sz w:val="24"/>
              </w:rPr>
              <w:t>1-</w:t>
            </w:r>
            <w:r>
              <w:rPr>
                <w:rFonts w:hint="eastAsia"/>
                <w:b/>
                <w:color w:val="auto"/>
                <w:kern w:val="0"/>
                <w:sz w:val="24"/>
              </w:rPr>
              <w:t xml:space="preserve">5  </w:t>
            </w:r>
            <w:r>
              <w:rPr>
                <w:b/>
                <w:color w:val="auto"/>
                <w:kern w:val="0"/>
                <w:sz w:val="24"/>
              </w:rPr>
              <w:t>与《宿州市“十四五 ”生态环境保护规划》的相符性</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9"/>
              <w:gridCol w:w="3354"/>
              <w:gridCol w:w="2819"/>
              <w:gridCol w:w="1142"/>
            </w:tblGrid>
            <w:tr w14:paraId="4E02A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8" w:type="pct"/>
                  <w:vAlign w:val="center"/>
                </w:tcPr>
                <w:p w14:paraId="43E2E96C">
                  <w:pPr>
                    <w:pStyle w:val="32"/>
                    <w:jc w:val="center"/>
                    <w:rPr>
                      <w:rFonts w:hint="eastAsia"/>
                      <w:b/>
                      <w:bCs/>
                      <w:color w:val="auto"/>
                      <w:kern w:val="0"/>
                      <w:sz w:val="21"/>
                      <w:szCs w:val="21"/>
                    </w:rPr>
                  </w:pPr>
                  <w:r>
                    <w:rPr>
                      <w:rFonts w:hint="eastAsia"/>
                      <w:b/>
                      <w:bCs/>
                      <w:color w:val="auto"/>
                      <w:spacing w:val="4"/>
                      <w:sz w:val="21"/>
                      <w:szCs w:val="21"/>
                    </w:rPr>
                    <w:t>序号</w:t>
                  </w:r>
                </w:p>
              </w:tc>
              <w:tc>
                <w:tcPr>
                  <w:tcW w:w="2118" w:type="pct"/>
                  <w:vAlign w:val="center"/>
                </w:tcPr>
                <w:p w14:paraId="7321B138">
                  <w:pPr>
                    <w:pStyle w:val="32"/>
                    <w:jc w:val="center"/>
                    <w:rPr>
                      <w:rFonts w:hint="eastAsia"/>
                      <w:b/>
                      <w:bCs/>
                      <w:color w:val="auto"/>
                      <w:kern w:val="0"/>
                      <w:sz w:val="21"/>
                      <w:szCs w:val="21"/>
                    </w:rPr>
                  </w:pPr>
                  <w:r>
                    <w:rPr>
                      <w:rFonts w:hint="eastAsia"/>
                      <w:b/>
                      <w:bCs/>
                      <w:color w:val="auto"/>
                      <w:spacing w:val="6"/>
                      <w:sz w:val="21"/>
                      <w:szCs w:val="21"/>
                    </w:rPr>
                    <w:t>方案内容</w:t>
                  </w:r>
                </w:p>
              </w:tc>
              <w:tc>
                <w:tcPr>
                  <w:tcW w:w="1780" w:type="pct"/>
                  <w:vAlign w:val="center"/>
                </w:tcPr>
                <w:p w14:paraId="6E989B24">
                  <w:pPr>
                    <w:pStyle w:val="32"/>
                    <w:jc w:val="center"/>
                    <w:rPr>
                      <w:rFonts w:hint="eastAsia"/>
                      <w:b/>
                      <w:bCs/>
                      <w:color w:val="auto"/>
                      <w:kern w:val="0"/>
                      <w:sz w:val="21"/>
                      <w:szCs w:val="21"/>
                    </w:rPr>
                  </w:pPr>
                  <w:r>
                    <w:rPr>
                      <w:rFonts w:hint="eastAsia"/>
                      <w:b/>
                      <w:bCs/>
                      <w:color w:val="auto"/>
                      <w:spacing w:val="5"/>
                      <w:sz w:val="21"/>
                      <w:szCs w:val="21"/>
                    </w:rPr>
                    <w:t>项目情况</w:t>
                  </w:r>
                </w:p>
              </w:tc>
              <w:tc>
                <w:tcPr>
                  <w:tcW w:w="721" w:type="pct"/>
                  <w:vAlign w:val="center"/>
                </w:tcPr>
                <w:p w14:paraId="6F84A032">
                  <w:pPr>
                    <w:pStyle w:val="32"/>
                    <w:jc w:val="center"/>
                    <w:rPr>
                      <w:rFonts w:hint="eastAsia"/>
                      <w:b/>
                      <w:bCs/>
                      <w:color w:val="auto"/>
                      <w:kern w:val="0"/>
                      <w:sz w:val="21"/>
                      <w:szCs w:val="21"/>
                    </w:rPr>
                  </w:pPr>
                  <w:r>
                    <w:rPr>
                      <w:rFonts w:hint="eastAsia"/>
                      <w:b/>
                      <w:bCs/>
                      <w:color w:val="auto"/>
                      <w:spacing w:val="5"/>
                      <w:sz w:val="21"/>
                      <w:szCs w:val="21"/>
                    </w:rPr>
                    <w:t>相符性</w:t>
                  </w:r>
                </w:p>
              </w:tc>
            </w:tr>
            <w:tr w14:paraId="60F91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8" w:type="pct"/>
                  <w:vAlign w:val="center"/>
                </w:tcPr>
                <w:p w14:paraId="562346A7">
                  <w:pPr>
                    <w:pStyle w:val="32"/>
                    <w:jc w:val="center"/>
                    <w:rPr>
                      <w:rFonts w:ascii="Times New Roman" w:hAnsi="Times New Roman" w:cs="Times New Roman"/>
                      <w:color w:val="auto"/>
                      <w:spacing w:val="4"/>
                      <w:sz w:val="21"/>
                      <w:szCs w:val="21"/>
                      <w:lang w:eastAsia="zh-CN"/>
                    </w:rPr>
                  </w:pPr>
                  <w:r>
                    <w:rPr>
                      <w:rFonts w:ascii="Times New Roman" w:hAnsi="Times New Roman" w:cs="Times New Roman"/>
                      <w:color w:val="auto"/>
                      <w:spacing w:val="4"/>
                      <w:sz w:val="21"/>
                      <w:szCs w:val="21"/>
                      <w:lang w:eastAsia="zh-CN"/>
                    </w:rPr>
                    <w:t>1</w:t>
                  </w:r>
                </w:p>
              </w:tc>
              <w:tc>
                <w:tcPr>
                  <w:tcW w:w="2118" w:type="pct"/>
                  <w:vAlign w:val="center"/>
                </w:tcPr>
                <w:p w14:paraId="225A546E">
                  <w:pPr>
                    <w:pStyle w:val="32"/>
                    <w:jc w:val="center"/>
                    <w:rPr>
                      <w:rFonts w:hint="eastAsia"/>
                      <w:b/>
                      <w:bCs/>
                      <w:color w:val="auto"/>
                      <w:spacing w:val="6"/>
                      <w:sz w:val="21"/>
                      <w:szCs w:val="21"/>
                      <w:lang w:eastAsia="zh-CN"/>
                    </w:rPr>
                  </w:pPr>
                  <w:r>
                    <w:rPr>
                      <w:color w:val="auto"/>
                      <w:spacing w:val="8"/>
                      <w:sz w:val="21"/>
                      <w:szCs w:val="21"/>
                      <w:lang w:eastAsia="zh-CN"/>
                    </w:rPr>
                    <w:t>强化重点行业企业综合治理。加</w:t>
                  </w:r>
                  <w:r>
                    <w:rPr>
                      <w:color w:val="auto"/>
                      <w:spacing w:val="11"/>
                      <w:sz w:val="21"/>
                      <w:szCs w:val="21"/>
                      <w:lang w:eastAsia="zh-CN"/>
                    </w:rPr>
                    <w:t xml:space="preserve"> </w:t>
                  </w:r>
                  <w:r>
                    <w:rPr>
                      <w:color w:val="auto"/>
                      <w:spacing w:val="9"/>
                      <w:sz w:val="21"/>
                      <w:szCs w:val="21"/>
                      <w:lang w:eastAsia="zh-CN"/>
                    </w:rPr>
                    <w:t>强重点行业脱硫脱硝、除尘设施</w:t>
                  </w:r>
                  <w:r>
                    <w:rPr>
                      <w:color w:val="auto"/>
                      <w:spacing w:val="2"/>
                      <w:sz w:val="21"/>
                      <w:szCs w:val="21"/>
                      <w:lang w:eastAsia="zh-CN"/>
                    </w:rPr>
                    <w:t xml:space="preserve"> </w:t>
                  </w:r>
                  <w:r>
                    <w:rPr>
                      <w:color w:val="auto"/>
                      <w:spacing w:val="9"/>
                      <w:sz w:val="21"/>
                      <w:szCs w:val="21"/>
                      <w:lang w:eastAsia="zh-CN"/>
                    </w:rPr>
                    <w:t>运行监管，持续开展水泥、制药等重点行业废气排放提标改造</w:t>
                  </w:r>
                  <w:r>
                    <w:rPr>
                      <w:rFonts w:hint="eastAsia"/>
                      <w:color w:val="auto"/>
                      <w:spacing w:val="9"/>
                      <w:sz w:val="21"/>
                      <w:szCs w:val="21"/>
                      <w:lang w:eastAsia="zh-CN"/>
                    </w:rPr>
                    <w:t>，</w:t>
                  </w:r>
                  <w:r>
                    <w:rPr>
                      <w:color w:val="auto"/>
                      <w:spacing w:val="9"/>
                      <w:sz w:val="21"/>
                      <w:szCs w:val="21"/>
                      <w:lang w:eastAsia="zh-CN"/>
                    </w:rPr>
                    <w:t>鼓励企业实施超低排放改造，推</w:t>
                  </w:r>
                  <w:r>
                    <w:rPr>
                      <w:color w:val="auto"/>
                      <w:spacing w:val="8"/>
                      <w:sz w:val="21"/>
                      <w:szCs w:val="21"/>
                      <w:lang w:eastAsia="zh-CN"/>
                    </w:rPr>
                    <w:t>广多污染物协同控制技术。</w:t>
                  </w:r>
                </w:p>
              </w:tc>
              <w:tc>
                <w:tcPr>
                  <w:tcW w:w="1780" w:type="pct"/>
                  <w:vAlign w:val="center"/>
                </w:tcPr>
                <w:p w14:paraId="7E65B8AE">
                  <w:pPr>
                    <w:pStyle w:val="32"/>
                    <w:jc w:val="center"/>
                    <w:rPr>
                      <w:rFonts w:hint="eastAsia"/>
                      <w:b/>
                      <w:bCs/>
                      <w:color w:val="auto"/>
                      <w:spacing w:val="5"/>
                      <w:sz w:val="21"/>
                      <w:szCs w:val="21"/>
                      <w:lang w:eastAsia="zh-CN"/>
                    </w:rPr>
                  </w:pPr>
                  <w:r>
                    <w:rPr>
                      <w:color w:val="auto"/>
                      <w:spacing w:val="8"/>
                      <w:sz w:val="21"/>
                      <w:szCs w:val="21"/>
                      <w:lang w:eastAsia="zh-CN"/>
                    </w:rPr>
                    <w:t>本项目为</w:t>
                  </w:r>
                  <w:r>
                    <w:rPr>
                      <w:rFonts w:hint="eastAsia" w:ascii="Times New Roman" w:hAnsi="Times New Roman" w:cs="Times New Roman"/>
                      <w:color w:val="auto"/>
                      <w:sz w:val="21"/>
                      <w:szCs w:val="21"/>
                      <w:lang w:eastAsia="zh-CN"/>
                    </w:rPr>
                    <w:t>C3031粘土砖瓦及建筑砌块制造</w:t>
                  </w:r>
                  <w:r>
                    <w:rPr>
                      <w:color w:val="auto"/>
                      <w:spacing w:val="8"/>
                      <w:sz w:val="21"/>
                      <w:szCs w:val="21"/>
                      <w:lang w:eastAsia="zh-CN"/>
                    </w:rPr>
                    <w:t>，产生的废气严格执行</w:t>
                  </w:r>
                  <w:r>
                    <w:rPr>
                      <w:rFonts w:hint="eastAsia" w:ascii="Times New Roman" w:hAnsi="Times New Roman" w:cs="Times New Roman"/>
                      <w:color w:val="auto"/>
                      <w:spacing w:val="5"/>
                      <w:sz w:val="21"/>
                      <w:szCs w:val="21"/>
                      <w:lang w:eastAsia="zh-CN"/>
                    </w:rPr>
                    <w:t>安徽省地方标准《砖瓦工业大气污染物排放标准》DB34/4362-2023</w:t>
                  </w:r>
                  <w:r>
                    <w:rPr>
                      <w:color w:val="auto"/>
                      <w:spacing w:val="8"/>
                      <w:sz w:val="21"/>
                      <w:szCs w:val="21"/>
                      <w:lang w:eastAsia="zh-CN"/>
                    </w:rPr>
                    <w:t>中排放限值标准要求及无组织粉尘排放浓度限</w:t>
                  </w:r>
                  <w:r>
                    <w:rPr>
                      <w:color w:val="auto"/>
                      <w:spacing w:val="2"/>
                      <w:sz w:val="21"/>
                      <w:szCs w:val="21"/>
                      <w:lang w:eastAsia="zh-CN"/>
                    </w:rPr>
                    <w:t>值</w:t>
                  </w:r>
                </w:p>
              </w:tc>
              <w:tc>
                <w:tcPr>
                  <w:tcW w:w="721" w:type="pct"/>
                  <w:vAlign w:val="center"/>
                </w:tcPr>
                <w:p w14:paraId="1F6AD84F">
                  <w:pPr>
                    <w:pStyle w:val="32"/>
                    <w:jc w:val="center"/>
                    <w:rPr>
                      <w:rFonts w:hint="eastAsia"/>
                      <w:color w:val="auto"/>
                      <w:spacing w:val="5"/>
                      <w:sz w:val="21"/>
                      <w:szCs w:val="21"/>
                      <w:lang w:eastAsia="zh-CN"/>
                    </w:rPr>
                  </w:pPr>
                  <w:r>
                    <w:rPr>
                      <w:rFonts w:hint="eastAsia"/>
                      <w:color w:val="auto"/>
                      <w:spacing w:val="5"/>
                      <w:sz w:val="21"/>
                      <w:szCs w:val="21"/>
                      <w:lang w:eastAsia="zh-CN"/>
                    </w:rPr>
                    <w:t>符合</w:t>
                  </w:r>
                </w:p>
              </w:tc>
            </w:tr>
            <w:tr w14:paraId="48F0B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8" w:type="pct"/>
                  <w:vAlign w:val="center"/>
                </w:tcPr>
                <w:p w14:paraId="4E872AFB">
                  <w:pPr>
                    <w:pStyle w:val="32"/>
                    <w:jc w:val="center"/>
                    <w:rPr>
                      <w:rFonts w:hint="eastAsia"/>
                      <w:b/>
                      <w:bCs/>
                      <w:color w:val="auto"/>
                      <w:spacing w:val="4"/>
                      <w:sz w:val="21"/>
                      <w:szCs w:val="21"/>
                      <w:lang w:eastAsia="zh-CN"/>
                    </w:rPr>
                  </w:pPr>
                  <w:r>
                    <w:rPr>
                      <w:rFonts w:ascii="Times New Roman" w:hAnsi="Times New Roman" w:cs="Times New Roman"/>
                      <w:color w:val="auto"/>
                      <w:spacing w:val="4"/>
                      <w:sz w:val="21"/>
                      <w:szCs w:val="21"/>
                      <w:lang w:eastAsia="zh-CN"/>
                    </w:rPr>
                    <w:t>2</w:t>
                  </w:r>
                </w:p>
              </w:tc>
              <w:tc>
                <w:tcPr>
                  <w:tcW w:w="2118" w:type="pct"/>
                  <w:vAlign w:val="center"/>
                </w:tcPr>
                <w:p w14:paraId="3288C0F7">
                  <w:pPr>
                    <w:pStyle w:val="32"/>
                    <w:jc w:val="center"/>
                    <w:rPr>
                      <w:rFonts w:hint="eastAsia"/>
                      <w:b/>
                      <w:bCs/>
                      <w:color w:val="auto"/>
                      <w:spacing w:val="6"/>
                      <w:sz w:val="21"/>
                      <w:szCs w:val="21"/>
                      <w:lang w:eastAsia="zh-CN"/>
                    </w:rPr>
                  </w:pPr>
                  <w:r>
                    <w:rPr>
                      <w:rFonts w:hint="eastAsia"/>
                      <w:color w:val="auto"/>
                      <w:spacing w:val="8"/>
                      <w:sz w:val="21"/>
                      <w:szCs w:val="21"/>
                      <w:lang w:eastAsia="zh-CN"/>
                    </w:rPr>
                    <w:t>严格堆场扬尘管控。全面完成物料堆场抑尘设施建设和物料输送系统封闭改造。</w:t>
                  </w:r>
                </w:p>
              </w:tc>
              <w:tc>
                <w:tcPr>
                  <w:tcW w:w="1780" w:type="pct"/>
                  <w:vAlign w:val="center"/>
                </w:tcPr>
                <w:p w14:paraId="435F9F25">
                  <w:pPr>
                    <w:pStyle w:val="32"/>
                    <w:jc w:val="center"/>
                    <w:rPr>
                      <w:rFonts w:hint="eastAsia"/>
                      <w:b/>
                      <w:bCs/>
                      <w:color w:val="auto"/>
                      <w:spacing w:val="5"/>
                      <w:sz w:val="21"/>
                      <w:szCs w:val="21"/>
                      <w:lang w:eastAsia="zh-CN"/>
                    </w:rPr>
                  </w:pPr>
                  <w:r>
                    <w:rPr>
                      <w:rFonts w:hint="eastAsia"/>
                      <w:color w:val="auto"/>
                      <w:spacing w:val="8"/>
                      <w:sz w:val="21"/>
                      <w:szCs w:val="21"/>
                      <w:lang w:eastAsia="zh-CN"/>
                    </w:rPr>
                    <w:t>本项目原料堆场粉尘采取洒水抑尘，项目设封闭式厂房并采取喷淋降尘等措施，有效降低扬尘</w:t>
                  </w:r>
                </w:p>
              </w:tc>
              <w:tc>
                <w:tcPr>
                  <w:tcW w:w="721" w:type="pct"/>
                  <w:vAlign w:val="center"/>
                </w:tcPr>
                <w:p w14:paraId="466918FF">
                  <w:pPr>
                    <w:pStyle w:val="32"/>
                    <w:jc w:val="center"/>
                    <w:rPr>
                      <w:rFonts w:hint="eastAsia"/>
                      <w:color w:val="auto"/>
                      <w:spacing w:val="5"/>
                      <w:sz w:val="21"/>
                      <w:szCs w:val="21"/>
                      <w:lang w:eastAsia="zh-CN"/>
                    </w:rPr>
                  </w:pPr>
                  <w:r>
                    <w:rPr>
                      <w:rFonts w:hint="eastAsia"/>
                      <w:color w:val="auto"/>
                      <w:spacing w:val="5"/>
                      <w:sz w:val="21"/>
                      <w:szCs w:val="21"/>
                      <w:lang w:eastAsia="zh-CN"/>
                    </w:rPr>
                    <w:t>符合</w:t>
                  </w:r>
                </w:p>
              </w:tc>
            </w:tr>
          </w:tbl>
          <w:p w14:paraId="56BDF3B5">
            <w:pPr>
              <w:spacing w:line="360" w:lineRule="auto"/>
              <w:ind w:firstLine="482" w:firstLineChars="200"/>
              <w:rPr>
                <w:color w:val="auto"/>
                <w:sz w:val="24"/>
              </w:rPr>
            </w:pPr>
            <w:r>
              <w:rPr>
                <w:rFonts w:hint="eastAsia"/>
                <w:b/>
                <w:bCs/>
                <w:color w:val="auto"/>
                <w:kern w:val="0"/>
                <w:sz w:val="24"/>
              </w:rPr>
              <w:t>（6）</w:t>
            </w:r>
            <w:r>
              <w:rPr>
                <w:b/>
                <w:bCs/>
                <w:color w:val="auto"/>
                <w:sz w:val="24"/>
              </w:rPr>
              <w:t>与《宿州市2024-2025年空气质量提升攻坚行动方案》相符性分析</w:t>
            </w:r>
          </w:p>
          <w:p w14:paraId="503B5BA4">
            <w:pPr>
              <w:jc w:val="center"/>
              <w:rPr>
                <w:b/>
                <w:bCs/>
                <w:color w:val="auto"/>
              </w:rPr>
            </w:pPr>
            <w:r>
              <w:rPr>
                <w:b/>
                <w:bCs/>
                <w:color w:val="auto"/>
                <w:sz w:val="24"/>
                <w:szCs w:val="32"/>
              </w:rPr>
              <w:t>表1-</w:t>
            </w:r>
            <w:r>
              <w:rPr>
                <w:rFonts w:hint="eastAsia"/>
                <w:b/>
                <w:bCs/>
                <w:color w:val="auto"/>
                <w:sz w:val="24"/>
                <w:szCs w:val="32"/>
              </w:rPr>
              <w:t xml:space="preserve">6 </w:t>
            </w:r>
            <w:r>
              <w:rPr>
                <w:b/>
                <w:bCs/>
                <w:color w:val="auto"/>
                <w:sz w:val="24"/>
                <w:szCs w:val="32"/>
              </w:rPr>
              <w:t xml:space="preserve"> 项目与宿州市2024-2025年空气质量提升攻坚行动方案相符性分析</w:t>
            </w:r>
          </w:p>
          <w:tbl>
            <w:tblPr>
              <w:tblStyle w:val="24"/>
              <w:tblW w:w="493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5001"/>
              <w:gridCol w:w="1369"/>
              <w:gridCol w:w="800"/>
            </w:tblGrid>
            <w:tr w14:paraId="3F2AB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07" w:type="pct"/>
                  <w:vAlign w:val="center"/>
                </w:tcPr>
                <w:p w14:paraId="10378A35">
                  <w:pPr>
                    <w:jc w:val="center"/>
                    <w:rPr>
                      <w:b/>
                      <w:bCs/>
                      <w:color w:val="auto"/>
                    </w:rPr>
                  </w:pPr>
                  <w:r>
                    <w:rPr>
                      <w:b/>
                      <w:bCs/>
                      <w:color w:val="auto"/>
                    </w:rPr>
                    <w:t>序号</w:t>
                  </w:r>
                </w:p>
              </w:tc>
              <w:tc>
                <w:tcPr>
                  <w:tcW w:w="3203" w:type="pct"/>
                  <w:vAlign w:val="center"/>
                </w:tcPr>
                <w:p w14:paraId="3DBDCEBF">
                  <w:pPr>
                    <w:jc w:val="center"/>
                    <w:rPr>
                      <w:b/>
                      <w:bCs/>
                      <w:color w:val="auto"/>
                    </w:rPr>
                  </w:pPr>
                  <w:r>
                    <w:rPr>
                      <w:b/>
                      <w:bCs/>
                      <w:color w:val="auto"/>
                    </w:rPr>
                    <w:t>政策相关内容要求</w:t>
                  </w:r>
                </w:p>
              </w:tc>
              <w:tc>
                <w:tcPr>
                  <w:tcW w:w="877" w:type="pct"/>
                  <w:vAlign w:val="center"/>
                </w:tcPr>
                <w:p w14:paraId="35B157C5">
                  <w:pPr>
                    <w:jc w:val="center"/>
                    <w:rPr>
                      <w:b/>
                      <w:bCs/>
                      <w:color w:val="auto"/>
                    </w:rPr>
                  </w:pPr>
                  <w:r>
                    <w:rPr>
                      <w:b/>
                      <w:bCs/>
                      <w:color w:val="auto"/>
                    </w:rPr>
                    <w:t>相符性分析</w:t>
                  </w:r>
                </w:p>
              </w:tc>
              <w:tc>
                <w:tcPr>
                  <w:tcW w:w="512" w:type="pct"/>
                  <w:vAlign w:val="center"/>
                </w:tcPr>
                <w:p w14:paraId="6F80E6FF">
                  <w:pPr>
                    <w:jc w:val="center"/>
                    <w:rPr>
                      <w:b/>
                      <w:bCs/>
                      <w:color w:val="auto"/>
                    </w:rPr>
                  </w:pPr>
                  <w:r>
                    <w:rPr>
                      <w:b/>
                      <w:bCs/>
                      <w:color w:val="auto"/>
                    </w:rPr>
                    <w:t>是否相符</w:t>
                  </w:r>
                </w:p>
              </w:tc>
            </w:tr>
            <w:tr w14:paraId="538A6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vAlign w:val="center"/>
                </w:tcPr>
                <w:p w14:paraId="6552CEEC">
                  <w:pPr>
                    <w:jc w:val="center"/>
                    <w:rPr>
                      <w:color w:val="auto"/>
                    </w:rPr>
                  </w:pPr>
                  <w:r>
                    <w:rPr>
                      <w:color w:val="auto"/>
                    </w:rPr>
                    <w:t>1</w:t>
                  </w:r>
                </w:p>
              </w:tc>
              <w:tc>
                <w:tcPr>
                  <w:tcW w:w="3203" w:type="pct"/>
                  <w:vAlign w:val="center"/>
                </w:tcPr>
                <w:p w14:paraId="34D91AFD">
                  <w:pPr>
                    <w:jc w:val="center"/>
                    <w:rPr>
                      <w:color w:val="auto"/>
                    </w:rPr>
                  </w:pPr>
                  <w:r>
                    <w:rPr>
                      <w:color w:val="auto"/>
                    </w:rPr>
                    <w:t>坚决遏制“两高”项目盲目发展。对水泥、陶瓷等“两高” 项目动态监控，严格落实错峰生产和重污染天气应急管理措施；实施排污权储备管理，对没有倍量替代的县（区）、市管各园区新建项目，不予总量审批。</w:t>
                  </w:r>
                </w:p>
              </w:tc>
              <w:tc>
                <w:tcPr>
                  <w:tcW w:w="877" w:type="pct"/>
                  <w:vAlign w:val="center"/>
                </w:tcPr>
                <w:p w14:paraId="07ED1AEE">
                  <w:pPr>
                    <w:jc w:val="center"/>
                    <w:rPr>
                      <w:color w:val="auto"/>
                    </w:rPr>
                  </w:pPr>
                  <w:r>
                    <w:rPr>
                      <w:color w:val="auto"/>
                    </w:rPr>
                    <w:t>项目不属于“两高”行业</w:t>
                  </w:r>
                </w:p>
              </w:tc>
              <w:tc>
                <w:tcPr>
                  <w:tcW w:w="512" w:type="pct"/>
                  <w:vAlign w:val="center"/>
                </w:tcPr>
                <w:p w14:paraId="2E2EC6B9">
                  <w:pPr>
                    <w:jc w:val="center"/>
                    <w:rPr>
                      <w:color w:val="auto"/>
                    </w:rPr>
                  </w:pPr>
                  <w:r>
                    <w:rPr>
                      <w:color w:val="auto"/>
                    </w:rPr>
                    <w:t>符合</w:t>
                  </w:r>
                </w:p>
              </w:tc>
            </w:tr>
            <w:tr w14:paraId="5E37E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vAlign w:val="center"/>
                </w:tcPr>
                <w:p w14:paraId="00551FC4">
                  <w:pPr>
                    <w:jc w:val="center"/>
                    <w:rPr>
                      <w:color w:val="auto"/>
                    </w:rPr>
                  </w:pPr>
                  <w:r>
                    <w:rPr>
                      <w:color w:val="auto"/>
                    </w:rPr>
                    <w:t>2</w:t>
                  </w:r>
                </w:p>
              </w:tc>
              <w:tc>
                <w:tcPr>
                  <w:tcW w:w="3203" w:type="pct"/>
                  <w:vAlign w:val="center"/>
                </w:tcPr>
                <w:p w14:paraId="5CB04259">
                  <w:pPr>
                    <w:jc w:val="center"/>
                    <w:rPr>
                      <w:color w:val="auto"/>
                    </w:rPr>
                  </w:pPr>
                  <w:r>
                    <w:rPr>
                      <w:color w:val="auto"/>
                    </w:rPr>
                    <w:t>加快传统产业改造提升。全面推进水泥行业及生物质发电行业生物质锅炉超低排放改造。砖瓦窑炉行业2024年达到国家排放标准。鼓励水泥、板材、家具制造、合成革、砖瓦窑等龙头企业实施提级改造，对达到重污染天气应急管理绩效A级、B级和绩效引领性企业给予资金支持，A级、B级和引领性企业数量占比2024年达到8%，2025年达到20%。</w:t>
                  </w:r>
                </w:p>
              </w:tc>
              <w:tc>
                <w:tcPr>
                  <w:tcW w:w="877" w:type="pct"/>
                  <w:vAlign w:val="center"/>
                </w:tcPr>
                <w:p w14:paraId="70EE273F">
                  <w:pPr>
                    <w:jc w:val="center"/>
                    <w:rPr>
                      <w:color w:val="auto"/>
                    </w:rPr>
                  </w:pPr>
                  <w:r>
                    <w:rPr>
                      <w:color w:val="auto"/>
                    </w:rPr>
                    <w:t>项目属于</w:t>
                  </w:r>
                  <w:r>
                    <w:rPr>
                      <w:rFonts w:hint="eastAsia"/>
                      <w:color w:val="auto"/>
                    </w:rPr>
                    <w:t>粘土砖瓦及建筑砌块制造</w:t>
                  </w:r>
                  <w:r>
                    <w:rPr>
                      <w:color w:val="auto"/>
                    </w:rPr>
                    <w:t>，不属于上述行业</w:t>
                  </w:r>
                </w:p>
              </w:tc>
              <w:tc>
                <w:tcPr>
                  <w:tcW w:w="512" w:type="pct"/>
                  <w:vAlign w:val="center"/>
                </w:tcPr>
                <w:p w14:paraId="7B649F15">
                  <w:pPr>
                    <w:jc w:val="center"/>
                    <w:rPr>
                      <w:color w:val="auto"/>
                    </w:rPr>
                  </w:pPr>
                  <w:r>
                    <w:rPr>
                      <w:color w:val="auto"/>
                    </w:rPr>
                    <w:t>符合</w:t>
                  </w:r>
                </w:p>
              </w:tc>
            </w:tr>
            <w:tr w14:paraId="6DB11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vAlign w:val="center"/>
                </w:tcPr>
                <w:p w14:paraId="223C8182">
                  <w:pPr>
                    <w:jc w:val="center"/>
                    <w:rPr>
                      <w:color w:val="auto"/>
                    </w:rPr>
                  </w:pPr>
                  <w:r>
                    <w:rPr>
                      <w:color w:val="auto"/>
                    </w:rPr>
                    <w:t>3</w:t>
                  </w:r>
                </w:p>
              </w:tc>
              <w:tc>
                <w:tcPr>
                  <w:tcW w:w="3203" w:type="pct"/>
                  <w:vAlign w:val="center"/>
                </w:tcPr>
                <w:p w14:paraId="064111ED">
                  <w:pPr>
                    <w:jc w:val="center"/>
                    <w:rPr>
                      <w:color w:val="auto"/>
                    </w:rPr>
                  </w:pPr>
                  <w:r>
                    <w:rPr>
                      <w:rFonts w:hint="eastAsia" w:ascii="宋体" w:hAnsi="宋体" w:cs="宋体"/>
                      <w:color w:val="auto"/>
                    </w:rPr>
                    <w:t>开展“散乱污”企业整治回头看专项行动。全面排查塑料加工、人造板、木材加工、家具制造、合成革、包装印刷、石材加工、煤和矸石破碎加工（含煤球等）、粮食饲料加工、中药材加工、不规范搅拌站、汽车维修（抛光、打磨）、黑色和有色金属熔炼加工、陶瓷烧制、砖瓦窑等涉气“散乱污”企业，实施清单管理，动态清零，依法依规限期退出，推动相关产业转型升级。</w:t>
                  </w:r>
                </w:p>
              </w:tc>
              <w:tc>
                <w:tcPr>
                  <w:tcW w:w="877" w:type="pct"/>
                  <w:vAlign w:val="center"/>
                </w:tcPr>
                <w:p w14:paraId="09595F55">
                  <w:pPr>
                    <w:jc w:val="center"/>
                    <w:rPr>
                      <w:color w:val="auto"/>
                    </w:rPr>
                  </w:pPr>
                  <w:r>
                    <w:rPr>
                      <w:rFonts w:hint="eastAsia" w:ascii="宋体" w:hAnsi="宋体" w:cs="宋体"/>
                      <w:color w:val="auto"/>
                    </w:rPr>
                    <w:t>项目为</w:t>
                  </w:r>
                  <w:r>
                    <w:rPr>
                      <w:rFonts w:hint="eastAsia"/>
                      <w:color w:val="auto"/>
                      <w:szCs w:val="21"/>
                    </w:rPr>
                    <w:t>粘土砖瓦及建筑砌块制造</w:t>
                  </w:r>
                  <w:r>
                    <w:rPr>
                      <w:rFonts w:hint="eastAsia" w:ascii="宋体" w:hAnsi="宋体" w:cs="宋体"/>
                      <w:color w:val="auto"/>
                    </w:rPr>
                    <w:t>，不属于“散乱污”企业</w:t>
                  </w:r>
                </w:p>
              </w:tc>
              <w:tc>
                <w:tcPr>
                  <w:tcW w:w="512" w:type="pct"/>
                  <w:vAlign w:val="center"/>
                </w:tcPr>
                <w:p w14:paraId="44AAF621">
                  <w:pPr>
                    <w:jc w:val="center"/>
                    <w:rPr>
                      <w:color w:val="auto"/>
                    </w:rPr>
                  </w:pPr>
                  <w:r>
                    <w:rPr>
                      <w:color w:val="auto"/>
                    </w:rPr>
                    <w:t>符合</w:t>
                  </w:r>
                </w:p>
              </w:tc>
            </w:tr>
          </w:tbl>
          <w:p w14:paraId="3DCA1C47">
            <w:pPr>
              <w:spacing w:line="360" w:lineRule="auto"/>
              <w:rPr>
                <w:color w:val="auto"/>
              </w:rPr>
            </w:pPr>
          </w:p>
          <w:p w14:paraId="76F6F0B3">
            <w:pPr>
              <w:spacing w:line="360" w:lineRule="auto"/>
              <w:rPr>
                <w:color w:val="auto"/>
              </w:rPr>
            </w:pPr>
          </w:p>
          <w:p w14:paraId="44DAF764">
            <w:pPr>
              <w:spacing w:line="360" w:lineRule="auto"/>
              <w:rPr>
                <w:color w:val="auto"/>
              </w:rPr>
            </w:pPr>
          </w:p>
          <w:p w14:paraId="0213138F">
            <w:pPr>
              <w:spacing w:line="360" w:lineRule="auto"/>
              <w:rPr>
                <w:color w:val="auto"/>
              </w:rPr>
            </w:pPr>
          </w:p>
          <w:p w14:paraId="6005ADFF">
            <w:pPr>
              <w:spacing w:line="360" w:lineRule="auto"/>
              <w:rPr>
                <w:color w:val="auto"/>
              </w:rPr>
            </w:pPr>
          </w:p>
          <w:p w14:paraId="7C19FDD7">
            <w:pPr>
              <w:spacing w:line="360" w:lineRule="auto"/>
              <w:rPr>
                <w:color w:val="auto"/>
              </w:rPr>
            </w:pPr>
          </w:p>
          <w:p w14:paraId="6320F0EE">
            <w:pPr>
              <w:spacing w:line="360" w:lineRule="auto"/>
              <w:rPr>
                <w:color w:val="auto"/>
              </w:rPr>
            </w:pPr>
          </w:p>
          <w:p w14:paraId="6CCCA0CB">
            <w:pPr>
              <w:spacing w:line="360" w:lineRule="auto"/>
              <w:rPr>
                <w:color w:val="auto"/>
              </w:rPr>
            </w:pPr>
          </w:p>
          <w:p w14:paraId="00D1D2C8">
            <w:pPr>
              <w:spacing w:line="360" w:lineRule="auto"/>
              <w:rPr>
                <w:color w:val="auto"/>
              </w:rPr>
            </w:pPr>
          </w:p>
          <w:p w14:paraId="06EC0836">
            <w:pPr>
              <w:spacing w:line="360" w:lineRule="auto"/>
              <w:rPr>
                <w:color w:val="auto"/>
              </w:rPr>
            </w:pPr>
          </w:p>
          <w:p w14:paraId="6F6C47D0">
            <w:pPr>
              <w:spacing w:line="360" w:lineRule="auto"/>
              <w:rPr>
                <w:color w:val="auto"/>
              </w:rPr>
            </w:pPr>
          </w:p>
          <w:p w14:paraId="28C50F18">
            <w:pPr>
              <w:spacing w:line="360" w:lineRule="auto"/>
              <w:rPr>
                <w:color w:val="auto"/>
              </w:rPr>
            </w:pPr>
          </w:p>
          <w:p w14:paraId="5AB5F5EF">
            <w:pPr>
              <w:spacing w:line="360" w:lineRule="auto"/>
              <w:rPr>
                <w:color w:val="auto"/>
              </w:rPr>
            </w:pPr>
          </w:p>
          <w:p w14:paraId="0DABAC08">
            <w:pPr>
              <w:pStyle w:val="28"/>
              <w:ind w:firstLine="0"/>
              <w:rPr>
                <w:color w:val="auto"/>
                <w:lang w:val="en-US"/>
              </w:rPr>
            </w:pPr>
          </w:p>
        </w:tc>
      </w:tr>
    </w:tbl>
    <w:p w14:paraId="50849392">
      <w:pPr>
        <w:rPr>
          <w:color w:val="auto"/>
        </w:rPr>
        <w:sectPr>
          <w:footerReference r:id="rId3" w:type="default"/>
          <w:pgSz w:w="11906" w:h="16838"/>
          <w:pgMar w:top="1327" w:right="1800" w:bottom="1440" w:left="1800" w:header="851" w:footer="992" w:gutter="0"/>
          <w:pgNumType w:start="1"/>
          <w:cols w:space="425" w:num="1"/>
          <w:docGrid w:type="lines" w:linePitch="312" w:charSpace="0"/>
        </w:sectPr>
      </w:pPr>
    </w:p>
    <w:p w14:paraId="091E2242">
      <w:pPr>
        <w:jc w:val="center"/>
        <w:outlineLvl w:val="0"/>
        <w:rPr>
          <w:b/>
          <w:bCs/>
          <w:snapToGrid w:val="0"/>
          <w:color w:val="auto"/>
          <w:sz w:val="30"/>
          <w:szCs w:val="30"/>
        </w:rPr>
      </w:pPr>
      <w:r>
        <w:rPr>
          <w:b/>
          <w:bCs/>
          <w:snapToGrid w:val="0"/>
          <w:color w:val="auto"/>
          <w:sz w:val="30"/>
          <w:szCs w:val="30"/>
        </w:rPr>
        <w:t>二、建设项目工程分析</w:t>
      </w:r>
    </w:p>
    <w:tbl>
      <w:tblPr>
        <w:tblStyle w:val="24"/>
        <w:tblW w:w="9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9072"/>
      </w:tblGrid>
      <w:tr w14:paraId="5B2EE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1" w:type="dxa"/>
            <w:vAlign w:val="center"/>
          </w:tcPr>
          <w:p w14:paraId="6414E5C3">
            <w:pPr>
              <w:pStyle w:val="21"/>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b/>
                <w:color w:val="auto"/>
              </w:rPr>
              <w:t>建设内容</w:t>
            </w:r>
          </w:p>
        </w:tc>
        <w:tc>
          <w:tcPr>
            <w:tcW w:w="8988" w:type="dxa"/>
          </w:tcPr>
          <w:p w14:paraId="10BF54FE">
            <w:pPr>
              <w:spacing w:line="360" w:lineRule="auto"/>
              <w:rPr>
                <w:b/>
                <w:color w:val="auto"/>
                <w:sz w:val="24"/>
              </w:rPr>
            </w:pPr>
            <w:r>
              <w:rPr>
                <w:b/>
                <w:color w:val="auto"/>
                <w:sz w:val="24"/>
              </w:rPr>
              <w:t>1、项目由来</w:t>
            </w:r>
          </w:p>
          <w:p w14:paraId="172C3E03">
            <w:pPr>
              <w:spacing w:line="360" w:lineRule="auto"/>
              <w:ind w:firstLine="480" w:firstLineChars="200"/>
              <w:rPr>
                <w:color w:val="auto"/>
                <w:sz w:val="24"/>
              </w:rPr>
            </w:pPr>
            <w:r>
              <w:rPr>
                <w:color w:val="auto"/>
                <w:sz w:val="24"/>
              </w:rPr>
              <w:t>安徽永丰新型墙体材料有限公司“年产20万立方米加气混凝土砌块生产线项目”并于2012年2月24日取得了原宿州市埇桥区环境保护局的批复，批复文号为：埇环建字【2012】5号。并于2014年7月29日原宿州市埇桥区环境保护局对其作出了《安徽永丰新型墙体材料有限公司年产20万立方米加气混凝土砌块生产线项目竣工环保验收意见》（环验字【2014】4号）。</w:t>
            </w:r>
          </w:p>
          <w:p w14:paraId="1753B33D">
            <w:pPr>
              <w:spacing w:line="360" w:lineRule="auto"/>
              <w:ind w:firstLine="480" w:firstLineChars="200"/>
              <w:rPr>
                <w:color w:val="auto"/>
                <w:sz w:val="24"/>
              </w:rPr>
            </w:pPr>
            <w:r>
              <w:rPr>
                <w:color w:val="auto"/>
                <w:sz w:val="24"/>
              </w:rPr>
              <w:t>2020年12月25日取得宿州市埇桥区生态环境分局《关于安徽永丰新型墙体材料有限公司供热系统及仓储技术改造项目环境影响报告表的批复》；2020年11月30日首次申请排污许证（许可证编号为：913413025621720828001Y）；2021年8月10日根据专家组现场验收，建设情况符合竣工验收条件，并通过环保验收。</w:t>
            </w:r>
          </w:p>
          <w:p w14:paraId="010FDCD7">
            <w:pPr>
              <w:spacing w:line="360" w:lineRule="auto"/>
              <w:ind w:firstLine="480" w:firstLineChars="200"/>
              <w:rPr>
                <w:color w:val="auto"/>
                <w:sz w:val="24"/>
              </w:rPr>
            </w:pPr>
            <w:r>
              <w:rPr>
                <w:color w:val="auto"/>
                <w:sz w:val="24"/>
              </w:rPr>
              <w:t>2025年，为了提高市场占有率，安徽永丰新型墙体材料有限公司于2025年12月4日向宿州市埇桥区工业和信息化局备案“年产40万立方米加气混凝土砌砖扩建项目”，项目代码为2512-341302-07-01-484797。</w:t>
            </w:r>
          </w:p>
          <w:p w14:paraId="5897E7FD">
            <w:pPr>
              <w:spacing w:line="360" w:lineRule="auto"/>
              <w:ind w:firstLine="480" w:firstLineChars="200"/>
              <w:rPr>
                <w:color w:val="auto"/>
                <w:sz w:val="24"/>
              </w:rPr>
            </w:pPr>
            <w:r>
              <w:rPr>
                <w:color w:val="auto"/>
                <w:sz w:val="24"/>
              </w:rPr>
              <w:t>本项目为扩建项目，利用原有土地，不新增用地，公司利用原有生产车间，规划布局安装设备，拟投资3000万元，增加蒸压釜、出釜摆渡车等设备，建设完成后可达到年产40万立方米加气混凝土砌砖生产能力。</w:t>
            </w:r>
          </w:p>
          <w:p w14:paraId="56ABC47A">
            <w:pPr>
              <w:spacing w:line="360" w:lineRule="auto"/>
              <w:ind w:firstLine="480" w:firstLineChars="200"/>
              <w:rPr>
                <w:color w:val="auto"/>
                <w:sz w:val="24"/>
              </w:rPr>
            </w:pPr>
            <w:r>
              <w:rPr>
                <w:color w:val="auto"/>
                <w:sz w:val="24"/>
              </w:rPr>
              <w:t>根据《国民经济行业分类》（GB/T4754-2019），本项目</w:t>
            </w:r>
            <w:r>
              <w:rPr>
                <w:rFonts w:hint="eastAsia"/>
                <w:color w:val="auto"/>
                <w:sz w:val="24"/>
              </w:rPr>
              <w:t>属于</w:t>
            </w:r>
            <w:r>
              <w:rPr>
                <w:color w:val="auto"/>
                <w:sz w:val="24"/>
              </w:rPr>
              <w:t>“【C3031】</w:t>
            </w:r>
            <w:r>
              <w:rPr>
                <w:bCs/>
                <w:color w:val="auto"/>
                <w:sz w:val="24"/>
              </w:rPr>
              <w:t>粘土砖瓦及建筑砌块制造”</w:t>
            </w:r>
            <w:r>
              <w:rPr>
                <w:color w:val="auto"/>
                <w:sz w:val="24"/>
              </w:rPr>
              <w:t>。对应于《建设项目环境影响评价分类管理名录（2021年版）》中二十七、</w:t>
            </w:r>
            <w:r>
              <w:rPr>
                <w:color w:val="auto"/>
                <w:sz w:val="24"/>
                <w:szCs w:val="32"/>
              </w:rPr>
              <w:t>其他非金属矿物制品制造309中“粘土砖瓦及建筑砌砖制造”</w:t>
            </w:r>
            <w:r>
              <w:rPr>
                <w:color w:val="auto"/>
                <w:sz w:val="24"/>
              </w:rPr>
              <w:t xml:space="preserve">，应编制报告表。   </w:t>
            </w:r>
          </w:p>
          <w:p w14:paraId="169D7362">
            <w:pPr>
              <w:spacing w:line="360" w:lineRule="auto"/>
              <w:ind w:firstLine="480" w:firstLineChars="200"/>
              <w:rPr>
                <w:color w:val="auto"/>
                <w:sz w:val="24"/>
              </w:rPr>
            </w:pPr>
            <w:r>
              <w:rPr>
                <w:color w:val="auto"/>
                <w:sz w:val="24"/>
              </w:rPr>
              <w:t>为此安徽永丰新型墙体材料有限公司根据有关环保法律法规要求，委托我公司进行环境影响评价工作，我公司在接受委托后，随即组织人员到项目建设场地及其周围进行了实地勘查与调研，收集了有关的工程资料，结合该企业提供的资料和项目的建设特点，依据有关环评技术规范，编制了环境影响报告表。</w:t>
            </w:r>
          </w:p>
          <w:p w14:paraId="31604221">
            <w:pPr>
              <w:spacing w:line="360" w:lineRule="auto"/>
              <w:rPr>
                <w:b/>
                <w:color w:val="auto"/>
                <w:sz w:val="24"/>
              </w:rPr>
            </w:pPr>
            <w:r>
              <w:rPr>
                <w:b/>
                <w:color w:val="auto"/>
                <w:sz w:val="24"/>
              </w:rPr>
              <w:t>2、本项目建设内容</w:t>
            </w:r>
          </w:p>
          <w:p w14:paraId="54D5C96C">
            <w:pPr>
              <w:tabs>
                <w:tab w:val="left" w:pos="3591"/>
              </w:tabs>
              <w:spacing w:line="360" w:lineRule="auto"/>
              <w:ind w:firstLine="480" w:firstLineChars="200"/>
              <w:rPr>
                <w:b/>
                <w:color w:val="auto"/>
                <w:sz w:val="24"/>
              </w:rPr>
            </w:pPr>
            <w:r>
              <w:rPr>
                <w:color w:val="auto"/>
                <w:sz w:val="24"/>
              </w:rPr>
              <w:t>本项目主要建设内容及工程组成见下表</w:t>
            </w:r>
            <w:r>
              <w:rPr>
                <w:color w:val="auto"/>
              </w:rPr>
              <w:t>：</w:t>
            </w:r>
          </w:p>
          <w:p w14:paraId="289D217B">
            <w:pPr>
              <w:jc w:val="center"/>
              <w:rPr>
                <w:b/>
                <w:color w:val="auto"/>
                <w:sz w:val="24"/>
              </w:rPr>
            </w:pPr>
            <w:r>
              <w:rPr>
                <w:b/>
                <w:color w:val="auto"/>
                <w:sz w:val="24"/>
              </w:rPr>
              <w:t>表2-1  建设项目主要建设内容及规模</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79"/>
              <w:gridCol w:w="2042"/>
              <w:gridCol w:w="2189"/>
              <w:gridCol w:w="2338"/>
              <w:gridCol w:w="1172"/>
            </w:tblGrid>
            <w:tr w14:paraId="7077A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40" w:type="pct"/>
                  <w:vMerge w:val="restart"/>
                  <w:vAlign w:val="center"/>
                </w:tcPr>
                <w:p w14:paraId="2F1A3F15">
                  <w:pPr>
                    <w:adjustRightInd w:val="0"/>
                    <w:snapToGrid w:val="0"/>
                    <w:jc w:val="center"/>
                    <w:rPr>
                      <w:color w:val="auto"/>
                      <w:szCs w:val="21"/>
                    </w:rPr>
                  </w:pPr>
                  <w:r>
                    <w:rPr>
                      <w:color w:val="auto"/>
                      <w:szCs w:val="21"/>
                    </w:rPr>
                    <w:t>工程类别</w:t>
                  </w:r>
                </w:p>
              </w:tc>
              <w:tc>
                <w:tcPr>
                  <w:tcW w:w="384" w:type="pct"/>
                  <w:vMerge w:val="restart"/>
                  <w:vAlign w:val="center"/>
                </w:tcPr>
                <w:p w14:paraId="1CF2C27A">
                  <w:pPr>
                    <w:adjustRightInd w:val="0"/>
                    <w:snapToGrid w:val="0"/>
                    <w:jc w:val="center"/>
                    <w:rPr>
                      <w:color w:val="auto"/>
                      <w:szCs w:val="21"/>
                    </w:rPr>
                  </w:pPr>
                  <w:r>
                    <w:rPr>
                      <w:color w:val="auto"/>
                      <w:szCs w:val="21"/>
                    </w:rPr>
                    <w:t>建设内容</w:t>
                  </w:r>
                </w:p>
              </w:tc>
              <w:tc>
                <w:tcPr>
                  <w:tcW w:w="3712" w:type="pct"/>
                  <w:gridSpan w:val="3"/>
                  <w:vAlign w:val="center"/>
                </w:tcPr>
                <w:p w14:paraId="281B7E7D">
                  <w:pPr>
                    <w:adjustRightInd w:val="0"/>
                    <w:snapToGrid w:val="0"/>
                    <w:jc w:val="center"/>
                    <w:rPr>
                      <w:color w:val="auto"/>
                      <w:szCs w:val="21"/>
                    </w:rPr>
                  </w:pPr>
                  <w:r>
                    <w:rPr>
                      <w:color w:val="auto"/>
                      <w:szCs w:val="21"/>
                    </w:rPr>
                    <w:t>规模</w:t>
                  </w:r>
                </w:p>
              </w:tc>
              <w:tc>
                <w:tcPr>
                  <w:tcW w:w="662" w:type="pct"/>
                  <w:vMerge w:val="restart"/>
                  <w:vAlign w:val="center"/>
                </w:tcPr>
                <w:p w14:paraId="41D055C8">
                  <w:pPr>
                    <w:adjustRightInd w:val="0"/>
                    <w:snapToGrid w:val="0"/>
                    <w:jc w:val="center"/>
                    <w:rPr>
                      <w:color w:val="auto"/>
                      <w:szCs w:val="21"/>
                    </w:rPr>
                  </w:pPr>
                  <w:r>
                    <w:rPr>
                      <w:color w:val="auto"/>
                      <w:szCs w:val="21"/>
                    </w:rPr>
                    <w:t>备注</w:t>
                  </w:r>
                </w:p>
              </w:tc>
            </w:tr>
            <w:tr w14:paraId="25D4A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40" w:type="pct"/>
                  <w:vMerge w:val="continue"/>
                  <w:vAlign w:val="center"/>
                </w:tcPr>
                <w:p w14:paraId="3876401B">
                  <w:pPr>
                    <w:adjustRightInd w:val="0"/>
                    <w:snapToGrid w:val="0"/>
                    <w:jc w:val="center"/>
                    <w:rPr>
                      <w:color w:val="auto"/>
                    </w:rPr>
                  </w:pPr>
                </w:p>
              </w:tc>
              <w:tc>
                <w:tcPr>
                  <w:tcW w:w="384" w:type="pct"/>
                  <w:vMerge w:val="continue"/>
                  <w:vAlign w:val="center"/>
                </w:tcPr>
                <w:p w14:paraId="2B86250D">
                  <w:pPr>
                    <w:adjustRightInd w:val="0"/>
                    <w:snapToGrid w:val="0"/>
                    <w:jc w:val="center"/>
                    <w:rPr>
                      <w:color w:val="auto"/>
                    </w:rPr>
                  </w:pPr>
                </w:p>
              </w:tc>
              <w:tc>
                <w:tcPr>
                  <w:tcW w:w="1154" w:type="pct"/>
                  <w:vAlign w:val="center"/>
                </w:tcPr>
                <w:p w14:paraId="54482403">
                  <w:pPr>
                    <w:adjustRightInd w:val="0"/>
                    <w:snapToGrid w:val="0"/>
                    <w:jc w:val="center"/>
                    <w:rPr>
                      <w:color w:val="auto"/>
                    </w:rPr>
                  </w:pPr>
                  <w:r>
                    <w:rPr>
                      <w:color w:val="auto"/>
                      <w:szCs w:val="21"/>
                    </w:rPr>
                    <w:t>扩建前项目建设内容及规模</w:t>
                  </w:r>
                </w:p>
              </w:tc>
              <w:tc>
                <w:tcPr>
                  <w:tcW w:w="1237" w:type="pct"/>
                  <w:vAlign w:val="center"/>
                </w:tcPr>
                <w:p w14:paraId="6E9A5B15">
                  <w:pPr>
                    <w:adjustRightInd w:val="0"/>
                    <w:snapToGrid w:val="0"/>
                    <w:jc w:val="center"/>
                    <w:rPr>
                      <w:color w:val="auto"/>
                    </w:rPr>
                  </w:pPr>
                  <w:r>
                    <w:rPr>
                      <w:color w:val="auto"/>
                      <w:szCs w:val="21"/>
                    </w:rPr>
                    <w:t>扩建项目建设内容及规模</w:t>
                  </w:r>
                </w:p>
              </w:tc>
              <w:tc>
                <w:tcPr>
                  <w:tcW w:w="1320" w:type="pct"/>
                  <w:vAlign w:val="center"/>
                </w:tcPr>
                <w:p w14:paraId="32A52639">
                  <w:pPr>
                    <w:adjustRightInd w:val="0"/>
                    <w:snapToGrid w:val="0"/>
                    <w:jc w:val="center"/>
                    <w:rPr>
                      <w:color w:val="auto"/>
                    </w:rPr>
                  </w:pPr>
                  <w:r>
                    <w:rPr>
                      <w:color w:val="auto"/>
                      <w:szCs w:val="21"/>
                    </w:rPr>
                    <w:t>扩建后全厂建设内容及规模</w:t>
                  </w:r>
                </w:p>
              </w:tc>
              <w:tc>
                <w:tcPr>
                  <w:tcW w:w="662" w:type="pct"/>
                  <w:vMerge w:val="continue"/>
                  <w:vAlign w:val="center"/>
                </w:tcPr>
                <w:p w14:paraId="04B81A46">
                  <w:pPr>
                    <w:adjustRightInd w:val="0"/>
                    <w:snapToGrid w:val="0"/>
                    <w:jc w:val="center"/>
                    <w:rPr>
                      <w:color w:val="auto"/>
                    </w:rPr>
                  </w:pPr>
                </w:p>
              </w:tc>
            </w:tr>
            <w:tr w14:paraId="5E2EA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0" w:type="pct"/>
                  <w:vMerge w:val="restart"/>
                  <w:vAlign w:val="center"/>
                </w:tcPr>
                <w:p w14:paraId="691B9438">
                  <w:pPr>
                    <w:adjustRightInd w:val="0"/>
                    <w:snapToGrid w:val="0"/>
                    <w:jc w:val="center"/>
                    <w:rPr>
                      <w:color w:val="auto"/>
                      <w:szCs w:val="21"/>
                    </w:rPr>
                  </w:pPr>
                  <w:r>
                    <w:rPr>
                      <w:color w:val="auto"/>
                      <w:szCs w:val="21"/>
                    </w:rPr>
                    <w:t>主体工程</w:t>
                  </w:r>
                </w:p>
              </w:tc>
              <w:tc>
                <w:tcPr>
                  <w:tcW w:w="384" w:type="pct"/>
                  <w:vAlign w:val="center"/>
                </w:tcPr>
                <w:p w14:paraId="621216A3">
                  <w:pPr>
                    <w:adjustRightInd w:val="0"/>
                    <w:snapToGrid w:val="0"/>
                    <w:jc w:val="center"/>
                    <w:rPr>
                      <w:color w:val="auto"/>
                      <w:szCs w:val="21"/>
                    </w:rPr>
                  </w:pPr>
                  <w:r>
                    <w:rPr>
                      <w:color w:val="auto"/>
                      <w:szCs w:val="21"/>
                    </w:rPr>
                    <w:t>制浆车间</w:t>
                  </w:r>
                </w:p>
              </w:tc>
              <w:tc>
                <w:tcPr>
                  <w:tcW w:w="1154" w:type="pct"/>
                  <w:vAlign w:val="center"/>
                </w:tcPr>
                <w:p w14:paraId="6AFB5370">
                  <w:pPr>
                    <w:adjustRightInd w:val="0"/>
                    <w:snapToGrid w:val="0"/>
                    <w:jc w:val="center"/>
                    <w:rPr>
                      <w:color w:val="auto"/>
                      <w:szCs w:val="21"/>
                    </w:rPr>
                  </w:pPr>
                  <w:r>
                    <w:rPr>
                      <w:color w:val="auto"/>
                      <w:szCs w:val="21"/>
                    </w:rPr>
                    <w:t>1F，高度10m，建筑面积1080m²，设置2台球磨机</w:t>
                  </w:r>
                </w:p>
              </w:tc>
              <w:tc>
                <w:tcPr>
                  <w:tcW w:w="1237" w:type="pct"/>
                  <w:vAlign w:val="center"/>
                </w:tcPr>
                <w:p w14:paraId="46BCE2ED">
                  <w:pPr>
                    <w:adjustRightInd w:val="0"/>
                    <w:snapToGrid w:val="0"/>
                    <w:jc w:val="center"/>
                    <w:rPr>
                      <w:color w:val="auto"/>
                      <w:szCs w:val="21"/>
                    </w:rPr>
                  </w:pPr>
                  <w:r>
                    <w:rPr>
                      <w:color w:val="auto"/>
                      <w:szCs w:val="21"/>
                    </w:rPr>
                    <w:t>依托现有，无变化</w:t>
                  </w:r>
                </w:p>
              </w:tc>
              <w:tc>
                <w:tcPr>
                  <w:tcW w:w="1320" w:type="pct"/>
                  <w:vAlign w:val="center"/>
                </w:tcPr>
                <w:p w14:paraId="575A8606">
                  <w:pPr>
                    <w:adjustRightInd w:val="0"/>
                    <w:snapToGrid w:val="0"/>
                    <w:jc w:val="center"/>
                    <w:rPr>
                      <w:color w:val="auto"/>
                      <w:szCs w:val="21"/>
                    </w:rPr>
                  </w:pPr>
                  <w:r>
                    <w:rPr>
                      <w:color w:val="auto"/>
                      <w:szCs w:val="21"/>
                    </w:rPr>
                    <w:t>1F，高度10m，建筑面积1080m²，设置2台球磨机</w:t>
                  </w:r>
                </w:p>
              </w:tc>
              <w:tc>
                <w:tcPr>
                  <w:tcW w:w="662" w:type="pct"/>
                  <w:vAlign w:val="center"/>
                </w:tcPr>
                <w:p w14:paraId="46D46B8C">
                  <w:pPr>
                    <w:adjustRightInd w:val="0"/>
                    <w:snapToGrid w:val="0"/>
                    <w:jc w:val="center"/>
                    <w:rPr>
                      <w:color w:val="auto"/>
                      <w:szCs w:val="21"/>
                    </w:rPr>
                  </w:pPr>
                  <w:r>
                    <w:rPr>
                      <w:color w:val="auto"/>
                      <w:szCs w:val="21"/>
                    </w:rPr>
                    <w:t>依托现有有，无变化</w:t>
                  </w:r>
                </w:p>
              </w:tc>
            </w:tr>
            <w:tr w14:paraId="6D3B8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0" w:type="pct"/>
                  <w:vMerge w:val="continue"/>
                  <w:vAlign w:val="center"/>
                </w:tcPr>
                <w:p w14:paraId="3F7FF968">
                  <w:pPr>
                    <w:adjustRightInd w:val="0"/>
                    <w:snapToGrid w:val="0"/>
                    <w:jc w:val="center"/>
                    <w:rPr>
                      <w:color w:val="auto"/>
                      <w:szCs w:val="21"/>
                    </w:rPr>
                  </w:pPr>
                </w:p>
              </w:tc>
              <w:tc>
                <w:tcPr>
                  <w:tcW w:w="384" w:type="pct"/>
                  <w:vAlign w:val="center"/>
                </w:tcPr>
                <w:p w14:paraId="2B8FF302">
                  <w:pPr>
                    <w:adjustRightInd w:val="0"/>
                    <w:snapToGrid w:val="0"/>
                    <w:jc w:val="center"/>
                    <w:rPr>
                      <w:color w:val="auto"/>
                      <w:szCs w:val="21"/>
                    </w:rPr>
                  </w:pPr>
                  <w:r>
                    <w:rPr>
                      <w:color w:val="auto"/>
                      <w:szCs w:val="21"/>
                    </w:rPr>
                    <w:t>预养室</w:t>
                  </w:r>
                </w:p>
              </w:tc>
              <w:tc>
                <w:tcPr>
                  <w:tcW w:w="1154" w:type="pct"/>
                  <w:vAlign w:val="center"/>
                </w:tcPr>
                <w:p w14:paraId="4C6A609A">
                  <w:pPr>
                    <w:adjustRightInd w:val="0"/>
                    <w:snapToGrid w:val="0"/>
                    <w:jc w:val="center"/>
                    <w:rPr>
                      <w:color w:val="auto"/>
                      <w:szCs w:val="21"/>
                    </w:rPr>
                  </w:pPr>
                  <w:r>
                    <w:rPr>
                      <w:color w:val="auto"/>
                      <w:szCs w:val="21"/>
                    </w:rPr>
                    <w:t>1F，高度8m，建筑面积720m²，用于暂存项目的成品</w:t>
                  </w:r>
                </w:p>
              </w:tc>
              <w:tc>
                <w:tcPr>
                  <w:tcW w:w="1237" w:type="pct"/>
                  <w:vAlign w:val="center"/>
                </w:tcPr>
                <w:p w14:paraId="2808DBB9">
                  <w:pPr>
                    <w:adjustRightInd w:val="0"/>
                    <w:snapToGrid w:val="0"/>
                    <w:jc w:val="center"/>
                    <w:rPr>
                      <w:color w:val="auto"/>
                      <w:szCs w:val="21"/>
                    </w:rPr>
                  </w:pPr>
                  <w:r>
                    <w:rPr>
                      <w:color w:val="auto"/>
                      <w:szCs w:val="21"/>
                    </w:rPr>
                    <w:t>1F，高度8m，依托现有车间并扩建建筑面积680m²，用于暂存项目的成品</w:t>
                  </w:r>
                </w:p>
              </w:tc>
              <w:tc>
                <w:tcPr>
                  <w:tcW w:w="1320" w:type="pct"/>
                  <w:vAlign w:val="center"/>
                </w:tcPr>
                <w:p w14:paraId="76E211A2">
                  <w:pPr>
                    <w:adjustRightInd w:val="0"/>
                    <w:snapToGrid w:val="0"/>
                    <w:jc w:val="center"/>
                    <w:rPr>
                      <w:color w:val="auto"/>
                      <w:szCs w:val="21"/>
                    </w:rPr>
                  </w:pPr>
                  <w:r>
                    <w:rPr>
                      <w:color w:val="auto"/>
                      <w:szCs w:val="21"/>
                    </w:rPr>
                    <w:t>1F，高度8m，建筑面积1400m²，用于暂存项目的成品</w:t>
                  </w:r>
                </w:p>
              </w:tc>
              <w:tc>
                <w:tcPr>
                  <w:tcW w:w="662" w:type="pct"/>
                  <w:vAlign w:val="center"/>
                </w:tcPr>
                <w:p w14:paraId="59CB745A">
                  <w:pPr>
                    <w:adjustRightInd w:val="0"/>
                    <w:snapToGrid w:val="0"/>
                    <w:jc w:val="center"/>
                    <w:rPr>
                      <w:color w:val="auto"/>
                      <w:szCs w:val="21"/>
                    </w:rPr>
                  </w:pPr>
                  <w:r>
                    <w:rPr>
                      <w:color w:val="auto"/>
                      <w:szCs w:val="21"/>
                    </w:rPr>
                    <w:t>依托部分现有车间，其余新建</w:t>
                  </w:r>
                </w:p>
              </w:tc>
            </w:tr>
            <w:tr w14:paraId="59185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0" w:type="pct"/>
                  <w:vMerge w:val="continue"/>
                  <w:vAlign w:val="center"/>
                </w:tcPr>
                <w:p w14:paraId="20CF894D">
                  <w:pPr>
                    <w:adjustRightInd w:val="0"/>
                    <w:snapToGrid w:val="0"/>
                    <w:jc w:val="center"/>
                    <w:rPr>
                      <w:color w:val="auto"/>
                      <w:szCs w:val="21"/>
                    </w:rPr>
                  </w:pPr>
                </w:p>
              </w:tc>
              <w:tc>
                <w:tcPr>
                  <w:tcW w:w="384" w:type="pct"/>
                  <w:vAlign w:val="center"/>
                </w:tcPr>
                <w:p w14:paraId="54D31AB9">
                  <w:pPr>
                    <w:adjustRightInd w:val="0"/>
                    <w:snapToGrid w:val="0"/>
                    <w:jc w:val="center"/>
                    <w:rPr>
                      <w:color w:val="auto"/>
                      <w:szCs w:val="21"/>
                    </w:rPr>
                  </w:pPr>
                  <w:r>
                    <w:rPr>
                      <w:color w:val="auto"/>
                      <w:szCs w:val="21"/>
                    </w:rPr>
                    <w:t>切割车间</w:t>
                  </w:r>
                </w:p>
              </w:tc>
              <w:tc>
                <w:tcPr>
                  <w:tcW w:w="1154" w:type="pct"/>
                  <w:vAlign w:val="center"/>
                </w:tcPr>
                <w:p w14:paraId="41B51D8C">
                  <w:pPr>
                    <w:adjustRightInd w:val="0"/>
                    <w:snapToGrid w:val="0"/>
                    <w:jc w:val="center"/>
                    <w:rPr>
                      <w:color w:val="auto"/>
                      <w:szCs w:val="21"/>
                    </w:rPr>
                  </w:pPr>
                  <w:r>
                    <w:rPr>
                      <w:color w:val="auto"/>
                      <w:szCs w:val="21"/>
                    </w:rPr>
                    <w:t>1F、高度8m，建筑面积840m²，设置切割机、破碎机、筛分机等</w:t>
                  </w:r>
                </w:p>
              </w:tc>
              <w:tc>
                <w:tcPr>
                  <w:tcW w:w="1237" w:type="pct"/>
                  <w:vAlign w:val="center"/>
                </w:tcPr>
                <w:p w14:paraId="5C3B64BE">
                  <w:pPr>
                    <w:adjustRightInd w:val="0"/>
                    <w:snapToGrid w:val="0"/>
                    <w:jc w:val="center"/>
                    <w:rPr>
                      <w:color w:val="auto"/>
                      <w:szCs w:val="21"/>
                    </w:rPr>
                  </w:pPr>
                  <w:r>
                    <w:rPr>
                      <w:color w:val="auto"/>
                      <w:szCs w:val="21"/>
                    </w:rPr>
                    <w:t>依托现有，无变化</w:t>
                  </w:r>
                </w:p>
              </w:tc>
              <w:tc>
                <w:tcPr>
                  <w:tcW w:w="1320" w:type="pct"/>
                  <w:vAlign w:val="center"/>
                </w:tcPr>
                <w:p w14:paraId="6D94A18A">
                  <w:pPr>
                    <w:adjustRightInd w:val="0"/>
                    <w:snapToGrid w:val="0"/>
                    <w:jc w:val="center"/>
                    <w:rPr>
                      <w:color w:val="auto"/>
                      <w:szCs w:val="21"/>
                    </w:rPr>
                  </w:pPr>
                  <w:r>
                    <w:rPr>
                      <w:color w:val="auto"/>
                      <w:szCs w:val="21"/>
                    </w:rPr>
                    <w:t>1F、高度8m，建筑面积840m²，设置切割机、破碎机、筛分机等</w:t>
                  </w:r>
                </w:p>
              </w:tc>
              <w:tc>
                <w:tcPr>
                  <w:tcW w:w="662" w:type="pct"/>
                  <w:vAlign w:val="center"/>
                </w:tcPr>
                <w:p w14:paraId="7A062723">
                  <w:pPr>
                    <w:adjustRightInd w:val="0"/>
                    <w:snapToGrid w:val="0"/>
                    <w:jc w:val="center"/>
                    <w:rPr>
                      <w:color w:val="auto"/>
                      <w:szCs w:val="21"/>
                    </w:rPr>
                  </w:pPr>
                  <w:r>
                    <w:rPr>
                      <w:color w:val="auto"/>
                      <w:szCs w:val="21"/>
                    </w:rPr>
                    <w:t>依托现有有，无变化</w:t>
                  </w:r>
                </w:p>
              </w:tc>
            </w:tr>
            <w:tr w14:paraId="50810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0" w:type="pct"/>
                  <w:vMerge w:val="continue"/>
                  <w:vAlign w:val="center"/>
                </w:tcPr>
                <w:p w14:paraId="1670C778">
                  <w:pPr>
                    <w:adjustRightInd w:val="0"/>
                    <w:snapToGrid w:val="0"/>
                    <w:jc w:val="center"/>
                    <w:rPr>
                      <w:color w:val="auto"/>
                      <w:szCs w:val="21"/>
                    </w:rPr>
                  </w:pPr>
                </w:p>
              </w:tc>
              <w:tc>
                <w:tcPr>
                  <w:tcW w:w="384" w:type="pct"/>
                  <w:vAlign w:val="center"/>
                </w:tcPr>
                <w:p w14:paraId="7FA102AF">
                  <w:pPr>
                    <w:adjustRightInd w:val="0"/>
                    <w:snapToGrid w:val="0"/>
                    <w:jc w:val="center"/>
                    <w:rPr>
                      <w:color w:val="auto"/>
                      <w:szCs w:val="21"/>
                    </w:rPr>
                  </w:pPr>
                  <w:r>
                    <w:rPr>
                      <w:color w:val="auto"/>
                      <w:szCs w:val="21"/>
                    </w:rPr>
                    <w:t>编组车间</w:t>
                  </w:r>
                </w:p>
              </w:tc>
              <w:tc>
                <w:tcPr>
                  <w:tcW w:w="1154" w:type="pct"/>
                  <w:vAlign w:val="center"/>
                </w:tcPr>
                <w:p w14:paraId="5EF0E756">
                  <w:pPr>
                    <w:adjustRightInd w:val="0"/>
                    <w:snapToGrid w:val="0"/>
                    <w:jc w:val="center"/>
                    <w:rPr>
                      <w:color w:val="auto"/>
                      <w:szCs w:val="21"/>
                    </w:rPr>
                  </w:pPr>
                  <w:r>
                    <w:rPr>
                      <w:color w:val="auto"/>
                      <w:szCs w:val="21"/>
                    </w:rPr>
                    <w:t>1F、高度8m，建筑面积720m²，用于对切割的砖坯进行跺码</w:t>
                  </w:r>
                </w:p>
              </w:tc>
              <w:tc>
                <w:tcPr>
                  <w:tcW w:w="1237" w:type="pct"/>
                  <w:vAlign w:val="center"/>
                </w:tcPr>
                <w:p w14:paraId="5AE7C082">
                  <w:pPr>
                    <w:adjustRightInd w:val="0"/>
                    <w:snapToGrid w:val="0"/>
                    <w:jc w:val="center"/>
                    <w:rPr>
                      <w:color w:val="auto"/>
                      <w:szCs w:val="21"/>
                    </w:rPr>
                  </w:pPr>
                  <w:r>
                    <w:rPr>
                      <w:color w:val="auto"/>
                      <w:szCs w:val="21"/>
                    </w:rPr>
                    <w:t>1F、高度8m，依托现有车间并扩建建筑面积600m²，于对切割的砖坯进行跺码</w:t>
                  </w:r>
                </w:p>
              </w:tc>
              <w:tc>
                <w:tcPr>
                  <w:tcW w:w="1320" w:type="pct"/>
                  <w:vAlign w:val="center"/>
                </w:tcPr>
                <w:p w14:paraId="07D11525">
                  <w:pPr>
                    <w:adjustRightInd w:val="0"/>
                    <w:snapToGrid w:val="0"/>
                    <w:jc w:val="center"/>
                    <w:rPr>
                      <w:color w:val="auto"/>
                      <w:szCs w:val="21"/>
                    </w:rPr>
                  </w:pPr>
                  <w:r>
                    <w:rPr>
                      <w:color w:val="auto"/>
                      <w:szCs w:val="21"/>
                    </w:rPr>
                    <w:t>1F、高度8m，建筑面积1320m²，用于对切割的砖坯进行跺码</w:t>
                  </w:r>
                </w:p>
              </w:tc>
              <w:tc>
                <w:tcPr>
                  <w:tcW w:w="662" w:type="pct"/>
                  <w:vAlign w:val="center"/>
                </w:tcPr>
                <w:p w14:paraId="7B24DEB7">
                  <w:pPr>
                    <w:adjustRightInd w:val="0"/>
                    <w:snapToGrid w:val="0"/>
                    <w:jc w:val="center"/>
                    <w:rPr>
                      <w:color w:val="auto"/>
                      <w:szCs w:val="21"/>
                    </w:rPr>
                  </w:pPr>
                  <w:r>
                    <w:rPr>
                      <w:color w:val="auto"/>
                      <w:szCs w:val="21"/>
                    </w:rPr>
                    <w:t>依托部分现有车间，其余新建</w:t>
                  </w:r>
                </w:p>
              </w:tc>
            </w:tr>
            <w:tr w14:paraId="1E029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0" w:type="pct"/>
                  <w:vMerge w:val="continue"/>
                  <w:vAlign w:val="center"/>
                </w:tcPr>
                <w:p w14:paraId="02073D4A">
                  <w:pPr>
                    <w:adjustRightInd w:val="0"/>
                    <w:snapToGrid w:val="0"/>
                    <w:jc w:val="center"/>
                    <w:rPr>
                      <w:color w:val="auto"/>
                      <w:szCs w:val="21"/>
                    </w:rPr>
                  </w:pPr>
                </w:p>
              </w:tc>
              <w:tc>
                <w:tcPr>
                  <w:tcW w:w="384" w:type="pct"/>
                  <w:vAlign w:val="center"/>
                </w:tcPr>
                <w:p w14:paraId="6AC6EFAF">
                  <w:pPr>
                    <w:adjustRightInd w:val="0"/>
                    <w:snapToGrid w:val="0"/>
                    <w:jc w:val="center"/>
                    <w:rPr>
                      <w:color w:val="auto"/>
                      <w:szCs w:val="21"/>
                    </w:rPr>
                  </w:pPr>
                  <w:r>
                    <w:rPr>
                      <w:color w:val="auto"/>
                      <w:szCs w:val="21"/>
                    </w:rPr>
                    <w:t>蒸压车间</w:t>
                  </w:r>
                </w:p>
              </w:tc>
              <w:tc>
                <w:tcPr>
                  <w:tcW w:w="1154" w:type="pct"/>
                  <w:vAlign w:val="center"/>
                </w:tcPr>
                <w:p w14:paraId="6CE6086E">
                  <w:pPr>
                    <w:adjustRightInd w:val="0"/>
                    <w:snapToGrid w:val="0"/>
                    <w:jc w:val="center"/>
                    <w:rPr>
                      <w:color w:val="auto"/>
                      <w:szCs w:val="21"/>
                    </w:rPr>
                  </w:pPr>
                  <w:r>
                    <w:rPr>
                      <w:color w:val="auto"/>
                      <w:szCs w:val="21"/>
                    </w:rPr>
                    <w:t>设置7台蒸压釜，建筑面积720m²，用于对砌块砖蒸压</w:t>
                  </w:r>
                </w:p>
              </w:tc>
              <w:tc>
                <w:tcPr>
                  <w:tcW w:w="1237" w:type="pct"/>
                  <w:vAlign w:val="center"/>
                </w:tcPr>
                <w:p w14:paraId="4FDE5E78">
                  <w:pPr>
                    <w:adjustRightInd w:val="0"/>
                    <w:snapToGrid w:val="0"/>
                    <w:jc w:val="center"/>
                    <w:rPr>
                      <w:color w:val="auto"/>
                      <w:szCs w:val="21"/>
                    </w:rPr>
                  </w:pPr>
                  <w:r>
                    <w:rPr>
                      <w:color w:val="auto"/>
                      <w:szCs w:val="21"/>
                    </w:rPr>
                    <w:t>设置5台蒸压釜，新增建筑面积500m²，用于对砌块砖蒸压</w:t>
                  </w:r>
                </w:p>
              </w:tc>
              <w:tc>
                <w:tcPr>
                  <w:tcW w:w="1320" w:type="pct"/>
                  <w:vAlign w:val="center"/>
                </w:tcPr>
                <w:p w14:paraId="20DAFAD6">
                  <w:pPr>
                    <w:adjustRightInd w:val="0"/>
                    <w:snapToGrid w:val="0"/>
                    <w:jc w:val="center"/>
                    <w:rPr>
                      <w:color w:val="auto"/>
                      <w:szCs w:val="21"/>
                    </w:rPr>
                  </w:pPr>
                  <w:r>
                    <w:rPr>
                      <w:color w:val="auto"/>
                      <w:szCs w:val="21"/>
                    </w:rPr>
                    <w:t>设置12台蒸压釜，建筑面积1220m²，用于对砌块砖蒸压</w:t>
                  </w:r>
                </w:p>
              </w:tc>
              <w:tc>
                <w:tcPr>
                  <w:tcW w:w="662" w:type="pct"/>
                  <w:vAlign w:val="center"/>
                </w:tcPr>
                <w:p w14:paraId="0BD5A409">
                  <w:pPr>
                    <w:adjustRightInd w:val="0"/>
                    <w:snapToGrid w:val="0"/>
                    <w:jc w:val="center"/>
                    <w:rPr>
                      <w:color w:val="auto"/>
                      <w:szCs w:val="21"/>
                    </w:rPr>
                  </w:pPr>
                  <w:r>
                    <w:rPr>
                      <w:color w:val="auto"/>
                      <w:szCs w:val="21"/>
                    </w:rPr>
                    <w:t>依托部分现有车间，其余新建</w:t>
                  </w:r>
                </w:p>
              </w:tc>
            </w:tr>
            <w:tr w14:paraId="377B9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0" w:type="pct"/>
                  <w:vMerge w:val="continue"/>
                  <w:vAlign w:val="center"/>
                </w:tcPr>
                <w:p w14:paraId="64FD5B25">
                  <w:pPr>
                    <w:adjustRightInd w:val="0"/>
                    <w:snapToGrid w:val="0"/>
                    <w:jc w:val="center"/>
                    <w:rPr>
                      <w:color w:val="auto"/>
                      <w:szCs w:val="21"/>
                    </w:rPr>
                  </w:pPr>
                </w:p>
              </w:tc>
              <w:tc>
                <w:tcPr>
                  <w:tcW w:w="384" w:type="pct"/>
                  <w:vAlign w:val="center"/>
                </w:tcPr>
                <w:p w14:paraId="669E825D">
                  <w:pPr>
                    <w:adjustRightInd w:val="0"/>
                    <w:snapToGrid w:val="0"/>
                    <w:jc w:val="center"/>
                    <w:rPr>
                      <w:color w:val="auto"/>
                      <w:szCs w:val="21"/>
                    </w:rPr>
                  </w:pPr>
                  <w:r>
                    <w:rPr>
                      <w:color w:val="auto"/>
                      <w:szCs w:val="21"/>
                    </w:rPr>
                    <w:t>打包车间</w:t>
                  </w:r>
                </w:p>
              </w:tc>
              <w:tc>
                <w:tcPr>
                  <w:tcW w:w="1154" w:type="pct"/>
                  <w:vAlign w:val="center"/>
                </w:tcPr>
                <w:p w14:paraId="69FC2783">
                  <w:pPr>
                    <w:adjustRightInd w:val="0"/>
                    <w:snapToGrid w:val="0"/>
                    <w:jc w:val="center"/>
                    <w:rPr>
                      <w:color w:val="auto"/>
                      <w:szCs w:val="21"/>
                    </w:rPr>
                  </w:pPr>
                  <w:r>
                    <w:rPr>
                      <w:color w:val="auto"/>
                      <w:szCs w:val="21"/>
                    </w:rPr>
                    <w:t>1F，高度10m，建筑面积720m²，用于对成品砖进行打包</w:t>
                  </w:r>
                </w:p>
              </w:tc>
              <w:tc>
                <w:tcPr>
                  <w:tcW w:w="1237" w:type="pct"/>
                  <w:vAlign w:val="center"/>
                </w:tcPr>
                <w:p w14:paraId="0984C4DA">
                  <w:pPr>
                    <w:adjustRightInd w:val="0"/>
                    <w:snapToGrid w:val="0"/>
                    <w:jc w:val="center"/>
                    <w:rPr>
                      <w:color w:val="auto"/>
                      <w:szCs w:val="21"/>
                    </w:rPr>
                  </w:pPr>
                  <w:r>
                    <w:rPr>
                      <w:color w:val="auto"/>
                      <w:szCs w:val="21"/>
                    </w:rPr>
                    <w:t>1F，高度10m，新增建筑面积1400m²用于对成品砖进行打包</w:t>
                  </w:r>
                </w:p>
              </w:tc>
              <w:tc>
                <w:tcPr>
                  <w:tcW w:w="1320" w:type="pct"/>
                  <w:vAlign w:val="center"/>
                </w:tcPr>
                <w:p w14:paraId="4580A720">
                  <w:pPr>
                    <w:adjustRightInd w:val="0"/>
                    <w:snapToGrid w:val="0"/>
                    <w:jc w:val="center"/>
                    <w:rPr>
                      <w:color w:val="auto"/>
                      <w:szCs w:val="21"/>
                    </w:rPr>
                  </w:pPr>
                  <w:r>
                    <w:rPr>
                      <w:color w:val="auto"/>
                      <w:szCs w:val="21"/>
                    </w:rPr>
                    <w:t>1F，高度10m，建筑面积2120m²用于对成品砖进行打包</w:t>
                  </w:r>
                </w:p>
              </w:tc>
              <w:tc>
                <w:tcPr>
                  <w:tcW w:w="662" w:type="pct"/>
                  <w:vAlign w:val="center"/>
                </w:tcPr>
                <w:p w14:paraId="73985ED9">
                  <w:pPr>
                    <w:adjustRightInd w:val="0"/>
                    <w:snapToGrid w:val="0"/>
                    <w:jc w:val="center"/>
                    <w:rPr>
                      <w:color w:val="auto"/>
                      <w:szCs w:val="21"/>
                    </w:rPr>
                  </w:pPr>
                  <w:r>
                    <w:rPr>
                      <w:color w:val="auto"/>
                      <w:szCs w:val="21"/>
                    </w:rPr>
                    <w:t>依托部分现有车间，其余新建</w:t>
                  </w:r>
                </w:p>
              </w:tc>
            </w:tr>
            <w:tr w14:paraId="463AF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0" w:type="pct"/>
                  <w:vMerge w:val="continue"/>
                  <w:vAlign w:val="center"/>
                </w:tcPr>
                <w:p w14:paraId="1C6C0078">
                  <w:pPr>
                    <w:adjustRightInd w:val="0"/>
                    <w:snapToGrid w:val="0"/>
                    <w:jc w:val="center"/>
                    <w:rPr>
                      <w:color w:val="auto"/>
                      <w:szCs w:val="21"/>
                    </w:rPr>
                  </w:pPr>
                </w:p>
              </w:tc>
              <w:tc>
                <w:tcPr>
                  <w:tcW w:w="384" w:type="pct"/>
                  <w:vAlign w:val="center"/>
                </w:tcPr>
                <w:p w14:paraId="765AAC98">
                  <w:pPr>
                    <w:adjustRightInd w:val="0"/>
                    <w:snapToGrid w:val="0"/>
                    <w:jc w:val="center"/>
                    <w:rPr>
                      <w:color w:val="auto"/>
                      <w:szCs w:val="21"/>
                    </w:rPr>
                  </w:pPr>
                  <w:r>
                    <w:rPr>
                      <w:color w:val="auto"/>
                      <w:szCs w:val="21"/>
                    </w:rPr>
                    <w:t>锅炉房</w:t>
                  </w:r>
                </w:p>
              </w:tc>
              <w:tc>
                <w:tcPr>
                  <w:tcW w:w="1154" w:type="pct"/>
                  <w:vAlign w:val="center"/>
                </w:tcPr>
                <w:p w14:paraId="0F9C3B7B">
                  <w:pPr>
                    <w:adjustRightInd w:val="0"/>
                    <w:snapToGrid w:val="0"/>
                    <w:jc w:val="center"/>
                    <w:rPr>
                      <w:color w:val="auto"/>
                      <w:szCs w:val="21"/>
                    </w:rPr>
                  </w:pPr>
                  <w:r>
                    <w:rPr>
                      <w:color w:val="auto"/>
                      <w:szCs w:val="21"/>
                    </w:rPr>
                    <w:t>1F，高度7m，建筑面积150m²，设置一台6t/h天然气锅炉</w:t>
                  </w:r>
                </w:p>
              </w:tc>
              <w:tc>
                <w:tcPr>
                  <w:tcW w:w="1237" w:type="pct"/>
                  <w:vAlign w:val="center"/>
                </w:tcPr>
                <w:p w14:paraId="77A2A5B0">
                  <w:pPr>
                    <w:adjustRightInd w:val="0"/>
                    <w:snapToGrid w:val="0"/>
                    <w:jc w:val="center"/>
                    <w:rPr>
                      <w:rFonts w:hint="default" w:eastAsia="宋体"/>
                      <w:color w:val="auto"/>
                      <w:szCs w:val="21"/>
                      <w:lang w:val="en-US" w:eastAsia="zh-CN"/>
                    </w:rPr>
                  </w:pPr>
                  <w:r>
                    <w:rPr>
                      <w:rStyle w:val="27"/>
                      <w:rFonts w:hint="eastAsia"/>
                      <w:color w:val="auto"/>
                      <w:szCs w:val="20"/>
                      <w:lang w:val="en-US" w:eastAsia="zh-CN"/>
                    </w:rPr>
                    <w:t>天然气锅炉改为备用锅炉，供热来着电厂蒸汽供热</w:t>
                  </w:r>
                </w:p>
              </w:tc>
              <w:tc>
                <w:tcPr>
                  <w:tcW w:w="1320" w:type="pct"/>
                  <w:vAlign w:val="center"/>
                </w:tcPr>
                <w:p w14:paraId="35BB4022">
                  <w:pPr>
                    <w:adjustRightInd w:val="0"/>
                    <w:snapToGrid w:val="0"/>
                    <w:jc w:val="center"/>
                    <w:rPr>
                      <w:color w:val="auto"/>
                      <w:szCs w:val="21"/>
                    </w:rPr>
                  </w:pPr>
                  <w:r>
                    <w:rPr>
                      <w:color w:val="auto"/>
                      <w:szCs w:val="21"/>
                    </w:rPr>
                    <w:t>1F，高度7m，建筑面积150m²，设置一台6t/h天然气锅炉，作为备用，现蒸汽来自电厂蒸汽</w:t>
                  </w:r>
                </w:p>
              </w:tc>
              <w:tc>
                <w:tcPr>
                  <w:tcW w:w="662" w:type="pct"/>
                  <w:vAlign w:val="center"/>
                </w:tcPr>
                <w:p w14:paraId="6B98211B">
                  <w:pPr>
                    <w:adjustRightInd w:val="0"/>
                    <w:snapToGrid w:val="0"/>
                    <w:jc w:val="center"/>
                    <w:rPr>
                      <w:rFonts w:hint="default" w:eastAsia="宋体"/>
                      <w:color w:val="auto"/>
                      <w:szCs w:val="21"/>
                      <w:lang w:val="en-US" w:eastAsia="zh-CN"/>
                    </w:rPr>
                  </w:pPr>
                  <w:r>
                    <w:rPr>
                      <w:rFonts w:hint="eastAsia"/>
                      <w:color w:val="auto"/>
                      <w:szCs w:val="21"/>
                      <w:lang w:val="en-US" w:eastAsia="zh-CN"/>
                    </w:rPr>
                    <w:t>锅炉依托现有，供热管网新建</w:t>
                  </w:r>
                </w:p>
              </w:tc>
            </w:tr>
            <w:tr w14:paraId="28918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240" w:type="pct"/>
                  <w:vAlign w:val="center"/>
                </w:tcPr>
                <w:p w14:paraId="5E3AD36C">
                  <w:pPr>
                    <w:adjustRightInd w:val="0"/>
                    <w:snapToGrid w:val="0"/>
                    <w:jc w:val="center"/>
                    <w:rPr>
                      <w:color w:val="auto"/>
                      <w:szCs w:val="21"/>
                    </w:rPr>
                  </w:pPr>
                  <w:r>
                    <w:rPr>
                      <w:color w:val="auto"/>
                      <w:szCs w:val="21"/>
                    </w:rPr>
                    <w:t>辅助工程</w:t>
                  </w:r>
                </w:p>
              </w:tc>
              <w:tc>
                <w:tcPr>
                  <w:tcW w:w="384" w:type="pct"/>
                  <w:vAlign w:val="center"/>
                </w:tcPr>
                <w:p w14:paraId="11CDD012">
                  <w:pPr>
                    <w:adjustRightInd w:val="0"/>
                    <w:snapToGrid w:val="0"/>
                    <w:jc w:val="center"/>
                    <w:rPr>
                      <w:color w:val="auto"/>
                      <w:szCs w:val="21"/>
                    </w:rPr>
                  </w:pPr>
                  <w:r>
                    <w:rPr>
                      <w:color w:val="auto"/>
                      <w:szCs w:val="21"/>
                    </w:rPr>
                    <w:t>办公室</w:t>
                  </w:r>
                </w:p>
              </w:tc>
              <w:tc>
                <w:tcPr>
                  <w:tcW w:w="1154" w:type="pct"/>
                  <w:vAlign w:val="center"/>
                </w:tcPr>
                <w:p w14:paraId="1FB4035B">
                  <w:pPr>
                    <w:adjustRightInd w:val="0"/>
                    <w:snapToGrid w:val="0"/>
                    <w:jc w:val="center"/>
                    <w:rPr>
                      <w:color w:val="auto"/>
                      <w:szCs w:val="21"/>
                    </w:rPr>
                  </w:pPr>
                  <w:r>
                    <w:rPr>
                      <w:color w:val="auto"/>
                      <w:szCs w:val="21"/>
                    </w:rPr>
                    <w:t>员工的日常办公区域</w:t>
                  </w:r>
                </w:p>
              </w:tc>
              <w:tc>
                <w:tcPr>
                  <w:tcW w:w="1237" w:type="pct"/>
                  <w:vAlign w:val="center"/>
                </w:tcPr>
                <w:p w14:paraId="57F1721B">
                  <w:pPr>
                    <w:tabs>
                      <w:tab w:val="left" w:pos="3255"/>
                    </w:tabs>
                    <w:jc w:val="center"/>
                    <w:rPr>
                      <w:color w:val="auto"/>
                      <w:szCs w:val="21"/>
                    </w:rPr>
                  </w:pPr>
                  <w:r>
                    <w:rPr>
                      <w:color w:val="auto"/>
                      <w:szCs w:val="21"/>
                    </w:rPr>
                    <w:t>依托现有，无变更</w:t>
                  </w:r>
                </w:p>
              </w:tc>
              <w:tc>
                <w:tcPr>
                  <w:tcW w:w="1320" w:type="pct"/>
                  <w:vAlign w:val="center"/>
                </w:tcPr>
                <w:p w14:paraId="64B34A8D">
                  <w:pPr>
                    <w:tabs>
                      <w:tab w:val="left" w:pos="3255"/>
                    </w:tabs>
                    <w:jc w:val="center"/>
                    <w:rPr>
                      <w:color w:val="auto"/>
                      <w:szCs w:val="21"/>
                    </w:rPr>
                  </w:pPr>
                  <w:r>
                    <w:rPr>
                      <w:color w:val="auto"/>
                      <w:szCs w:val="21"/>
                    </w:rPr>
                    <w:t>员工的日常办公区域</w:t>
                  </w:r>
                </w:p>
              </w:tc>
              <w:tc>
                <w:tcPr>
                  <w:tcW w:w="662" w:type="pct"/>
                  <w:vAlign w:val="center"/>
                </w:tcPr>
                <w:p w14:paraId="4D3FEDC5">
                  <w:pPr>
                    <w:spacing w:line="260" w:lineRule="exact"/>
                    <w:jc w:val="center"/>
                    <w:rPr>
                      <w:color w:val="auto"/>
                      <w:szCs w:val="21"/>
                    </w:rPr>
                  </w:pPr>
                  <w:r>
                    <w:rPr>
                      <w:color w:val="auto"/>
                      <w:szCs w:val="21"/>
                    </w:rPr>
                    <w:t>依托现有，无变更</w:t>
                  </w:r>
                </w:p>
              </w:tc>
            </w:tr>
            <w:tr w14:paraId="6FD74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240" w:type="pct"/>
                  <w:vMerge w:val="restart"/>
                  <w:vAlign w:val="center"/>
                </w:tcPr>
                <w:p w14:paraId="71742C0D">
                  <w:pPr>
                    <w:adjustRightInd w:val="0"/>
                    <w:snapToGrid w:val="0"/>
                    <w:jc w:val="center"/>
                    <w:rPr>
                      <w:color w:val="auto"/>
                      <w:szCs w:val="21"/>
                    </w:rPr>
                  </w:pPr>
                  <w:r>
                    <w:rPr>
                      <w:color w:val="auto"/>
                      <w:szCs w:val="21"/>
                    </w:rPr>
                    <w:t>储运工程</w:t>
                  </w:r>
                </w:p>
              </w:tc>
              <w:tc>
                <w:tcPr>
                  <w:tcW w:w="384" w:type="pct"/>
                  <w:vAlign w:val="center"/>
                </w:tcPr>
                <w:p w14:paraId="10CAEA22">
                  <w:pPr>
                    <w:adjustRightInd w:val="0"/>
                    <w:snapToGrid w:val="0"/>
                    <w:jc w:val="center"/>
                    <w:rPr>
                      <w:color w:val="auto"/>
                      <w:szCs w:val="21"/>
                    </w:rPr>
                  </w:pPr>
                  <w:r>
                    <w:rPr>
                      <w:color w:val="auto"/>
                      <w:szCs w:val="21"/>
                    </w:rPr>
                    <w:t>原料仓库</w:t>
                  </w:r>
                </w:p>
              </w:tc>
              <w:tc>
                <w:tcPr>
                  <w:tcW w:w="1154" w:type="pct"/>
                  <w:vAlign w:val="center"/>
                </w:tcPr>
                <w:p w14:paraId="5384D41F">
                  <w:pPr>
                    <w:autoSpaceDE w:val="0"/>
                    <w:autoSpaceDN w:val="0"/>
                    <w:adjustRightInd w:val="0"/>
                    <w:snapToGrid w:val="0"/>
                    <w:spacing w:before="62" w:beforeLines="20" w:after="62" w:afterLines="20"/>
                    <w:jc w:val="center"/>
                    <w:rPr>
                      <w:color w:val="auto"/>
                      <w:szCs w:val="21"/>
                    </w:rPr>
                  </w:pPr>
                  <w:r>
                    <w:rPr>
                      <w:color w:val="auto"/>
                      <w:szCs w:val="21"/>
                    </w:rPr>
                    <w:t>位于厂区西北角设置封闭式原料仓库，建筑面积约1900m²</w:t>
                  </w:r>
                </w:p>
              </w:tc>
              <w:tc>
                <w:tcPr>
                  <w:tcW w:w="1237" w:type="pct"/>
                  <w:vAlign w:val="center"/>
                </w:tcPr>
                <w:p w14:paraId="29CA84D3">
                  <w:pPr>
                    <w:jc w:val="center"/>
                    <w:rPr>
                      <w:color w:val="auto"/>
                      <w:szCs w:val="21"/>
                    </w:rPr>
                  </w:pPr>
                  <w:r>
                    <w:rPr>
                      <w:color w:val="auto"/>
                      <w:szCs w:val="21"/>
                    </w:rPr>
                    <w:t>依托现有，无变更</w:t>
                  </w:r>
                </w:p>
              </w:tc>
              <w:tc>
                <w:tcPr>
                  <w:tcW w:w="1320" w:type="pct"/>
                  <w:vAlign w:val="center"/>
                </w:tcPr>
                <w:p w14:paraId="59566B24">
                  <w:pPr>
                    <w:jc w:val="center"/>
                    <w:rPr>
                      <w:color w:val="auto"/>
                      <w:szCs w:val="21"/>
                    </w:rPr>
                  </w:pPr>
                  <w:r>
                    <w:rPr>
                      <w:color w:val="auto"/>
                      <w:szCs w:val="21"/>
                    </w:rPr>
                    <w:t>位于厂区西北角设置封闭式原料仓库，建筑面积约1900m²</w:t>
                  </w:r>
                </w:p>
              </w:tc>
              <w:tc>
                <w:tcPr>
                  <w:tcW w:w="662" w:type="pct"/>
                  <w:vAlign w:val="center"/>
                </w:tcPr>
                <w:p w14:paraId="635931C5">
                  <w:pPr>
                    <w:adjustRightInd w:val="0"/>
                    <w:snapToGrid w:val="0"/>
                    <w:jc w:val="center"/>
                    <w:rPr>
                      <w:color w:val="auto"/>
                      <w:szCs w:val="21"/>
                    </w:rPr>
                  </w:pPr>
                  <w:r>
                    <w:rPr>
                      <w:color w:val="auto"/>
                      <w:szCs w:val="21"/>
                    </w:rPr>
                    <w:t>依托现有，无变更</w:t>
                  </w:r>
                </w:p>
              </w:tc>
            </w:tr>
            <w:tr w14:paraId="4596E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240" w:type="pct"/>
                  <w:vMerge w:val="continue"/>
                  <w:vAlign w:val="center"/>
                </w:tcPr>
                <w:p w14:paraId="321C266A">
                  <w:pPr>
                    <w:adjustRightInd w:val="0"/>
                    <w:snapToGrid w:val="0"/>
                    <w:jc w:val="center"/>
                    <w:rPr>
                      <w:color w:val="auto"/>
                      <w:szCs w:val="21"/>
                    </w:rPr>
                  </w:pPr>
                </w:p>
              </w:tc>
              <w:tc>
                <w:tcPr>
                  <w:tcW w:w="384" w:type="pct"/>
                  <w:vAlign w:val="center"/>
                </w:tcPr>
                <w:p w14:paraId="7CFA6F12">
                  <w:pPr>
                    <w:adjustRightInd w:val="0"/>
                    <w:snapToGrid w:val="0"/>
                    <w:jc w:val="center"/>
                    <w:rPr>
                      <w:color w:val="auto"/>
                      <w:szCs w:val="21"/>
                    </w:rPr>
                  </w:pPr>
                  <w:r>
                    <w:rPr>
                      <w:color w:val="auto"/>
                      <w:szCs w:val="21"/>
                    </w:rPr>
                    <w:t>成品</w:t>
                  </w:r>
                  <w:r>
                    <w:rPr>
                      <w:rFonts w:hint="eastAsia"/>
                      <w:color w:val="auto"/>
                      <w:szCs w:val="21"/>
                    </w:rPr>
                    <w:t>仓库</w:t>
                  </w:r>
                </w:p>
              </w:tc>
              <w:tc>
                <w:tcPr>
                  <w:tcW w:w="1154" w:type="pct"/>
                  <w:vAlign w:val="center"/>
                </w:tcPr>
                <w:p w14:paraId="2E83F914">
                  <w:pPr>
                    <w:autoSpaceDE w:val="0"/>
                    <w:autoSpaceDN w:val="0"/>
                    <w:adjustRightInd w:val="0"/>
                    <w:snapToGrid w:val="0"/>
                    <w:spacing w:before="62" w:beforeLines="20" w:after="62" w:afterLines="20"/>
                    <w:jc w:val="center"/>
                    <w:rPr>
                      <w:color w:val="auto"/>
                      <w:szCs w:val="21"/>
                    </w:rPr>
                  </w:pPr>
                  <w:r>
                    <w:rPr>
                      <w:color w:val="auto"/>
                      <w:szCs w:val="21"/>
                    </w:rPr>
                    <w:t>位于厂区西南侧，建筑面积约1000m²，用于暂存项目的成品砖</w:t>
                  </w:r>
                </w:p>
              </w:tc>
              <w:tc>
                <w:tcPr>
                  <w:tcW w:w="1237" w:type="pct"/>
                  <w:vAlign w:val="center"/>
                </w:tcPr>
                <w:p w14:paraId="17F751B4">
                  <w:pPr>
                    <w:jc w:val="center"/>
                    <w:rPr>
                      <w:color w:val="auto"/>
                      <w:szCs w:val="21"/>
                    </w:rPr>
                  </w:pPr>
                  <w:r>
                    <w:rPr>
                      <w:color w:val="auto"/>
                      <w:szCs w:val="21"/>
                    </w:rPr>
                    <w:t>依托现有，无变更</w:t>
                  </w:r>
                </w:p>
              </w:tc>
              <w:tc>
                <w:tcPr>
                  <w:tcW w:w="1320" w:type="pct"/>
                  <w:vAlign w:val="center"/>
                </w:tcPr>
                <w:p w14:paraId="06062D47">
                  <w:pPr>
                    <w:jc w:val="center"/>
                    <w:rPr>
                      <w:color w:val="auto"/>
                      <w:szCs w:val="21"/>
                    </w:rPr>
                  </w:pPr>
                  <w:r>
                    <w:rPr>
                      <w:color w:val="auto"/>
                      <w:szCs w:val="21"/>
                    </w:rPr>
                    <w:t>位于厂区东侧，建筑面积约1000m²，用于暂存项目的成品砖</w:t>
                  </w:r>
                </w:p>
              </w:tc>
              <w:tc>
                <w:tcPr>
                  <w:tcW w:w="662" w:type="pct"/>
                  <w:vAlign w:val="center"/>
                </w:tcPr>
                <w:p w14:paraId="3603A9D3">
                  <w:pPr>
                    <w:adjustRightInd w:val="0"/>
                    <w:snapToGrid w:val="0"/>
                    <w:jc w:val="center"/>
                    <w:rPr>
                      <w:color w:val="auto"/>
                      <w:szCs w:val="21"/>
                    </w:rPr>
                  </w:pPr>
                  <w:r>
                    <w:rPr>
                      <w:color w:val="auto"/>
                      <w:szCs w:val="21"/>
                    </w:rPr>
                    <w:t>依托现有，无变更</w:t>
                  </w:r>
                </w:p>
              </w:tc>
            </w:tr>
            <w:tr w14:paraId="76DEA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240" w:type="pct"/>
                  <w:vMerge w:val="continue"/>
                  <w:vAlign w:val="center"/>
                </w:tcPr>
                <w:p w14:paraId="48B05174">
                  <w:pPr>
                    <w:adjustRightInd w:val="0"/>
                    <w:snapToGrid w:val="0"/>
                    <w:jc w:val="center"/>
                    <w:rPr>
                      <w:color w:val="auto"/>
                      <w:szCs w:val="21"/>
                    </w:rPr>
                  </w:pPr>
                </w:p>
              </w:tc>
              <w:tc>
                <w:tcPr>
                  <w:tcW w:w="384" w:type="pct"/>
                  <w:vAlign w:val="center"/>
                </w:tcPr>
                <w:p w14:paraId="2F31A383">
                  <w:pPr>
                    <w:adjustRightInd w:val="0"/>
                    <w:snapToGrid w:val="0"/>
                    <w:jc w:val="center"/>
                    <w:rPr>
                      <w:color w:val="auto"/>
                      <w:szCs w:val="21"/>
                    </w:rPr>
                  </w:pPr>
                  <w:r>
                    <w:rPr>
                      <w:color w:val="auto"/>
                      <w:szCs w:val="21"/>
                    </w:rPr>
                    <w:t>粉煤灰筒仓</w:t>
                  </w:r>
                </w:p>
              </w:tc>
              <w:tc>
                <w:tcPr>
                  <w:tcW w:w="1154" w:type="pct"/>
                  <w:vAlign w:val="center"/>
                </w:tcPr>
                <w:p w14:paraId="1E5AA04C">
                  <w:pPr>
                    <w:adjustRightInd w:val="0"/>
                    <w:snapToGrid w:val="0"/>
                    <w:jc w:val="center"/>
                    <w:rPr>
                      <w:color w:val="auto"/>
                      <w:szCs w:val="21"/>
                    </w:rPr>
                  </w:pPr>
                  <w:r>
                    <w:rPr>
                      <w:color w:val="auto"/>
                      <w:szCs w:val="21"/>
                    </w:rPr>
                    <w:t>设置1个2万吨筒仓（直径28m，高35m），3个300t筒仓（直径3m，高10m），占地面积660m²</w:t>
                  </w:r>
                </w:p>
              </w:tc>
              <w:tc>
                <w:tcPr>
                  <w:tcW w:w="1237" w:type="pct"/>
                  <w:vAlign w:val="center"/>
                </w:tcPr>
                <w:p w14:paraId="15C456EF">
                  <w:pPr>
                    <w:jc w:val="center"/>
                    <w:rPr>
                      <w:color w:val="auto"/>
                      <w:szCs w:val="21"/>
                    </w:rPr>
                  </w:pPr>
                  <w:r>
                    <w:rPr>
                      <w:color w:val="auto"/>
                      <w:szCs w:val="21"/>
                    </w:rPr>
                    <w:t>新增一个150t粉煤灰筒仓，占地面积50m²</w:t>
                  </w:r>
                </w:p>
              </w:tc>
              <w:tc>
                <w:tcPr>
                  <w:tcW w:w="1320" w:type="pct"/>
                  <w:vAlign w:val="center"/>
                </w:tcPr>
                <w:p w14:paraId="2847C1B4">
                  <w:pPr>
                    <w:jc w:val="center"/>
                    <w:rPr>
                      <w:color w:val="auto"/>
                      <w:szCs w:val="21"/>
                    </w:rPr>
                  </w:pPr>
                  <w:r>
                    <w:rPr>
                      <w:color w:val="auto"/>
                      <w:szCs w:val="21"/>
                    </w:rPr>
                    <w:t>设置1个2万吨筒仓（直径28m，高35m），3个300t筒仓（直径3m，高10m），一个150t粉煤灰筒仓，占地面积710m²</w:t>
                  </w:r>
                </w:p>
              </w:tc>
              <w:tc>
                <w:tcPr>
                  <w:tcW w:w="662" w:type="pct"/>
                  <w:vAlign w:val="center"/>
                </w:tcPr>
                <w:p w14:paraId="63DED6AD">
                  <w:pPr>
                    <w:adjustRightInd w:val="0"/>
                    <w:snapToGrid w:val="0"/>
                    <w:jc w:val="center"/>
                    <w:rPr>
                      <w:color w:val="auto"/>
                      <w:szCs w:val="21"/>
                    </w:rPr>
                  </w:pPr>
                  <w:r>
                    <w:rPr>
                      <w:rFonts w:hint="eastAsia"/>
                      <w:color w:val="auto"/>
                      <w:szCs w:val="21"/>
                    </w:rPr>
                    <w:t>部分依托现有，其余新建</w:t>
                  </w:r>
                </w:p>
              </w:tc>
            </w:tr>
            <w:tr w14:paraId="0DB68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240" w:type="pct"/>
                  <w:vMerge w:val="continue"/>
                  <w:vAlign w:val="center"/>
                </w:tcPr>
                <w:p w14:paraId="5674AD7B">
                  <w:pPr>
                    <w:adjustRightInd w:val="0"/>
                    <w:snapToGrid w:val="0"/>
                    <w:jc w:val="center"/>
                    <w:rPr>
                      <w:color w:val="auto"/>
                      <w:szCs w:val="21"/>
                    </w:rPr>
                  </w:pPr>
                </w:p>
              </w:tc>
              <w:tc>
                <w:tcPr>
                  <w:tcW w:w="384" w:type="pct"/>
                  <w:vAlign w:val="center"/>
                </w:tcPr>
                <w:p w14:paraId="55302F9C">
                  <w:pPr>
                    <w:adjustRightInd w:val="0"/>
                    <w:snapToGrid w:val="0"/>
                    <w:jc w:val="center"/>
                    <w:rPr>
                      <w:color w:val="auto"/>
                      <w:szCs w:val="21"/>
                    </w:rPr>
                  </w:pPr>
                  <w:r>
                    <w:rPr>
                      <w:color w:val="auto"/>
                      <w:szCs w:val="21"/>
                    </w:rPr>
                    <w:t>水泥筒仓</w:t>
                  </w:r>
                </w:p>
              </w:tc>
              <w:tc>
                <w:tcPr>
                  <w:tcW w:w="1154" w:type="pct"/>
                  <w:vAlign w:val="center"/>
                </w:tcPr>
                <w:p w14:paraId="349F4B0A">
                  <w:pPr>
                    <w:adjustRightInd w:val="0"/>
                    <w:snapToGrid w:val="0"/>
                    <w:jc w:val="center"/>
                    <w:rPr>
                      <w:color w:val="auto"/>
                      <w:szCs w:val="21"/>
                    </w:rPr>
                  </w:pPr>
                  <w:r>
                    <w:rPr>
                      <w:color w:val="auto"/>
                      <w:szCs w:val="21"/>
                    </w:rPr>
                    <w:t>设置1个150t水泥筒仓</w:t>
                  </w:r>
                </w:p>
              </w:tc>
              <w:tc>
                <w:tcPr>
                  <w:tcW w:w="1237" w:type="pct"/>
                  <w:vAlign w:val="center"/>
                </w:tcPr>
                <w:p w14:paraId="5E0E9087">
                  <w:pPr>
                    <w:jc w:val="center"/>
                    <w:rPr>
                      <w:color w:val="auto"/>
                      <w:szCs w:val="21"/>
                    </w:rPr>
                  </w:pPr>
                  <w:r>
                    <w:rPr>
                      <w:color w:val="auto"/>
                      <w:szCs w:val="21"/>
                    </w:rPr>
                    <w:t>依托现有，无变更</w:t>
                  </w:r>
                </w:p>
              </w:tc>
              <w:tc>
                <w:tcPr>
                  <w:tcW w:w="1320" w:type="pct"/>
                  <w:vAlign w:val="center"/>
                </w:tcPr>
                <w:p w14:paraId="6FCB7956">
                  <w:pPr>
                    <w:jc w:val="center"/>
                    <w:rPr>
                      <w:color w:val="auto"/>
                      <w:szCs w:val="21"/>
                    </w:rPr>
                  </w:pPr>
                  <w:r>
                    <w:rPr>
                      <w:color w:val="auto"/>
                      <w:szCs w:val="21"/>
                    </w:rPr>
                    <w:t>设置1个150t水泥筒仓</w:t>
                  </w:r>
                </w:p>
              </w:tc>
              <w:tc>
                <w:tcPr>
                  <w:tcW w:w="662" w:type="pct"/>
                  <w:vAlign w:val="center"/>
                </w:tcPr>
                <w:p w14:paraId="6BFAC077">
                  <w:pPr>
                    <w:adjustRightInd w:val="0"/>
                    <w:snapToGrid w:val="0"/>
                    <w:jc w:val="center"/>
                    <w:rPr>
                      <w:color w:val="auto"/>
                      <w:szCs w:val="21"/>
                    </w:rPr>
                  </w:pPr>
                  <w:r>
                    <w:rPr>
                      <w:color w:val="auto"/>
                      <w:szCs w:val="21"/>
                    </w:rPr>
                    <w:t>依托现有，无变更</w:t>
                  </w:r>
                </w:p>
              </w:tc>
            </w:tr>
            <w:tr w14:paraId="60609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240" w:type="pct"/>
                  <w:vMerge w:val="continue"/>
                  <w:vAlign w:val="center"/>
                </w:tcPr>
                <w:p w14:paraId="2EA12B51">
                  <w:pPr>
                    <w:adjustRightInd w:val="0"/>
                    <w:snapToGrid w:val="0"/>
                    <w:jc w:val="center"/>
                    <w:rPr>
                      <w:color w:val="auto"/>
                      <w:szCs w:val="21"/>
                    </w:rPr>
                  </w:pPr>
                </w:p>
              </w:tc>
              <w:tc>
                <w:tcPr>
                  <w:tcW w:w="384" w:type="pct"/>
                  <w:vAlign w:val="center"/>
                </w:tcPr>
                <w:p w14:paraId="78078EB3">
                  <w:pPr>
                    <w:adjustRightInd w:val="0"/>
                    <w:snapToGrid w:val="0"/>
                    <w:jc w:val="center"/>
                    <w:rPr>
                      <w:color w:val="auto"/>
                      <w:szCs w:val="21"/>
                    </w:rPr>
                  </w:pPr>
                  <w:r>
                    <w:rPr>
                      <w:color w:val="auto"/>
                      <w:szCs w:val="21"/>
                    </w:rPr>
                    <w:t>石灰筒仓</w:t>
                  </w:r>
                </w:p>
              </w:tc>
              <w:tc>
                <w:tcPr>
                  <w:tcW w:w="1154" w:type="pct"/>
                  <w:vAlign w:val="center"/>
                </w:tcPr>
                <w:p w14:paraId="54FA65C8">
                  <w:pPr>
                    <w:adjustRightInd w:val="0"/>
                    <w:snapToGrid w:val="0"/>
                    <w:jc w:val="center"/>
                    <w:rPr>
                      <w:color w:val="auto"/>
                      <w:szCs w:val="21"/>
                    </w:rPr>
                  </w:pPr>
                  <w:r>
                    <w:rPr>
                      <w:color w:val="auto"/>
                      <w:szCs w:val="21"/>
                    </w:rPr>
                    <w:t>设置1个150t的石灰筒仓</w:t>
                  </w:r>
                </w:p>
              </w:tc>
              <w:tc>
                <w:tcPr>
                  <w:tcW w:w="1237" w:type="pct"/>
                  <w:vAlign w:val="center"/>
                </w:tcPr>
                <w:p w14:paraId="251F9422">
                  <w:pPr>
                    <w:jc w:val="center"/>
                    <w:rPr>
                      <w:color w:val="auto"/>
                      <w:szCs w:val="21"/>
                    </w:rPr>
                  </w:pPr>
                  <w:r>
                    <w:rPr>
                      <w:color w:val="auto"/>
                      <w:szCs w:val="21"/>
                    </w:rPr>
                    <w:t>依托现有，无变更</w:t>
                  </w:r>
                </w:p>
              </w:tc>
              <w:tc>
                <w:tcPr>
                  <w:tcW w:w="1320" w:type="pct"/>
                  <w:vAlign w:val="center"/>
                </w:tcPr>
                <w:p w14:paraId="47829419">
                  <w:pPr>
                    <w:jc w:val="center"/>
                    <w:rPr>
                      <w:color w:val="auto"/>
                      <w:szCs w:val="21"/>
                    </w:rPr>
                  </w:pPr>
                  <w:r>
                    <w:rPr>
                      <w:color w:val="auto"/>
                      <w:szCs w:val="21"/>
                    </w:rPr>
                    <w:t>设置1个150t的石灰筒仓</w:t>
                  </w:r>
                </w:p>
              </w:tc>
              <w:tc>
                <w:tcPr>
                  <w:tcW w:w="662" w:type="pct"/>
                  <w:vAlign w:val="center"/>
                </w:tcPr>
                <w:p w14:paraId="77786250">
                  <w:pPr>
                    <w:adjustRightInd w:val="0"/>
                    <w:snapToGrid w:val="0"/>
                    <w:jc w:val="center"/>
                    <w:rPr>
                      <w:color w:val="auto"/>
                      <w:szCs w:val="21"/>
                    </w:rPr>
                  </w:pPr>
                  <w:r>
                    <w:rPr>
                      <w:color w:val="auto"/>
                      <w:szCs w:val="21"/>
                    </w:rPr>
                    <w:t>依托现有，无变更</w:t>
                  </w:r>
                </w:p>
              </w:tc>
            </w:tr>
            <w:tr w14:paraId="5EBC2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240" w:type="pct"/>
                  <w:vMerge w:val="continue"/>
                  <w:vAlign w:val="center"/>
                </w:tcPr>
                <w:p w14:paraId="73D18672">
                  <w:pPr>
                    <w:adjustRightInd w:val="0"/>
                    <w:snapToGrid w:val="0"/>
                    <w:jc w:val="center"/>
                    <w:rPr>
                      <w:color w:val="auto"/>
                      <w:szCs w:val="21"/>
                    </w:rPr>
                  </w:pPr>
                </w:p>
              </w:tc>
              <w:tc>
                <w:tcPr>
                  <w:tcW w:w="384" w:type="pct"/>
                  <w:vAlign w:val="center"/>
                </w:tcPr>
                <w:p w14:paraId="481FBA8D">
                  <w:pPr>
                    <w:adjustRightInd w:val="0"/>
                    <w:snapToGrid w:val="0"/>
                    <w:jc w:val="center"/>
                    <w:rPr>
                      <w:color w:val="auto"/>
                      <w:szCs w:val="21"/>
                    </w:rPr>
                  </w:pPr>
                  <w:r>
                    <w:rPr>
                      <w:color w:val="auto"/>
                      <w:szCs w:val="21"/>
                    </w:rPr>
                    <w:t>罐区</w:t>
                  </w:r>
                </w:p>
              </w:tc>
              <w:tc>
                <w:tcPr>
                  <w:tcW w:w="1154" w:type="pct"/>
                  <w:vAlign w:val="center"/>
                </w:tcPr>
                <w:p w14:paraId="044485DF">
                  <w:pPr>
                    <w:adjustRightInd w:val="0"/>
                    <w:snapToGrid w:val="0"/>
                    <w:jc w:val="center"/>
                    <w:rPr>
                      <w:color w:val="auto"/>
                      <w:szCs w:val="21"/>
                    </w:rPr>
                  </w:pPr>
                  <w:r>
                    <w:rPr>
                      <w:color w:val="auto"/>
                      <w:szCs w:val="21"/>
                    </w:rPr>
                    <w:t>设置1个30立方米废浆罐、4个50m³储浆罐和2台100m³储浆罐，占地面积约700m²</w:t>
                  </w:r>
                </w:p>
              </w:tc>
              <w:tc>
                <w:tcPr>
                  <w:tcW w:w="1237" w:type="pct"/>
                  <w:vAlign w:val="center"/>
                </w:tcPr>
                <w:p w14:paraId="53D07CE6">
                  <w:pPr>
                    <w:adjustRightInd w:val="0"/>
                    <w:snapToGrid w:val="0"/>
                    <w:jc w:val="center"/>
                    <w:rPr>
                      <w:color w:val="auto"/>
                      <w:szCs w:val="21"/>
                    </w:rPr>
                  </w:pPr>
                  <w:r>
                    <w:rPr>
                      <w:color w:val="auto"/>
                      <w:szCs w:val="21"/>
                    </w:rPr>
                    <w:t>新增2个300立方米废浆罐，占地面积约100m²</w:t>
                  </w:r>
                </w:p>
              </w:tc>
              <w:tc>
                <w:tcPr>
                  <w:tcW w:w="1320" w:type="pct"/>
                  <w:vAlign w:val="center"/>
                </w:tcPr>
                <w:p w14:paraId="005468F0">
                  <w:pPr>
                    <w:adjustRightInd w:val="0"/>
                    <w:snapToGrid w:val="0"/>
                    <w:jc w:val="center"/>
                    <w:rPr>
                      <w:color w:val="auto"/>
                      <w:szCs w:val="21"/>
                    </w:rPr>
                  </w:pPr>
                  <w:r>
                    <w:rPr>
                      <w:color w:val="auto"/>
                      <w:szCs w:val="21"/>
                    </w:rPr>
                    <w:t>设置3个30立方米废浆罐、4个50m³储浆罐和2台100m³储浆罐，占地面积约800m²</w:t>
                  </w:r>
                </w:p>
              </w:tc>
              <w:tc>
                <w:tcPr>
                  <w:tcW w:w="662" w:type="pct"/>
                  <w:vAlign w:val="center"/>
                </w:tcPr>
                <w:p w14:paraId="414A6973">
                  <w:pPr>
                    <w:adjustRightInd w:val="0"/>
                    <w:snapToGrid w:val="0"/>
                    <w:jc w:val="center"/>
                    <w:rPr>
                      <w:color w:val="auto"/>
                      <w:szCs w:val="21"/>
                    </w:rPr>
                  </w:pPr>
                  <w:r>
                    <w:rPr>
                      <w:rFonts w:hint="eastAsia"/>
                      <w:color w:val="auto"/>
                      <w:szCs w:val="21"/>
                    </w:rPr>
                    <w:t>部分依托现有，其余新建</w:t>
                  </w:r>
                </w:p>
              </w:tc>
            </w:tr>
            <w:tr w14:paraId="66B75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240" w:type="pct"/>
                  <w:vMerge w:val="restart"/>
                  <w:vAlign w:val="center"/>
                </w:tcPr>
                <w:p w14:paraId="72F1442F">
                  <w:pPr>
                    <w:adjustRightInd w:val="0"/>
                    <w:snapToGrid w:val="0"/>
                    <w:jc w:val="center"/>
                    <w:rPr>
                      <w:color w:val="auto"/>
                      <w:szCs w:val="21"/>
                    </w:rPr>
                  </w:pPr>
                  <w:r>
                    <w:rPr>
                      <w:color w:val="auto"/>
                      <w:szCs w:val="21"/>
                    </w:rPr>
                    <w:t>公用工程</w:t>
                  </w:r>
                </w:p>
              </w:tc>
              <w:tc>
                <w:tcPr>
                  <w:tcW w:w="384" w:type="pct"/>
                  <w:vAlign w:val="center"/>
                </w:tcPr>
                <w:p w14:paraId="2CD1A727">
                  <w:pPr>
                    <w:adjustRightInd w:val="0"/>
                    <w:snapToGrid w:val="0"/>
                    <w:jc w:val="center"/>
                    <w:rPr>
                      <w:color w:val="auto"/>
                      <w:szCs w:val="21"/>
                    </w:rPr>
                  </w:pPr>
                  <w:r>
                    <w:rPr>
                      <w:color w:val="auto"/>
                      <w:szCs w:val="21"/>
                    </w:rPr>
                    <w:t>供水</w:t>
                  </w:r>
                </w:p>
              </w:tc>
              <w:tc>
                <w:tcPr>
                  <w:tcW w:w="1154" w:type="pct"/>
                  <w:vAlign w:val="center"/>
                </w:tcPr>
                <w:p w14:paraId="02064230">
                  <w:pPr>
                    <w:adjustRightInd w:val="0"/>
                    <w:snapToGrid w:val="0"/>
                    <w:jc w:val="center"/>
                    <w:rPr>
                      <w:color w:val="auto"/>
                      <w:szCs w:val="21"/>
                    </w:rPr>
                  </w:pPr>
                  <w:r>
                    <w:rPr>
                      <w:color w:val="auto"/>
                      <w:szCs w:val="21"/>
                    </w:rPr>
                    <w:t>由当地供水管网供给</w:t>
                  </w:r>
                </w:p>
              </w:tc>
              <w:tc>
                <w:tcPr>
                  <w:tcW w:w="1237" w:type="pct"/>
                  <w:vAlign w:val="center"/>
                </w:tcPr>
                <w:p w14:paraId="4525D5B2">
                  <w:pPr>
                    <w:adjustRightInd w:val="0"/>
                    <w:snapToGrid w:val="0"/>
                    <w:jc w:val="center"/>
                    <w:rPr>
                      <w:color w:val="auto"/>
                      <w:szCs w:val="21"/>
                    </w:rPr>
                  </w:pPr>
                  <w:r>
                    <w:rPr>
                      <w:color w:val="auto"/>
                      <w:szCs w:val="21"/>
                    </w:rPr>
                    <w:t>依托现有，无变更</w:t>
                  </w:r>
                </w:p>
              </w:tc>
              <w:tc>
                <w:tcPr>
                  <w:tcW w:w="1320" w:type="pct"/>
                  <w:vAlign w:val="center"/>
                </w:tcPr>
                <w:p w14:paraId="5783F897">
                  <w:pPr>
                    <w:adjustRightInd w:val="0"/>
                    <w:snapToGrid w:val="0"/>
                    <w:jc w:val="center"/>
                    <w:rPr>
                      <w:color w:val="auto"/>
                      <w:szCs w:val="21"/>
                    </w:rPr>
                  </w:pPr>
                  <w:r>
                    <w:rPr>
                      <w:color w:val="auto"/>
                      <w:szCs w:val="21"/>
                    </w:rPr>
                    <w:t>由当地供水管网供给</w:t>
                  </w:r>
                </w:p>
              </w:tc>
              <w:tc>
                <w:tcPr>
                  <w:tcW w:w="662" w:type="pct"/>
                  <w:vAlign w:val="center"/>
                </w:tcPr>
                <w:p w14:paraId="7CE48B0C">
                  <w:pPr>
                    <w:adjustRightInd w:val="0"/>
                    <w:snapToGrid w:val="0"/>
                    <w:jc w:val="center"/>
                    <w:rPr>
                      <w:color w:val="auto"/>
                      <w:szCs w:val="21"/>
                    </w:rPr>
                  </w:pPr>
                  <w:r>
                    <w:rPr>
                      <w:color w:val="auto"/>
                      <w:szCs w:val="21"/>
                    </w:rPr>
                    <w:t>依托现有，无变更</w:t>
                  </w:r>
                </w:p>
              </w:tc>
            </w:tr>
            <w:tr w14:paraId="2E6FA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240" w:type="pct"/>
                  <w:vMerge w:val="continue"/>
                  <w:vAlign w:val="center"/>
                </w:tcPr>
                <w:p w14:paraId="2258F3C9">
                  <w:pPr>
                    <w:adjustRightInd w:val="0"/>
                    <w:snapToGrid w:val="0"/>
                    <w:jc w:val="center"/>
                    <w:rPr>
                      <w:color w:val="auto"/>
                      <w:szCs w:val="21"/>
                    </w:rPr>
                  </w:pPr>
                </w:p>
              </w:tc>
              <w:tc>
                <w:tcPr>
                  <w:tcW w:w="384" w:type="pct"/>
                  <w:vAlign w:val="center"/>
                </w:tcPr>
                <w:p w14:paraId="498D3465">
                  <w:pPr>
                    <w:jc w:val="center"/>
                    <w:rPr>
                      <w:color w:val="auto"/>
                      <w:szCs w:val="21"/>
                    </w:rPr>
                  </w:pPr>
                  <w:r>
                    <w:rPr>
                      <w:color w:val="auto"/>
                      <w:szCs w:val="21"/>
                    </w:rPr>
                    <w:t>供电</w:t>
                  </w:r>
                </w:p>
              </w:tc>
              <w:tc>
                <w:tcPr>
                  <w:tcW w:w="1154" w:type="pct"/>
                  <w:vAlign w:val="center"/>
                </w:tcPr>
                <w:p w14:paraId="491FE061">
                  <w:pPr>
                    <w:tabs>
                      <w:tab w:val="left" w:pos="3255"/>
                    </w:tabs>
                    <w:jc w:val="center"/>
                    <w:rPr>
                      <w:color w:val="auto"/>
                      <w:szCs w:val="21"/>
                    </w:rPr>
                  </w:pPr>
                  <w:r>
                    <w:rPr>
                      <w:color w:val="auto"/>
                      <w:szCs w:val="21"/>
                    </w:rPr>
                    <w:t>供电来自市政供电，供电量为290</w:t>
                  </w:r>
                  <w:r>
                    <w:rPr>
                      <w:color w:val="auto"/>
                      <w:kern w:val="0"/>
                      <w:szCs w:val="21"/>
                    </w:rPr>
                    <w:t>万kW·h/a</w:t>
                  </w:r>
                </w:p>
              </w:tc>
              <w:tc>
                <w:tcPr>
                  <w:tcW w:w="1237" w:type="pct"/>
                  <w:vAlign w:val="center"/>
                </w:tcPr>
                <w:p w14:paraId="66EFD356">
                  <w:pPr>
                    <w:jc w:val="center"/>
                    <w:rPr>
                      <w:color w:val="auto"/>
                      <w:szCs w:val="21"/>
                    </w:rPr>
                  </w:pPr>
                  <w:r>
                    <w:rPr>
                      <w:color w:val="auto"/>
                      <w:szCs w:val="21"/>
                    </w:rPr>
                    <w:t>供电来自市政供电，供电量为130</w:t>
                  </w:r>
                  <w:r>
                    <w:rPr>
                      <w:color w:val="auto"/>
                      <w:kern w:val="0"/>
                      <w:szCs w:val="21"/>
                    </w:rPr>
                    <w:t>kW·h/a</w:t>
                  </w:r>
                </w:p>
              </w:tc>
              <w:tc>
                <w:tcPr>
                  <w:tcW w:w="1320" w:type="pct"/>
                  <w:vAlign w:val="center"/>
                </w:tcPr>
                <w:p w14:paraId="198B6BE0">
                  <w:pPr>
                    <w:jc w:val="center"/>
                    <w:rPr>
                      <w:color w:val="auto"/>
                      <w:szCs w:val="21"/>
                    </w:rPr>
                  </w:pPr>
                  <w:r>
                    <w:rPr>
                      <w:color w:val="auto"/>
                      <w:szCs w:val="21"/>
                    </w:rPr>
                    <w:t>供电来自市政供电，供电量为310</w:t>
                  </w:r>
                  <w:r>
                    <w:rPr>
                      <w:color w:val="auto"/>
                      <w:kern w:val="0"/>
                      <w:szCs w:val="21"/>
                    </w:rPr>
                    <w:t>万kW·h/a</w:t>
                  </w:r>
                </w:p>
              </w:tc>
              <w:tc>
                <w:tcPr>
                  <w:tcW w:w="662" w:type="pct"/>
                  <w:vAlign w:val="center"/>
                </w:tcPr>
                <w:p w14:paraId="14B63DDB">
                  <w:pPr>
                    <w:jc w:val="center"/>
                    <w:rPr>
                      <w:color w:val="auto"/>
                      <w:szCs w:val="21"/>
                    </w:rPr>
                  </w:pPr>
                  <w:r>
                    <w:rPr>
                      <w:color w:val="auto"/>
                      <w:szCs w:val="21"/>
                    </w:rPr>
                    <w:t>增加130万kW·h/a</w:t>
                  </w:r>
                </w:p>
              </w:tc>
            </w:tr>
            <w:tr w14:paraId="058CB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240" w:type="pct"/>
                  <w:vMerge w:val="continue"/>
                  <w:vAlign w:val="center"/>
                </w:tcPr>
                <w:p w14:paraId="0C662D1A">
                  <w:pPr>
                    <w:adjustRightInd w:val="0"/>
                    <w:snapToGrid w:val="0"/>
                    <w:jc w:val="center"/>
                    <w:rPr>
                      <w:color w:val="auto"/>
                      <w:szCs w:val="21"/>
                    </w:rPr>
                  </w:pPr>
                </w:p>
              </w:tc>
              <w:tc>
                <w:tcPr>
                  <w:tcW w:w="384" w:type="pct"/>
                  <w:vAlign w:val="center"/>
                </w:tcPr>
                <w:p w14:paraId="46DCF538">
                  <w:pPr>
                    <w:jc w:val="center"/>
                    <w:rPr>
                      <w:color w:val="auto"/>
                      <w:szCs w:val="21"/>
                    </w:rPr>
                  </w:pPr>
                  <w:r>
                    <w:rPr>
                      <w:color w:val="auto"/>
                      <w:szCs w:val="21"/>
                    </w:rPr>
                    <w:t>排水</w:t>
                  </w:r>
                </w:p>
              </w:tc>
              <w:tc>
                <w:tcPr>
                  <w:tcW w:w="1154" w:type="pct"/>
                  <w:vAlign w:val="center"/>
                </w:tcPr>
                <w:p w14:paraId="25B836B8">
                  <w:pPr>
                    <w:tabs>
                      <w:tab w:val="left" w:pos="3255"/>
                    </w:tabs>
                    <w:jc w:val="center"/>
                    <w:rPr>
                      <w:color w:val="auto"/>
                      <w:szCs w:val="21"/>
                    </w:rPr>
                  </w:pPr>
                  <w:r>
                    <w:rPr>
                      <w:color w:val="auto"/>
                      <w:szCs w:val="21"/>
                    </w:rPr>
                    <w:t>雨污分流，生活污水经化粪池处理后定期清掏，不外排</w:t>
                  </w:r>
                </w:p>
              </w:tc>
              <w:tc>
                <w:tcPr>
                  <w:tcW w:w="1237" w:type="pct"/>
                  <w:vAlign w:val="center"/>
                </w:tcPr>
                <w:p w14:paraId="2717EE5D">
                  <w:pPr>
                    <w:jc w:val="center"/>
                    <w:rPr>
                      <w:color w:val="auto"/>
                      <w:szCs w:val="21"/>
                    </w:rPr>
                  </w:pPr>
                  <w:r>
                    <w:rPr>
                      <w:color w:val="auto"/>
                      <w:szCs w:val="21"/>
                    </w:rPr>
                    <w:t>依托现有，无变更</w:t>
                  </w:r>
                </w:p>
              </w:tc>
              <w:tc>
                <w:tcPr>
                  <w:tcW w:w="1320" w:type="pct"/>
                  <w:vAlign w:val="center"/>
                </w:tcPr>
                <w:p w14:paraId="5C201E21">
                  <w:pPr>
                    <w:jc w:val="center"/>
                    <w:rPr>
                      <w:color w:val="auto"/>
                      <w:szCs w:val="21"/>
                    </w:rPr>
                  </w:pPr>
                  <w:r>
                    <w:rPr>
                      <w:color w:val="auto"/>
                      <w:szCs w:val="21"/>
                    </w:rPr>
                    <w:t>雨污分流，生活污水经化粪池处理后定期清掏，不外排</w:t>
                  </w:r>
                </w:p>
              </w:tc>
              <w:tc>
                <w:tcPr>
                  <w:tcW w:w="662" w:type="pct"/>
                  <w:vAlign w:val="center"/>
                </w:tcPr>
                <w:p w14:paraId="5730C89B">
                  <w:pPr>
                    <w:jc w:val="center"/>
                    <w:rPr>
                      <w:color w:val="auto"/>
                      <w:szCs w:val="21"/>
                    </w:rPr>
                  </w:pPr>
                  <w:r>
                    <w:rPr>
                      <w:color w:val="auto"/>
                      <w:szCs w:val="21"/>
                    </w:rPr>
                    <w:t>依托现有，无变更</w:t>
                  </w:r>
                </w:p>
              </w:tc>
            </w:tr>
            <w:tr w14:paraId="56474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240" w:type="pct"/>
                  <w:vMerge w:val="continue"/>
                  <w:vAlign w:val="center"/>
                </w:tcPr>
                <w:p w14:paraId="03236F18">
                  <w:pPr>
                    <w:adjustRightInd w:val="0"/>
                    <w:snapToGrid w:val="0"/>
                    <w:jc w:val="center"/>
                    <w:rPr>
                      <w:color w:val="auto"/>
                      <w:szCs w:val="21"/>
                    </w:rPr>
                  </w:pPr>
                </w:p>
              </w:tc>
              <w:tc>
                <w:tcPr>
                  <w:tcW w:w="384" w:type="pct"/>
                  <w:vAlign w:val="center"/>
                </w:tcPr>
                <w:p w14:paraId="01699263">
                  <w:pPr>
                    <w:jc w:val="center"/>
                    <w:rPr>
                      <w:rFonts w:hint="eastAsia"/>
                      <w:color w:val="auto"/>
                      <w:szCs w:val="21"/>
                      <w:lang w:val="en-US" w:eastAsia="zh-CN"/>
                    </w:rPr>
                  </w:pPr>
                  <w:r>
                    <w:rPr>
                      <w:rFonts w:hint="eastAsia"/>
                      <w:color w:val="auto"/>
                      <w:szCs w:val="21"/>
                      <w:lang w:val="en-US" w:eastAsia="zh-CN"/>
                    </w:rPr>
                    <w:t>供热工程</w:t>
                  </w:r>
                </w:p>
                <w:p w14:paraId="65BEEC34">
                  <w:pPr>
                    <w:jc w:val="both"/>
                    <w:rPr>
                      <w:color w:val="auto"/>
                      <w:szCs w:val="21"/>
                    </w:rPr>
                  </w:pPr>
                </w:p>
              </w:tc>
              <w:tc>
                <w:tcPr>
                  <w:tcW w:w="1154" w:type="pct"/>
                  <w:vAlign w:val="center"/>
                </w:tcPr>
                <w:p w14:paraId="4A2188F4">
                  <w:pPr>
                    <w:tabs>
                      <w:tab w:val="left" w:pos="3255"/>
                    </w:tabs>
                    <w:jc w:val="center"/>
                    <w:rPr>
                      <w:color w:val="auto"/>
                      <w:szCs w:val="21"/>
                    </w:rPr>
                  </w:pPr>
                  <w:r>
                    <w:rPr>
                      <w:rFonts w:hint="eastAsia"/>
                      <w:color w:val="auto"/>
                      <w:szCs w:val="21"/>
                      <w:lang w:val="en-US" w:eastAsia="zh-CN"/>
                    </w:rPr>
                    <w:t>由天然气锅炉供热，天然气由</w:t>
                  </w:r>
                  <w:r>
                    <w:rPr>
                      <w:color w:val="auto"/>
                      <w:szCs w:val="21"/>
                    </w:rPr>
                    <w:t>燃气公司通过天然气管道输送，天然气用量为140万m³/a</w:t>
                  </w:r>
                </w:p>
              </w:tc>
              <w:tc>
                <w:tcPr>
                  <w:tcW w:w="1237" w:type="pct"/>
                  <w:vAlign w:val="center"/>
                </w:tcPr>
                <w:p w14:paraId="038FD0D4">
                  <w:pPr>
                    <w:jc w:val="center"/>
                    <w:rPr>
                      <w:rFonts w:hint="default" w:eastAsia="宋体"/>
                      <w:color w:val="auto"/>
                      <w:szCs w:val="21"/>
                      <w:lang w:val="en-US" w:eastAsia="zh-CN"/>
                    </w:rPr>
                  </w:pPr>
                  <w:r>
                    <w:rPr>
                      <w:color w:val="auto"/>
                      <w:szCs w:val="21"/>
                    </w:rPr>
                    <w:t>现</w:t>
                  </w:r>
                  <w:r>
                    <w:rPr>
                      <w:rFonts w:hint="eastAsia"/>
                      <w:color w:val="auto"/>
                      <w:szCs w:val="21"/>
                      <w:lang w:val="en-US" w:eastAsia="zh-CN"/>
                    </w:rPr>
                    <w:t>天然气锅炉改为备用锅炉，供热由</w:t>
                  </w:r>
                  <w:r>
                    <w:rPr>
                      <w:color w:val="auto"/>
                      <w:szCs w:val="21"/>
                    </w:rPr>
                    <w:t>由国能宿州热力有限公司供气，年用蒸汽量为36000m³/a</w:t>
                  </w:r>
                </w:p>
              </w:tc>
              <w:tc>
                <w:tcPr>
                  <w:tcW w:w="1320" w:type="pct"/>
                  <w:vAlign w:val="center"/>
                </w:tcPr>
                <w:p w14:paraId="3F4B13BB">
                  <w:pPr>
                    <w:jc w:val="center"/>
                    <w:rPr>
                      <w:color w:val="auto"/>
                      <w:szCs w:val="21"/>
                    </w:rPr>
                  </w:pPr>
                  <w:r>
                    <w:rPr>
                      <w:color w:val="auto"/>
                      <w:szCs w:val="21"/>
                    </w:rPr>
                    <w:t>现</w:t>
                  </w:r>
                  <w:r>
                    <w:rPr>
                      <w:rFonts w:hint="eastAsia"/>
                      <w:color w:val="auto"/>
                      <w:szCs w:val="21"/>
                      <w:lang w:val="en-US" w:eastAsia="zh-CN"/>
                    </w:rPr>
                    <w:t>天然气锅炉改为备用锅炉，供热由</w:t>
                  </w:r>
                  <w:r>
                    <w:rPr>
                      <w:color w:val="auto"/>
                      <w:szCs w:val="21"/>
                    </w:rPr>
                    <w:t>由国能宿州热力有限公司供气，年用蒸汽量为36000m³/a</w:t>
                  </w:r>
                </w:p>
              </w:tc>
              <w:tc>
                <w:tcPr>
                  <w:tcW w:w="662" w:type="pct"/>
                  <w:vAlign w:val="center"/>
                </w:tcPr>
                <w:p w14:paraId="3E40C80C">
                  <w:pPr>
                    <w:jc w:val="center"/>
                    <w:rPr>
                      <w:rFonts w:hint="default" w:eastAsia="宋体"/>
                      <w:color w:val="auto"/>
                      <w:szCs w:val="21"/>
                      <w:lang w:val="en-US" w:eastAsia="zh-CN"/>
                    </w:rPr>
                  </w:pPr>
                  <w:r>
                    <w:rPr>
                      <w:rFonts w:hint="eastAsia"/>
                      <w:color w:val="auto"/>
                      <w:szCs w:val="21"/>
                      <w:lang w:val="en-US" w:eastAsia="zh-CN"/>
                    </w:rPr>
                    <w:t>供热管网新建</w:t>
                  </w:r>
                </w:p>
              </w:tc>
            </w:tr>
            <w:tr w14:paraId="4253B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240" w:type="pct"/>
                  <w:vMerge w:val="restart"/>
                  <w:vAlign w:val="center"/>
                </w:tcPr>
                <w:p w14:paraId="205F8771">
                  <w:pPr>
                    <w:adjustRightInd w:val="0"/>
                    <w:snapToGrid w:val="0"/>
                    <w:jc w:val="center"/>
                    <w:rPr>
                      <w:color w:val="auto"/>
                      <w:szCs w:val="21"/>
                    </w:rPr>
                  </w:pPr>
                  <w:r>
                    <w:rPr>
                      <w:color w:val="auto"/>
                      <w:szCs w:val="21"/>
                    </w:rPr>
                    <w:t>环保工程</w:t>
                  </w:r>
                </w:p>
              </w:tc>
              <w:tc>
                <w:tcPr>
                  <w:tcW w:w="384" w:type="pct"/>
                  <w:vMerge w:val="restart"/>
                  <w:vAlign w:val="center"/>
                </w:tcPr>
                <w:p w14:paraId="0BDBAD3B">
                  <w:pPr>
                    <w:tabs>
                      <w:tab w:val="left" w:pos="3255"/>
                    </w:tabs>
                    <w:jc w:val="center"/>
                    <w:rPr>
                      <w:color w:val="auto"/>
                      <w:szCs w:val="21"/>
                    </w:rPr>
                  </w:pPr>
                  <w:r>
                    <w:rPr>
                      <w:color w:val="auto"/>
                      <w:szCs w:val="21"/>
                    </w:rPr>
                    <w:t>废水治理</w:t>
                  </w:r>
                </w:p>
              </w:tc>
              <w:tc>
                <w:tcPr>
                  <w:tcW w:w="1154" w:type="pct"/>
                  <w:vAlign w:val="center"/>
                </w:tcPr>
                <w:p w14:paraId="0591663C">
                  <w:pPr>
                    <w:tabs>
                      <w:tab w:val="left" w:pos="3255"/>
                    </w:tabs>
                    <w:jc w:val="center"/>
                    <w:rPr>
                      <w:color w:val="auto"/>
                      <w:szCs w:val="21"/>
                    </w:rPr>
                  </w:pPr>
                  <w:r>
                    <w:rPr>
                      <w:color w:val="auto"/>
                      <w:szCs w:val="21"/>
                    </w:rPr>
                    <w:t>生活污水经化粪池处理后定期清掏不外排</w:t>
                  </w:r>
                </w:p>
              </w:tc>
              <w:tc>
                <w:tcPr>
                  <w:tcW w:w="1237" w:type="pct"/>
                  <w:vAlign w:val="center"/>
                </w:tcPr>
                <w:p w14:paraId="360BCF4F">
                  <w:pPr>
                    <w:jc w:val="center"/>
                    <w:rPr>
                      <w:color w:val="auto"/>
                      <w:szCs w:val="21"/>
                    </w:rPr>
                  </w:pPr>
                  <w:r>
                    <w:rPr>
                      <w:color w:val="auto"/>
                      <w:szCs w:val="21"/>
                    </w:rPr>
                    <w:t>依托现有，无变更</w:t>
                  </w:r>
                </w:p>
              </w:tc>
              <w:tc>
                <w:tcPr>
                  <w:tcW w:w="1320" w:type="pct"/>
                  <w:vAlign w:val="center"/>
                </w:tcPr>
                <w:p w14:paraId="7E1CD66C">
                  <w:pPr>
                    <w:jc w:val="center"/>
                    <w:rPr>
                      <w:color w:val="auto"/>
                      <w:szCs w:val="21"/>
                    </w:rPr>
                  </w:pPr>
                  <w:r>
                    <w:rPr>
                      <w:color w:val="auto"/>
                      <w:szCs w:val="21"/>
                    </w:rPr>
                    <w:t>生活污水经化粪池处理后定期清掏不外排</w:t>
                  </w:r>
                </w:p>
              </w:tc>
              <w:tc>
                <w:tcPr>
                  <w:tcW w:w="662" w:type="pct"/>
                  <w:vAlign w:val="center"/>
                </w:tcPr>
                <w:p w14:paraId="335AED70">
                  <w:pPr>
                    <w:jc w:val="center"/>
                    <w:rPr>
                      <w:color w:val="auto"/>
                      <w:szCs w:val="21"/>
                    </w:rPr>
                  </w:pPr>
                  <w:r>
                    <w:rPr>
                      <w:color w:val="auto"/>
                      <w:szCs w:val="21"/>
                    </w:rPr>
                    <w:t>依托现有，无变更</w:t>
                  </w:r>
                </w:p>
              </w:tc>
            </w:tr>
            <w:tr w14:paraId="35963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240" w:type="pct"/>
                  <w:vMerge w:val="continue"/>
                  <w:vAlign w:val="center"/>
                </w:tcPr>
                <w:p w14:paraId="30CACAB1">
                  <w:pPr>
                    <w:adjustRightInd w:val="0"/>
                    <w:snapToGrid w:val="0"/>
                    <w:jc w:val="center"/>
                    <w:rPr>
                      <w:color w:val="auto"/>
                      <w:szCs w:val="21"/>
                    </w:rPr>
                  </w:pPr>
                </w:p>
              </w:tc>
              <w:tc>
                <w:tcPr>
                  <w:tcW w:w="384" w:type="pct"/>
                  <w:vMerge w:val="continue"/>
                  <w:vAlign w:val="center"/>
                </w:tcPr>
                <w:p w14:paraId="0A92D827">
                  <w:pPr>
                    <w:tabs>
                      <w:tab w:val="left" w:pos="3255"/>
                    </w:tabs>
                    <w:jc w:val="center"/>
                    <w:rPr>
                      <w:color w:val="auto"/>
                      <w:szCs w:val="21"/>
                    </w:rPr>
                  </w:pPr>
                </w:p>
              </w:tc>
              <w:tc>
                <w:tcPr>
                  <w:tcW w:w="1154" w:type="pct"/>
                  <w:vAlign w:val="center"/>
                </w:tcPr>
                <w:p w14:paraId="5A450482">
                  <w:pPr>
                    <w:tabs>
                      <w:tab w:val="left" w:pos="3255"/>
                    </w:tabs>
                    <w:jc w:val="center"/>
                    <w:rPr>
                      <w:rFonts w:hint="default" w:eastAsia="宋体"/>
                      <w:color w:val="auto"/>
                      <w:szCs w:val="21"/>
                      <w:lang w:val="en-US" w:eastAsia="zh-CN"/>
                    </w:rPr>
                  </w:pPr>
                  <w:r>
                    <w:rPr>
                      <w:rFonts w:hint="eastAsia"/>
                      <w:color w:val="auto"/>
                      <w:szCs w:val="21"/>
                      <w:lang w:val="en-US" w:eastAsia="zh-CN"/>
                    </w:rPr>
                    <w:t>设备清洗废水，球磨废水、地面冲洗废水经沉淀池沉淀后回用于生产</w:t>
                  </w:r>
                </w:p>
              </w:tc>
              <w:tc>
                <w:tcPr>
                  <w:tcW w:w="1237" w:type="pct"/>
                  <w:vAlign w:val="center"/>
                </w:tcPr>
                <w:p w14:paraId="0A39F0C3">
                  <w:pPr>
                    <w:jc w:val="center"/>
                    <w:rPr>
                      <w:rFonts w:hint="default" w:eastAsia="宋体"/>
                      <w:color w:val="auto"/>
                      <w:szCs w:val="21"/>
                      <w:lang w:val="en-US" w:eastAsia="zh-CN"/>
                    </w:rPr>
                  </w:pPr>
                  <w:r>
                    <w:rPr>
                      <w:rFonts w:hint="eastAsia"/>
                      <w:color w:val="auto"/>
                      <w:szCs w:val="21"/>
                      <w:lang w:val="en-US" w:eastAsia="zh-CN"/>
                    </w:rPr>
                    <w:t>新增球磨废水产生量废水经沉淀池沉淀后回用；车辆冲洗废水经洗车平台沉淀池沉淀后回用</w:t>
                  </w:r>
                </w:p>
              </w:tc>
              <w:tc>
                <w:tcPr>
                  <w:tcW w:w="1320" w:type="pct"/>
                  <w:vAlign w:val="center"/>
                </w:tcPr>
                <w:p w14:paraId="069F3CE8">
                  <w:pPr>
                    <w:jc w:val="center"/>
                    <w:rPr>
                      <w:color w:val="auto"/>
                      <w:szCs w:val="21"/>
                    </w:rPr>
                  </w:pPr>
                  <w:r>
                    <w:rPr>
                      <w:rFonts w:hint="eastAsia"/>
                      <w:color w:val="auto"/>
                      <w:szCs w:val="21"/>
                      <w:lang w:val="en-US" w:eastAsia="zh-CN"/>
                    </w:rPr>
                    <w:t>设备清洗废水，球磨废水、地面冲洗废水经沉淀池沉淀后回用于生产；车辆冲洗废水经洗车平台沉淀池沉淀后回用</w:t>
                  </w:r>
                </w:p>
              </w:tc>
              <w:tc>
                <w:tcPr>
                  <w:tcW w:w="662" w:type="pct"/>
                  <w:vAlign w:val="center"/>
                </w:tcPr>
                <w:p w14:paraId="60311CC3">
                  <w:pPr>
                    <w:jc w:val="center"/>
                    <w:rPr>
                      <w:rFonts w:hint="default" w:eastAsia="宋体"/>
                      <w:color w:val="auto"/>
                      <w:szCs w:val="21"/>
                      <w:lang w:val="en-US" w:eastAsia="zh-CN"/>
                    </w:rPr>
                  </w:pPr>
                  <w:r>
                    <w:rPr>
                      <w:rFonts w:hint="eastAsia"/>
                      <w:color w:val="auto"/>
                      <w:szCs w:val="21"/>
                      <w:lang w:val="en-US" w:eastAsia="zh-CN"/>
                    </w:rPr>
                    <w:t>部分依托现有，其余新建</w:t>
                  </w:r>
                </w:p>
              </w:tc>
            </w:tr>
            <w:tr w14:paraId="59904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240" w:type="pct"/>
                  <w:vMerge w:val="continue"/>
                  <w:vAlign w:val="center"/>
                </w:tcPr>
                <w:p w14:paraId="21046C36">
                  <w:pPr>
                    <w:adjustRightInd w:val="0"/>
                    <w:snapToGrid w:val="0"/>
                    <w:jc w:val="center"/>
                    <w:rPr>
                      <w:color w:val="auto"/>
                      <w:szCs w:val="21"/>
                    </w:rPr>
                  </w:pPr>
                </w:p>
              </w:tc>
              <w:tc>
                <w:tcPr>
                  <w:tcW w:w="384" w:type="pct"/>
                  <w:vMerge w:val="restart"/>
                  <w:vAlign w:val="center"/>
                </w:tcPr>
                <w:p w14:paraId="4209C8AE">
                  <w:pPr>
                    <w:tabs>
                      <w:tab w:val="left" w:pos="3255"/>
                    </w:tabs>
                    <w:jc w:val="center"/>
                    <w:rPr>
                      <w:color w:val="auto"/>
                      <w:szCs w:val="21"/>
                    </w:rPr>
                  </w:pPr>
                  <w:r>
                    <w:rPr>
                      <w:color w:val="auto"/>
                      <w:szCs w:val="21"/>
                    </w:rPr>
                    <w:t>废气治理</w:t>
                  </w:r>
                </w:p>
              </w:tc>
              <w:tc>
                <w:tcPr>
                  <w:tcW w:w="1154" w:type="pct"/>
                  <w:vAlign w:val="center"/>
                </w:tcPr>
                <w:p w14:paraId="0C648757">
                  <w:pPr>
                    <w:tabs>
                      <w:tab w:val="left" w:pos="3255"/>
                    </w:tabs>
                    <w:jc w:val="center"/>
                    <w:rPr>
                      <w:color w:val="auto"/>
                      <w:szCs w:val="21"/>
                    </w:rPr>
                  </w:pPr>
                  <w:r>
                    <w:rPr>
                      <w:color w:val="auto"/>
                    </w:rPr>
                    <w:t>锅炉燃烧废气</w:t>
                  </w:r>
                  <w:r>
                    <w:rPr>
                      <w:color w:val="auto"/>
                      <w:szCs w:val="21"/>
                    </w:rPr>
                    <w:t>低氮燃烧技术，废气经16m高排气筒排放（DA001）</w:t>
                  </w:r>
                </w:p>
              </w:tc>
              <w:tc>
                <w:tcPr>
                  <w:tcW w:w="1237" w:type="pct"/>
                  <w:vAlign w:val="center"/>
                </w:tcPr>
                <w:p w14:paraId="07A8DD11">
                  <w:pPr>
                    <w:tabs>
                      <w:tab w:val="left" w:pos="3255"/>
                    </w:tabs>
                    <w:jc w:val="center"/>
                    <w:rPr>
                      <w:color w:val="auto"/>
                      <w:szCs w:val="21"/>
                    </w:rPr>
                  </w:pPr>
                  <w:r>
                    <w:rPr>
                      <w:color w:val="auto"/>
                      <w:szCs w:val="21"/>
                    </w:rPr>
                    <w:t>依托现有，无变更</w:t>
                  </w:r>
                </w:p>
              </w:tc>
              <w:tc>
                <w:tcPr>
                  <w:tcW w:w="1320" w:type="pct"/>
                  <w:vAlign w:val="center"/>
                </w:tcPr>
                <w:p w14:paraId="74357B16">
                  <w:pPr>
                    <w:tabs>
                      <w:tab w:val="left" w:pos="3255"/>
                    </w:tabs>
                    <w:jc w:val="center"/>
                    <w:rPr>
                      <w:color w:val="auto"/>
                      <w:szCs w:val="21"/>
                    </w:rPr>
                  </w:pPr>
                  <w:r>
                    <w:rPr>
                      <w:color w:val="auto"/>
                    </w:rPr>
                    <w:t>备用锅炉燃烧废气</w:t>
                  </w:r>
                  <w:r>
                    <w:rPr>
                      <w:color w:val="auto"/>
                      <w:szCs w:val="21"/>
                    </w:rPr>
                    <w:t>低氮燃烧技术，废气经16m高排气筒排放（DA001）</w:t>
                  </w:r>
                </w:p>
              </w:tc>
              <w:tc>
                <w:tcPr>
                  <w:tcW w:w="662" w:type="pct"/>
                  <w:vAlign w:val="center"/>
                </w:tcPr>
                <w:p w14:paraId="42BFF7BF">
                  <w:pPr>
                    <w:jc w:val="center"/>
                    <w:rPr>
                      <w:color w:val="auto"/>
                      <w:szCs w:val="21"/>
                    </w:rPr>
                  </w:pPr>
                  <w:r>
                    <w:rPr>
                      <w:color w:val="auto"/>
                      <w:szCs w:val="21"/>
                    </w:rPr>
                    <w:t>依托现有，无变更</w:t>
                  </w:r>
                  <w:r>
                    <w:rPr>
                      <w:rFonts w:hint="eastAsia"/>
                      <w:color w:val="auto"/>
                      <w:szCs w:val="21"/>
                    </w:rPr>
                    <w:t>，现锅炉已作为备用锅炉</w:t>
                  </w:r>
                </w:p>
              </w:tc>
            </w:tr>
            <w:tr w14:paraId="317A5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240" w:type="pct"/>
                  <w:vMerge w:val="continue"/>
                  <w:vAlign w:val="center"/>
                </w:tcPr>
                <w:p w14:paraId="0EAE8A09">
                  <w:pPr>
                    <w:adjustRightInd w:val="0"/>
                    <w:snapToGrid w:val="0"/>
                    <w:jc w:val="center"/>
                    <w:rPr>
                      <w:color w:val="auto"/>
                      <w:szCs w:val="21"/>
                    </w:rPr>
                  </w:pPr>
                </w:p>
              </w:tc>
              <w:tc>
                <w:tcPr>
                  <w:tcW w:w="384" w:type="pct"/>
                  <w:vMerge w:val="continue"/>
                  <w:vAlign w:val="center"/>
                </w:tcPr>
                <w:p w14:paraId="58F23424">
                  <w:pPr>
                    <w:tabs>
                      <w:tab w:val="left" w:pos="3255"/>
                    </w:tabs>
                    <w:jc w:val="center"/>
                    <w:rPr>
                      <w:color w:val="auto"/>
                      <w:szCs w:val="21"/>
                    </w:rPr>
                  </w:pPr>
                </w:p>
              </w:tc>
              <w:tc>
                <w:tcPr>
                  <w:tcW w:w="1154" w:type="pct"/>
                  <w:vAlign w:val="center"/>
                </w:tcPr>
                <w:p w14:paraId="5EC71DBF">
                  <w:pPr>
                    <w:tabs>
                      <w:tab w:val="left" w:pos="3255"/>
                    </w:tabs>
                    <w:jc w:val="center"/>
                    <w:rPr>
                      <w:rFonts w:hint="default" w:eastAsia="宋体"/>
                      <w:color w:val="auto"/>
                      <w:szCs w:val="21"/>
                      <w:lang w:val="en-US" w:eastAsia="zh-CN"/>
                    </w:rPr>
                  </w:pPr>
                  <w:r>
                    <w:rPr>
                      <w:rFonts w:hint="eastAsia"/>
                      <w:color w:val="auto"/>
                      <w:szCs w:val="21"/>
                      <w:lang w:val="en-US" w:eastAsia="zh-CN"/>
                    </w:rPr>
                    <w:t>破碎、筛分设备设置在密闭车间内，车间配置喷淋装置，洒水抑尘，</w:t>
                  </w:r>
                  <w:r>
                    <w:rPr>
                      <w:color w:val="auto"/>
                      <w:szCs w:val="21"/>
                    </w:rPr>
                    <w:t>破碎、筛分工序粉尘经布袋除尘处理后车间内无组织排放</w:t>
                  </w:r>
                </w:p>
              </w:tc>
              <w:tc>
                <w:tcPr>
                  <w:tcW w:w="1237" w:type="pct"/>
                  <w:vAlign w:val="center"/>
                </w:tcPr>
                <w:p w14:paraId="17CD0BF8">
                  <w:pPr>
                    <w:tabs>
                      <w:tab w:val="left" w:pos="3255"/>
                    </w:tabs>
                    <w:jc w:val="center"/>
                    <w:rPr>
                      <w:color w:val="auto"/>
                      <w:szCs w:val="21"/>
                    </w:rPr>
                  </w:pPr>
                  <w:r>
                    <w:rPr>
                      <w:rFonts w:hint="eastAsia"/>
                      <w:color w:val="auto"/>
                      <w:szCs w:val="21"/>
                      <w:lang w:val="en-US" w:eastAsia="zh-CN"/>
                    </w:rPr>
                    <w:t>依托原有密闭车间及喷淋装置，</w:t>
                  </w:r>
                  <w:r>
                    <w:rPr>
                      <w:color w:val="auto"/>
                      <w:szCs w:val="21"/>
                    </w:rPr>
                    <w:t>破碎、筛分工序粉尘</w:t>
                  </w:r>
                  <w:r>
                    <w:rPr>
                      <w:rFonts w:hint="eastAsia"/>
                      <w:color w:val="auto"/>
                      <w:szCs w:val="21"/>
                      <w:lang w:val="en-US" w:eastAsia="zh-CN"/>
                    </w:rPr>
                    <w:t>采用</w:t>
                  </w:r>
                  <w:r>
                    <w:rPr>
                      <w:color w:val="auto"/>
                      <w:szCs w:val="21"/>
                    </w:rPr>
                    <w:t>集气罩+软帘+高效布袋除尘器处理后通过15m高排气筒排放（DA002）</w:t>
                  </w:r>
                </w:p>
              </w:tc>
              <w:tc>
                <w:tcPr>
                  <w:tcW w:w="1320" w:type="pct"/>
                  <w:vAlign w:val="center"/>
                </w:tcPr>
                <w:p w14:paraId="3050EBEE">
                  <w:pPr>
                    <w:tabs>
                      <w:tab w:val="left" w:pos="3255"/>
                    </w:tabs>
                    <w:jc w:val="center"/>
                    <w:rPr>
                      <w:color w:val="auto"/>
                      <w:szCs w:val="21"/>
                    </w:rPr>
                  </w:pPr>
                  <w:r>
                    <w:rPr>
                      <w:rFonts w:hint="eastAsia"/>
                      <w:color w:val="auto"/>
                      <w:szCs w:val="21"/>
                      <w:lang w:val="en-US" w:eastAsia="zh-CN"/>
                    </w:rPr>
                    <w:t>破碎、筛分设备设置在密闭车间内，车间配置喷淋装置，洒水抑尘，</w:t>
                  </w:r>
                  <w:r>
                    <w:rPr>
                      <w:color w:val="auto"/>
                      <w:szCs w:val="21"/>
                    </w:rPr>
                    <w:t>破碎、筛分工序粉尘经集气罩收集+高效布袋除尘器处理后通过15m高排气筒排放（DA002）</w:t>
                  </w:r>
                </w:p>
              </w:tc>
              <w:tc>
                <w:tcPr>
                  <w:tcW w:w="662" w:type="pct"/>
                  <w:vAlign w:val="center"/>
                </w:tcPr>
                <w:p w14:paraId="2B77E433">
                  <w:pPr>
                    <w:jc w:val="center"/>
                    <w:rPr>
                      <w:rFonts w:hint="default" w:eastAsia="宋体"/>
                      <w:color w:val="auto"/>
                      <w:szCs w:val="21"/>
                      <w:lang w:val="en-US" w:eastAsia="zh-CN"/>
                    </w:rPr>
                  </w:pPr>
                  <w:r>
                    <w:rPr>
                      <w:rFonts w:hint="eastAsia"/>
                      <w:color w:val="auto"/>
                      <w:szCs w:val="21"/>
                      <w:lang w:val="en-US" w:eastAsia="zh-CN"/>
                    </w:rPr>
                    <w:t>企业将无组织废气改造为有组织排放</w:t>
                  </w:r>
                </w:p>
              </w:tc>
            </w:tr>
            <w:tr w14:paraId="5AEC2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240" w:type="pct"/>
                  <w:vMerge w:val="continue"/>
                  <w:vAlign w:val="center"/>
                </w:tcPr>
                <w:p w14:paraId="3C85D405">
                  <w:pPr>
                    <w:adjustRightInd w:val="0"/>
                    <w:snapToGrid w:val="0"/>
                    <w:jc w:val="center"/>
                    <w:rPr>
                      <w:color w:val="auto"/>
                      <w:szCs w:val="21"/>
                    </w:rPr>
                  </w:pPr>
                </w:p>
              </w:tc>
              <w:tc>
                <w:tcPr>
                  <w:tcW w:w="384" w:type="pct"/>
                  <w:vMerge w:val="continue"/>
                  <w:vAlign w:val="center"/>
                </w:tcPr>
                <w:p w14:paraId="75239689">
                  <w:pPr>
                    <w:tabs>
                      <w:tab w:val="left" w:pos="3255"/>
                    </w:tabs>
                    <w:jc w:val="center"/>
                    <w:rPr>
                      <w:color w:val="auto"/>
                      <w:szCs w:val="21"/>
                    </w:rPr>
                  </w:pPr>
                </w:p>
              </w:tc>
              <w:tc>
                <w:tcPr>
                  <w:tcW w:w="1154" w:type="pct"/>
                  <w:vAlign w:val="center"/>
                </w:tcPr>
                <w:p w14:paraId="7152F3FD">
                  <w:pPr>
                    <w:tabs>
                      <w:tab w:val="left" w:pos="3255"/>
                    </w:tabs>
                    <w:jc w:val="center"/>
                    <w:rPr>
                      <w:color w:val="auto"/>
                      <w:szCs w:val="21"/>
                    </w:rPr>
                  </w:pPr>
                  <w:r>
                    <w:rPr>
                      <w:rFonts w:hint="eastAsia"/>
                      <w:color w:val="auto"/>
                      <w:szCs w:val="21"/>
                      <w:lang w:val="en-US" w:eastAsia="zh-CN"/>
                    </w:rPr>
                    <w:t>搅拌设备设置在密闭车间内，车间配置喷淋装置，洒水抑尘，</w:t>
                  </w:r>
                  <w:r>
                    <w:rPr>
                      <w:color w:val="auto"/>
                      <w:szCs w:val="21"/>
                    </w:rPr>
                    <w:t>搅拌工序粉尘经布袋除尘器处理后车间内无组织排放</w:t>
                  </w:r>
                </w:p>
              </w:tc>
              <w:tc>
                <w:tcPr>
                  <w:tcW w:w="1237" w:type="pct"/>
                  <w:vAlign w:val="center"/>
                </w:tcPr>
                <w:p w14:paraId="1667123F">
                  <w:pPr>
                    <w:tabs>
                      <w:tab w:val="left" w:pos="3255"/>
                    </w:tabs>
                    <w:jc w:val="center"/>
                    <w:rPr>
                      <w:color w:val="auto"/>
                      <w:szCs w:val="21"/>
                    </w:rPr>
                  </w:pPr>
                  <w:r>
                    <w:rPr>
                      <w:rFonts w:hint="eastAsia"/>
                      <w:color w:val="auto"/>
                      <w:szCs w:val="21"/>
                      <w:lang w:val="en-US" w:eastAsia="zh-CN"/>
                    </w:rPr>
                    <w:t>依托现有密闭车间以及车间配置喷淋装置，洒水抑尘，</w:t>
                  </w:r>
                  <w:r>
                    <w:rPr>
                      <w:color w:val="auto"/>
                      <w:szCs w:val="21"/>
                    </w:rPr>
                    <w:t>搅拌工序粉尘经集气罩+软帘+高效布袋除尘器处理后通过15m高排气筒排放（DA003）</w:t>
                  </w:r>
                </w:p>
              </w:tc>
              <w:tc>
                <w:tcPr>
                  <w:tcW w:w="1320" w:type="pct"/>
                  <w:vAlign w:val="center"/>
                </w:tcPr>
                <w:p w14:paraId="0B33AC91">
                  <w:pPr>
                    <w:tabs>
                      <w:tab w:val="left" w:pos="3255"/>
                    </w:tabs>
                    <w:jc w:val="center"/>
                    <w:rPr>
                      <w:color w:val="auto"/>
                      <w:szCs w:val="21"/>
                    </w:rPr>
                  </w:pPr>
                  <w:r>
                    <w:rPr>
                      <w:rFonts w:hint="eastAsia"/>
                      <w:color w:val="auto"/>
                      <w:szCs w:val="21"/>
                      <w:lang w:val="en-US" w:eastAsia="zh-CN"/>
                    </w:rPr>
                    <w:t>搅拌设备设置在密闭车间内，车间配置喷淋装置，洒水抑尘，</w:t>
                  </w:r>
                  <w:r>
                    <w:rPr>
                      <w:color w:val="auto"/>
                      <w:szCs w:val="21"/>
                    </w:rPr>
                    <w:t>搅拌工序粉尘经集气罩+软帘+高效布袋除尘器处理后通过15m高排气筒排放（DA003）</w:t>
                  </w:r>
                </w:p>
              </w:tc>
              <w:tc>
                <w:tcPr>
                  <w:tcW w:w="662" w:type="pct"/>
                  <w:vAlign w:val="center"/>
                </w:tcPr>
                <w:p w14:paraId="586FFA8F">
                  <w:pPr>
                    <w:jc w:val="center"/>
                    <w:rPr>
                      <w:color w:val="auto"/>
                      <w:szCs w:val="21"/>
                    </w:rPr>
                  </w:pPr>
                  <w:r>
                    <w:rPr>
                      <w:color w:val="auto"/>
                      <w:szCs w:val="21"/>
                    </w:rPr>
                    <w:t>新建</w:t>
                  </w:r>
                </w:p>
              </w:tc>
            </w:tr>
            <w:tr w14:paraId="72058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40" w:type="pct"/>
                  <w:vMerge w:val="continue"/>
                  <w:vAlign w:val="center"/>
                </w:tcPr>
                <w:p w14:paraId="31E7C68D">
                  <w:pPr>
                    <w:adjustRightInd w:val="0"/>
                    <w:snapToGrid w:val="0"/>
                    <w:jc w:val="center"/>
                    <w:rPr>
                      <w:color w:val="auto"/>
                      <w:szCs w:val="21"/>
                    </w:rPr>
                  </w:pPr>
                </w:p>
              </w:tc>
              <w:tc>
                <w:tcPr>
                  <w:tcW w:w="384" w:type="pct"/>
                  <w:vMerge w:val="continue"/>
                  <w:vAlign w:val="center"/>
                </w:tcPr>
                <w:p w14:paraId="23B8E2C5">
                  <w:pPr>
                    <w:tabs>
                      <w:tab w:val="left" w:pos="3255"/>
                    </w:tabs>
                    <w:jc w:val="center"/>
                    <w:rPr>
                      <w:color w:val="auto"/>
                      <w:szCs w:val="21"/>
                    </w:rPr>
                  </w:pPr>
                </w:p>
              </w:tc>
              <w:tc>
                <w:tcPr>
                  <w:tcW w:w="1154" w:type="pct"/>
                  <w:vAlign w:val="center"/>
                </w:tcPr>
                <w:p w14:paraId="06E0675A">
                  <w:pPr>
                    <w:tabs>
                      <w:tab w:val="left" w:pos="3255"/>
                    </w:tabs>
                    <w:jc w:val="center"/>
                    <w:rPr>
                      <w:color w:val="auto"/>
                      <w:szCs w:val="21"/>
                    </w:rPr>
                  </w:pPr>
                  <w:r>
                    <w:rPr>
                      <w:color w:val="auto"/>
                      <w:szCs w:val="21"/>
                    </w:rPr>
                    <w:t>水泥筒仓呼吸废气经仓顶除尘器处理后高空排放</w:t>
                  </w:r>
                </w:p>
              </w:tc>
              <w:tc>
                <w:tcPr>
                  <w:tcW w:w="1237" w:type="pct"/>
                  <w:vAlign w:val="center"/>
                </w:tcPr>
                <w:p w14:paraId="69E99B9E">
                  <w:pPr>
                    <w:tabs>
                      <w:tab w:val="left" w:pos="3255"/>
                    </w:tabs>
                    <w:jc w:val="center"/>
                    <w:rPr>
                      <w:color w:val="auto"/>
                      <w:szCs w:val="21"/>
                    </w:rPr>
                  </w:pPr>
                  <w:r>
                    <w:rPr>
                      <w:color w:val="auto"/>
                      <w:szCs w:val="21"/>
                    </w:rPr>
                    <w:t>依托现有，无变更</w:t>
                  </w:r>
                </w:p>
              </w:tc>
              <w:tc>
                <w:tcPr>
                  <w:tcW w:w="1320" w:type="pct"/>
                  <w:vAlign w:val="center"/>
                </w:tcPr>
                <w:p w14:paraId="4203F7E1">
                  <w:pPr>
                    <w:tabs>
                      <w:tab w:val="left" w:pos="3255"/>
                    </w:tabs>
                    <w:jc w:val="center"/>
                    <w:rPr>
                      <w:color w:val="auto"/>
                      <w:szCs w:val="21"/>
                    </w:rPr>
                  </w:pPr>
                  <w:r>
                    <w:rPr>
                      <w:color w:val="auto"/>
                      <w:szCs w:val="21"/>
                    </w:rPr>
                    <w:t>水泥筒仓呼吸废气经仓顶除尘器处理后高空排放</w:t>
                  </w:r>
                </w:p>
              </w:tc>
              <w:tc>
                <w:tcPr>
                  <w:tcW w:w="662" w:type="pct"/>
                  <w:vAlign w:val="center"/>
                </w:tcPr>
                <w:p w14:paraId="2D4959C4">
                  <w:pPr>
                    <w:jc w:val="center"/>
                    <w:rPr>
                      <w:color w:val="auto"/>
                      <w:szCs w:val="21"/>
                    </w:rPr>
                  </w:pPr>
                  <w:r>
                    <w:rPr>
                      <w:color w:val="auto"/>
                      <w:szCs w:val="21"/>
                    </w:rPr>
                    <w:t>依托现有，无变更</w:t>
                  </w:r>
                </w:p>
              </w:tc>
            </w:tr>
            <w:tr w14:paraId="557EC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240" w:type="pct"/>
                  <w:vMerge w:val="continue"/>
                  <w:vAlign w:val="center"/>
                </w:tcPr>
                <w:p w14:paraId="58BFBDD5">
                  <w:pPr>
                    <w:adjustRightInd w:val="0"/>
                    <w:snapToGrid w:val="0"/>
                    <w:jc w:val="center"/>
                    <w:rPr>
                      <w:color w:val="auto"/>
                      <w:szCs w:val="21"/>
                    </w:rPr>
                  </w:pPr>
                </w:p>
              </w:tc>
              <w:tc>
                <w:tcPr>
                  <w:tcW w:w="384" w:type="pct"/>
                  <w:vMerge w:val="continue"/>
                  <w:vAlign w:val="center"/>
                </w:tcPr>
                <w:p w14:paraId="4EE27E41">
                  <w:pPr>
                    <w:tabs>
                      <w:tab w:val="left" w:pos="3255"/>
                    </w:tabs>
                    <w:jc w:val="center"/>
                    <w:rPr>
                      <w:color w:val="auto"/>
                      <w:szCs w:val="21"/>
                    </w:rPr>
                  </w:pPr>
                </w:p>
              </w:tc>
              <w:tc>
                <w:tcPr>
                  <w:tcW w:w="1154" w:type="pct"/>
                  <w:vAlign w:val="center"/>
                </w:tcPr>
                <w:p w14:paraId="62125057">
                  <w:pPr>
                    <w:tabs>
                      <w:tab w:val="left" w:pos="3255"/>
                    </w:tabs>
                    <w:jc w:val="center"/>
                    <w:rPr>
                      <w:color w:val="auto"/>
                      <w:szCs w:val="21"/>
                    </w:rPr>
                  </w:pPr>
                  <w:r>
                    <w:rPr>
                      <w:color w:val="auto"/>
                      <w:szCs w:val="21"/>
                    </w:rPr>
                    <w:t>粉煤灰筒仓呼吸废气经仓顶除尘器处理后高空排放</w:t>
                  </w:r>
                </w:p>
              </w:tc>
              <w:tc>
                <w:tcPr>
                  <w:tcW w:w="1237" w:type="pct"/>
                  <w:vAlign w:val="center"/>
                </w:tcPr>
                <w:p w14:paraId="73A0F371">
                  <w:pPr>
                    <w:tabs>
                      <w:tab w:val="left" w:pos="3255"/>
                    </w:tabs>
                    <w:jc w:val="center"/>
                    <w:rPr>
                      <w:color w:val="auto"/>
                      <w:szCs w:val="21"/>
                    </w:rPr>
                  </w:pPr>
                  <w:r>
                    <w:rPr>
                      <w:color w:val="auto"/>
                      <w:szCs w:val="21"/>
                    </w:rPr>
                    <w:t>新增</w:t>
                  </w:r>
                  <w:r>
                    <w:rPr>
                      <w:rFonts w:hint="eastAsia"/>
                      <w:color w:val="auto"/>
                      <w:szCs w:val="21"/>
                    </w:rPr>
                    <w:t>一个150t</w:t>
                  </w:r>
                  <w:r>
                    <w:rPr>
                      <w:color w:val="auto"/>
                      <w:szCs w:val="21"/>
                    </w:rPr>
                    <w:t>粉煤灰筒仓</w:t>
                  </w:r>
                  <w:r>
                    <w:rPr>
                      <w:rFonts w:hint="eastAsia"/>
                      <w:color w:val="auto"/>
                      <w:szCs w:val="21"/>
                    </w:rPr>
                    <w:t>，</w:t>
                  </w:r>
                  <w:r>
                    <w:rPr>
                      <w:color w:val="auto"/>
                      <w:szCs w:val="21"/>
                    </w:rPr>
                    <w:t>呼吸废气经仓顶除尘器处理后高空排放</w:t>
                  </w:r>
                </w:p>
              </w:tc>
              <w:tc>
                <w:tcPr>
                  <w:tcW w:w="1320" w:type="pct"/>
                  <w:vAlign w:val="center"/>
                </w:tcPr>
                <w:p w14:paraId="00A82E17">
                  <w:pPr>
                    <w:tabs>
                      <w:tab w:val="left" w:pos="3255"/>
                    </w:tabs>
                    <w:jc w:val="center"/>
                    <w:rPr>
                      <w:color w:val="auto"/>
                      <w:szCs w:val="21"/>
                    </w:rPr>
                  </w:pPr>
                  <w:r>
                    <w:rPr>
                      <w:color w:val="auto"/>
                      <w:szCs w:val="21"/>
                    </w:rPr>
                    <w:t>粉煤灰筒仓呼吸废气经仓顶除尘器处理后高空排放</w:t>
                  </w:r>
                </w:p>
              </w:tc>
              <w:tc>
                <w:tcPr>
                  <w:tcW w:w="662" w:type="pct"/>
                  <w:vAlign w:val="center"/>
                </w:tcPr>
                <w:p w14:paraId="4EFCDB88">
                  <w:pPr>
                    <w:jc w:val="center"/>
                    <w:rPr>
                      <w:color w:val="auto"/>
                      <w:szCs w:val="21"/>
                    </w:rPr>
                  </w:pPr>
                  <w:r>
                    <w:rPr>
                      <w:color w:val="auto"/>
                      <w:szCs w:val="21"/>
                    </w:rPr>
                    <w:t>部分依托现有，其余新建</w:t>
                  </w:r>
                </w:p>
              </w:tc>
            </w:tr>
            <w:tr w14:paraId="612DD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40" w:type="pct"/>
                  <w:vMerge w:val="continue"/>
                  <w:vAlign w:val="center"/>
                </w:tcPr>
                <w:p w14:paraId="7C7ACC03">
                  <w:pPr>
                    <w:tabs>
                      <w:tab w:val="left" w:pos="3255"/>
                    </w:tabs>
                    <w:jc w:val="center"/>
                    <w:rPr>
                      <w:color w:val="auto"/>
                    </w:rPr>
                  </w:pPr>
                </w:p>
              </w:tc>
              <w:tc>
                <w:tcPr>
                  <w:tcW w:w="384" w:type="pct"/>
                  <w:vMerge w:val="continue"/>
                  <w:vAlign w:val="center"/>
                </w:tcPr>
                <w:p w14:paraId="0DF17A2A">
                  <w:pPr>
                    <w:tabs>
                      <w:tab w:val="left" w:pos="3255"/>
                    </w:tabs>
                    <w:jc w:val="center"/>
                    <w:rPr>
                      <w:color w:val="auto"/>
                    </w:rPr>
                  </w:pPr>
                </w:p>
              </w:tc>
              <w:tc>
                <w:tcPr>
                  <w:tcW w:w="1154" w:type="pct"/>
                  <w:vAlign w:val="center"/>
                </w:tcPr>
                <w:p w14:paraId="03E86677">
                  <w:pPr>
                    <w:tabs>
                      <w:tab w:val="left" w:pos="3255"/>
                    </w:tabs>
                    <w:jc w:val="center"/>
                    <w:rPr>
                      <w:color w:val="auto"/>
                    </w:rPr>
                  </w:pPr>
                  <w:r>
                    <w:rPr>
                      <w:color w:val="auto"/>
                    </w:rPr>
                    <w:t>原料堆放场粉尘经洒水抑尘、厂房封闭等措施降尘；汽车车辆运输起尘经设置洗车台、洒水抑尘</w:t>
                  </w:r>
                  <w:r>
                    <w:rPr>
                      <w:rFonts w:hint="eastAsia"/>
                      <w:color w:val="auto"/>
                      <w:lang w:eastAsia="zh-CN"/>
                    </w:rPr>
                    <w:t>，</w:t>
                  </w:r>
                  <w:r>
                    <w:rPr>
                      <w:rFonts w:hint="eastAsia"/>
                      <w:color w:val="auto"/>
                      <w:lang w:val="en-US" w:eastAsia="zh-CN"/>
                    </w:rPr>
                    <w:t>皮带输送机采取封闭式输送</w:t>
                  </w:r>
                  <w:r>
                    <w:rPr>
                      <w:color w:val="auto"/>
                    </w:rPr>
                    <w:t>等措施降尘</w:t>
                  </w:r>
                </w:p>
              </w:tc>
              <w:tc>
                <w:tcPr>
                  <w:tcW w:w="1237" w:type="pct"/>
                  <w:vAlign w:val="center"/>
                </w:tcPr>
                <w:p w14:paraId="05AFA878">
                  <w:pPr>
                    <w:tabs>
                      <w:tab w:val="left" w:pos="3255"/>
                    </w:tabs>
                    <w:jc w:val="center"/>
                    <w:rPr>
                      <w:color w:val="auto"/>
                    </w:rPr>
                  </w:pPr>
                  <w:r>
                    <w:rPr>
                      <w:color w:val="auto"/>
                      <w:szCs w:val="21"/>
                    </w:rPr>
                    <w:t>依托现有，无变更</w:t>
                  </w:r>
                </w:p>
              </w:tc>
              <w:tc>
                <w:tcPr>
                  <w:tcW w:w="1320" w:type="pct"/>
                  <w:vAlign w:val="center"/>
                </w:tcPr>
                <w:p w14:paraId="3EDEB0C7">
                  <w:pPr>
                    <w:tabs>
                      <w:tab w:val="left" w:pos="3255"/>
                    </w:tabs>
                    <w:jc w:val="center"/>
                    <w:rPr>
                      <w:color w:val="auto"/>
                      <w:szCs w:val="21"/>
                    </w:rPr>
                  </w:pPr>
                  <w:r>
                    <w:rPr>
                      <w:color w:val="auto"/>
                    </w:rPr>
                    <w:t>原料堆放场粉尘经洒水抑尘、厂房封闭等措施降尘；汽车车辆运输起尘经设置洗车台、洒水抑尘</w:t>
                  </w:r>
                  <w:r>
                    <w:rPr>
                      <w:rFonts w:hint="eastAsia"/>
                      <w:color w:val="auto"/>
                      <w:lang w:eastAsia="zh-CN"/>
                    </w:rPr>
                    <w:t>，</w:t>
                  </w:r>
                  <w:r>
                    <w:rPr>
                      <w:rFonts w:hint="eastAsia"/>
                      <w:color w:val="auto"/>
                      <w:lang w:val="en-US" w:eastAsia="zh-CN"/>
                    </w:rPr>
                    <w:t>皮带输送机采取封闭式输送</w:t>
                  </w:r>
                  <w:r>
                    <w:rPr>
                      <w:color w:val="auto"/>
                    </w:rPr>
                    <w:t>等措施降尘</w:t>
                  </w:r>
                </w:p>
              </w:tc>
              <w:tc>
                <w:tcPr>
                  <w:tcW w:w="662" w:type="pct"/>
                  <w:vAlign w:val="center"/>
                </w:tcPr>
                <w:p w14:paraId="00308A14">
                  <w:pPr>
                    <w:tabs>
                      <w:tab w:val="left" w:pos="3255"/>
                    </w:tabs>
                    <w:jc w:val="center"/>
                    <w:rPr>
                      <w:color w:val="auto"/>
                    </w:rPr>
                  </w:pPr>
                  <w:r>
                    <w:rPr>
                      <w:color w:val="auto"/>
                      <w:szCs w:val="21"/>
                    </w:rPr>
                    <w:t>依托现有，无变更</w:t>
                  </w:r>
                </w:p>
              </w:tc>
            </w:tr>
            <w:tr w14:paraId="5A021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240" w:type="pct"/>
                  <w:vMerge w:val="continue"/>
                  <w:vAlign w:val="center"/>
                </w:tcPr>
                <w:p w14:paraId="36588DEC">
                  <w:pPr>
                    <w:adjustRightInd w:val="0"/>
                    <w:snapToGrid w:val="0"/>
                    <w:jc w:val="center"/>
                    <w:rPr>
                      <w:color w:val="auto"/>
                      <w:szCs w:val="21"/>
                    </w:rPr>
                  </w:pPr>
                </w:p>
              </w:tc>
              <w:tc>
                <w:tcPr>
                  <w:tcW w:w="384" w:type="pct"/>
                  <w:vAlign w:val="center"/>
                </w:tcPr>
                <w:p w14:paraId="7E4965C8">
                  <w:pPr>
                    <w:tabs>
                      <w:tab w:val="left" w:pos="3255"/>
                    </w:tabs>
                    <w:jc w:val="center"/>
                    <w:rPr>
                      <w:color w:val="auto"/>
                      <w:szCs w:val="21"/>
                    </w:rPr>
                  </w:pPr>
                  <w:r>
                    <w:rPr>
                      <w:color w:val="auto"/>
                      <w:szCs w:val="21"/>
                    </w:rPr>
                    <w:t>噪声治理</w:t>
                  </w:r>
                </w:p>
              </w:tc>
              <w:tc>
                <w:tcPr>
                  <w:tcW w:w="1154" w:type="pct"/>
                  <w:vAlign w:val="center"/>
                </w:tcPr>
                <w:p w14:paraId="60D29BB2">
                  <w:pPr>
                    <w:tabs>
                      <w:tab w:val="left" w:pos="3255"/>
                    </w:tabs>
                    <w:jc w:val="center"/>
                    <w:rPr>
                      <w:color w:val="auto"/>
                      <w:szCs w:val="21"/>
                    </w:rPr>
                  </w:pPr>
                  <w:r>
                    <w:rPr>
                      <w:color w:val="auto"/>
                      <w:szCs w:val="21"/>
                    </w:rPr>
                    <w:t>采取厂房隔声、基础减振等降噪措施降低噪声污染</w:t>
                  </w:r>
                </w:p>
              </w:tc>
              <w:tc>
                <w:tcPr>
                  <w:tcW w:w="1237" w:type="pct"/>
                  <w:vAlign w:val="center"/>
                </w:tcPr>
                <w:p w14:paraId="0AABE731">
                  <w:pPr>
                    <w:jc w:val="center"/>
                    <w:rPr>
                      <w:color w:val="auto"/>
                      <w:spacing w:val="4"/>
                      <w:szCs w:val="21"/>
                    </w:rPr>
                  </w:pPr>
                  <w:r>
                    <w:rPr>
                      <w:color w:val="auto"/>
                      <w:spacing w:val="4"/>
                      <w:szCs w:val="21"/>
                    </w:rPr>
                    <w:t>新增设备采取厂房隔声、</w:t>
                  </w:r>
                  <w:r>
                    <w:rPr>
                      <w:color w:val="auto"/>
                      <w:szCs w:val="21"/>
                    </w:rPr>
                    <w:t>基础减振等降噪措施降低噪声污染</w:t>
                  </w:r>
                </w:p>
              </w:tc>
              <w:tc>
                <w:tcPr>
                  <w:tcW w:w="1320" w:type="pct"/>
                  <w:vAlign w:val="center"/>
                </w:tcPr>
                <w:p w14:paraId="7FD0E903">
                  <w:pPr>
                    <w:jc w:val="center"/>
                    <w:rPr>
                      <w:color w:val="auto"/>
                      <w:szCs w:val="21"/>
                    </w:rPr>
                  </w:pPr>
                  <w:r>
                    <w:rPr>
                      <w:color w:val="auto"/>
                      <w:szCs w:val="21"/>
                    </w:rPr>
                    <w:t>采取厂房隔声、基础减振等降噪措施降低噪声污染</w:t>
                  </w:r>
                </w:p>
              </w:tc>
              <w:tc>
                <w:tcPr>
                  <w:tcW w:w="662" w:type="pct"/>
                  <w:vAlign w:val="center"/>
                </w:tcPr>
                <w:p w14:paraId="0C880A5C">
                  <w:pPr>
                    <w:jc w:val="center"/>
                    <w:rPr>
                      <w:color w:val="auto"/>
                      <w:szCs w:val="21"/>
                    </w:rPr>
                  </w:pPr>
                  <w:r>
                    <w:rPr>
                      <w:color w:val="auto"/>
                      <w:szCs w:val="21"/>
                    </w:rPr>
                    <w:t>部分依托现有，新增噪声采取</w:t>
                  </w:r>
                  <w:r>
                    <w:rPr>
                      <w:color w:val="auto"/>
                      <w:spacing w:val="4"/>
                      <w:szCs w:val="21"/>
                    </w:rPr>
                    <w:t>厂房隔声</w:t>
                  </w:r>
                  <w:r>
                    <w:rPr>
                      <w:rFonts w:hint="eastAsia"/>
                      <w:color w:val="auto"/>
                      <w:spacing w:val="4"/>
                      <w:szCs w:val="21"/>
                      <w:lang w:eastAsia="zh-CN"/>
                    </w:rPr>
                    <w:t>，</w:t>
                  </w:r>
                  <w:r>
                    <w:rPr>
                      <w:color w:val="auto"/>
                      <w:szCs w:val="21"/>
                    </w:rPr>
                    <w:t>基座减振</w:t>
                  </w:r>
                </w:p>
              </w:tc>
            </w:tr>
            <w:tr w14:paraId="495DA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240" w:type="pct"/>
                  <w:vMerge w:val="continue"/>
                  <w:vAlign w:val="center"/>
                </w:tcPr>
                <w:p w14:paraId="1E6DEEF8">
                  <w:pPr>
                    <w:adjustRightInd w:val="0"/>
                    <w:snapToGrid w:val="0"/>
                    <w:jc w:val="center"/>
                    <w:rPr>
                      <w:color w:val="auto"/>
                      <w:szCs w:val="21"/>
                    </w:rPr>
                  </w:pPr>
                </w:p>
              </w:tc>
              <w:tc>
                <w:tcPr>
                  <w:tcW w:w="384" w:type="pct"/>
                  <w:vMerge w:val="restart"/>
                  <w:vAlign w:val="center"/>
                </w:tcPr>
                <w:p w14:paraId="7A75713D">
                  <w:pPr>
                    <w:tabs>
                      <w:tab w:val="left" w:pos="3255"/>
                    </w:tabs>
                    <w:jc w:val="center"/>
                    <w:rPr>
                      <w:color w:val="auto"/>
                      <w:szCs w:val="21"/>
                    </w:rPr>
                  </w:pPr>
                  <w:r>
                    <w:rPr>
                      <w:color w:val="auto"/>
                      <w:szCs w:val="21"/>
                    </w:rPr>
                    <w:t>固废治理</w:t>
                  </w:r>
                </w:p>
              </w:tc>
              <w:tc>
                <w:tcPr>
                  <w:tcW w:w="1154" w:type="pct"/>
                  <w:vAlign w:val="center"/>
                </w:tcPr>
                <w:p w14:paraId="06862680">
                  <w:pPr>
                    <w:tabs>
                      <w:tab w:val="left" w:pos="3255"/>
                    </w:tabs>
                    <w:jc w:val="center"/>
                    <w:rPr>
                      <w:color w:val="auto"/>
                      <w:szCs w:val="21"/>
                    </w:rPr>
                  </w:pPr>
                  <w:r>
                    <w:rPr>
                      <w:color w:val="auto"/>
                      <w:szCs w:val="21"/>
                    </w:rPr>
                    <w:t>生活垃圾定期委托环卫部门统一清运</w:t>
                  </w:r>
                </w:p>
              </w:tc>
              <w:tc>
                <w:tcPr>
                  <w:tcW w:w="1237" w:type="pct"/>
                  <w:vAlign w:val="center"/>
                </w:tcPr>
                <w:p w14:paraId="637FC15B">
                  <w:pPr>
                    <w:jc w:val="center"/>
                    <w:rPr>
                      <w:color w:val="auto"/>
                      <w:szCs w:val="21"/>
                    </w:rPr>
                  </w:pPr>
                  <w:r>
                    <w:rPr>
                      <w:color w:val="auto"/>
                      <w:szCs w:val="21"/>
                    </w:rPr>
                    <w:t>依托现有，无变更</w:t>
                  </w:r>
                </w:p>
              </w:tc>
              <w:tc>
                <w:tcPr>
                  <w:tcW w:w="1320" w:type="pct"/>
                  <w:vAlign w:val="center"/>
                </w:tcPr>
                <w:p w14:paraId="3729BD7D">
                  <w:pPr>
                    <w:jc w:val="center"/>
                    <w:rPr>
                      <w:color w:val="auto"/>
                      <w:szCs w:val="21"/>
                    </w:rPr>
                  </w:pPr>
                  <w:r>
                    <w:rPr>
                      <w:color w:val="auto"/>
                      <w:szCs w:val="21"/>
                    </w:rPr>
                    <w:t>生活垃圾定期委托环卫部门统一清运</w:t>
                  </w:r>
                </w:p>
              </w:tc>
              <w:tc>
                <w:tcPr>
                  <w:tcW w:w="662" w:type="pct"/>
                  <w:vAlign w:val="center"/>
                </w:tcPr>
                <w:p w14:paraId="575740CC">
                  <w:pPr>
                    <w:jc w:val="center"/>
                    <w:rPr>
                      <w:color w:val="auto"/>
                      <w:szCs w:val="21"/>
                    </w:rPr>
                  </w:pPr>
                  <w:r>
                    <w:rPr>
                      <w:color w:val="auto"/>
                      <w:szCs w:val="21"/>
                    </w:rPr>
                    <w:t>依托现有，无变更</w:t>
                  </w:r>
                </w:p>
              </w:tc>
            </w:tr>
            <w:tr w14:paraId="1C51C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7" w:hRule="atLeast"/>
                <w:jc w:val="center"/>
              </w:trPr>
              <w:tc>
                <w:tcPr>
                  <w:tcW w:w="240" w:type="pct"/>
                  <w:vMerge w:val="continue"/>
                  <w:vAlign w:val="center"/>
                </w:tcPr>
                <w:p w14:paraId="2963BD68">
                  <w:pPr>
                    <w:adjustRightInd w:val="0"/>
                    <w:snapToGrid w:val="0"/>
                    <w:jc w:val="center"/>
                    <w:rPr>
                      <w:color w:val="auto"/>
                      <w:szCs w:val="21"/>
                    </w:rPr>
                  </w:pPr>
                </w:p>
              </w:tc>
              <w:tc>
                <w:tcPr>
                  <w:tcW w:w="384" w:type="pct"/>
                  <w:vMerge w:val="continue"/>
                  <w:vAlign w:val="center"/>
                </w:tcPr>
                <w:p w14:paraId="726619BE">
                  <w:pPr>
                    <w:tabs>
                      <w:tab w:val="left" w:pos="3255"/>
                    </w:tabs>
                    <w:jc w:val="center"/>
                    <w:rPr>
                      <w:color w:val="auto"/>
                      <w:szCs w:val="21"/>
                    </w:rPr>
                  </w:pPr>
                </w:p>
              </w:tc>
              <w:tc>
                <w:tcPr>
                  <w:tcW w:w="1154" w:type="pct"/>
                  <w:vAlign w:val="center"/>
                </w:tcPr>
                <w:p w14:paraId="51F67B7E">
                  <w:pPr>
                    <w:tabs>
                      <w:tab w:val="left" w:pos="3255"/>
                    </w:tabs>
                    <w:jc w:val="center"/>
                    <w:rPr>
                      <w:color w:val="auto"/>
                      <w:szCs w:val="21"/>
                    </w:rPr>
                  </w:pPr>
                  <w:r>
                    <w:rPr>
                      <w:color w:val="auto"/>
                      <w:szCs w:val="21"/>
                    </w:rPr>
                    <w:t>位于原料车间东北角设置一座50m²一般固废暂存间，主要收集的一般固废为不合格产品、废包装材料等</w:t>
                  </w:r>
                </w:p>
              </w:tc>
              <w:tc>
                <w:tcPr>
                  <w:tcW w:w="1237" w:type="pct"/>
                  <w:vAlign w:val="center"/>
                </w:tcPr>
                <w:p w14:paraId="77EC7925">
                  <w:pPr>
                    <w:jc w:val="center"/>
                    <w:rPr>
                      <w:color w:val="auto"/>
                      <w:szCs w:val="21"/>
                    </w:rPr>
                  </w:pPr>
                  <w:r>
                    <w:rPr>
                      <w:color w:val="auto"/>
                      <w:szCs w:val="21"/>
                    </w:rPr>
                    <w:t>依托现有，无变更</w:t>
                  </w:r>
                </w:p>
              </w:tc>
              <w:tc>
                <w:tcPr>
                  <w:tcW w:w="1320" w:type="pct"/>
                  <w:vAlign w:val="center"/>
                </w:tcPr>
                <w:p w14:paraId="45F0819E">
                  <w:pPr>
                    <w:jc w:val="center"/>
                    <w:rPr>
                      <w:color w:val="auto"/>
                      <w:szCs w:val="21"/>
                    </w:rPr>
                  </w:pPr>
                  <w:r>
                    <w:rPr>
                      <w:color w:val="auto"/>
                      <w:szCs w:val="21"/>
                    </w:rPr>
                    <w:t>位于原料车间东北角设置一座50m²一般固废暂存间，主要收集的一般固废为不合格产品、废包装材料等</w:t>
                  </w:r>
                </w:p>
              </w:tc>
              <w:tc>
                <w:tcPr>
                  <w:tcW w:w="662" w:type="pct"/>
                  <w:vAlign w:val="center"/>
                </w:tcPr>
                <w:p w14:paraId="36A969EF">
                  <w:pPr>
                    <w:jc w:val="center"/>
                    <w:rPr>
                      <w:color w:val="auto"/>
                      <w:szCs w:val="21"/>
                    </w:rPr>
                  </w:pPr>
                  <w:r>
                    <w:rPr>
                      <w:color w:val="auto"/>
                      <w:szCs w:val="21"/>
                    </w:rPr>
                    <w:t>依托现有，无变更</w:t>
                  </w:r>
                </w:p>
              </w:tc>
            </w:tr>
            <w:tr w14:paraId="32F25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1" w:hRule="atLeast"/>
                <w:jc w:val="center"/>
              </w:trPr>
              <w:tc>
                <w:tcPr>
                  <w:tcW w:w="240" w:type="pct"/>
                  <w:vMerge w:val="continue"/>
                  <w:vAlign w:val="center"/>
                </w:tcPr>
                <w:p w14:paraId="073FB976">
                  <w:pPr>
                    <w:adjustRightInd w:val="0"/>
                    <w:snapToGrid w:val="0"/>
                    <w:jc w:val="center"/>
                    <w:rPr>
                      <w:color w:val="auto"/>
                      <w:szCs w:val="21"/>
                    </w:rPr>
                  </w:pPr>
                </w:p>
              </w:tc>
              <w:tc>
                <w:tcPr>
                  <w:tcW w:w="384" w:type="pct"/>
                  <w:vMerge w:val="continue"/>
                  <w:vAlign w:val="center"/>
                </w:tcPr>
                <w:p w14:paraId="32BAA834">
                  <w:pPr>
                    <w:tabs>
                      <w:tab w:val="left" w:pos="3255"/>
                    </w:tabs>
                    <w:jc w:val="center"/>
                    <w:rPr>
                      <w:color w:val="auto"/>
                      <w:szCs w:val="21"/>
                    </w:rPr>
                  </w:pPr>
                </w:p>
              </w:tc>
              <w:tc>
                <w:tcPr>
                  <w:tcW w:w="1154" w:type="pct"/>
                  <w:vAlign w:val="center"/>
                </w:tcPr>
                <w:p w14:paraId="3DD39F8B">
                  <w:pPr>
                    <w:tabs>
                      <w:tab w:val="left" w:pos="3255"/>
                    </w:tabs>
                    <w:jc w:val="center"/>
                    <w:rPr>
                      <w:color w:val="auto"/>
                      <w:szCs w:val="21"/>
                    </w:rPr>
                  </w:pPr>
                  <w:r>
                    <w:rPr>
                      <w:color w:val="auto"/>
                      <w:szCs w:val="21"/>
                    </w:rPr>
                    <w:t>/</w:t>
                  </w:r>
                </w:p>
              </w:tc>
              <w:tc>
                <w:tcPr>
                  <w:tcW w:w="1237" w:type="pct"/>
                  <w:vAlign w:val="center"/>
                </w:tcPr>
                <w:p w14:paraId="7A9C6A5D">
                  <w:pPr>
                    <w:jc w:val="center"/>
                    <w:rPr>
                      <w:color w:val="auto"/>
                      <w:szCs w:val="21"/>
                    </w:rPr>
                  </w:pPr>
                  <w:r>
                    <w:rPr>
                      <w:color w:val="auto"/>
                      <w:szCs w:val="21"/>
                    </w:rPr>
                    <w:t>位于</w:t>
                  </w:r>
                  <w:r>
                    <w:rPr>
                      <w:rFonts w:hint="eastAsia"/>
                      <w:color w:val="auto"/>
                      <w:szCs w:val="21"/>
                    </w:rPr>
                    <w:t>厂区东侧</w:t>
                  </w:r>
                  <w:r>
                    <w:rPr>
                      <w:color w:val="auto"/>
                      <w:szCs w:val="21"/>
                    </w:rPr>
                    <w:t>设置一座10m²危险废物暂存间，产生的废机油、废机油桶暂存于危险废物暂存间，委托有资质单位处置</w:t>
                  </w:r>
                </w:p>
              </w:tc>
              <w:tc>
                <w:tcPr>
                  <w:tcW w:w="1320" w:type="pct"/>
                  <w:vAlign w:val="center"/>
                </w:tcPr>
                <w:p w14:paraId="5DA96DF1">
                  <w:pPr>
                    <w:jc w:val="center"/>
                    <w:rPr>
                      <w:color w:val="auto"/>
                      <w:szCs w:val="21"/>
                    </w:rPr>
                  </w:pPr>
                  <w:r>
                    <w:rPr>
                      <w:color w:val="auto"/>
                      <w:szCs w:val="21"/>
                    </w:rPr>
                    <w:t>位于厂区东侧设置一座10m²危险废物暂存间，产生的废机油、废机油桶暂存于危险废物暂存间，委托有资质单位处置</w:t>
                  </w:r>
                </w:p>
              </w:tc>
              <w:tc>
                <w:tcPr>
                  <w:tcW w:w="662" w:type="pct"/>
                  <w:vAlign w:val="center"/>
                </w:tcPr>
                <w:p w14:paraId="47EB8FA4">
                  <w:pPr>
                    <w:jc w:val="center"/>
                    <w:rPr>
                      <w:color w:val="auto"/>
                      <w:szCs w:val="21"/>
                    </w:rPr>
                  </w:pPr>
                  <w:r>
                    <w:rPr>
                      <w:color w:val="auto"/>
                      <w:szCs w:val="21"/>
                    </w:rPr>
                    <w:t>新建危废暂存间</w:t>
                  </w:r>
                </w:p>
              </w:tc>
            </w:tr>
            <w:tr w14:paraId="4627F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7" w:hRule="atLeast"/>
                <w:jc w:val="center"/>
              </w:trPr>
              <w:tc>
                <w:tcPr>
                  <w:tcW w:w="240" w:type="pct"/>
                  <w:vMerge w:val="continue"/>
                  <w:vAlign w:val="center"/>
                </w:tcPr>
                <w:p w14:paraId="173E9C7C">
                  <w:pPr>
                    <w:adjustRightInd w:val="0"/>
                    <w:snapToGrid w:val="0"/>
                    <w:jc w:val="center"/>
                    <w:rPr>
                      <w:color w:val="auto"/>
                      <w:szCs w:val="21"/>
                    </w:rPr>
                  </w:pPr>
                </w:p>
              </w:tc>
              <w:tc>
                <w:tcPr>
                  <w:tcW w:w="384" w:type="pct"/>
                  <w:vAlign w:val="center"/>
                </w:tcPr>
                <w:p w14:paraId="58060B86">
                  <w:pPr>
                    <w:tabs>
                      <w:tab w:val="left" w:pos="3255"/>
                    </w:tabs>
                    <w:jc w:val="center"/>
                    <w:rPr>
                      <w:color w:val="auto"/>
                      <w:szCs w:val="21"/>
                    </w:rPr>
                  </w:pPr>
                  <w:r>
                    <w:rPr>
                      <w:color w:val="auto"/>
                      <w:szCs w:val="21"/>
                    </w:rPr>
                    <w:t>土壤及地下水污染防治</w:t>
                  </w:r>
                </w:p>
              </w:tc>
              <w:tc>
                <w:tcPr>
                  <w:tcW w:w="1154" w:type="pct"/>
                  <w:vAlign w:val="center"/>
                </w:tcPr>
                <w:p w14:paraId="7AF502A5">
                  <w:pPr>
                    <w:tabs>
                      <w:tab w:val="left" w:pos="3255"/>
                    </w:tabs>
                    <w:jc w:val="center"/>
                    <w:rPr>
                      <w:color w:val="auto"/>
                      <w:szCs w:val="21"/>
                    </w:rPr>
                  </w:pPr>
                  <w:r>
                    <w:rPr>
                      <w:color w:val="auto"/>
                      <w:szCs w:val="21"/>
                    </w:rPr>
                    <w:t>分区防渗：分为重点防渗和一般防渗区。重点防渗包括：危险废物暂存间，化粪池、沉淀池。其他区域做一般防渗</w:t>
                  </w:r>
                </w:p>
              </w:tc>
              <w:tc>
                <w:tcPr>
                  <w:tcW w:w="1237" w:type="pct"/>
                  <w:vAlign w:val="center"/>
                </w:tcPr>
                <w:p w14:paraId="24737485">
                  <w:pPr>
                    <w:jc w:val="center"/>
                    <w:rPr>
                      <w:color w:val="auto"/>
                      <w:szCs w:val="21"/>
                    </w:rPr>
                  </w:pPr>
                  <w:r>
                    <w:rPr>
                      <w:color w:val="auto"/>
                      <w:szCs w:val="21"/>
                    </w:rPr>
                    <w:t>扩建部分厂房区域设置一般防渗。</w:t>
                  </w:r>
                </w:p>
              </w:tc>
              <w:tc>
                <w:tcPr>
                  <w:tcW w:w="1320" w:type="pct"/>
                  <w:vAlign w:val="center"/>
                </w:tcPr>
                <w:p w14:paraId="7C49E077">
                  <w:pPr>
                    <w:jc w:val="center"/>
                    <w:rPr>
                      <w:bCs/>
                      <w:color w:val="auto"/>
                      <w:szCs w:val="21"/>
                    </w:rPr>
                  </w:pPr>
                  <w:r>
                    <w:rPr>
                      <w:color w:val="auto"/>
                      <w:szCs w:val="21"/>
                    </w:rPr>
                    <w:t>分区防渗：分为重点防渗和一般防渗区。重点防渗包括：危险废物暂存间，化粪池、沉淀池。其他区域做一般防渗</w:t>
                  </w:r>
                </w:p>
              </w:tc>
              <w:tc>
                <w:tcPr>
                  <w:tcW w:w="662" w:type="pct"/>
                  <w:vAlign w:val="center"/>
                </w:tcPr>
                <w:p w14:paraId="39352061">
                  <w:pPr>
                    <w:jc w:val="center"/>
                    <w:rPr>
                      <w:color w:val="auto"/>
                      <w:szCs w:val="21"/>
                    </w:rPr>
                  </w:pPr>
                  <w:r>
                    <w:rPr>
                      <w:color w:val="auto"/>
                      <w:szCs w:val="21"/>
                    </w:rPr>
                    <w:t>部分依托现有，扩建部分厂房采取</w:t>
                  </w:r>
                  <w:r>
                    <w:rPr>
                      <w:rFonts w:hint="eastAsia"/>
                      <w:color w:val="auto"/>
                      <w:szCs w:val="21"/>
                    </w:rPr>
                    <w:t>一般防渗</w:t>
                  </w:r>
                </w:p>
              </w:tc>
            </w:tr>
            <w:tr w14:paraId="68C90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0" w:type="pct"/>
                  <w:vMerge w:val="continue"/>
                  <w:vAlign w:val="center"/>
                </w:tcPr>
                <w:p w14:paraId="069AF87F">
                  <w:pPr>
                    <w:adjustRightInd w:val="0"/>
                    <w:snapToGrid w:val="0"/>
                    <w:jc w:val="center"/>
                    <w:rPr>
                      <w:color w:val="auto"/>
                      <w:szCs w:val="21"/>
                    </w:rPr>
                  </w:pPr>
                </w:p>
              </w:tc>
              <w:tc>
                <w:tcPr>
                  <w:tcW w:w="384" w:type="pct"/>
                  <w:vAlign w:val="center"/>
                </w:tcPr>
                <w:p w14:paraId="023BC993">
                  <w:pPr>
                    <w:tabs>
                      <w:tab w:val="left" w:pos="3255"/>
                    </w:tabs>
                    <w:jc w:val="center"/>
                    <w:rPr>
                      <w:color w:val="auto"/>
                      <w:szCs w:val="21"/>
                    </w:rPr>
                  </w:pPr>
                  <w:r>
                    <w:rPr>
                      <w:color w:val="auto"/>
                      <w:szCs w:val="21"/>
                    </w:rPr>
                    <w:t>风险防范</w:t>
                  </w:r>
                </w:p>
              </w:tc>
              <w:tc>
                <w:tcPr>
                  <w:tcW w:w="1154" w:type="pct"/>
                  <w:vAlign w:val="center"/>
                </w:tcPr>
                <w:p w14:paraId="4AB0D109">
                  <w:pPr>
                    <w:tabs>
                      <w:tab w:val="left" w:pos="3255"/>
                    </w:tabs>
                    <w:jc w:val="center"/>
                    <w:rPr>
                      <w:color w:val="auto"/>
                      <w:szCs w:val="21"/>
                    </w:rPr>
                  </w:pPr>
                  <w:r>
                    <w:rPr>
                      <w:color w:val="auto"/>
                      <w:szCs w:val="21"/>
                    </w:rPr>
                    <w:t>合理安全储存原辅料，定期对破碎机等设备进行安全状况检查，车间内配置相应的消防设备、设施和灭火器；制定严格的运行操作规章制度，发生火灾、爆炸事故后，灭火的同时疏散周边无关人员；制定应急预案等</w:t>
                  </w:r>
                </w:p>
              </w:tc>
              <w:tc>
                <w:tcPr>
                  <w:tcW w:w="1237" w:type="pct"/>
                  <w:vAlign w:val="center"/>
                </w:tcPr>
                <w:p w14:paraId="7C502ECB">
                  <w:pPr>
                    <w:jc w:val="center"/>
                    <w:rPr>
                      <w:color w:val="auto"/>
                      <w:szCs w:val="21"/>
                    </w:rPr>
                  </w:pPr>
                  <w:r>
                    <w:rPr>
                      <w:color w:val="auto"/>
                      <w:szCs w:val="21"/>
                    </w:rPr>
                    <w:t>定期对废气环保设备进行检查，委托第三方检测公司进行例行检测确保废气达标排放；发现环保设施无法正常运行时应立即停止生产，进行检修；针对危险废物暂存间配备灭火器及沙土，防止火灾和废机油泄露事故的发生</w:t>
                  </w:r>
                </w:p>
              </w:tc>
              <w:tc>
                <w:tcPr>
                  <w:tcW w:w="1320" w:type="pct"/>
                  <w:vAlign w:val="center"/>
                </w:tcPr>
                <w:p w14:paraId="2B202180">
                  <w:pPr>
                    <w:jc w:val="center"/>
                    <w:rPr>
                      <w:color w:val="auto"/>
                      <w:szCs w:val="21"/>
                    </w:rPr>
                  </w:pPr>
                  <w:r>
                    <w:rPr>
                      <w:color w:val="auto"/>
                      <w:szCs w:val="21"/>
                    </w:rPr>
                    <w:t>合理安全储存原辅料，定期对破碎机等设备进行安全状况检查，车间内配置相应的消防设备、设施和灭火器；制定严格的运行操作规章制度，发生火灾、爆炸事故后，灭火的同时疏散周边无关人员；制定应急预案等，定期对废气环保设备进行检查，委托第三方检测公司进行例行检测确保废气达标排放；发现环保设施无法正常运行时应立即停止生产，进行检修；针对危险废物暂存间配备灭火器及沙土，防止火灾和废机油泄露事故的发生</w:t>
                  </w:r>
                </w:p>
              </w:tc>
              <w:tc>
                <w:tcPr>
                  <w:tcW w:w="662" w:type="pct"/>
                  <w:vAlign w:val="center"/>
                </w:tcPr>
                <w:p w14:paraId="0AB1F9CE">
                  <w:pPr>
                    <w:jc w:val="center"/>
                    <w:rPr>
                      <w:color w:val="auto"/>
                      <w:szCs w:val="21"/>
                    </w:rPr>
                  </w:pPr>
                  <w:r>
                    <w:rPr>
                      <w:color w:val="auto"/>
                      <w:szCs w:val="21"/>
                    </w:rPr>
                    <w:t>/</w:t>
                  </w:r>
                </w:p>
              </w:tc>
            </w:tr>
          </w:tbl>
          <w:p w14:paraId="02194606">
            <w:pPr>
              <w:spacing w:line="360" w:lineRule="auto"/>
              <w:rPr>
                <w:b/>
                <w:iCs/>
                <w:color w:val="auto"/>
                <w:sz w:val="24"/>
              </w:rPr>
            </w:pPr>
            <w:r>
              <w:rPr>
                <w:bCs/>
                <w:color w:val="auto"/>
                <w:sz w:val="24"/>
              </w:rPr>
              <w:t>（1）</w:t>
            </w:r>
            <w:r>
              <w:rPr>
                <w:color w:val="auto"/>
                <w:sz w:val="24"/>
              </w:rPr>
              <w:t>依托工程及依托可行性分析</w:t>
            </w:r>
            <w:r>
              <w:rPr>
                <w:bCs/>
                <w:color w:val="auto"/>
                <w:sz w:val="24"/>
              </w:rPr>
              <w:t>：</w:t>
            </w:r>
          </w:p>
          <w:p w14:paraId="1EA00F13">
            <w:pPr>
              <w:spacing w:line="360" w:lineRule="auto"/>
              <w:ind w:firstLine="482"/>
              <w:rPr>
                <w:color w:val="auto"/>
                <w:sz w:val="24"/>
              </w:rPr>
            </w:pPr>
            <w:r>
              <w:rPr>
                <w:color w:val="auto"/>
                <w:sz w:val="24"/>
              </w:rPr>
              <w:t>项目依托情况及可行性分析如下表所示。</w:t>
            </w:r>
          </w:p>
          <w:p w14:paraId="7D6F1CE6">
            <w:pPr>
              <w:jc w:val="center"/>
              <w:rPr>
                <w:b/>
                <w:iCs/>
                <w:color w:val="auto"/>
                <w:sz w:val="24"/>
              </w:rPr>
            </w:pPr>
            <w:r>
              <w:rPr>
                <w:b/>
                <w:bCs/>
                <w:color w:val="auto"/>
                <w:sz w:val="24"/>
                <w:szCs w:val="22"/>
              </w:rPr>
              <w:t>表2-2  项目依托工程依托可行性分析一览表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134"/>
              <w:gridCol w:w="3200"/>
              <w:gridCol w:w="3471"/>
              <w:gridCol w:w="1041"/>
            </w:tblGrid>
            <w:tr w14:paraId="192EE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41" w:type="pct"/>
                  <w:vAlign w:val="center"/>
                </w:tcPr>
                <w:p w14:paraId="2AB4A1F6">
                  <w:pPr>
                    <w:pStyle w:val="70"/>
                    <w:kinsoku w:val="0"/>
                    <w:autoSpaceDE w:val="0"/>
                    <w:autoSpaceDN w:val="0"/>
                    <w:textAlignment w:val="baseline"/>
                    <w:rPr>
                      <w:rFonts w:cs="Times New Roman"/>
                      <w:color w:val="auto"/>
                    </w:rPr>
                  </w:pPr>
                  <w:r>
                    <w:rPr>
                      <w:rFonts w:cs="Times New Roman"/>
                      <w:color w:val="auto"/>
                    </w:rPr>
                    <w:t>依托工程</w:t>
                  </w:r>
                </w:p>
              </w:tc>
              <w:tc>
                <w:tcPr>
                  <w:tcW w:w="1808" w:type="pct"/>
                  <w:vAlign w:val="center"/>
                </w:tcPr>
                <w:p w14:paraId="6EB61E53">
                  <w:pPr>
                    <w:pStyle w:val="70"/>
                    <w:kinsoku w:val="0"/>
                    <w:autoSpaceDE w:val="0"/>
                    <w:autoSpaceDN w:val="0"/>
                    <w:textAlignment w:val="baseline"/>
                    <w:rPr>
                      <w:rFonts w:cs="Times New Roman"/>
                      <w:color w:val="auto"/>
                    </w:rPr>
                  </w:pPr>
                  <w:r>
                    <w:rPr>
                      <w:rFonts w:cs="Times New Roman"/>
                      <w:color w:val="auto"/>
                    </w:rPr>
                    <w:t>建设情况</w:t>
                  </w:r>
                </w:p>
              </w:tc>
              <w:tc>
                <w:tcPr>
                  <w:tcW w:w="1961" w:type="pct"/>
                  <w:vAlign w:val="center"/>
                </w:tcPr>
                <w:p w14:paraId="5BB64CB0">
                  <w:pPr>
                    <w:pStyle w:val="70"/>
                    <w:kinsoku w:val="0"/>
                    <w:autoSpaceDE w:val="0"/>
                    <w:autoSpaceDN w:val="0"/>
                    <w:textAlignment w:val="baseline"/>
                    <w:rPr>
                      <w:rFonts w:cs="Times New Roman"/>
                      <w:color w:val="auto"/>
                    </w:rPr>
                  </w:pPr>
                  <w:r>
                    <w:rPr>
                      <w:rFonts w:cs="Times New Roman"/>
                      <w:color w:val="auto"/>
                    </w:rPr>
                    <w:t>本项目</w:t>
                  </w:r>
                </w:p>
              </w:tc>
              <w:tc>
                <w:tcPr>
                  <w:tcW w:w="588" w:type="pct"/>
                  <w:vAlign w:val="center"/>
                </w:tcPr>
                <w:p w14:paraId="7BA8E38F">
                  <w:pPr>
                    <w:pStyle w:val="70"/>
                    <w:kinsoku w:val="0"/>
                    <w:autoSpaceDE w:val="0"/>
                    <w:autoSpaceDN w:val="0"/>
                    <w:textAlignment w:val="baseline"/>
                    <w:rPr>
                      <w:rFonts w:cs="Times New Roman"/>
                      <w:color w:val="auto"/>
                    </w:rPr>
                  </w:pPr>
                  <w:r>
                    <w:rPr>
                      <w:rFonts w:cs="Times New Roman"/>
                      <w:color w:val="auto"/>
                    </w:rPr>
                    <w:t>依托可行性</w:t>
                  </w:r>
                </w:p>
              </w:tc>
            </w:tr>
            <w:tr w14:paraId="15906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02" w:hRule="atLeast"/>
                <w:jc w:val="center"/>
              </w:trPr>
              <w:tc>
                <w:tcPr>
                  <w:tcW w:w="641" w:type="pct"/>
                  <w:vAlign w:val="center"/>
                </w:tcPr>
                <w:p w14:paraId="384D6D27">
                  <w:pPr>
                    <w:pStyle w:val="70"/>
                    <w:kinsoku w:val="0"/>
                    <w:autoSpaceDE w:val="0"/>
                    <w:autoSpaceDN w:val="0"/>
                    <w:textAlignment w:val="baseline"/>
                    <w:rPr>
                      <w:rFonts w:cs="Times New Roman"/>
                      <w:color w:val="auto"/>
                      <w:szCs w:val="21"/>
                    </w:rPr>
                  </w:pPr>
                  <w:r>
                    <w:rPr>
                      <w:rFonts w:cs="Times New Roman"/>
                      <w:color w:val="auto"/>
                      <w:szCs w:val="21"/>
                    </w:rPr>
                    <w:t>供水</w:t>
                  </w:r>
                </w:p>
              </w:tc>
              <w:tc>
                <w:tcPr>
                  <w:tcW w:w="1808" w:type="pct"/>
                  <w:vAlign w:val="center"/>
                </w:tcPr>
                <w:p w14:paraId="0D61458A">
                  <w:pPr>
                    <w:pStyle w:val="70"/>
                    <w:kinsoku w:val="0"/>
                    <w:autoSpaceDE w:val="0"/>
                    <w:autoSpaceDN w:val="0"/>
                    <w:textAlignment w:val="baseline"/>
                    <w:rPr>
                      <w:rFonts w:cs="Times New Roman"/>
                      <w:color w:val="auto"/>
                      <w:szCs w:val="21"/>
                    </w:rPr>
                  </w:pPr>
                  <w:r>
                    <w:rPr>
                      <w:rFonts w:cs="Times New Roman"/>
                      <w:color w:val="auto"/>
                      <w:szCs w:val="21"/>
                    </w:rPr>
                    <w:t>生产用水和生活水均来自朱仙庄镇市政供水管网接入</w:t>
                  </w:r>
                </w:p>
              </w:tc>
              <w:tc>
                <w:tcPr>
                  <w:tcW w:w="1961" w:type="pct"/>
                  <w:vAlign w:val="center"/>
                </w:tcPr>
                <w:p w14:paraId="67B586D6">
                  <w:pPr>
                    <w:pStyle w:val="70"/>
                    <w:tabs>
                      <w:tab w:val="left" w:pos="930"/>
                    </w:tabs>
                    <w:kinsoku w:val="0"/>
                    <w:autoSpaceDE w:val="0"/>
                    <w:autoSpaceDN w:val="0"/>
                    <w:textAlignment w:val="baseline"/>
                    <w:rPr>
                      <w:rFonts w:cs="Times New Roman"/>
                      <w:color w:val="auto"/>
                    </w:rPr>
                  </w:pPr>
                  <w:r>
                    <w:rPr>
                      <w:rFonts w:cs="Times New Roman"/>
                      <w:color w:val="auto"/>
                      <w:szCs w:val="21"/>
                    </w:rPr>
                    <w:t>本项目生产用水和生活水均来自朱仙庄镇市政供水管网接入</w:t>
                  </w:r>
                </w:p>
              </w:tc>
              <w:tc>
                <w:tcPr>
                  <w:tcW w:w="588" w:type="pct"/>
                  <w:vAlign w:val="center"/>
                </w:tcPr>
                <w:p w14:paraId="3A02B96D">
                  <w:pPr>
                    <w:pStyle w:val="70"/>
                    <w:kinsoku w:val="0"/>
                    <w:autoSpaceDE w:val="0"/>
                    <w:autoSpaceDN w:val="0"/>
                    <w:textAlignment w:val="baseline"/>
                    <w:rPr>
                      <w:rFonts w:cs="Times New Roman"/>
                      <w:color w:val="auto"/>
                    </w:rPr>
                  </w:pPr>
                  <w:r>
                    <w:rPr>
                      <w:rFonts w:cs="Times New Roman"/>
                      <w:color w:val="auto"/>
                    </w:rPr>
                    <w:t>可行</w:t>
                  </w:r>
                </w:p>
              </w:tc>
            </w:tr>
            <w:tr w14:paraId="4EB91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41" w:type="pct"/>
                  <w:vAlign w:val="center"/>
                </w:tcPr>
                <w:p w14:paraId="5F52EF64">
                  <w:pPr>
                    <w:pStyle w:val="70"/>
                    <w:kinsoku w:val="0"/>
                    <w:autoSpaceDE w:val="0"/>
                    <w:autoSpaceDN w:val="0"/>
                    <w:textAlignment w:val="baseline"/>
                    <w:rPr>
                      <w:rFonts w:cs="Times New Roman"/>
                      <w:color w:val="auto"/>
                    </w:rPr>
                  </w:pPr>
                  <w:r>
                    <w:rPr>
                      <w:rFonts w:cs="Times New Roman"/>
                      <w:color w:val="auto"/>
                    </w:rPr>
                    <w:t>供电</w:t>
                  </w:r>
                </w:p>
              </w:tc>
              <w:tc>
                <w:tcPr>
                  <w:tcW w:w="1808" w:type="pct"/>
                  <w:vAlign w:val="center"/>
                </w:tcPr>
                <w:p w14:paraId="0BB6C9B1">
                  <w:pPr>
                    <w:pStyle w:val="70"/>
                    <w:kinsoku w:val="0"/>
                    <w:autoSpaceDE w:val="0"/>
                    <w:autoSpaceDN w:val="0"/>
                    <w:textAlignment w:val="baseline"/>
                    <w:rPr>
                      <w:rFonts w:cs="Times New Roman"/>
                      <w:color w:val="auto"/>
                    </w:rPr>
                  </w:pPr>
                  <w:r>
                    <w:rPr>
                      <w:rFonts w:cs="Times New Roman"/>
                      <w:color w:val="auto"/>
                      <w:szCs w:val="21"/>
                    </w:rPr>
                    <w:t>由市政电网接入</w:t>
                  </w:r>
                </w:p>
              </w:tc>
              <w:tc>
                <w:tcPr>
                  <w:tcW w:w="1961" w:type="pct"/>
                  <w:vAlign w:val="center"/>
                </w:tcPr>
                <w:p w14:paraId="7E643029">
                  <w:pPr>
                    <w:pStyle w:val="70"/>
                    <w:kinsoku w:val="0"/>
                    <w:autoSpaceDE w:val="0"/>
                    <w:autoSpaceDN w:val="0"/>
                    <w:textAlignment w:val="baseline"/>
                    <w:rPr>
                      <w:rFonts w:cs="Times New Roman"/>
                      <w:color w:val="auto"/>
                    </w:rPr>
                  </w:pPr>
                  <w:r>
                    <w:rPr>
                      <w:rFonts w:cs="Times New Roman"/>
                      <w:color w:val="auto"/>
                      <w:szCs w:val="21"/>
                    </w:rPr>
                    <w:t>由市政电网接入</w:t>
                  </w:r>
                </w:p>
              </w:tc>
              <w:tc>
                <w:tcPr>
                  <w:tcW w:w="588" w:type="pct"/>
                  <w:vAlign w:val="center"/>
                </w:tcPr>
                <w:p w14:paraId="6498A32E">
                  <w:pPr>
                    <w:pStyle w:val="70"/>
                    <w:kinsoku w:val="0"/>
                    <w:autoSpaceDE w:val="0"/>
                    <w:autoSpaceDN w:val="0"/>
                    <w:textAlignment w:val="baseline"/>
                    <w:rPr>
                      <w:rFonts w:cs="Times New Roman"/>
                      <w:color w:val="auto"/>
                    </w:rPr>
                  </w:pPr>
                  <w:r>
                    <w:rPr>
                      <w:rFonts w:cs="Times New Roman"/>
                      <w:color w:val="auto"/>
                    </w:rPr>
                    <w:t>可行</w:t>
                  </w:r>
                </w:p>
              </w:tc>
            </w:tr>
            <w:tr w14:paraId="7700A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41" w:type="pct"/>
                  <w:vAlign w:val="center"/>
                </w:tcPr>
                <w:p w14:paraId="0DFFEEA9">
                  <w:pPr>
                    <w:pStyle w:val="70"/>
                    <w:kinsoku w:val="0"/>
                    <w:autoSpaceDE w:val="0"/>
                    <w:autoSpaceDN w:val="0"/>
                    <w:textAlignment w:val="baseline"/>
                    <w:rPr>
                      <w:rFonts w:hint="eastAsia" w:eastAsia="宋体" w:cs="Times New Roman"/>
                      <w:color w:val="auto"/>
                      <w:lang w:val="en-US" w:eastAsia="zh-CN"/>
                    </w:rPr>
                  </w:pPr>
                  <w:r>
                    <w:rPr>
                      <w:rFonts w:hint="eastAsia" w:cs="Times New Roman"/>
                      <w:color w:val="auto"/>
                      <w:lang w:val="en-US" w:eastAsia="zh-CN"/>
                    </w:rPr>
                    <w:t>废气</w:t>
                  </w:r>
                </w:p>
              </w:tc>
              <w:tc>
                <w:tcPr>
                  <w:tcW w:w="1808" w:type="pct"/>
                  <w:vAlign w:val="center"/>
                </w:tcPr>
                <w:p w14:paraId="01F6297C">
                  <w:pPr>
                    <w:pStyle w:val="70"/>
                    <w:kinsoku w:val="0"/>
                    <w:autoSpaceDE w:val="0"/>
                    <w:autoSpaceDN w:val="0"/>
                    <w:textAlignment w:val="baseline"/>
                    <w:rPr>
                      <w:rFonts w:hint="eastAsia" w:cs="Times New Roman"/>
                      <w:color w:val="auto"/>
                      <w:szCs w:val="21"/>
                      <w:lang w:val="en-US" w:eastAsia="zh-CN"/>
                    </w:rPr>
                  </w:pPr>
                  <w:r>
                    <w:rPr>
                      <w:rFonts w:hint="eastAsia" w:cs="Times New Roman"/>
                      <w:color w:val="auto"/>
                      <w:szCs w:val="21"/>
                      <w:lang w:val="en-US" w:eastAsia="zh-CN"/>
                    </w:rPr>
                    <w:t>破碎、筛分粉尘采取布袋除尘器处理后车间内无组织排放；</w:t>
                  </w:r>
                </w:p>
                <w:p w14:paraId="69B194D1">
                  <w:pPr>
                    <w:pStyle w:val="70"/>
                    <w:kinsoku w:val="0"/>
                    <w:autoSpaceDE w:val="0"/>
                    <w:autoSpaceDN w:val="0"/>
                    <w:textAlignment w:val="baseline"/>
                    <w:rPr>
                      <w:rFonts w:hint="default" w:cs="Times New Roman"/>
                      <w:color w:val="auto"/>
                      <w:szCs w:val="21"/>
                      <w:lang w:val="en-US" w:eastAsia="zh-CN"/>
                    </w:rPr>
                  </w:pPr>
                  <w:r>
                    <w:rPr>
                      <w:rFonts w:hint="eastAsia" w:cs="Times New Roman"/>
                      <w:color w:val="auto"/>
                      <w:szCs w:val="21"/>
                      <w:lang w:val="en-US" w:eastAsia="zh-CN"/>
                    </w:rPr>
                    <w:t>搅拌粉尘采取布袋除尘器处理后车间内无组织排放</w:t>
                  </w:r>
                </w:p>
              </w:tc>
              <w:tc>
                <w:tcPr>
                  <w:tcW w:w="1961" w:type="pct"/>
                  <w:vAlign w:val="center"/>
                </w:tcPr>
                <w:p w14:paraId="46D946DE">
                  <w:pPr>
                    <w:pStyle w:val="70"/>
                    <w:kinsoku w:val="0"/>
                    <w:autoSpaceDE w:val="0"/>
                    <w:autoSpaceDN w:val="0"/>
                    <w:textAlignment w:val="baseline"/>
                    <w:rPr>
                      <w:rFonts w:hint="default" w:eastAsia="宋体" w:cs="Times New Roman"/>
                      <w:color w:val="auto"/>
                      <w:szCs w:val="21"/>
                      <w:lang w:val="en-US" w:eastAsia="zh-CN"/>
                    </w:rPr>
                  </w:pPr>
                  <w:r>
                    <w:rPr>
                      <w:rFonts w:hint="eastAsia" w:cs="Times New Roman"/>
                      <w:color w:val="auto"/>
                      <w:szCs w:val="21"/>
                      <w:lang w:val="en-US" w:eastAsia="zh-CN"/>
                    </w:rPr>
                    <w:t>项目不新增破碎机、筛分机、搅拌机设备，破碎、筛分粉尘依托原有布袋除尘器处理后通过15m高排气筒排放；搅拌粉尘采取布袋除尘器</w:t>
                  </w:r>
                </w:p>
              </w:tc>
              <w:tc>
                <w:tcPr>
                  <w:tcW w:w="588" w:type="pct"/>
                  <w:vAlign w:val="center"/>
                </w:tcPr>
                <w:p w14:paraId="490A9920">
                  <w:pPr>
                    <w:pStyle w:val="70"/>
                    <w:kinsoku w:val="0"/>
                    <w:autoSpaceDE w:val="0"/>
                    <w:autoSpaceDN w:val="0"/>
                    <w:textAlignment w:val="baseline"/>
                    <w:rPr>
                      <w:rFonts w:cs="Times New Roman"/>
                      <w:color w:val="auto"/>
                    </w:rPr>
                  </w:pPr>
                  <w:r>
                    <w:rPr>
                      <w:rFonts w:cs="Times New Roman"/>
                      <w:color w:val="auto"/>
                    </w:rPr>
                    <w:t>可行</w:t>
                  </w:r>
                </w:p>
              </w:tc>
            </w:tr>
            <w:tr w14:paraId="74804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41" w:type="pct"/>
                  <w:vAlign w:val="center"/>
                </w:tcPr>
                <w:p w14:paraId="2B83A96C">
                  <w:pPr>
                    <w:pStyle w:val="70"/>
                    <w:kinsoku w:val="0"/>
                    <w:autoSpaceDE w:val="0"/>
                    <w:autoSpaceDN w:val="0"/>
                    <w:textAlignment w:val="baseline"/>
                    <w:rPr>
                      <w:rFonts w:hint="default" w:cs="Times New Roman"/>
                      <w:color w:val="auto"/>
                      <w:lang w:val="en-US" w:eastAsia="zh-CN"/>
                    </w:rPr>
                  </w:pPr>
                  <w:r>
                    <w:rPr>
                      <w:rFonts w:hint="eastAsia" w:cs="Times New Roman"/>
                      <w:color w:val="auto"/>
                      <w:lang w:val="en-US" w:eastAsia="zh-CN"/>
                    </w:rPr>
                    <w:t>废水</w:t>
                  </w:r>
                </w:p>
              </w:tc>
              <w:tc>
                <w:tcPr>
                  <w:tcW w:w="1808" w:type="pct"/>
                  <w:vAlign w:val="center"/>
                </w:tcPr>
                <w:p w14:paraId="4AF700EC">
                  <w:pPr>
                    <w:pStyle w:val="70"/>
                    <w:kinsoku w:val="0"/>
                    <w:autoSpaceDE w:val="0"/>
                    <w:autoSpaceDN w:val="0"/>
                    <w:textAlignment w:val="baseline"/>
                    <w:rPr>
                      <w:rFonts w:hint="default" w:cs="Times New Roman"/>
                      <w:color w:val="auto"/>
                      <w:szCs w:val="21"/>
                      <w:lang w:val="en-US" w:eastAsia="zh-CN"/>
                    </w:rPr>
                  </w:pPr>
                  <w:r>
                    <w:rPr>
                      <w:rFonts w:hint="default" w:ascii="Times New Roman" w:hAnsi="Times New Roman" w:cs="Times New Roman"/>
                      <w:color w:val="auto"/>
                      <w:szCs w:val="21"/>
                      <w:lang w:val="en-US" w:eastAsia="zh-CN"/>
                    </w:rPr>
                    <w:t>项目设备清洗废水，球磨废水、地面冲洗废水通过沉淀池沉淀后回用于生产，沉淀池容积为100m³</w:t>
                  </w:r>
                </w:p>
              </w:tc>
              <w:tc>
                <w:tcPr>
                  <w:tcW w:w="1961" w:type="pct"/>
                  <w:vAlign w:val="center"/>
                </w:tcPr>
                <w:p w14:paraId="28A5B410">
                  <w:pPr>
                    <w:pStyle w:val="70"/>
                    <w:kinsoku w:val="0"/>
                    <w:autoSpaceDE w:val="0"/>
                    <w:autoSpaceDN w:val="0"/>
                    <w:textAlignment w:val="baseline"/>
                    <w:rPr>
                      <w:rFonts w:hint="default" w:cs="Times New Roman"/>
                      <w:color w:val="auto"/>
                      <w:szCs w:val="21"/>
                      <w:lang w:val="en-US" w:eastAsia="zh-CN"/>
                    </w:rPr>
                  </w:pPr>
                  <w:r>
                    <w:rPr>
                      <w:rFonts w:hint="eastAsia" w:cs="Times New Roman"/>
                      <w:color w:val="auto"/>
                      <w:szCs w:val="21"/>
                      <w:lang w:val="en-US" w:eastAsia="zh-CN"/>
                    </w:rPr>
                    <w:t>本项目仅涉及新增部分球磨废水，废水产生量较少，现有沉淀池可满足本项目要求</w:t>
                  </w:r>
                </w:p>
              </w:tc>
              <w:tc>
                <w:tcPr>
                  <w:tcW w:w="588" w:type="pct"/>
                  <w:vAlign w:val="center"/>
                </w:tcPr>
                <w:p w14:paraId="78304CA7">
                  <w:pPr>
                    <w:pStyle w:val="70"/>
                    <w:kinsoku w:val="0"/>
                    <w:autoSpaceDE w:val="0"/>
                    <w:autoSpaceDN w:val="0"/>
                    <w:textAlignment w:val="baseline"/>
                    <w:rPr>
                      <w:rFonts w:cs="Times New Roman"/>
                      <w:color w:val="auto"/>
                    </w:rPr>
                  </w:pPr>
                </w:p>
              </w:tc>
            </w:tr>
            <w:tr w14:paraId="057E4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14" w:hRule="atLeast"/>
                <w:jc w:val="center"/>
              </w:trPr>
              <w:tc>
                <w:tcPr>
                  <w:tcW w:w="641" w:type="pct"/>
                  <w:vAlign w:val="center"/>
                </w:tcPr>
                <w:p w14:paraId="2E14B5D2">
                  <w:pPr>
                    <w:pStyle w:val="70"/>
                    <w:kinsoku w:val="0"/>
                    <w:autoSpaceDE w:val="0"/>
                    <w:autoSpaceDN w:val="0"/>
                    <w:textAlignment w:val="baseline"/>
                    <w:rPr>
                      <w:rFonts w:cs="Times New Roman"/>
                      <w:color w:val="auto"/>
                    </w:rPr>
                  </w:pPr>
                  <w:r>
                    <w:rPr>
                      <w:rFonts w:cs="Times New Roman"/>
                      <w:color w:val="auto"/>
                    </w:rPr>
                    <w:t>固废</w:t>
                  </w:r>
                </w:p>
              </w:tc>
              <w:tc>
                <w:tcPr>
                  <w:tcW w:w="1808" w:type="pct"/>
                  <w:vAlign w:val="center"/>
                </w:tcPr>
                <w:p w14:paraId="6B8FFD19">
                  <w:pPr>
                    <w:pStyle w:val="70"/>
                    <w:kinsoku w:val="0"/>
                    <w:autoSpaceDE w:val="0"/>
                    <w:autoSpaceDN w:val="0"/>
                    <w:textAlignment w:val="baseline"/>
                    <w:rPr>
                      <w:rFonts w:cs="Times New Roman"/>
                      <w:color w:val="auto"/>
                    </w:rPr>
                  </w:pPr>
                  <w:r>
                    <w:rPr>
                      <w:rFonts w:cs="Times New Roman"/>
                      <w:color w:val="auto"/>
                      <w:szCs w:val="21"/>
                    </w:rPr>
                    <w:t>设置一座50m²一般固废暂存间</w:t>
                  </w:r>
                </w:p>
              </w:tc>
              <w:tc>
                <w:tcPr>
                  <w:tcW w:w="1961" w:type="pct"/>
                  <w:vAlign w:val="center"/>
                </w:tcPr>
                <w:p w14:paraId="0DED90AF">
                  <w:pPr>
                    <w:pStyle w:val="70"/>
                    <w:kinsoku w:val="0"/>
                    <w:autoSpaceDE w:val="0"/>
                    <w:autoSpaceDN w:val="0"/>
                    <w:textAlignment w:val="baseline"/>
                    <w:rPr>
                      <w:rFonts w:cs="Times New Roman"/>
                      <w:color w:val="auto"/>
                    </w:rPr>
                  </w:pPr>
                  <w:r>
                    <w:rPr>
                      <w:rFonts w:cs="Times New Roman"/>
                      <w:color w:val="auto"/>
                    </w:rPr>
                    <w:t>本项目产生的一般固废较少，且大部分一般固废均回用于生产，故依托现有一般固废间可行</w:t>
                  </w:r>
                </w:p>
              </w:tc>
              <w:tc>
                <w:tcPr>
                  <w:tcW w:w="588" w:type="pct"/>
                  <w:vAlign w:val="center"/>
                </w:tcPr>
                <w:p w14:paraId="6DD452ED">
                  <w:pPr>
                    <w:pStyle w:val="70"/>
                    <w:kinsoku w:val="0"/>
                    <w:autoSpaceDE w:val="0"/>
                    <w:autoSpaceDN w:val="0"/>
                    <w:textAlignment w:val="baseline"/>
                    <w:rPr>
                      <w:rFonts w:cs="Times New Roman"/>
                      <w:color w:val="auto"/>
                    </w:rPr>
                  </w:pPr>
                  <w:r>
                    <w:rPr>
                      <w:rFonts w:cs="Times New Roman"/>
                      <w:color w:val="auto"/>
                    </w:rPr>
                    <w:t>可行</w:t>
                  </w:r>
                </w:p>
              </w:tc>
            </w:tr>
            <w:tr w14:paraId="5BD84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41" w:type="pct"/>
                  <w:vAlign w:val="center"/>
                </w:tcPr>
                <w:p w14:paraId="588EDD4E">
                  <w:pPr>
                    <w:pStyle w:val="70"/>
                    <w:kinsoku w:val="0"/>
                    <w:autoSpaceDE w:val="0"/>
                    <w:autoSpaceDN w:val="0"/>
                    <w:textAlignment w:val="baseline"/>
                    <w:rPr>
                      <w:rFonts w:cs="Times New Roman"/>
                      <w:color w:val="auto"/>
                    </w:rPr>
                  </w:pPr>
                  <w:r>
                    <w:rPr>
                      <w:rFonts w:cs="Times New Roman"/>
                      <w:color w:val="auto"/>
                    </w:rPr>
                    <w:t>分区防渗</w:t>
                  </w:r>
                </w:p>
              </w:tc>
              <w:tc>
                <w:tcPr>
                  <w:tcW w:w="1808" w:type="pct"/>
                  <w:vAlign w:val="center"/>
                </w:tcPr>
                <w:p w14:paraId="7BCCCFCD">
                  <w:pPr>
                    <w:pStyle w:val="70"/>
                    <w:kinsoku w:val="0"/>
                    <w:autoSpaceDE w:val="0"/>
                    <w:autoSpaceDN w:val="0"/>
                    <w:textAlignment w:val="baseline"/>
                    <w:rPr>
                      <w:rFonts w:cs="Times New Roman"/>
                      <w:color w:val="auto"/>
                    </w:rPr>
                  </w:pPr>
                  <w:r>
                    <w:rPr>
                      <w:rFonts w:cs="Times New Roman"/>
                      <w:color w:val="auto"/>
                    </w:rPr>
                    <w:t>项目生产区地面已做一般防渗区</w:t>
                  </w:r>
                  <w:r>
                    <w:rPr>
                      <w:rFonts w:hint="eastAsia" w:cs="Times New Roman"/>
                      <w:color w:val="auto"/>
                    </w:rPr>
                    <w:t>；沉淀池、化粪池已做重点防渗</w:t>
                  </w:r>
                </w:p>
              </w:tc>
              <w:tc>
                <w:tcPr>
                  <w:tcW w:w="1961" w:type="pct"/>
                  <w:vAlign w:val="center"/>
                </w:tcPr>
                <w:p w14:paraId="7B4CDCD6">
                  <w:pPr>
                    <w:pStyle w:val="70"/>
                    <w:kinsoku w:val="0"/>
                    <w:autoSpaceDE w:val="0"/>
                    <w:autoSpaceDN w:val="0"/>
                    <w:textAlignment w:val="baseline"/>
                    <w:rPr>
                      <w:rFonts w:cs="Times New Roman"/>
                      <w:color w:val="auto"/>
                    </w:rPr>
                  </w:pPr>
                  <w:r>
                    <w:rPr>
                      <w:rFonts w:hint="eastAsia" w:cs="Times New Roman"/>
                      <w:color w:val="auto"/>
                    </w:rPr>
                    <w:t>本项目依托原有场地，不新增用地，且项目不新增沉淀池、化粪池等。分区防渗依托原有可行</w:t>
                  </w:r>
                </w:p>
              </w:tc>
              <w:tc>
                <w:tcPr>
                  <w:tcW w:w="588" w:type="pct"/>
                  <w:vAlign w:val="center"/>
                </w:tcPr>
                <w:p w14:paraId="4EC0F733">
                  <w:pPr>
                    <w:pStyle w:val="70"/>
                    <w:kinsoku w:val="0"/>
                    <w:autoSpaceDE w:val="0"/>
                    <w:autoSpaceDN w:val="0"/>
                    <w:textAlignment w:val="baseline"/>
                    <w:rPr>
                      <w:rFonts w:cs="Times New Roman"/>
                      <w:color w:val="auto"/>
                    </w:rPr>
                  </w:pPr>
                  <w:r>
                    <w:rPr>
                      <w:rFonts w:cs="Times New Roman"/>
                      <w:color w:val="auto"/>
                    </w:rPr>
                    <w:t>可行</w:t>
                  </w:r>
                </w:p>
              </w:tc>
            </w:tr>
          </w:tbl>
          <w:p w14:paraId="13A73F98">
            <w:pPr>
              <w:spacing w:line="360" w:lineRule="auto"/>
              <w:rPr>
                <w:b/>
                <w:iCs/>
                <w:color w:val="auto"/>
                <w:sz w:val="24"/>
              </w:rPr>
            </w:pPr>
            <w:r>
              <w:rPr>
                <w:b/>
                <w:iCs/>
                <w:color w:val="auto"/>
                <w:sz w:val="24"/>
              </w:rPr>
              <w:t>3、产品方案</w:t>
            </w:r>
          </w:p>
          <w:p w14:paraId="123F78F9">
            <w:pPr>
              <w:spacing w:line="360" w:lineRule="auto"/>
              <w:ind w:right="27" w:rightChars="13" w:firstLine="480" w:firstLineChars="200"/>
              <w:rPr>
                <w:color w:val="auto"/>
                <w:sz w:val="24"/>
              </w:rPr>
            </w:pPr>
            <w:r>
              <w:rPr>
                <w:color w:val="auto"/>
                <w:sz w:val="24"/>
              </w:rPr>
              <w:t>（1）产品方案</w:t>
            </w:r>
          </w:p>
          <w:p w14:paraId="28109843">
            <w:pPr>
              <w:jc w:val="center"/>
              <w:rPr>
                <w:b/>
                <w:color w:val="auto"/>
                <w:sz w:val="24"/>
              </w:rPr>
            </w:pPr>
            <w:r>
              <w:rPr>
                <w:b/>
                <w:color w:val="auto"/>
                <w:sz w:val="24"/>
                <w:szCs w:val="21"/>
              </w:rPr>
              <w:t xml:space="preserve">表2-3  </w:t>
            </w:r>
            <w:r>
              <w:rPr>
                <w:b/>
                <w:color w:val="auto"/>
                <w:sz w:val="24"/>
              </w:rPr>
              <w:t>项目产品方案一览表</w:t>
            </w:r>
          </w:p>
          <w:tbl>
            <w:tblPr>
              <w:tblStyle w:val="2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777"/>
              <w:gridCol w:w="1071"/>
              <w:gridCol w:w="1188"/>
              <w:gridCol w:w="1074"/>
              <w:gridCol w:w="2459"/>
              <w:gridCol w:w="844"/>
            </w:tblGrid>
            <w:tr w14:paraId="6A9D1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40" w:type="pct"/>
                  <w:vMerge w:val="restart"/>
                  <w:vAlign w:val="center"/>
                </w:tcPr>
                <w:p w14:paraId="1FAE17D6">
                  <w:pPr>
                    <w:jc w:val="center"/>
                    <w:rPr>
                      <w:bCs/>
                      <w:iCs/>
                      <w:color w:val="auto"/>
                      <w:szCs w:val="21"/>
                    </w:rPr>
                  </w:pPr>
                  <w:r>
                    <w:rPr>
                      <w:bCs/>
                      <w:iCs/>
                      <w:color w:val="auto"/>
                      <w:szCs w:val="21"/>
                    </w:rPr>
                    <w:t>序号</w:t>
                  </w:r>
                </w:p>
              </w:tc>
              <w:tc>
                <w:tcPr>
                  <w:tcW w:w="1005" w:type="pct"/>
                  <w:vMerge w:val="restart"/>
                  <w:vAlign w:val="center"/>
                </w:tcPr>
                <w:p w14:paraId="74D529E1">
                  <w:pPr>
                    <w:jc w:val="center"/>
                    <w:rPr>
                      <w:bCs/>
                      <w:iCs/>
                      <w:color w:val="auto"/>
                      <w:szCs w:val="21"/>
                    </w:rPr>
                  </w:pPr>
                  <w:r>
                    <w:rPr>
                      <w:bCs/>
                      <w:iCs/>
                      <w:color w:val="auto"/>
                      <w:szCs w:val="21"/>
                    </w:rPr>
                    <w:t>产品名称</w:t>
                  </w:r>
                </w:p>
              </w:tc>
              <w:tc>
                <w:tcPr>
                  <w:tcW w:w="1885" w:type="pct"/>
                  <w:gridSpan w:val="3"/>
                  <w:vAlign w:val="center"/>
                </w:tcPr>
                <w:p w14:paraId="30B4A555">
                  <w:pPr>
                    <w:jc w:val="center"/>
                    <w:rPr>
                      <w:bCs/>
                      <w:iCs/>
                      <w:color w:val="auto"/>
                      <w:szCs w:val="21"/>
                    </w:rPr>
                  </w:pPr>
                  <w:r>
                    <w:rPr>
                      <w:bCs/>
                      <w:iCs/>
                      <w:color w:val="auto"/>
                      <w:szCs w:val="21"/>
                    </w:rPr>
                    <w:t>设计能力</w:t>
                  </w:r>
                </w:p>
              </w:tc>
              <w:tc>
                <w:tcPr>
                  <w:tcW w:w="1390" w:type="pct"/>
                  <w:vMerge w:val="restart"/>
                  <w:vAlign w:val="center"/>
                </w:tcPr>
                <w:p w14:paraId="1D378CD1">
                  <w:pPr>
                    <w:jc w:val="center"/>
                    <w:rPr>
                      <w:bCs/>
                      <w:iCs/>
                      <w:color w:val="auto"/>
                      <w:szCs w:val="21"/>
                    </w:rPr>
                  </w:pPr>
                  <w:r>
                    <w:rPr>
                      <w:bCs/>
                      <w:iCs/>
                      <w:color w:val="auto"/>
                      <w:szCs w:val="21"/>
                    </w:rPr>
                    <w:t>规格</w:t>
                  </w:r>
                </w:p>
              </w:tc>
              <w:tc>
                <w:tcPr>
                  <w:tcW w:w="477" w:type="pct"/>
                  <w:vMerge w:val="restart"/>
                  <w:vAlign w:val="center"/>
                </w:tcPr>
                <w:p w14:paraId="7721E6B8">
                  <w:pPr>
                    <w:jc w:val="center"/>
                    <w:rPr>
                      <w:bCs/>
                      <w:iCs/>
                      <w:color w:val="auto"/>
                      <w:szCs w:val="21"/>
                    </w:rPr>
                  </w:pPr>
                  <w:r>
                    <w:rPr>
                      <w:bCs/>
                      <w:iCs/>
                      <w:color w:val="auto"/>
                      <w:szCs w:val="21"/>
                    </w:rPr>
                    <w:t>备注</w:t>
                  </w:r>
                </w:p>
              </w:tc>
            </w:tr>
            <w:tr w14:paraId="4E775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0" w:type="pct"/>
                  <w:vMerge w:val="continue"/>
                  <w:vAlign w:val="center"/>
                </w:tcPr>
                <w:p w14:paraId="2737F00F">
                  <w:pPr>
                    <w:jc w:val="center"/>
                    <w:rPr>
                      <w:bCs/>
                      <w:iCs/>
                      <w:color w:val="auto"/>
                      <w:szCs w:val="21"/>
                    </w:rPr>
                  </w:pPr>
                </w:p>
              </w:tc>
              <w:tc>
                <w:tcPr>
                  <w:tcW w:w="1005" w:type="pct"/>
                  <w:vMerge w:val="continue"/>
                  <w:vAlign w:val="center"/>
                </w:tcPr>
                <w:p w14:paraId="280138E1">
                  <w:pPr>
                    <w:jc w:val="center"/>
                    <w:rPr>
                      <w:bCs/>
                      <w:iCs/>
                      <w:color w:val="auto"/>
                      <w:szCs w:val="21"/>
                    </w:rPr>
                  </w:pPr>
                </w:p>
              </w:tc>
              <w:tc>
                <w:tcPr>
                  <w:tcW w:w="606" w:type="pct"/>
                  <w:vAlign w:val="center"/>
                </w:tcPr>
                <w:p w14:paraId="51EFE9E0">
                  <w:pPr>
                    <w:jc w:val="center"/>
                    <w:rPr>
                      <w:bCs/>
                      <w:iCs/>
                      <w:color w:val="auto"/>
                      <w:szCs w:val="21"/>
                    </w:rPr>
                  </w:pPr>
                  <w:r>
                    <w:rPr>
                      <w:bCs/>
                      <w:iCs/>
                      <w:color w:val="auto"/>
                      <w:szCs w:val="21"/>
                    </w:rPr>
                    <w:t>扩建前</w:t>
                  </w:r>
                </w:p>
              </w:tc>
              <w:tc>
                <w:tcPr>
                  <w:tcW w:w="672" w:type="pct"/>
                  <w:vAlign w:val="center"/>
                </w:tcPr>
                <w:p w14:paraId="7BEC23EB">
                  <w:pPr>
                    <w:jc w:val="center"/>
                    <w:rPr>
                      <w:bCs/>
                      <w:iCs/>
                      <w:color w:val="auto"/>
                      <w:szCs w:val="21"/>
                    </w:rPr>
                  </w:pPr>
                  <w:r>
                    <w:rPr>
                      <w:bCs/>
                      <w:iCs/>
                      <w:color w:val="auto"/>
                      <w:szCs w:val="21"/>
                    </w:rPr>
                    <w:t>扩建项目</w:t>
                  </w:r>
                </w:p>
              </w:tc>
              <w:tc>
                <w:tcPr>
                  <w:tcW w:w="606" w:type="pct"/>
                  <w:vAlign w:val="center"/>
                </w:tcPr>
                <w:p w14:paraId="2D2ADDA4">
                  <w:pPr>
                    <w:jc w:val="center"/>
                    <w:rPr>
                      <w:bCs/>
                      <w:iCs/>
                      <w:color w:val="auto"/>
                      <w:szCs w:val="21"/>
                    </w:rPr>
                  </w:pPr>
                  <w:r>
                    <w:rPr>
                      <w:bCs/>
                      <w:iCs/>
                      <w:color w:val="auto"/>
                      <w:szCs w:val="21"/>
                    </w:rPr>
                    <w:t>扩建后全厂</w:t>
                  </w:r>
                </w:p>
              </w:tc>
              <w:tc>
                <w:tcPr>
                  <w:tcW w:w="1390" w:type="pct"/>
                  <w:vMerge w:val="continue"/>
                  <w:vAlign w:val="center"/>
                </w:tcPr>
                <w:p w14:paraId="6085AC60">
                  <w:pPr>
                    <w:jc w:val="center"/>
                    <w:rPr>
                      <w:b/>
                      <w:iCs/>
                      <w:color w:val="auto"/>
                      <w:szCs w:val="21"/>
                    </w:rPr>
                  </w:pPr>
                </w:p>
              </w:tc>
              <w:tc>
                <w:tcPr>
                  <w:tcW w:w="477" w:type="pct"/>
                  <w:vMerge w:val="continue"/>
                  <w:vAlign w:val="center"/>
                </w:tcPr>
                <w:p w14:paraId="0332C9E0">
                  <w:pPr>
                    <w:jc w:val="center"/>
                    <w:rPr>
                      <w:b/>
                      <w:iCs/>
                      <w:color w:val="auto"/>
                      <w:szCs w:val="21"/>
                    </w:rPr>
                  </w:pPr>
                </w:p>
              </w:tc>
            </w:tr>
            <w:tr w14:paraId="412C8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240" w:type="pct"/>
                  <w:vAlign w:val="center"/>
                </w:tcPr>
                <w:p w14:paraId="538C6885">
                  <w:pPr>
                    <w:jc w:val="center"/>
                    <w:rPr>
                      <w:bCs/>
                      <w:iCs/>
                      <w:color w:val="auto"/>
                      <w:szCs w:val="21"/>
                    </w:rPr>
                  </w:pPr>
                  <w:r>
                    <w:rPr>
                      <w:bCs/>
                      <w:iCs/>
                      <w:color w:val="auto"/>
                      <w:szCs w:val="21"/>
                    </w:rPr>
                    <w:t>1</w:t>
                  </w:r>
                </w:p>
              </w:tc>
              <w:tc>
                <w:tcPr>
                  <w:tcW w:w="1005" w:type="pct"/>
                  <w:vAlign w:val="center"/>
                </w:tcPr>
                <w:p w14:paraId="4C92A49C">
                  <w:pPr>
                    <w:jc w:val="center"/>
                    <w:rPr>
                      <w:bCs/>
                      <w:iCs/>
                      <w:color w:val="auto"/>
                      <w:szCs w:val="21"/>
                    </w:rPr>
                  </w:pPr>
                  <w:r>
                    <w:rPr>
                      <w:bCs/>
                      <w:iCs/>
                      <w:color w:val="auto"/>
                      <w:szCs w:val="21"/>
                    </w:rPr>
                    <w:t>加气混凝土砌块</w:t>
                  </w:r>
                </w:p>
              </w:tc>
              <w:tc>
                <w:tcPr>
                  <w:tcW w:w="606" w:type="pct"/>
                  <w:vAlign w:val="center"/>
                </w:tcPr>
                <w:p w14:paraId="30C1DCE6">
                  <w:pPr>
                    <w:jc w:val="center"/>
                    <w:rPr>
                      <w:color w:val="auto"/>
                      <w:szCs w:val="21"/>
                    </w:rPr>
                  </w:pPr>
                  <w:r>
                    <w:rPr>
                      <w:color w:val="auto"/>
                      <w:szCs w:val="21"/>
                    </w:rPr>
                    <w:t>20万m³/a</w:t>
                  </w:r>
                </w:p>
              </w:tc>
              <w:tc>
                <w:tcPr>
                  <w:tcW w:w="672" w:type="pct"/>
                  <w:vAlign w:val="center"/>
                </w:tcPr>
                <w:p w14:paraId="1844306F">
                  <w:pPr>
                    <w:jc w:val="center"/>
                    <w:rPr>
                      <w:color w:val="auto"/>
                      <w:szCs w:val="21"/>
                    </w:rPr>
                  </w:pPr>
                  <w:r>
                    <w:rPr>
                      <w:color w:val="auto"/>
                      <w:szCs w:val="21"/>
                    </w:rPr>
                    <w:t>40万m³/a</w:t>
                  </w:r>
                </w:p>
              </w:tc>
              <w:tc>
                <w:tcPr>
                  <w:tcW w:w="606" w:type="pct"/>
                  <w:vAlign w:val="center"/>
                </w:tcPr>
                <w:p w14:paraId="0B02D3BD">
                  <w:pPr>
                    <w:jc w:val="center"/>
                    <w:rPr>
                      <w:color w:val="auto"/>
                      <w:szCs w:val="21"/>
                    </w:rPr>
                  </w:pPr>
                  <w:r>
                    <w:rPr>
                      <w:color w:val="auto"/>
                      <w:szCs w:val="21"/>
                    </w:rPr>
                    <w:t>60万m³/a</w:t>
                  </w:r>
                </w:p>
              </w:tc>
              <w:tc>
                <w:tcPr>
                  <w:tcW w:w="1390" w:type="pct"/>
                  <w:vAlign w:val="center"/>
                </w:tcPr>
                <w:p w14:paraId="0681C318">
                  <w:pPr>
                    <w:jc w:val="center"/>
                    <w:rPr>
                      <w:color w:val="auto"/>
                      <w:szCs w:val="21"/>
                    </w:rPr>
                  </w:pPr>
                  <w:r>
                    <w:rPr>
                      <w:color w:val="auto"/>
                    </w:rPr>
                    <w:t>600mm×240mm×200mm</w:t>
                  </w:r>
                </w:p>
              </w:tc>
              <w:tc>
                <w:tcPr>
                  <w:tcW w:w="477" w:type="pct"/>
                  <w:vAlign w:val="center"/>
                </w:tcPr>
                <w:p w14:paraId="3B26237F">
                  <w:pPr>
                    <w:jc w:val="center"/>
                    <w:rPr>
                      <w:color w:val="auto"/>
                      <w:szCs w:val="21"/>
                    </w:rPr>
                  </w:pPr>
                  <w:r>
                    <w:rPr>
                      <w:color w:val="auto"/>
                      <w:szCs w:val="21"/>
                    </w:rPr>
                    <w:t>/</w:t>
                  </w:r>
                </w:p>
              </w:tc>
            </w:tr>
          </w:tbl>
          <w:p w14:paraId="6429C0B1">
            <w:pPr>
              <w:spacing w:line="360" w:lineRule="auto"/>
              <w:ind w:firstLine="482" w:firstLineChars="200"/>
              <w:rPr>
                <w:b/>
                <w:iCs/>
                <w:color w:val="auto"/>
                <w:sz w:val="24"/>
              </w:rPr>
            </w:pPr>
            <w:r>
              <w:rPr>
                <w:b/>
                <w:iCs/>
                <w:color w:val="auto"/>
                <w:sz w:val="24"/>
              </w:rPr>
              <w:t>产品质量标准执行《蒸压加气混凝土砌块》（GB/T 11968-2020）具体要求如下：</w:t>
            </w:r>
          </w:p>
          <w:p w14:paraId="30D23C64">
            <w:pPr>
              <w:jc w:val="center"/>
              <w:rPr>
                <w:b/>
                <w:color w:val="auto"/>
                <w:sz w:val="24"/>
                <w:szCs w:val="21"/>
              </w:rPr>
            </w:pPr>
          </w:p>
          <w:p w14:paraId="0C6385FF">
            <w:pPr>
              <w:jc w:val="center"/>
              <w:rPr>
                <w:b/>
                <w:color w:val="auto"/>
                <w:sz w:val="24"/>
              </w:rPr>
            </w:pPr>
            <w:r>
              <w:rPr>
                <w:b/>
                <w:color w:val="auto"/>
                <w:sz w:val="24"/>
                <w:szCs w:val="21"/>
              </w:rPr>
              <w:t xml:space="preserve">表2-4  </w:t>
            </w:r>
            <w:r>
              <w:rPr>
                <w:b/>
                <w:color w:val="auto"/>
                <w:sz w:val="24"/>
              </w:rPr>
              <w:t>产品质量要求（尺寸允许偏差）</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8"/>
              <w:gridCol w:w="2949"/>
              <w:gridCol w:w="2949"/>
            </w:tblGrid>
            <w:tr w14:paraId="7A8EA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tcPr>
                <w:p w14:paraId="61184DEB">
                  <w:pPr>
                    <w:jc w:val="center"/>
                    <w:rPr>
                      <w:bCs/>
                      <w:iCs/>
                      <w:color w:val="auto"/>
                      <w:szCs w:val="21"/>
                    </w:rPr>
                  </w:pPr>
                  <w:r>
                    <w:rPr>
                      <w:bCs/>
                      <w:iCs/>
                      <w:color w:val="auto"/>
                      <w:szCs w:val="21"/>
                    </w:rPr>
                    <w:t>项目</w:t>
                  </w:r>
                </w:p>
              </w:tc>
              <w:tc>
                <w:tcPr>
                  <w:tcW w:w="2952" w:type="dxa"/>
                </w:tcPr>
                <w:p w14:paraId="7C7218BE">
                  <w:pPr>
                    <w:jc w:val="center"/>
                    <w:rPr>
                      <w:bCs/>
                      <w:iCs/>
                      <w:color w:val="auto"/>
                      <w:szCs w:val="21"/>
                    </w:rPr>
                  </w:pPr>
                  <w:r>
                    <w:rPr>
                      <w:bCs/>
                      <w:iCs/>
                      <w:color w:val="auto"/>
                      <w:szCs w:val="21"/>
                    </w:rPr>
                    <w:t>I型</w:t>
                  </w:r>
                </w:p>
              </w:tc>
              <w:tc>
                <w:tcPr>
                  <w:tcW w:w="2952" w:type="dxa"/>
                </w:tcPr>
                <w:p w14:paraId="402C3233">
                  <w:pPr>
                    <w:jc w:val="center"/>
                    <w:rPr>
                      <w:bCs/>
                      <w:iCs/>
                      <w:color w:val="auto"/>
                      <w:szCs w:val="21"/>
                    </w:rPr>
                  </w:pPr>
                  <w:r>
                    <w:rPr>
                      <w:bCs/>
                      <w:iCs/>
                      <w:color w:val="auto"/>
                      <w:szCs w:val="21"/>
                    </w:rPr>
                    <w:t>II型</w:t>
                  </w:r>
                </w:p>
              </w:tc>
            </w:tr>
            <w:tr w14:paraId="73965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tcPr>
                <w:p w14:paraId="4EB865FE">
                  <w:pPr>
                    <w:jc w:val="center"/>
                    <w:rPr>
                      <w:bCs/>
                      <w:iCs/>
                      <w:color w:val="auto"/>
                      <w:szCs w:val="21"/>
                    </w:rPr>
                  </w:pPr>
                  <w:r>
                    <w:rPr>
                      <w:bCs/>
                      <w:iCs/>
                      <w:color w:val="auto"/>
                      <w:szCs w:val="21"/>
                    </w:rPr>
                    <w:t>长度L</w:t>
                  </w:r>
                </w:p>
              </w:tc>
              <w:tc>
                <w:tcPr>
                  <w:tcW w:w="2952" w:type="dxa"/>
                </w:tcPr>
                <w:p w14:paraId="132D9486">
                  <w:pPr>
                    <w:jc w:val="center"/>
                    <w:rPr>
                      <w:bCs/>
                      <w:iCs/>
                      <w:color w:val="auto"/>
                      <w:szCs w:val="21"/>
                    </w:rPr>
                  </w:pPr>
                  <w:r>
                    <w:rPr>
                      <w:rFonts w:eastAsia="微软雅黑"/>
                      <w:bCs/>
                      <w:iCs/>
                      <w:color w:val="auto"/>
                      <w:szCs w:val="21"/>
                    </w:rPr>
                    <w:t>±3</w:t>
                  </w:r>
                </w:p>
              </w:tc>
              <w:tc>
                <w:tcPr>
                  <w:tcW w:w="2952" w:type="dxa"/>
                </w:tcPr>
                <w:p w14:paraId="56A78496">
                  <w:pPr>
                    <w:jc w:val="center"/>
                    <w:rPr>
                      <w:bCs/>
                      <w:iCs/>
                      <w:color w:val="auto"/>
                      <w:szCs w:val="21"/>
                    </w:rPr>
                  </w:pPr>
                  <w:r>
                    <w:rPr>
                      <w:rFonts w:eastAsia="微软雅黑"/>
                      <w:bCs/>
                      <w:iCs/>
                      <w:color w:val="auto"/>
                      <w:szCs w:val="21"/>
                    </w:rPr>
                    <w:t>±4</w:t>
                  </w:r>
                </w:p>
              </w:tc>
            </w:tr>
            <w:tr w14:paraId="7C3DB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tcPr>
                <w:p w14:paraId="69EB5952">
                  <w:pPr>
                    <w:jc w:val="center"/>
                    <w:rPr>
                      <w:bCs/>
                      <w:iCs/>
                      <w:color w:val="auto"/>
                      <w:szCs w:val="21"/>
                    </w:rPr>
                  </w:pPr>
                  <w:r>
                    <w:rPr>
                      <w:bCs/>
                      <w:iCs/>
                      <w:color w:val="auto"/>
                      <w:szCs w:val="21"/>
                    </w:rPr>
                    <w:t>宽度B</w:t>
                  </w:r>
                </w:p>
              </w:tc>
              <w:tc>
                <w:tcPr>
                  <w:tcW w:w="2952" w:type="dxa"/>
                </w:tcPr>
                <w:p w14:paraId="04CE93E8">
                  <w:pPr>
                    <w:jc w:val="center"/>
                    <w:rPr>
                      <w:bCs/>
                      <w:iCs/>
                      <w:color w:val="auto"/>
                      <w:szCs w:val="21"/>
                    </w:rPr>
                  </w:pPr>
                  <w:r>
                    <w:rPr>
                      <w:rFonts w:eastAsia="微软雅黑"/>
                      <w:bCs/>
                      <w:iCs/>
                      <w:color w:val="auto"/>
                      <w:szCs w:val="21"/>
                    </w:rPr>
                    <w:t>±1</w:t>
                  </w:r>
                </w:p>
              </w:tc>
              <w:tc>
                <w:tcPr>
                  <w:tcW w:w="2952" w:type="dxa"/>
                </w:tcPr>
                <w:p w14:paraId="040CDB17">
                  <w:pPr>
                    <w:jc w:val="center"/>
                    <w:rPr>
                      <w:bCs/>
                      <w:iCs/>
                      <w:color w:val="auto"/>
                      <w:szCs w:val="21"/>
                    </w:rPr>
                  </w:pPr>
                  <w:r>
                    <w:rPr>
                      <w:rFonts w:eastAsia="微软雅黑"/>
                      <w:bCs/>
                      <w:iCs/>
                      <w:color w:val="auto"/>
                      <w:szCs w:val="21"/>
                    </w:rPr>
                    <w:t>±2</w:t>
                  </w:r>
                </w:p>
              </w:tc>
            </w:tr>
            <w:tr w14:paraId="5F25D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tcPr>
                <w:p w14:paraId="65A8688D">
                  <w:pPr>
                    <w:jc w:val="center"/>
                    <w:rPr>
                      <w:bCs/>
                      <w:iCs/>
                      <w:color w:val="auto"/>
                      <w:szCs w:val="21"/>
                    </w:rPr>
                  </w:pPr>
                  <w:r>
                    <w:rPr>
                      <w:bCs/>
                      <w:iCs/>
                      <w:color w:val="auto"/>
                      <w:szCs w:val="21"/>
                    </w:rPr>
                    <w:t>高度H</w:t>
                  </w:r>
                </w:p>
              </w:tc>
              <w:tc>
                <w:tcPr>
                  <w:tcW w:w="2952" w:type="dxa"/>
                </w:tcPr>
                <w:p w14:paraId="08BFCB75">
                  <w:pPr>
                    <w:jc w:val="center"/>
                    <w:rPr>
                      <w:bCs/>
                      <w:iCs/>
                      <w:color w:val="auto"/>
                      <w:szCs w:val="21"/>
                    </w:rPr>
                  </w:pPr>
                  <w:r>
                    <w:rPr>
                      <w:rFonts w:eastAsia="微软雅黑"/>
                      <w:bCs/>
                      <w:iCs/>
                      <w:color w:val="auto"/>
                      <w:szCs w:val="21"/>
                    </w:rPr>
                    <w:t>±1</w:t>
                  </w:r>
                </w:p>
              </w:tc>
              <w:tc>
                <w:tcPr>
                  <w:tcW w:w="2952" w:type="dxa"/>
                </w:tcPr>
                <w:p w14:paraId="40ED0000">
                  <w:pPr>
                    <w:jc w:val="center"/>
                    <w:rPr>
                      <w:bCs/>
                      <w:iCs/>
                      <w:color w:val="auto"/>
                      <w:szCs w:val="21"/>
                    </w:rPr>
                  </w:pPr>
                  <w:r>
                    <w:rPr>
                      <w:rFonts w:eastAsia="微软雅黑"/>
                      <w:bCs/>
                      <w:iCs/>
                      <w:color w:val="auto"/>
                      <w:szCs w:val="21"/>
                    </w:rPr>
                    <w:t>±2</w:t>
                  </w:r>
                </w:p>
              </w:tc>
            </w:tr>
          </w:tbl>
          <w:p w14:paraId="49E3A19F">
            <w:pPr>
              <w:jc w:val="center"/>
              <w:rPr>
                <w:b/>
                <w:color w:val="auto"/>
                <w:sz w:val="24"/>
              </w:rPr>
            </w:pPr>
            <w:r>
              <w:rPr>
                <w:b/>
                <w:color w:val="auto"/>
                <w:sz w:val="24"/>
                <w:szCs w:val="21"/>
              </w:rPr>
              <w:t xml:space="preserve">表2-5  </w:t>
            </w:r>
            <w:r>
              <w:rPr>
                <w:b/>
                <w:color w:val="auto"/>
                <w:sz w:val="24"/>
              </w:rPr>
              <w:t>外观质量</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4"/>
              <w:gridCol w:w="2834"/>
              <w:gridCol w:w="1589"/>
              <w:gridCol w:w="2949"/>
            </w:tblGrid>
            <w:tr w14:paraId="2DB8C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4308" w:type="dxa"/>
                  <w:gridSpan w:val="2"/>
                  <w:vAlign w:val="center"/>
                </w:tcPr>
                <w:p w14:paraId="3CBC3817">
                  <w:pPr>
                    <w:jc w:val="center"/>
                    <w:rPr>
                      <w:bCs/>
                      <w:iCs/>
                      <w:color w:val="auto"/>
                      <w:szCs w:val="21"/>
                    </w:rPr>
                  </w:pPr>
                  <w:r>
                    <w:rPr>
                      <w:bCs/>
                      <w:iCs/>
                      <w:color w:val="auto"/>
                      <w:szCs w:val="21"/>
                    </w:rPr>
                    <w:t>项目</w:t>
                  </w:r>
                </w:p>
              </w:tc>
              <w:tc>
                <w:tcPr>
                  <w:tcW w:w="1589" w:type="dxa"/>
                  <w:vAlign w:val="center"/>
                </w:tcPr>
                <w:p w14:paraId="1BC09057">
                  <w:pPr>
                    <w:jc w:val="center"/>
                    <w:rPr>
                      <w:bCs/>
                      <w:iCs/>
                      <w:color w:val="auto"/>
                      <w:szCs w:val="21"/>
                    </w:rPr>
                  </w:pPr>
                  <w:r>
                    <w:rPr>
                      <w:bCs/>
                      <w:iCs/>
                      <w:color w:val="auto"/>
                      <w:szCs w:val="21"/>
                    </w:rPr>
                    <w:t>I型</w:t>
                  </w:r>
                </w:p>
              </w:tc>
              <w:tc>
                <w:tcPr>
                  <w:tcW w:w="2949" w:type="dxa"/>
                  <w:vAlign w:val="center"/>
                </w:tcPr>
                <w:p w14:paraId="456E261B">
                  <w:pPr>
                    <w:jc w:val="center"/>
                    <w:rPr>
                      <w:bCs/>
                      <w:iCs/>
                      <w:color w:val="auto"/>
                      <w:szCs w:val="21"/>
                    </w:rPr>
                  </w:pPr>
                  <w:r>
                    <w:rPr>
                      <w:bCs/>
                      <w:iCs/>
                      <w:color w:val="auto"/>
                      <w:szCs w:val="21"/>
                    </w:rPr>
                    <w:t>II型</w:t>
                  </w:r>
                </w:p>
              </w:tc>
            </w:tr>
            <w:tr w14:paraId="7B2F1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4" w:type="dxa"/>
                  <w:vMerge w:val="restart"/>
                  <w:vAlign w:val="center"/>
                </w:tcPr>
                <w:p w14:paraId="246E7AD8">
                  <w:pPr>
                    <w:jc w:val="center"/>
                    <w:rPr>
                      <w:bCs/>
                      <w:iCs/>
                      <w:color w:val="auto"/>
                      <w:szCs w:val="21"/>
                    </w:rPr>
                  </w:pPr>
                  <w:r>
                    <w:rPr>
                      <w:bCs/>
                      <w:iCs/>
                      <w:color w:val="auto"/>
                      <w:szCs w:val="21"/>
                    </w:rPr>
                    <w:t>缺棱掉角</w:t>
                  </w:r>
                </w:p>
              </w:tc>
              <w:tc>
                <w:tcPr>
                  <w:tcW w:w="2834" w:type="dxa"/>
                  <w:vAlign w:val="center"/>
                </w:tcPr>
                <w:p w14:paraId="3D6B88BC">
                  <w:pPr>
                    <w:jc w:val="center"/>
                    <w:rPr>
                      <w:bCs/>
                      <w:iCs/>
                      <w:color w:val="auto"/>
                      <w:szCs w:val="21"/>
                    </w:rPr>
                  </w:pPr>
                  <w:r>
                    <w:rPr>
                      <w:bCs/>
                      <w:iCs/>
                      <w:color w:val="auto"/>
                      <w:szCs w:val="21"/>
                    </w:rPr>
                    <w:t>最小尺寸/mm</w:t>
                  </w:r>
                </w:p>
              </w:tc>
              <w:tc>
                <w:tcPr>
                  <w:tcW w:w="1589" w:type="dxa"/>
                  <w:vAlign w:val="center"/>
                </w:tcPr>
                <w:p w14:paraId="61696D16">
                  <w:pPr>
                    <w:jc w:val="center"/>
                    <w:rPr>
                      <w:bCs/>
                      <w:iCs/>
                      <w:color w:val="auto"/>
                      <w:szCs w:val="21"/>
                    </w:rPr>
                  </w:pPr>
                  <w:r>
                    <w:rPr>
                      <w:bCs/>
                      <w:iCs/>
                      <w:color w:val="auto"/>
                      <w:szCs w:val="21"/>
                    </w:rPr>
                    <w:t>≤ 10</w:t>
                  </w:r>
                </w:p>
              </w:tc>
              <w:tc>
                <w:tcPr>
                  <w:tcW w:w="2949" w:type="dxa"/>
                  <w:vAlign w:val="center"/>
                </w:tcPr>
                <w:p w14:paraId="248AC833">
                  <w:pPr>
                    <w:jc w:val="center"/>
                    <w:rPr>
                      <w:bCs/>
                      <w:iCs/>
                      <w:color w:val="auto"/>
                      <w:szCs w:val="21"/>
                    </w:rPr>
                  </w:pPr>
                  <w:r>
                    <w:rPr>
                      <w:bCs/>
                      <w:iCs/>
                      <w:color w:val="auto"/>
                      <w:szCs w:val="21"/>
                    </w:rPr>
                    <w:t>≤ 30</w:t>
                  </w:r>
                </w:p>
              </w:tc>
            </w:tr>
            <w:tr w14:paraId="78D02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4" w:type="dxa"/>
                  <w:vMerge w:val="continue"/>
                  <w:vAlign w:val="center"/>
                </w:tcPr>
                <w:p w14:paraId="57F45772">
                  <w:pPr>
                    <w:jc w:val="center"/>
                    <w:rPr>
                      <w:bCs/>
                      <w:iCs/>
                      <w:color w:val="auto"/>
                      <w:szCs w:val="21"/>
                    </w:rPr>
                  </w:pPr>
                </w:p>
              </w:tc>
              <w:tc>
                <w:tcPr>
                  <w:tcW w:w="2834" w:type="dxa"/>
                  <w:vAlign w:val="center"/>
                </w:tcPr>
                <w:p w14:paraId="53CB8741">
                  <w:pPr>
                    <w:jc w:val="center"/>
                    <w:rPr>
                      <w:bCs/>
                      <w:iCs/>
                      <w:color w:val="auto"/>
                      <w:szCs w:val="21"/>
                    </w:rPr>
                  </w:pPr>
                  <w:r>
                    <w:rPr>
                      <w:bCs/>
                      <w:iCs/>
                      <w:color w:val="auto"/>
                      <w:szCs w:val="21"/>
                    </w:rPr>
                    <w:t>最大尺寸/mm</w:t>
                  </w:r>
                </w:p>
              </w:tc>
              <w:tc>
                <w:tcPr>
                  <w:tcW w:w="1589" w:type="dxa"/>
                  <w:vAlign w:val="center"/>
                </w:tcPr>
                <w:p w14:paraId="4210B675">
                  <w:pPr>
                    <w:jc w:val="center"/>
                    <w:rPr>
                      <w:bCs/>
                      <w:iCs/>
                      <w:color w:val="auto"/>
                      <w:szCs w:val="21"/>
                    </w:rPr>
                  </w:pPr>
                  <w:r>
                    <w:rPr>
                      <w:bCs/>
                      <w:iCs/>
                      <w:color w:val="auto"/>
                      <w:szCs w:val="21"/>
                    </w:rPr>
                    <w:t>≤ 20</w:t>
                  </w:r>
                </w:p>
              </w:tc>
              <w:tc>
                <w:tcPr>
                  <w:tcW w:w="2949" w:type="dxa"/>
                  <w:vAlign w:val="center"/>
                </w:tcPr>
                <w:p w14:paraId="16348B49">
                  <w:pPr>
                    <w:jc w:val="center"/>
                    <w:rPr>
                      <w:bCs/>
                      <w:iCs/>
                      <w:color w:val="auto"/>
                      <w:szCs w:val="21"/>
                    </w:rPr>
                  </w:pPr>
                  <w:r>
                    <w:rPr>
                      <w:bCs/>
                      <w:iCs/>
                      <w:color w:val="auto"/>
                      <w:szCs w:val="21"/>
                    </w:rPr>
                    <w:t>≤ 70</w:t>
                  </w:r>
                </w:p>
              </w:tc>
            </w:tr>
            <w:tr w14:paraId="0214F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474" w:type="dxa"/>
                  <w:vMerge w:val="continue"/>
                  <w:vAlign w:val="center"/>
                </w:tcPr>
                <w:p w14:paraId="659EAE01">
                  <w:pPr>
                    <w:jc w:val="center"/>
                    <w:rPr>
                      <w:bCs/>
                      <w:iCs/>
                      <w:color w:val="auto"/>
                      <w:szCs w:val="21"/>
                    </w:rPr>
                  </w:pPr>
                </w:p>
              </w:tc>
              <w:tc>
                <w:tcPr>
                  <w:tcW w:w="2834" w:type="dxa"/>
                  <w:vAlign w:val="center"/>
                </w:tcPr>
                <w:p w14:paraId="13863B00">
                  <w:pPr>
                    <w:jc w:val="center"/>
                    <w:rPr>
                      <w:bCs/>
                      <w:iCs/>
                      <w:color w:val="auto"/>
                      <w:szCs w:val="21"/>
                    </w:rPr>
                  </w:pPr>
                  <w:r>
                    <w:rPr>
                      <w:bCs/>
                      <w:iCs/>
                      <w:color w:val="auto"/>
                      <w:szCs w:val="21"/>
                    </w:rPr>
                    <w:t>三个方向尺寸之和不大于120mm的掉角个数/个</w:t>
                  </w:r>
                </w:p>
              </w:tc>
              <w:tc>
                <w:tcPr>
                  <w:tcW w:w="1589" w:type="dxa"/>
                  <w:vAlign w:val="center"/>
                </w:tcPr>
                <w:p w14:paraId="1F92324A">
                  <w:pPr>
                    <w:jc w:val="center"/>
                    <w:rPr>
                      <w:bCs/>
                      <w:iCs/>
                      <w:color w:val="auto"/>
                      <w:szCs w:val="21"/>
                    </w:rPr>
                  </w:pPr>
                  <w:r>
                    <w:rPr>
                      <w:bCs/>
                      <w:iCs/>
                      <w:color w:val="auto"/>
                      <w:szCs w:val="21"/>
                    </w:rPr>
                    <w:t>≤ 0</w:t>
                  </w:r>
                </w:p>
              </w:tc>
              <w:tc>
                <w:tcPr>
                  <w:tcW w:w="2949" w:type="dxa"/>
                  <w:vAlign w:val="center"/>
                </w:tcPr>
                <w:p w14:paraId="469FF8B4">
                  <w:pPr>
                    <w:jc w:val="center"/>
                    <w:rPr>
                      <w:bCs/>
                      <w:iCs/>
                      <w:color w:val="auto"/>
                      <w:szCs w:val="21"/>
                    </w:rPr>
                  </w:pPr>
                  <w:r>
                    <w:rPr>
                      <w:bCs/>
                      <w:iCs/>
                      <w:color w:val="auto"/>
                      <w:szCs w:val="21"/>
                    </w:rPr>
                    <w:t>≤ 2</w:t>
                  </w:r>
                </w:p>
              </w:tc>
            </w:tr>
            <w:tr w14:paraId="5B339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4" w:type="dxa"/>
                  <w:vMerge w:val="restart"/>
                  <w:vAlign w:val="center"/>
                </w:tcPr>
                <w:p w14:paraId="796B52C3">
                  <w:pPr>
                    <w:jc w:val="center"/>
                    <w:rPr>
                      <w:bCs/>
                      <w:iCs/>
                      <w:color w:val="auto"/>
                      <w:szCs w:val="21"/>
                    </w:rPr>
                  </w:pPr>
                  <w:r>
                    <w:rPr>
                      <w:bCs/>
                      <w:iCs/>
                      <w:color w:val="auto"/>
                      <w:szCs w:val="21"/>
                    </w:rPr>
                    <w:t>裂纹长度</w:t>
                  </w:r>
                </w:p>
              </w:tc>
              <w:tc>
                <w:tcPr>
                  <w:tcW w:w="2834" w:type="dxa"/>
                  <w:vAlign w:val="center"/>
                </w:tcPr>
                <w:p w14:paraId="25530D29">
                  <w:pPr>
                    <w:jc w:val="center"/>
                    <w:rPr>
                      <w:bCs/>
                      <w:iCs/>
                      <w:color w:val="auto"/>
                      <w:szCs w:val="21"/>
                    </w:rPr>
                  </w:pPr>
                  <w:r>
                    <w:rPr>
                      <w:bCs/>
                      <w:iCs/>
                      <w:color w:val="auto"/>
                      <w:szCs w:val="21"/>
                    </w:rPr>
                    <w:t>裂纹长度/mm</w:t>
                  </w:r>
                </w:p>
              </w:tc>
              <w:tc>
                <w:tcPr>
                  <w:tcW w:w="1589" w:type="dxa"/>
                  <w:vAlign w:val="center"/>
                </w:tcPr>
                <w:p w14:paraId="7E2CB449">
                  <w:pPr>
                    <w:jc w:val="center"/>
                    <w:rPr>
                      <w:bCs/>
                      <w:iCs/>
                      <w:color w:val="auto"/>
                      <w:szCs w:val="21"/>
                    </w:rPr>
                  </w:pPr>
                  <w:r>
                    <w:rPr>
                      <w:bCs/>
                      <w:iCs/>
                      <w:color w:val="auto"/>
                      <w:szCs w:val="21"/>
                    </w:rPr>
                    <w:t>≤ 0</w:t>
                  </w:r>
                </w:p>
              </w:tc>
              <w:tc>
                <w:tcPr>
                  <w:tcW w:w="2949" w:type="dxa"/>
                  <w:vAlign w:val="center"/>
                </w:tcPr>
                <w:p w14:paraId="140D3EEC">
                  <w:pPr>
                    <w:jc w:val="center"/>
                    <w:rPr>
                      <w:bCs/>
                      <w:iCs/>
                      <w:color w:val="auto"/>
                      <w:szCs w:val="21"/>
                    </w:rPr>
                  </w:pPr>
                  <w:r>
                    <w:rPr>
                      <w:bCs/>
                      <w:iCs/>
                      <w:color w:val="auto"/>
                      <w:szCs w:val="21"/>
                    </w:rPr>
                    <w:t>≤ 70</w:t>
                  </w:r>
                </w:p>
              </w:tc>
            </w:tr>
            <w:tr w14:paraId="7D7D3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4" w:type="dxa"/>
                  <w:vMerge w:val="continue"/>
                  <w:vAlign w:val="center"/>
                </w:tcPr>
                <w:p w14:paraId="64D548F1">
                  <w:pPr>
                    <w:jc w:val="center"/>
                    <w:rPr>
                      <w:bCs/>
                      <w:iCs/>
                      <w:color w:val="auto"/>
                      <w:szCs w:val="21"/>
                    </w:rPr>
                  </w:pPr>
                </w:p>
              </w:tc>
              <w:tc>
                <w:tcPr>
                  <w:tcW w:w="2834" w:type="dxa"/>
                  <w:vAlign w:val="center"/>
                </w:tcPr>
                <w:p w14:paraId="655C4035">
                  <w:pPr>
                    <w:jc w:val="center"/>
                    <w:rPr>
                      <w:bCs/>
                      <w:iCs/>
                      <w:color w:val="auto"/>
                      <w:szCs w:val="21"/>
                    </w:rPr>
                  </w:pPr>
                  <w:r>
                    <w:rPr>
                      <w:bCs/>
                      <w:iCs/>
                      <w:color w:val="auto"/>
                      <w:szCs w:val="21"/>
                    </w:rPr>
                    <w:t>任意面不大于70mm裂纹条数/条</w:t>
                  </w:r>
                </w:p>
              </w:tc>
              <w:tc>
                <w:tcPr>
                  <w:tcW w:w="1589" w:type="dxa"/>
                  <w:vAlign w:val="center"/>
                </w:tcPr>
                <w:p w14:paraId="1F18185C">
                  <w:pPr>
                    <w:jc w:val="center"/>
                    <w:rPr>
                      <w:bCs/>
                      <w:iCs/>
                      <w:color w:val="auto"/>
                      <w:szCs w:val="21"/>
                    </w:rPr>
                  </w:pPr>
                  <w:r>
                    <w:rPr>
                      <w:bCs/>
                      <w:iCs/>
                      <w:color w:val="auto"/>
                      <w:szCs w:val="21"/>
                    </w:rPr>
                    <w:t>≤ 0</w:t>
                  </w:r>
                </w:p>
              </w:tc>
              <w:tc>
                <w:tcPr>
                  <w:tcW w:w="2949" w:type="dxa"/>
                  <w:vAlign w:val="center"/>
                </w:tcPr>
                <w:p w14:paraId="7A6B327F">
                  <w:pPr>
                    <w:jc w:val="center"/>
                    <w:rPr>
                      <w:bCs/>
                      <w:iCs/>
                      <w:color w:val="auto"/>
                      <w:szCs w:val="21"/>
                    </w:rPr>
                  </w:pPr>
                  <w:r>
                    <w:rPr>
                      <w:bCs/>
                      <w:iCs/>
                      <w:color w:val="auto"/>
                      <w:szCs w:val="21"/>
                    </w:rPr>
                    <w:t>≤ 1</w:t>
                  </w:r>
                </w:p>
              </w:tc>
            </w:tr>
            <w:tr w14:paraId="2CBFC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4" w:type="dxa"/>
                  <w:vMerge w:val="continue"/>
                  <w:vAlign w:val="center"/>
                </w:tcPr>
                <w:p w14:paraId="46DBA71C">
                  <w:pPr>
                    <w:jc w:val="center"/>
                    <w:rPr>
                      <w:bCs/>
                      <w:iCs/>
                      <w:color w:val="auto"/>
                      <w:szCs w:val="21"/>
                    </w:rPr>
                  </w:pPr>
                </w:p>
              </w:tc>
              <w:tc>
                <w:tcPr>
                  <w:tcW w:w="2834" w:type="dxa"/>
                  <w:vAlign w:val="center"/>
                </w:tcPr>
                <w:p w14:paraId="73A6AD6B">
                  <w:pPr>
                    <w:jc w:val="center"/>
                    <w:rPr>
                      <w:bCs/>
                      <w:iCs/>
                      <w:color w:val="auto"/>
                      <w:szCs w:val="21"/>
                    </w:rPr>
                  </w:pPr>
                  <w:r>
                    <w:rPr>
                      <w:bCs/>
                      <w:iCs/>
                      <w:color w:val="auto"/>
                      <w:szCs w:val="21"/>
                    </w:rPr>
                    <w:t>每块裂纹总数/条</w:t>
                  </w:r>
                </w:p>
              </w:tc>
              <w:tc>
                <w:tcPr>
                  <w:tcW w:w="1589" w:type="dxa"/>
                  <w:vAlign w:val="center"/>
                </w:tcPr>
                <w:p w14:paraId="5C57D050">
                  <w:pPr>
                    <w:jc w:val="center"/>
                    <w:rPr>
                      <w:bCs/>
                      <w:iCs/>
                      <w:color w:val="auto"/>
                      <w:szCs w:val="21"/>
                    </w:rPr>
                  </w:pPr>
                  <w:r>
                    <w:rPr>
                      <w:bCs/>
                      <w:iCs/>
                      <w:color w:val="auto"/>
                      <w:szCs w:val="21"/>
                    </w:rPr>
                    <w:t>≤ 0</w:t>
                  </w:r>
                </w:p>
              </w:tc>
              <w:tc>
                <w:tcPr>
                  <w:tcW w:w="2949" w:type="dxa"/>
                  <w:vAlign w:val="center"/>
                </w:tcPr>
                <w:p w14:paraId="2FDF8360">
                  <w:pPr>
                    <w:jc w:val="center"/>
                    <w:rPr>
                      <w:bCs/>
                      <w:iCs/>
                      <w:color w:val="auto"/>
                      <w:szCs w:val="21"/>
                    </w:rPr>
                  </w:pPr>
                  <w:r>
                    <w:rPr>
                      <w:bCs/>
                      <w:iCs/>
                      <w:color w:val="auto"/>
                      <w:szCs w:val="21"/>
                    </w:rPr>
                    <w:t>≤ 2</w:t>
                  </w:r>
                </w:p>
              </w:tc>
            </w:tr>
            <w:tr w14:paraId="4E8D2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8" w:type="dxa"/>
                  <w:gridSpan w:val="2"/>
                  <w:vAlign w:val="center"/>
                </w:tcPr>
                <w:p w14:paraId="551311B2">
                  <w:pPr>
                    <w:jc w:val="center"/>
                    <w:rPr>
                      <w:bCs/>
                      <w:iCs/>
                      <w:color w:val="auto"/>
                      <w:szCs w:val="21"/>
                    </w:rPr>
                  </w:pPr>
                  <w:r>
                    <w:rPr>
                      <w:bCs/>
                      <w:iCs/>
                      <w:color w:val="auto"/>
                      <w:szCs w:val="21"/>
                    </w:rPr>
                    <w:t>损坏深度/mm</w:t>
                  </w:r>
                </w:p>
              </w:tc>
              <w:tc>
                <w:tcPr>
                  <w:tcW w:w="1589" w:type="dxa"/>
                  <w:vAlign w:val="center"/>
                </w:tcPr>
                <w:p w14:paraId="579AC329">
                  <w:pPr>
                    <w:jc w:val="center"/>
                    <w:rPr>
                      <w:bCs/>
                      <w:iCs/>
                      <w:color w:val="auto"/>
                      <w:szCs w:val="21"/>
                    </w:rPr>
                  </w:pPr>
                  <w:r>
                    <w:rPr>
                      <w:bCs/>
                      <w:iCs/>
                      <w:color w:val="auto"/>
                      <w:szCs w:val="21"/>
                    </w:rPr>
                    <w:t>≤ 0</w:t>
                  </w:r>
                </w:p>
              </w:tc>
              <w:tc>
                <w:tcPr>
                  <w:tcW w:w="2949" w:type="dxa"/>
                  <w:vAlign w:val="center"/>
                </w:tcPr>
                <w:p w14:paraId="673DF281">
                  <w:pPr>
                    <w:jc w:val="center"/>
                    <w:rPr>
                      <w:bCs/>
                      <w:iCs/>
                      <w:color w:val="auto"/>
                      <w:szCs w:val="21"/>
                    </w:rPr>
                  </w:pPr>
                  <w:r>
                    <w:rPr>
                      <w:bCs/>
                      <w:iCs/>
                      <w:color w:val="auto"/>
                      <w:szCs w:val="21"/>
                    </w:rPr>
                    <w:t>≤ 10</w:t>
                  </w:r>
                </w:p>
              </w:tc>
            </w:tr>
            <w:tr w14:paraId="75BD4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8" w:type="dxa"/>
                  <w:gridSpan w:val="2"/>
                  <w:vAlign w:val="center"/>
                </w:tcPr>
                <w:p w14:paraId="190FFF80">
                  <w:pPr>
                    <w:jc w:val="center"/>
                    <w:rPr>
                      <w:bCs/>
                      <w:iCs/>
                      <w:color w:val="auto"/>
                      <w:szCs w:val="21"/>
                    </w:rPr>
                  </w:pPr>
                  <w:r>
                    <w:rPr>
                      <w:bCs/>
                      <w:iCs/>
                      <w:color w:val="auto"/>
                      <w:szCs w:val="21"/>
                    </w:rPr>
                    <w:t>表面疏松、分层、表面油污</w:t>
                  </w:r>
                </w:p>
              </w:tc>
              <w:tc>
                <w:tcPr>
                  <w:tcW w:w="1589" w:type="dxa"/>
                  <w:vAlign w:val="center"/>
                </w:tcPr>
                <w:p w14:paraId="15C99623">
                  <w:pPr>
                    <w:jc w:val="center"/>
                    <w:rPr>
                      <w:bCs/>
                      <w:iCs/>
                      <w:color w:val="auto"/>
                      <w:szCs w:val="21"/>
                    </w:rPr>
                  </w:pPr>
                  <w:r>
                    <w:rPr>
                      <w:bCs/>
                      <w:iCs/>
                      <w:color w:val="auto"/>
                      <w:szCs w:val="21"/>
                    </w:rPr>
                    <w:t>无</w:t>
                  </w:r>
                </w:p>
              </w:tc>
              <w:tc>
                <w:tcPr>
                  <w:tcW w:w="2949" w:type="dxa"/>
                  <w:vAlign w:val="center"/>
                </w:tcPr>
                <w:p w14:paraId="71917EE0">
                  <w:pPr>
                    <w:jc w:val="center"/>
                    <w:rPr>
                      <w:bCs/>
                      <w:iCs/>
                      <w:color w:val="auto"/>
                      <w:szCs w:val="21"/>
                    </w:rPr>
                  </w:pPr>
                  <w:r>
                    <w:rPr>
                      <w:bCs/>
                      <w:iCs/>
                      <w:color w:val="auto"/>
                      <w:szCs w:val="21"/>
                    </w:rPr>
                    <w:t>无</w:t>
                  </w:r>
                </w:p>
              </w:tc>
            </w:tr>
            <w:tr w14:paraId="64DFF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8" w:type="dxa"/>
                  <w:gridSpan w:val="2"/>
                  <w:vAlign w:val="center"/>
                </w:tcPr>
                <w:p w14:paraId="7851E310">
                  <w:pPr>
                    <w:jc w:val="center"/>
                    <w:rPr>
                      <w:bCs/>
                      <w:iCs/>
                      <w:color w:val="auto"/>
                      <w:szCs w:val="21"/>
                    </w:rPr>
                  </w:pPr>
                  <w:r>
                    <w:rPr>
                      <w:bCs/>
                      <w:iCs/>
                      <w:color w:val="auto"/>
                      <w:szCs w:val="21"/>
                    </w:rPr>
                    <w:t>平面弯曲/mm</w:t>
                  </w:r>
                </w:p>
              </w:tc>
              <w:tc>
                <w:tcPr>
                  <w:tcW w:w="1589" w:type="dxa"/>
                  <w:vAlign w:val="center"/>
                </w:tcPr>
                <w:p w14:paraId="7880DC1D">
                  <w:pPr>
                    <w:jc w:val="center"/>
                    <w:rPr>
                      <w:bCs/>
                      <w:iCs/>
                      <w:color w:val="auto"/>
                      <w:szCs w:val="21"/>
                    </w:rPr>
                  </w:pPr>
                  <w:r>
                    <w:rPr>
                      <w:bCs/>
                      <w:iCs/>
                      <w:color w:val="auto"/>
                      <w:szCs w:val="21"/>
                    </w:rPr>
                    <w:t>≤ 1</w:t>
                  </w:r>
                </w:p>
              </w:tc>
              <w:tc>
                <w:tcPr>
                  <w:tcW w:w="2949" w:type="dxa"/>
                  <w:vAlign w:val="center"/>
                </w:tcPr>
                <w:p w14:paraId="028935C2">
                  <w:pPr>
                    <w:jc w:val="center"/>
                    <w:rPr>
                      <w:bCs/>
                      <w:iCs/>
                      <w:color w:val="auto"/>
                      <w:szCs w:val="21"/>
                    </w:rPr>
                  </w:pPr>
                  <w:r>
                    <w:rPr>
                      <w:bCs/>
                      <w:iCs/>
                      <w:color w:val="auto"/>
                      <w:szCs w:val="21"/>
                    </w:rPr>
                    <w:t>≤ 2</w:t>
                  </w:r>
                </w:p>
              </w:tc>
            </w:tr>
            <w:tr w14:paraId="6F8EF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8" w:type="dxa"/>
                  <w:gridSpan w:val="2"/>
                  <w:vAlign w:val="center"/>
                </w:tcPr>
                <w:p w14:paraId="7E5E3401">
                  <w:pPr>
                    <w:jc w:val="center"/>
                    <w:rPr>
                      <w:bCs/>
                      <w:iCs/>
                      <w:color w:val="auto"/>
                      <w:szCs w:val="21"/>
                    </w:rPr>
                  </w:pPr>
                  <w:r>
                    <w:rPr>
                      <w:bCs/>
                      <w:iCs/>
                      <w:color w:val="auto"/>
                      <w:szCs w:val="21"/>
                    </w:rPr>
                    <w:t>直角度/mm</w:t>
                  </w:r>
                </w:p>
              </w:tc>
              <w:tc>
                <w:tcPr>
                  <w:tcW w:w="1589" w:type="dxa"/>
                  <w:vAlign w:val="center"/>
                </w:tcPr>
                <w:p w14:paraId="7EFE13A1">
                  <w:pPr>
                    <w:jc w:val="center"/>
                    <w:rPr>
                      <w:bCs/>
                      <w:iCs/>
                      <w:color w:val="auto"/>
                      <w:szCs w:val="21"/>
                    </w:rPr>
                  </w:pPr>
                  <w:r>
                    <w:rPr>
                      <w:bCs/>
                      <w:iCs/>
                      <w:color w:val="auto"/>
                      <w:szCs w:val="21"/>
                    </w:rPr>
                    <w:t>≤ 1</w:t>
                  </w:r>
                </w:p>
              </w:tc>
              <w:tc>
                <w:tcPr>
                  <w:tcW w:w="2949" w:type="dxa"/>
                  <w:vAlign w:val="center"/>
                </w:tcPr>
                <w:p w14:paraId="7443FEB2">
                  <w:pPr>
                    <w:jc w:val="center"/>
                    <w:rPr>
                      <w:bCs/>
                      <w:iCs/>
                      <w:color w:val="auto"/>
                      <w:szCs w:val="21"/>
                    </w:rPr>
                  </w:pPr>
                  <w:r>
                    <w:rPr>
                      <w:bCs/>
                      <w:iCs/>
                      <w:color w:val="auto"/>
                      <w:szCs w:val="21"/>
                    </w:rPr>
                    <w:t>≤ 2</w:t>
                  </w:r>
                </w:p>
              </w:tc>
            </w:tr>
          </w:tbl>
          <w:p w14:paraId="59FC80E9">
            <w:pPr>
              <w:jc w:val="center"/>
              <w:rPr>
                <w:b/>
                <w:color w:val="auto"/>
                <w:sz w:val="24"/>
              </w:rPr>
            </w:pPr>
            <w:r>
              <w:rPr>
                <w:b/>
                <w:color w:val="auto"/>
                <w:sz w:val="24"/>
                <w:szCs w:val="21"/>
              </w:rPr>
              <w:t>表2-6  抗压强度和干密度要求</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9"/>
              <w:gridCol w:w="1769"/>
              <w:gridCol w:w="1769"/>
              <w:gridCol w:w="1494"/>
              <w:gridCol w:w="2045"/>
            </w:tblGrid>
            <w:tr w14:paraId="2E273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69" w:type="dxa"/>
                  <w:vMerge w:val="restart"/>
                  <w:vAlign w:val="center"/>
                </w:tcPr>
                <w:p w14:paraId="46EA5B90">
                  <w:pPr>
                    <w:jc w:val="center"/>
                    <w:rPr>
                      <w:bCs/>
                      <w:color w:val="auto"/>
                      <w:szCs w:val="21"/>
                    </w:rPr>
                  </w:pPr>
                  <w:r>
                    <w:rPr>
                      <w:bCs/>
                      <w:color w:val="auto"/>
                      <w:szCs w:val="21"/>
                    </w:rPr>
                    <w:t>强度级别</w:t>
                  </w:r>
                </w:p>
              </w:tc>
              <w:tc>
                <w:tcPr>
                  <w:tcW w:w="3538" w:type="dxa"/>
                  <w:gridSpan w:val="2"/>
                  <w:vAlign w:val="center"/>
                </w:tcPr>
                <w:p w14:paraId="27C772E3">
                  <w:pPr>
                    <w:jc w:val="center"/>
                    <w:rPr>
                      <w:bCs/>
                      <w:color w:val="auto"/>
                      <w:szCs w:val="21"/>
                    </w:rPr>
                  </w:pPr>
                  <w:r>
                    <w:rPr>
                      <w:bCs/>
                      <w:color w:val="auto"/>
                      <w:szCs w:val="21"/>
                    </w:rPr>
                    <w:t>抗压强度/MPa</w:t>
                  </w:r>
                </w:p>
              </w:tc>
              <w:tc>
                <w:tcPr>
                  <w:tcW w:w="1494" w:type="dxa"/>
                  <w:vMerge w:val="restart"/>
                  <w:vAlign w:val="center"/>
                </w:tcPr>
                <w:p w14:paraId="298F448F">
                  <w:pPr>
                    <w:jc w:val="center"/>
                    <w:rPr>
                      <w:bCs/>
                      <w:color w:val="auto"/>
                      <w:szCs w:val="21"/>
                    </w:rPr>
                  </w:pPr>
                  <w:r>
                    <w:rPr>
                      <w:bCs/>
                      <w:color w:val="auto"/>
                      <w:szCs w:val="21"/>
                    </w:rPr>
                    <w:t>干密度级别</w:t>
                  </w:r>
                </w:p>
              </w:tc>
              <w:tc>
                <w:tcPr>
                  <w:tcW w:w="2045" w:type="dxa"/>
                  <w:vMerge w:val="restart"/>
                  <w:vAlign w:val="center"/>
                </w:tcPr>
                <w:p w14:paraId="7845F079">
                  <w:pPr>
                    <w:jc w:val="center"/>
                    <w:rPr>
                      <w:bCs/>
                      <w:color w:val="auto"/>
                      <w:szCs w:val="21"/>
                    </w:rPr>
                  </w:pPr>
                  <w:r>
                    <w:rPr>
                      <w:bCs/>
                      <w:color w:val="auto"/>
                      <w:szCs w:val="21"/>
                    </w:rPr>
                    <w:t>平均干密度/（kg/m³）</w:t>
                  </w:r>
                </w:p>
              </w:tc>
            </w:tr>
            <w:tr w14:paraId="11886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69" w:type="dxa"/>
                  <w:vMerge w:val="continue"/>
                  <w:vAlign w:val="center"/>
                </w:tcPr>
                <w:p w14:paraId="31D8EB10">
                  <w:pPr>
                    <w:jc w:val="center"/>
                    <w:rPr>
                      <w:bCs/>
                      <w:color w:val="auto"/>
                      <w:szCs w:val="21"/>
                    </w:rPr>
                  </w:pPr>
                </w:p>
              </w:tc>
              <w:tc>
                <w:tcPr>
                  <w:tcW w:w="1769" w:type="dxa"/>
                  <w:vAlign w:val="center"/>
                </w:tcPr>
                <w:p w14:paraId="69BE87CC">
                  <w:pPr>
                    <w:jc w:val="center"/>
                    <w:rPr>
                      <w:bCs/>
                      <w:color w:val="auto"/>
                      <w:szCs w:val="21"/>
                    </w:rPr>
                  </w:pPr>
                  <w:r>
                    <w:rPr>
                      <w:bCs/>
                      <w:color w:val="auto"/>
                      <w:szCs w:val="21"/>
                    </w:rPr>
                    <w:t>平均值</w:t>
                  </w:r>
                </w:p>
              </w:tc>
              <w:tc>
                <w:tcPr>
                  <w:tcW w:w="1769" w:type="dxa"/>
                  <w:vAlign w:val="center"/>
                </w:tcPr>
                <w:p w14:paraId="4D6C85C9">
                  <w:pPr>
                    <w:jc w:val="center"/>
                    <w:rPr>
                      <w:bCs/>
                      <w:color w:val="auto"/>
                      <w:szCs w:val="21"/>
                    </w:rPr>
                  </w:pPr>
                  <w:r>
                    <w:rPr>
                      <w:bCs/>
                      <w:color w:val="auto"/>
                      <w:szCs w:val="21"/>
                    </w:rPr>
                    <w:t>最小值</w:t>
                  </w:r>
                </w:p>
              </w:tc>
              <w:tc>
                <w:tcPr>
                  <w:tcW w:w="1494" w:type="dxa"/>
                  <w:vMerge w:val="continue"/>
                  <w:vAlign w:val="center"/>
                </w:tcPr>
                <w:p w14:paraId="57554057">
                  <w:pPr>
                    <w:jc w:val="center"/>
                    <w:rPr>
                      <w:bCs/>
                      <w:color w:val="auto"/>
                      <w:szCs w:val="21"/>
                    </w:rPr>
                  </w:pPr>
                </w:p>
              </w:tc>
              <w:tc>
                <w:tcPr>
                  <w:tcW w:w="2045" w:type="dxa"/>
                  <w:vMerge w:val="continue"/>
                  <w:vAlign w:val="center"/>
                </w:tcPr>
                <w:p w14:paraId="7C923F04">
                  <w:pPr>
                    <w:jc w:val="center"/>
                    <w:rPr>
                      <w:bCs/>
                      <w:color w:val="auto"/>
                      <w:szCs w:val="21"/>
                    </w:rPr>
                  </w:pPr>
                </w:p>
              </w:tc>
            </w:tr>
            <w:tr w14:paraId="1D325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69" w:type="dxa"/>
                  <w:vAlign w:val="center"/>
                </w:tcPr>
                <w:p w14:paraId="3A03C34C">
                  <w:pPr>
                    <w:jc w:val="center"/>
                    <w:rPr>
                      <w:bCs/>
                      <w:color w:val="auto"/>
                      <w:szCs w:val="21"/>
                    </w:rPr>
                  </w:pPr>
                  <w:r>
                    <w:rPr>
                      <w:bCs/>
                      <w:color w:val="auto"/>
                      <w:szCs w:val="21"/>
                    </w:rPr>
                    <w:t>A1.5</w:t>
                  </w:r>
                </w:p>
              </w:tc>
              <w:tc>
                <w:tcPr>
                  <w:tcW w:w="1769" w:type="dxa"/>
                  <w:vAlign w:val="center"/>
                </w:tcPr>
                <w:p w14:paraId="3D680730">
                  <w:pPr>
                    <w:jc w:val="center"/>
                    <w:rPr>
                      <w:bCs/>
                      <w:color w:val="auto"/>
                      <w:szCs w:val="21"/>
                    </w:rPr>
                  </w:pPr>
                  <w:r>
                    <w:rPr>
                      <w:bCs/>
                      <w:color w:val="auto"/>
                      <w:szCs w:val="21"/>
                    </w:rPr>
                    <w:t>≥1.5</w:t>
                  </w:r>
                </w:p>
              </w:tc>
              <w:tc>
                <w:tcPr>
                  <w:tcW w:w="1769" w:type="dxa"/>
                  <w:vAlign w:val="center"/>
                </w:tcPr>
                <w:p w14:paraId="5AE88857">
                  <w:pPr>
                    <w:jc w:val="center"/>
                    <w:rPr>
                      <w:bCs/>
                      <w:color w:val="auto"/>
                      <w:szCs w:val="21"/>
                    </w:rPr>
                  </w:pPr>
                  <w:r>
                    <w:rPr>
                      <w:bCs/>
                      <w:color w:val="auto"/>
                      <w:szCs w:val="21"/>
                    </w:rPr>
                    <w:t>≥1.2</w:t>
                  </w:r>
                </w:p>
              </w:tc>
              <w:tc>
                <w:tcPr>
                  <w:tcW w:w="1494" w:type="dxa"/>
                  <w:vAlign w:val="center"/>
                </w:tcPr>
                <w:p w14:paraId="25C34B85">
                  <w:pPr>
                    <w:jc w:val="center"/>
                    <w:rPr>
                      <w:bCs/>
                      <w:color w:val="auto"/>
                      <w:szCs w:val="21"/>
                    </w:rPr>
                  </w:pPr>
                  <w:r>
                    <w:rPr>
                      <w:bCs/>
                      <w:color w:val="auto"/>
                      <w:szCs w:val="21"/>
                    </w:rPr>
                    <w:t>B03</w:t>
                  </w:r>
                </w:p>
              </w:tc>
              <w:tc>
                <w:tcPr>
                  <w:tcW w:w="2045" w:type="dxa"/>
                  <w:vAlign w:val="center"/>
                </w:tcPr>
                <w:p w14:paraId="503505F5">
                  <w:pPr>
                    <w:jc w:val="center"/>
                    <w:rPr>
                      <w:bCs/>
                      <w:color w:val="auto"/>
                      <w:szCs w:val="21"/>
                    </w:rPr>
                  </w:pPr>
                  <w:r>
                    <w:rPr>
                      <w:bCs/>
                      <w:iCs/>
                      <w:color w:val="auto"/>
                      <w:szCs w:val="21"/>
                    </w:rPr>
                    <w:t>≤ 350</w:t>
                  </w:r>
                </w:p>
              </w:tc>
            </w:tr>
            <w:tr w14:paraId="16844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69" w:type="dxa"/>
                  <w:vAlign w:val="center"/>
                </w:tcPr>
                <w:p w14:paraId="30311508">
                  <w:pPr>
                    <w:jc w:val="center"/>
                    <w:rPr>
                      <w:bCs/>
                      <w:color w:val="auto"/>
                      <w:szCs w:val="21"/>
                    </w:rPr>
                  </w:pPr>
                  <w:r>
                    <w:rPr>
                      <w:bCs/>
                      <w:color w:val="auto"/>
                      <w:szCs w:val="21"/>
                    </w:rPr>
                    <w:t>A2.0</w:t>
                  </w:r>
                </w:p>
              </w:tc>
              <w:tc>
                <w:tcPr>
                  <w:tcW w:w="1769" w:type="dxa"/>
                  <w:vAlign w:val="center"/>
                </w:tcPr>
                <w:p w14:paraId="66009C23">
                  <w:pPr>
                    <w:jc w:val="center"/>
                    <w:rPr>
                      <w:bCs/>
                      <w:color w:val="auto"/>
                      <w:szCs w:val="21"/>
                    </w:rPr>
                  </w:pPr>
                  <w:r>
                    <w:rPr>
                      <w:bCs/>
                      <w:color w:val="auto"/>
                      <w:szCs w:val="21"/>
                    </w:rPr>
                    <w:t>≥2.0</w:t>
                  </w:r>
                </w:p>
              </w:tc>
              <w:tc>
                <w:tcPr>
                  <w:tcW w:w="1769" w:type="dxa"/>
                  <w:vAlign w:val="center"/>
                </w:tcPr>
                <w:p w14:paraId="4072C873">
                  <w:pPr>
                    <w:jc w:val="center"/>
                    <w:rPr>
                      <w:bCs/>
                      <w:color w:val="auto"/>
                      <w:szCs w:val="21"/>
                    </w:rPr>
                  </w:pPr>
                  <w:r>
                    <w:rPr>
                      <w:bCs/>
                      <w:color w:val="auto"/>
                      <w:szCs w:val="21"/>
                    </w:rPr>
                    <w:t>≥1.7</w:t>
                  </w:r>
                </w:p>
              </w:tc>
              <w:tc>
                <w:tcPr>
                  <w:tcW w:w="1494" w:type="dxa"/>
                  <w:vAlign w:val="center"/>
                </w:tcPr>
                <w:p w14:paraId="0E80C689">
                  <w:pPr>
                    <w:jc w:val="center"/>
                    <w:rPr>
                      <w:bCs/>
                      <w:color w:val="auto"/>
                      <w:szCs w:val="21"/>
                    </w:rPr>
                  </w:pPr>
                  <w:r>
                    <w:rPr>
                      <w:bCs/>
                      <w:color w:val="auto"/>
                      <w:szCs w:val="21"/>
                    </w:rPr>
                    <w:t>B04</w:t>
                  </w:r>
                </w:p>
              </w:tc>
              <w:tc>
                <w:tcPr>
                  <w:tcW w:w="2045" w:type="dxa"/>
                  <w:vAlign w:val="center"/>
                </w:tcPr>
                <w:p w14:paraId="7D4D38AD">
                  <w:pPr>
                    <w:jc w:val="center"/>
                    <w:rPr>
                      <w:bCs/>
                      <w:color w:val="auto"/>
                      <w:szCs w:val="21"/>
                    </w:rPr>
                  </w:pPr>
                  <w:r>
                    <w:rPr>
                      <w:bCs/>
                      <w:iCs/>
                      <w:color w:val="auto"/>
                      <w:szCs w:val="21"/>
                    </w:rPr>
                    <w:t>≤ 450</w:t>
                  </w:r>
                </w:p>
              </w:tc>
            </w:tr>
            <w:tr w14:paraId="14BA8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69" w:type="dxa"/>
                  <w:vMerge w:val="restart"/>
                  <w:vAlign w:val="center"/>
                </w:tcPr>
                <w:p w14:paraId="6C87A7D0">
                  <w:pPr>
                    <w:jc w:val="center"/>
                    <w:rPr>
                      <w:bCs/>
                      <w:color w:val="auto"/>
                      <w:szCs w:val="21"/>
                    </w:rPr>
                  </w:pPr>
                  <w:r>
                    <w:rPr>
                      <w:bCs/>
                      <w:color w:val="auto"/>
                      <w:szCs w:val="21"/>
                    </w:rPr>
                    <w:t>A2.5</w:t>
                  </w:r>
                </w:p>
              </w:tc>
              <w:tc>
                <w:tcPr>
                  <w:tcW w:w="1769" w:type="dxa"/>
                  <w:vMerge w:val="restart"/>
                  <w:vAlign w:val="center"/>
                </w:tcPr>
                <w:p w14:paraId="2B3DCB9A">
                  <w:pPr>
                    <w:jc w:val="center"/>
                    <w:rPr>
                      <w:bCs/>
                      <w:color w:val="auto"/>
                      <w:szCs w:val="21"/>
                    </w:rPr>
                  </w:pPr>
                  <w:r>
                    <w:rPr>
                      <w:bCs/>
                      <w:color w:val="auto"/>
                      <w:szCs w:val="21"/>
                    </w:rPr>
                    <w:t>≥2.5</w:t>
                  </w:r>
                </w:p>
              </w:tc>
              <w:tc>
                <w:tcPr>
                  <w:tcW w:w="1769" w:type="dxa"/>
                  <w:vMerge w:val="restart"/>
                  <w:vAlign w:val="center"/>
                </w:tcPr>
                <w:p w14:paraId="7CB8A24A">
                  <w:pPr>
                    <w:jc w:val="center"/>
                    <w:rPr>
                      <w:bCs/>
                      <w:color w:val="auto"/>
                      <w:szCs w:val="21"/>
                    </w:rPr>
                  </w:pPr>
                  <w:r>
                    <w:rPr>
                      <w:bCs/>
                      <w:color w:val="auto"/>
                      <w:szCs w:val="21"/>
                    </w:rPr>
                    <w:t>≥2.1</w:t>
                  </w:r>
                </w:p>
              </w:tc>
              <w:tc>
                <w:tcPr>
                  <w:tcW w:w="1494" w:type="dxa"/>
                  <w:vAlign w:val="center"/>
                </w:tcPr>
                <w:p w14:paraId="5236FECC">
                  <w:pPr>
                    <w:jc w:val="center"/>
                    <w:rPr>
                      <w:bCs/>
                      <w:color w:val="auto"/>
                      <w:szCs w:val="21"/>
                    </w:rPr>
                  </w:pPr>
                  <w:r>
                    <w:rPr>
                      <w:bCs/>
                      <w:color w:val="auto"/>
                      <w:szCs w:val="21"/>
                    </w:rPr>
                    <w:t>B04</w:t>
                  </w:r>
                </w:p>
              </w:tc>
              <w:tc>
                <w:tcPr>
                  <w:tcW w:w="2045" w:type="dxa"/>
                  <w:vAlign w:val="center"/>
                </w:tcPr>
                <w:p w14:paraId="22D9B326">
                  <w:pPr>
                    <w:jc w:val="center"/>
                    <w:rPr>
                      <w:bCs/>
                      <w:color w:val="auto"/>
                      <w:szCs w:val="21"/>
                    </w:rPr>
                  </w:pPr>
                  <w:r>
                    <w:rPr>
                      <w:bCs/>
                      <w:iCs/>
                      <w:color w:val="auto"/>
                      <w:szCs w:val="21"/>
                    </w:rPr>
                    <w:t>≤ 450</w:t>
                  </w:r>
                </w:p>
              </w:tc>
            </w:tr>
            <w:tr w14:paraId="79309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69" w:type="dxa"/>
                  <w:vMerge w:val="continue"/>
                  <w:vAlign w:val="center"/>
                </w:tcPr>
                <w:p w14:paraId="52D549EB">
                  <w:pPr>
                    <w:jc w:val="center"/>
                    <w:rPr>
                      <w:bCs/>
                      <w:color w:val="auto"/>
                      <w:szCs w:val="21"/>
                    </w:rPr>
                  </w:pPr>
                </w:p>
              </w:tc>
              <w:tc>
                <w:tcPr>
                  <w:tcW w:w="1769" w:type="dxa"/>
                  <w:vMerge w:val="continue"/>
                  <w:vAlign w:val="center"/>
                </w:tcPr>
                <w:p w14:paraId="5B819097">
                  <w:pPr>
                    <w:jc w:val="center"/>
                    <w:rPr>
                      <w:bCs/>
                      <w:color w:val="auto"/>
                      <w:szCs w:val="21"/>
                    </w:rPr>
                  </w:pPr>
                </w:p>
              </w:tc>
              <w:tc>
                <w:tcPr>
                  <w:tcW w:w="1769" w:type="dxa"/>
                  <w:vMerge w:val="continue"/>
                  <w:vAlign w:val="center"/>
                </w:tcPr>
                <w:p w14:paraId="1494D0FE">
                  <w:pPr>
                    <w:jc w:val="center"/>
                    <w:rPr>
                      <w:bCs/>
                      <w:color w:val="auto"/>
                      <w:szCs w:val="21"/>
                    </w:rPr>
                  </w:pPr>
                </w:p>
              </w:tc>
              <w:tc>
                <w:tcPr>
                  <w:tcW w:w="1494" w:type="dxa"/>
                  <w:vAlign w:val="center"/>
                </w:tcPr>
                <w:p w14:paraId="2C225579">
                  <w:pPr>
                    <w:jc w:val="center"/>
                    <w:rPr>
                      <w:bCs/>
                      <w:color w:val="auto"/>
                      <w:szCs w:val="21"/>
                    </w:rPr>
                  </w:pPr>
                  <w:r>
                    <w:rPr>
                      <w:bCs/>
                      <w:color w:val="auto"/>
                      <w:szCs w:val="21"/>
                    </w:rPr>
                    <w:t>B05</w:t>
                  </w:r>
                </w:p>
              </w:tc>
              <w:tc>
                <w:tcPr>
                  <w:tcW w:w="2045" w:type="dxa"/>
                  <w:vAlign w:val="center"/>
                </w:tcPr>
                <w:p w14:paraId="3C35DB73">
                  <w:pPr>
                    <w:jc w:val="center"/>
                    <w:rPr>
                      <w:bCs/>
                      <w:color w:val="auto"/>
                      <w:szCs w:val="21"/>
                    </w:rPr>
                  </w:pPr>
                  <w:r>
                    <w:rPr>
                      <w:bCs/>
                      <w:iCs/>
                      <w:color w:val="auto"/>
                      <w:szCs w:val="21"/>
                    </w:rPr>
                    <w:t>≤ 550</w:t>
                  </w:r>
                </w:p>
              </w:tc>
            </w:tr>
            <w:tr w14:paraId="3B04E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69" w:type="dxa"/>
                  <w:vMerge w:val="restart"/>
                  <w:vAlign w:val="center"/>
                </w:tcPr>
                <w:p w14:paraId="57621303">
                  <w:pPr>
                    <w:jc w:val="center"/>
                    <w:rPr>
                      <w:bCs/>
                      <w:color w:val="auto"/>
                      <w:szCs w:val="21"/>
                    </w:rPr>
                  </w:pPr>
                  <w:r>
                    <w:rPr>
                      <w:bCs/>
                      <w:color w:val="auto"/>
                      <w:szCs w:val="21"/>
                    </w:rPr>
                    <w:t>A3.5</w:t>
                  </w:r>
                </w:p>
              </w:tc>
              <w:tc>
                <w:tcPr>
                  <w:tcW w:w="1769" w:type="dxa"/>
                  <w:vMerge w:val="restart"/>
                  <w:vAlign w:val="center"/>
                </w:tcPr>
                <w:p w14:paraId="68804802">
                  <w:pPr>
                    <w:jc w:val="center"/>
                    <w:rPr>
                      <w:bCs/>
                      <w:color w:val="auto"/>
                      <w:szCs w:val="21"/>
                    </w:rPr>
                  </w:pPr>
                  <w:r>
                    <w:rPr>
                      <w:bCs/>
                      <w:color w:val="auto"/>
                      <w:szCs w:val="21"/>
                    </w:rPr>
                    <w:t>≥3.5</w:t>
                  </w:r>
                </w:p>
              </w:tc>
              <w:tc>
                <w:tcPr>
                  <w:tcW w:w="1769" w:type="dxa"/>
                  <w:vMerge w:val="restart"/>
                  <w:vAlign w:val="center"/>
                </w:tcPr>
                <w:p w14:paraId="1C57607A">
                  <w:pPr>
                    <w:jc w:val="center"/>
                    <w:rPr>
                      <w:bCs/>
                      <w:color w:val="auto"/>
                      <w:szCs w:val="21"/>
                    </w:rPr>
                  </w:pPr>
                  <w:r>
                    <w:rPr>
                      <w:bCs/>
                      <w:color w:val="auto"/>
                      <w:szCs w:val="21"/>
                    </w:rPr>
                    <w:t>≥3.0</w:t>
                  </w:r>
                </w:p>
              </w:tc>
              <w:tc>
                <w:tcPr>
                  <w:tcW w:w="1494" w:type="dxa"/>
                  <w:vAlign w:val="center"/>
                </w:tcPr>
                <w:p w14:paraId="5F1CE370">
                  <w:pPr>
                    <w:jc w:val="center"/>
                    <w:rPr>
                      <w:bCs/>
                      <w:color w:val="auto"/>
                      <w:szCs w:val="21"/>
                    </w:rPr>
                  </w:pPr>
                  <w:r>
                    <w:rPr>
                      <w:bCs/>
                      <w:color w:val="auto"/>
                      <w:szCs w:val="21"/>
                    </w:rPr>
                    <w:t>B04</w:t>
                  </w:r>
                </w:p>
              </w:tc>
              <w:tc>
                <w:tcPr>
                  <w:tcW w:w="2045" w:type="dxa"/>
                  <w:vAlign w:val="center"/>
                </w:tcPr>
                <w:p w14:paraId="724E2596">
                  <w:pPr>
                    <w:jc w:val="center"/>
                    <w:rPr>
                      <w:bCs/>
                      <w:color w:val="auto"/>
                      <w:szCs w:val="21"/>
                    </w:rPr>
                  </w:pPr>
                  <w:r>
                    <w:rPr>
                      <w:bCs/>
                      <w:iCs/>
                      <w:color w:val="auto"/>
                      <w:szCs w:val="21"/>
                    </w:rPr>
                    <w:t>≤ 450</w:t>
                  </w:r>
                </w:p>
              </w:tc>
            </w:tr>
            <w:tr w14:paraId="33FAF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69" w:type="dxa"/>
                  <w:vMerge w:val="continue"/>
                  <w:vAlign w:val="center"/>
                </w:tcPr>
                <w:p w14:paraId="4700DB57">
                  <w:pPr>
                    <w:jc w:val="center"/>
                    <w:rPr>
                      <w:bCs/>
                      <w:color w:val="auto"/>
                      <w:szCs w:val="21"/>
                    </w:rPr>
                  </w:pPr>
                </w:p>
              </w:tc>
              <w:tc>
                <w:tcPr>
                  <w:tcW w:w="1769" w:type="dxa"/>
                  <w:vMerge w:val="continue"/>
                  <w:vAlign w:val="center"/>
                </w:tcPr>
                <w:p w14:paraId="06EB83C2">
                  <w:pPr>
                    <w:jc w:val="center"/>
                    <w:rPr>
                      <w:bCs/>
                      <w:color w:val="auto"/>
                      <w:szCs w:val="21"/>
                    </w:rPr>
                  </w:pPr>
                </w:p>
              </w:tc>
              <w:tc>
                <w:tcPr>
                  <w:tcW w:w="1769" w:type="dxa"/>
                  <w:vMerge w:val="continue"/>
                  <w:vAlign w:val="center"/>
                </w:tcPr>
                <w:p w14:paraId="142A5337">
                  <w:pPr>
                    <w:jc w:val="center"/>
                    <w:rPr>
                      <w:bCs/>
                      <w:color w:val="auto"/>
                      <w:szCs w:val="21"/>
                    </w:rPr>
                  </w:pPr>
                </w:p>
              </w:tc>
              <w:tc>
                <w:tcPr>
                  <w:tcW w:w="1494" w:type="dxa"/>
                  <w:vAlign w:val="center"/>
                </w:tcPr>
                <w:p w14:paraId="36C71F20">
                  <w:pPr>
                    <w:jc w:val="center"/>
                    <w:rPr>
                      <w:bCs/>
                      <w:color w:val="auto"/>
                      <w:szCs w:val="21"/>
                    </w:rPr>
                  </w:pPr>
                  <w:r>
                    <w:rPr>
                      <w:bCs/>
                      <w:color w:val="auto"/>
                      <w:szCs w:val="21"/>
                    </w:rPr>
                    <w:t>B05</w:t>
                  </w:r>
                </w:p>
              </w:tc>
              <w:tc>
                <w:tcPr>
                  <w:tcW w:w="2045" w:type="dxa"/>
                  <w:vAlign w:val="center"/>
                </w:tcPr>
                <w:p w14:paraId="1001E6AB">
                  <w:pPr>
                    <w:jc w:val="center"/>
                    <w:rPr>
                      <w:bCs/>
                      <w:color w:val="auto"/>
                      <w:szCs w:val="21"/>
                    </w:rPr>
                  </w:pPr>
                  <w:r>
                    <w:rPr>
                      <w:bCs/>
                      <w:iCs/>
                      <w:color w:val="auto"/>
                      <w:szCs w:val="21"/>
                    </w:rPr>
                    <w:t>≤ 550</w:t>
                  </w:r>
                </w:p>
              </w:tc>
            </w:tr>
            <w:tr w14:paraId="054F3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69" w:type="dxa"/>
                  <w:vMerge w:val="continue"/>
                  <w:vAlign w:val="center"/>
                </w:tcPr>
                <w:p w14:paraId="3D22FFEF">
                  <w:pPr>
                    <w:jc w:val="center"/>
                    <w:rPr>
                      <w:bCs/>
                      <w:color w:val="auto"/>
                      <w:szCs w:val="21"/>
                    </w:rPr>
                  </w:pPr>
                </w:p>
              </w:tc>
              <w:tc>
                <w:tcPr>
                  <w:tcW w:w="1769" w:type="dxa"/>
                  <w:vMerge w:val="continue"/>
                  <w:vAlign w:val="center"/>
                </w:tcPr>
                <w:p w14:paraId="02C13910">
                  <w:pPr>
                    <w:jc w:val="center"/>
                    <w:rPr>
                      <w:bCs/>
                      <w:color w:val="auto"/>
                      <w:szCs w:val="21"/>
                    </w:rPr>
                  </w:pPr>
                </w:p>
              </w:tc>
              <w:tc>
                <w:tcPr>
                  <w:tcW w:w="1769" w:type="dxa"/>
                  <w:vMerge w:val="continue"/>
                  <w:vAlign w:val="center"/>
                </w:tcPr>
                <w:p w14:paraId="49B6C7FE">
                  <w:pPr>
                    <w:jc w:val="center"/>
                    <w:rPr>
                      <w:bCs/>
                      <w:color w:val="auto"/>
                      <w:szCs w:val="21"/>
                    </w:rPr>
                  </w:pPr>
                </w:p>
              </w:tc>
              <w:tc>
                <w:tcPr>
                  <w:tcW w:w="1494" w:type="dxa"/>
                  <w:vAlign w:val="center"/>
                </w:tcPr>
                <w:p w14:paraId="0423496D">
                  <w:pPr>
                    <w:jc w:val="center"/>
                    <w:rPr>
                      <w:bCs/>
                      <w:color w:val="auto"/>
                      <w:szCs w:val="21"/>
                    </w:rPr>
                  </w:pPr>
                  <w:r>
                    <w:rPr>
                      <w:bCs/>
                      <w:color w:val="auto"/>
                      <w:szCs w:val="21"/>
                    </w:rPr>
                    <w:t>B06</w:t>
                  </w:r>
                </w:p>
              </w:tc>
              <w:tc>
                <w:tcPr>
                  <w:tcW w:w="2045" w:type="dxa"/>
                  <w:vAlign w:val="center"/>
                </w:tcPr>
                <w:p w14:paraId="58C47F29">
                  <w:pPr>
                    <w:jc w:val="center"/>
                    <w:rPr>
                      <w:bCs/>
                      <w:color w:val="auto"/>
                      <w:szCs w:val="21"/>
                    </w:rPr>
                  </w:pPr>
                  <w:r>
                    <w:rPr>
                      <w:bCs/>
                      <w:iCs/>
                      <w:color w:val="auto"/>
                      <w:szCs w:val="21"/>
                    </w:rPr>
                    <w:t>≤ 650</w:t>
                  </w:r>
                </w:p>
              </w:tc>
            </w:tr>
            <w:tr w14:paraId="05384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69" w:type="dxa"/>
                  <w:vMerge w:val="restart"/>
                  <w:vAlign w:val="center"/>
                </w:tcPr>
                <w:p w14:paraId="4B7CD08D">
                  <w:pPr>
                    <w:jc w:val="center"/>
                    <w:rPr>
                      <w:bCs/>
                      <w:color w:val="auto"/>
                      <w:szCs w:val="21"/>
                    </w:rPr>
                  </w:pPr>
                  <w:r>
                    <w:rPr>
                      <w:bCs/>
                      <w:color w:val="auto"/>
                      <w:szCs w:val="21"/>
                    </w:rPr>
                    <w:t>A5.0</w:t>
                  </w:r>
                </w:p>
              </w:tc>
              <w:tc>
                <w:tcPr>
                  <w:tcW w:w="1769" w:type="dxa"/>
                  <w:vMerge w:val="restart"/>
                  <w:vAlign w:val="center"/>
                </w:tcPr>
                <w:p w14:paraId="0E5981A0">
                  <w:pPr>
                    <w:jc w:val="center"/>
                    <w:rPr>
                      <w:bCs/>
                      <w:color w:val="auto"/>
                      <w:szCs w:val="21"/>
                    </w:rPr>
                  </w:pPr>
                  <w:r>
                    <w:rPr>
                      <w:bCs/>
                      <w:color w:val="auto"/>
                      <w:szCs w:val="21"/>
                    </w:rPr>
                    <w:t>≥5.0</w:t>
                  </w:r>
                </w:p>
              </w:tc>
              <w:tc>
                <w:tcPr>
                  <w:tcW w:w="1769" w:type="dxa"/>
                  <w:vMerge w:val="restart"/>
                  <w:vAlign w:val="center"/>
                </w:tcPr>
                <w:p w14:paraId="1ACE86C8">
                  <w:pPr>
                    <w:jc w:val="center"/>
                    <w:rPr>
                      <w:bCs/>
                      <w:color w:val="auto"/>
                      <w:szCs w:val="21"/>
                    </w:rPr>
                  </w:pPr>
                  <w:r>
                    <w:rPr>
                      <w:bCs/>
                      <w:color w:val="auto"/>
                      <w:szCs w:val="21"/>
                    </w:rPr>
                    <w:t>≥4.2</w:t>
                  </w:r>
                </w:p>
              </w:tc>
              <w:tc>
                <w:tcPr>
                  <w:tcW w:w="1494" w:type="dxa"/>
                  <w:vAlign w:val="center"/>
                </w:tcPr>
                <w:p w14:paraId="00156E38">
                  <w:pPr>
                    <w:jc w:val="center"/>
                    <w:rPr>
                      <w:bCs/>
                      <w:color w:val="auto"/>
                      <w:szCs w:val="21"/>
                    </w:rPr>
                  </w:pPr>
                  <w:r>
                    <w:rPr>
                      <w:bCs/>
                      <w:color w:val="auto"/>
                      <w:szCs w:val="21"/>
                    </w:rPr>
                    <w:t>B05</w:t>
                  </w:r>
                </w:p>
              </w:tc>
              <w:tc>
                <w:tcPr>
                  <w:tcW w:w="2045" w:type="dxa"/>
                  <w:vAlign w:val="center"/>
                </w:tcPr>
                <w:p w14:paraId="5131F95D">
                  <w:pPr>
                    <w:jc w:val="center"/>
                    <w:rPr>
                      <w:bCs/>
                      <w:iCs/>
                      <w:color w:val="auto"/>
                      <w:szCs w:val="21"/>
                    </w:rPr>
                  </w:pPr>
                  <w:r>
                    <w:rPr>
                      <w:bCs/>
                      <w:iCs/>
                      <w:color w:val="auto"/>
                      <w:szCs w:val="21"/>
                    </w:rPr>
                    <w:t>≤ 550</w:t>
                  </w:r>
                </w:p>
              </w:tc>
            </w:tr>
            <w:tr w14:paraId="6D4B4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69" w:type="dxa"/>
                  <w:vMerge w:val="continue"/>
                  <w:vAlign w:val="center"/>
                </w:tcPr>
                <w:p w14:paraId="5AEC923E">
                  <w:pPr>
                    <w:jc w:val="center"/>
                    <w:rPr>
                      <w:bCs/>
                      <w:color w:val="auto"/>
                      <w:szCs w:val="21"/>
                    </w:rPr>
                  </w:pPr>
                </w:p>
              </w:tc>
              <w:tc>
                <w:tcPr>
                  <w:tcW w:w="1769" w:type="dxa"/>
                  <w:vMerge w:val="continue"/>
                  <w:vAlign w:val="center"/>
                </w:tcPr>
                <w:p w14:paraId="40B331CF">
                  <w:pPr>
                    <w:jc w:val="center"/>
                    <w:rPr>
                      <w:bCs/>
                      <w:color w:val="auto"/>
                      <w:szCs w:val="21"/>
                    </w:rPr>
                  </w:pPr>
                </w:p>
              </w:tc>
              <w:tc>
                <w:tcPr>
                  <w:tcW w:w="1769" w:type="dxa"/>
                  <w:vMerge w:val="continue"/>
                  <w:vAlign w:val="center"/>
                </w:tcPr>
                <w:p w14:paraId="358AB182">
                  <w:pPr>
                    <w:jc w:val="center"/>
                    <w:rPr>
                      <w:bCs/>
                      <w:color w:val="auto"/>
                      <w:szCs w:val="21"/>
                    </w:rPr>
                  </w:pPr>
                </w:p>
              </w:tc>
              <w:tc>
                <w:tcPr>
                  <w:tcW w:w="1494" w:type="dxa"/>
                  <w:vAlign w:val="center"/>
                </w:tcPr>
                <w:p w14:paraId="24C8A3DE">
                  <w:pPr>
                    <w:jc w:val="center"/>
                    <w:rPr>
                      <w:bCs/>
                      <w:color w:val="auto"/>
                      <w:szCs w:val="21"/>
                    </w:rPr>
                  </w:pPr>
                  <w:r>
                    <w:rPr>
                      <w:bCs/>
                      <w:color w:val="auto"/>
                      <w:szCs w:val="21"/>
                    </w:rPr>
                    <w:t>B06</w:t>
                  </w:r>
                </w:p>
              </w:tc>
              <w:tc>
                <w:tcPr>
                  <w:tcW w:w="2045" w:type="dxa"/>
                  <w:vAlign w:val="center"/>
                </w:tcPr>
                <w:p w14:paraId="404334BE">
                  <w:pPr>
                    <w:jc w:val="center"/>
                    <w:rPr>
                      <w:bCs/>
                      <w:iCs/>
                      <w:color w:val="auto"/>
                      <w:szCs w:val="21"/>
                    </w:rPr>
                  </w:pPr>
                  <w:r>
                    <w:rPr>
                      <w:bCs/>
                      <w:iCs/>
                      <w:color w:val="auto"/>
                      <w:szCs w:val="21"/>
                    </w:rPr>
                    <w:t>≤ 650</w:t>
                  </w:r>
                </w:p>
              </w:tc>
            </w:tr>
            <w:tr w14:paraId="0BE1E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69" w:type="dxa"/>
                  <w:vMerge w:val="continue"/>
                  <w:vAlign w:val="center"/>
                </w:tcPr>
                <w:p w14:paraId="7BE032CC">
                  <w:pPr>
                    <w:jc w:val="center"/>
                    <w:rPr>
                      <w:bCs/>
                      <w:color w:val="auto"/>
                      <w:szCs w:val="21"/>
                    </w:rPr>
                  </w:pPr>
                </w:p>
              </w:tc>
              <w:tc>
                <w:tcPr>
                  <w:tcW w:w="1769" w:type="dxa"/>
                  <w:vMerge w:val="continue"/>
                  <w:vAlign w:val="center"/>
                </w:tcPr>
                <w:p w14:paraId="6309A66E">
                  <w:pPr>
                    <w:jc w:val="center"/>
                    <w:rPr>
                      <w:bCs/>
                      <w:color w:val="auto"/>
                      <w:szCs w:val="21"/>
                    </w:rPr>
                  </w:pPr>
                </w:p>
              </w:tc>
              <w:tc>
                <w:tcPr>
                  <w:tcW w:w="1769" w:type="dxa"/>
                  <w:vMerge w:val="continue"/>
                  <w:vAlign w:val="center"/>
                </w:tcPr>
                <w:p w14:paraId="0442C094">
                  <w:pPr>
                    <w:jc w:val="center"/>
                    <w:rPr>
                      <w:bCs/>
                      <w:color w:val="auto"/>
                      <w:szCs w:val="21"/>
                    </w:rPr>
                  </w:pPr>
                </w:p>
              </w:tc>
              <w:tc>
                <w:tcPr>
                  <w:tcW w:w="1494" w:type="dxa"/>
                  <w:vAlign w:val="center"/>
                </w:tcPr>
                <w:p w14:paraId="0FE28F7D">
                  <w:pPr>
                    <w:jc w:val="center"/>
                    <w:rPr>
                      <w:bCs/>
                      <w:color w:val="auto"/>
                      <w:szCs w:val="21"/>
                    </w:rPr>
                  </w:pPr>
                  <w:r>
                    <w:rPr>
                      <w:bCs/>
                      <w:color w:val="auto"/>
                      <w:szCs w:val="21"/>
                    </w:rPr>
                    <w:t>B07</w:t>
                  </w:r>
                </w:p>
              </w:tc>
              <w:tc>
                <w:tcPr>
                  <w:tcW w:w="2045" w:type="dxa"/>
                  <w:vAlign w:val="center"/>
                </w:tcPr>
                <w:p w14:paraId="01A757DA">
                  <w:pPr>
                    <w:jc w:val="center"/>
                    <w:rPr>
                      <w:bCs/>
                      <w:iCs/>
                      <w:color w:val="auto"/>
                      <w:szCs w:val="21"/>
                    </w:rPr>
                  </w:pPr>
                  <w:r>
                    <w:rPr>
                      <w:bCs/>
                      <w:iCs/>
                      <w:color w:val="auto"/>
                      <w:szCs w:val="21"/>
                    </w:rPr>
                    <w:t>≤ 750</w:t>
                  </w:r>
                </w:p>
              </w:tc>
            </w:tr>
          </w:tbl>
          <w:p w14:paraId="740691C1">
            <w:pPr>
              <w:spacing w:line="360" w:lineRule="auto"/>
              <w:rPr>
                <w:b/>
                <w:iCs/>
                <w:color w:val="auto"/>
                <w:sz w:val="24"/>
              </w:rPr>
            </w:pPr>
            <w:r>
              <w:rPr>
                <w:b/>
                <w:iCs/>
                <w:color w:val="auto"/>
                <w:sz w:val="24"/>
              </w:rPr>
              <w:t>4、原辅材料及能源消耗</w:t>
            </w:r>
          </w:p>
          <w:p w14:paraId="3B128D5D">
            <w:pPr>
              <w:spacing w:line="360" w:lineRule="auto"/>
              <w:ind w:firstLine="480" w:firstLineChars="200"/>
              <w:rPr>
                <w:color w:val="auto"/>
                <w:sz w:val="24"/>
              </w:rPr>
            </w:pPr>
            <w:r>
              <w:rPr>
                <w:color w:val="auto"/>
                <w:sz w:val="24"/>
              </w:rPr>
              <w:t>（1）项目原辅材料及能源消耗情况见下表：</w:t>
            </w:r>
          </w:p>
          <w:p w14:paraId="51C60EC3">
            <w:pPr>
              <w:ind w:firstLine="482" w:firstLineChars="200"/>
              <w:jc w:val="center"/>
              <w:rPr>
                <w:b/>
                <w:color w:val="auto"/>
                <w:sz w:val="24"/>
              </w:rPr>
            </w:pPr>
            <w:r>
              <w:rPr>
                <w:b/>
                <w:color w:val="auto"/>
                <w:sz w:val="24"/>
                <w:szCs w:val="21"/>
              </w:rPr>
              <w:t xml:space="preserve">表2-7  </w:t>
            </w:r>
            <w:r>
              <w:rPr>
                <w:b/>
                <w:color w:val="auto"/>
                <w:sz w:val="24"/>
              </w:rPr>
              <w:t>主要原辅材料及能耗情况表</w:t>
            </w:r>
          </w:p>
          <w:tbl>
            <w:tblPr>
              <w:tblStyle w:val="24"/>
              <w:tblW w:w="499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82"/>
              <w:gridCol w:w="1029"/>
              <w:gridCol w:w="958"/>
              <w:gridCol w:w="1101"/>
              <w:gridCol w:w="1214"/>
              <w:gridCol w:w="1048"/>
              <w:gridCol w:w="815"/>
              <w:gridCol w:w="1064"/>
              <w:gridCol w:w="1112"/>
            </w:tblGrid>
            <w:tr w14:paraId="2232D6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273" w:type="pct"/>
                  <w:vMerge w:val="restart"/>
                  <w:vAlign w:val="center"/>
                </w:tcPr>
                <w:p w14:paraId="363130D9">
                  <w:pPr>
                    <w:jc w:val="center"/>
                    <w:rPr>
                      <w:color w:val="auto"/>
                      <w:szCs w:val="21"/>
                    </w:rPr>
                  </w:pPr>
                  <w:r>
                    <w:rPr>
                      <w:color w:val="auto"/>
                      <w:szCs w:val="21"/>
                    </w:rPr>
                    <w:t>序号</w:t>
                  </w:r>
                </w:p>
              </w:tc>
              <w:tc>
                <w:tcPr>
                  <w:tcW w:w="583" w:type="pct"/>
                  <w:vMerge w:val="restart"/>
                  <w:vAlign w:val="center"/>
                </w:tcPr>
                <w:p w14:paraId="182BBECA">
                  <w:pPr>
                    <w:jc w:val="center"/>
                    <w:rPr>
                      <w:color w:val="auto"/>
                      <w:szCs w:val="21"/>
                    </w:rPr>
                  </w:pPr>
                  <w:r>
                    <w:rPr>
                      <w:color w:val="auto"/>
                      <w:szCs w:val="21"/>
                    </w:rPr>
                    <w:t>名称</w:t>
                  </w:r>
                </w:p>
              </w:tc>
              <w:tc>
                <w:tcPr>
                  <w:tcW w:w="1855" w:type="pct"/>
                  <w:gridSpan w:val="3"/>
                  <w:tcBorders>
                    <w:right w:val="single" w:color="auto" w:sz="4" w:space="0"/>
                  </w:tcBorders>
                  <w:vAlign w:val="center"/>
                </w:tcPr>
                <w:p w14:paraId="61430992">
                  <w:pPr>
                    <w:jc w:val="center"/>
                    <w:rPr>
                      <w:color w:val="auto"/>
                      <w:szCs w:val="21"/>
                    </w:rPr>
                  </w:pPr>
                  <w:r>
                    <w:rPr>
                      <w:color w:val="auto"/>
                      <w:szCs w:val="21"/>
                    </w:rPr>
                    <w:t>数量</w:t>
                  </w:r>
                </w:p>
              </w:tc>
              <w:tc>
                <w:tcPr>
                  <w:tcW w:w="594" w:type="pct"/>
                  <w:vMerge w:val="restart"/>
                  <w:tcBorders>
                    <w:top w:val="single" w:color="auto" w:sz="4" w:space="0"/>
                    <w:left w:val="single" w:color="auto" w:sz="4" w:space="0"/>
                    <w:right w:val="single" w:color="auto" w:sz="4" w:space="0"/>
                  </w:tcBorders>
                  <w:vAlign w:val="center"/>
                </w:tcPr>
                <w:p w14:paraId="63D31D19">
                  <w:pPr>
                    <w:jc w:val="center"/>
                    <w:rPr>
                      <w:color w:val="auto"/>
                      <w:szCs w:val="21"/>
                    </w:rPr>
                  </w:pPr>
                  <w:r>
                    <w:rPr>
                      <w:color w:val="auto"/>
                      <w:szCs w:val="21"/>
                    </w:rPr>
                    <w:t>最大储存量t</w:t>
                  </w:r>
                </w:p>
              </w:tc>
              <w:tc>
                <w:tcPr>
                  <w:tcW w:w="462" w:type="pct"/>
                  <w:vMerge w:val="restart"/>
                  <w:tcBorders>
                    <w:top w:val="single" w:color="auto" w:sz="4" w:space="0"/>
                    <w:left w:val="single" w:color="auto" w:sz="4" w:space="0"/>
                    <w:right w:val="single" w:color="auto" w:sz="4" w:space="0"/>
                  </w:tcBorders>
                  <w:vAlign w:val="center"/>
                </w:tcPr>
                <w:p w14:paraId="351039F9">
                  <w:pPr>
                    <w:jc w:val="center"/>
                    <w:rPr>
                      <w:color w:val="auto"/>
                      <w:szCs w:val="21"/>
                    </w:rPr>
                  </w:pPr>
                  <w:r>
                    <w:rPr>
                      <w:color w:val="auto"/>
                      <w:szCs w:val="21"/>
                    </w:rPr>
                    <w:t>状态/包装方式</w:t>
                  </w:r>
                </w:p>
              </w:tc>
              <w:tc>
                <w:tcPr>
                  <w:tcW w:w="603" w:type="pct"/>
                  <w:vMerge w:val="restart"/>
                  <w:tcBorders>
                    <w:top w:val="single" w:color="auto" w:sz="4" w:space="0"/>
                    <w:left w:val="single" w:color="auto" w:sz="4" w:space="0"/>
                    <w:right w:val="single" w:color="auto" w:sz="4" w:space="0"/>
                  </w:tcBorders>
                  <w:vAlign w:val="center"/>
                </w:tcPr>
                <w:p w14:paraId="4A8CE2E4">
                  <w:pPr>
                    <w:jc w:val="center"/>
                    <w:rPr>
                      <w:color w:val="auto"/>
                      <w:szCs w:val="21"/>
                    </w:rPr>
                  </w:pPr>
                  <w:r>
                    <w:rPr>
                      <w:color w:val="auto"/>
                      <w:szCs w:val="21"/>
                    </w:rPr>
                    <w:t>来源</w:t>
                  </w:r>
                </w:p>
              </w:tc>
              <w:tc>
                <w:tcPr>
                  <w:tcW w:w="627" w:type="pct"/>
                  <w:vMerge w:val="restart"/>
                  <w:tcBorders>
                    <w:top w:val="single" w:color="auto" w:sz="4" w:space="0"/>
                    <w:left w:val="single" w:color="auto" w:sz="4" w:space="0"/>
                    <w:right w:val="single" w:color="auto" w:sz="4" w:space="0"/>
                  </w:tcBorders>
                  <w:vAlign w:val="center"/>
                </w:tcPr>
                <w:p w14:paraId="19E93214">
                  <w:pPr>
                    <w:jc w:val="center"/>
                    <w:rPr>
                      <w:color w:val="auto"/>
                      <w:szCs w:val="21"/>
                    </w:rPr>
                  </w:pPr>
                  <w:r>
                    <w:rPr>
                      <w:color w:val="auto"/>
                      <w:szCs w:val="21"/>
                    </w:rPr>
                    <w:t>备注</w:t>
                  </w:r>
                </w:p>
              </w:tc>
            </w:tr>
            <w:tr w14:paraId="2AFE8B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273" w:type="pct"/>
                  <w:vMerge w:val="continue"/>
                  <w:vAlign w:val="center"/>
                </w:tcPr>
                <w:p w14:paraId="135401D2">
                  <w:pPr>
                    <w:jc w:val="center"/>
                    <w:rPr>
                      <w:color w:val="auto"/>
                    </w:rPr>
                  </w:pPr>
                </w:p>
              </w:tc>
              <w:tc>
                <w:tcPr>
                  <w:tcW w:w="583" w:type="pct"/>
                  <w:vMerge w:val="continue"/>
                  <w:vAlign w:val="center"/>
                </w:tcPr>
                <w:p w14:paraId="18D69176">
                  <w:pPr>
                    <w:jc w:val="center"/>
                    <w:rPr>
                      <w:color w:val="auto"/>
                    </w:rPr>
                  </w:pPr>
                </w:p>
              </w:tc>
              <w:tc>
                <w:tcPr>
                  <w:tcW w:w="543" w:type="pct"/>
                  <w:tcBorders>
                    <w:right w:val="single" w:color="auto" w:sz="4" w:space="0"/>
                  </w:tcBorders>
                  <w:vAlign w:val="center"/>
                </w:tcPr>
                <w:p w14:paraId="7A9709DF">
                  <w:pPr>
                    <w:jc w:val="center"/>
                    <w:rPr>
                      <w:color w:val="auto"/>
                    </w:rPr>
                  </w:pPr>
                  <w:r>
                    <w:rPr>
                      <w:color w:val="auto"/>
                    </w:rPr>
                    <w:t>扩建前（t/a）</w:t>
                  </w:r>
                </w:p>
              </w:tc>
              <w:tc>
                <w:tcPr>
                  <w:tcW w:w="624" w:type="pct"/>
                  <w:tcBorders>
                    <w:right w:val="single" w:color="auto" w:sz="4" w:space="0"/>
                  </w:tcBorders>
                  <w:vAlign w:val="center"/>
                </w:tcPr>
                <w:p w14:paraId="0F629E16">
                  <w:pPr>
                    <w:jc w:val="center"/>
                    <w:rPr>
                      <w:color w:val="auto"/>
                    </w:rPr>
                  </w:pPr>
                  <w:r>
                    <w:rPr>
                      <w:color w:val="auto"/>
                    </w:rPr>
                    <w:t>本项目（t/a）</w:t>
                  </w:r>
                </w:p>
              </w:tc>
              <w:tc>
                <w:tcPr>
                  <w:tcW w:w="688" w:type="pct"/>
                  <w:tcBorders>
                    <w:right w:val="single" w:color="auto" w:sz="4" w:space="0"/>
                  </w:tcBorders>
                  <w:vAlign w:val="center"/>
                </w:tcPr>
                <w:p w14:paraId="55575F06">
                  <w:pPr>
                    <w:jc w:val="center"/>
                    <w:rPr>
                      <w:color w:val="auto"/>
                    </w:rPr>
                  </w:pPr>
                  <w:r>
                    <w:rPr>
                      <w:color w:val="auto"/>
                    </w:rPr>
                    <w:t>扩建后全厂（t/a）</w:t>
                  </w:r>
                </w:p>
              </w:tc>
              <w:tc>
                <w:tcPr>
                  <w:tcW w:w="594" w:type="pct"/>
                  <w:vMerge w:val="continue"/>
                  <w:tcBorders>
                    <w:left w:val="single" w:color="auto" w:sz="4" w:space="0"/>
                    <w:right w:val="single" w:color="auto" w:sz="4" w:space="0"/>
                  </w:tcBorders>
                  <w:vAlign w:val="center"/>
                </w:tcPr>
                <w:p w14:paraId="13E54964">
                  <w:pPr>
                    <w:jc w:val="center"/>
                    <w:rPr>
                      <w:color w:val="auto"/>
                    </w:rPr>
                  </w:pPr>
                </w:p>
              </w:tc>
              <w:tc>
                <w:tcPr>
                  <w:tcW w:w="462" w:type="pct"/>
                  <w:vMerge w:val="continue"/>
                  <w:tcBorders>
                    <w:left w:val="single" w:color="auto" w:sz="4" w:space="0"/>
                    <w:right w:val="single" w:color="auto" w:sz="4" w:space="0"/>
                  </w:tcBorders>
                  <w:vAlign w:val="center"/>
                </w:tcPr>
                <w:p w14:paraId="5E3D3D7E">
                  <w:pPr>
                    <w:jc w:val="center"/>
                    <w:rPr>
                      <w:color w:val="auto"/>
                    </w:rPr>
                  </w:pPr>
                </w:p>
              </w:tc>
              <w:tc>
                <w:tcPr>
                  <w:tcW w:w="603" w:type="pct"/>
                  <w:vMerge w:val="continue"/>
                  <w:tcBorders>
                    <w:left w:val="single" w:color="auto" w:sz="4" w:space="0"/>
                    <w:right w:val="single" w:color="auto" w:sz="4" w:space="0"/>
                  </w:tcBorders>
                  <w:vAlign w:val="center"/>
                </w:tcPr>
                <w:p w14:paraId="6E6D0581">
                  <w:pPr>
                    <w:jc w:val="center"/>
                    <w:rPr>
                      <w:color w:val="auto"/>
                    </w:rPr>
                  </w:pPr>
                </w:p>
              </w:tc>
              <w:tc>
                <w:tcPr>
                  <w:tcW w:w="627" w:type="pct"/>
                  <w:vMerge w:val="continue"/>
                  <w:tcBorders>
                    <w:left w:val="single" w:color="auto" w:sz="4" w:space="0"/>
                    <w:right w:val="single" w:color="auto" w:sz="4" w:space="0"/>
                  </w:tcBorders>
                  <w:vAlign w:val="center"/>
                </w:tcPr>
                <w:p w14:paraId="677913EE">
                  <w:pPr>
                    <w:jc w:val="center"/>
                    <w:rPr>
                      <w:color w:val="auto"/>
                    </w:rPr>
                  </w:pPr>
                </w:p>
              </w:tc>
            </w:tr>
            <w:tr w14:paraId="585EF3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273" w:type="pct"/>
                  <w:tcBorders>
                    <w:bottom w:val="single" w:color="auto" w:sz="4" w:space="0"/>
                  </w:tcBorders>
                  <w:vAlign w:val="center"/>
                </w:tcPr>
                <w:p w14:paraId="022FC38E">
                  <w:pPr>
                    <w:jc w:val="center"/>
                    <w:rPr>
                      <w:color w:val="auto"/>
                      <w:szCs w:val="21"/>
                    </w:rPr>
                  </w:pPr>
                  <w:r>
                    <w:rPr>
                      <w:color w:val="auto"/>
                      <w:szCs w:val="21"/>
                    </w:rPr>
                    <w:t>1</w:t>
                  </w:r>
                </w:p>
              </w:tc>
              <w:tc>
                <w:tcPr>
                  <w:tcW w:w="583" w:type="pct"/>
                  <w:tcBorders>
                    <w:bottom w:val="single" w:color="auto" w:sz="4" w:space="0"/>
                  </w:tcBorders>
                  <w:vAlign w:val="center"/>
                </w:tcPr>
                <w:p w14:paraId="7D6DDAC0">
                  <w:pPr>
                    <w:jc w:val="center"/>
                    <w:rPr>
                      <w:color w:val="auto"/>
                      <w:szCs w:val="21"/>
                    </w:rPr>
                  </w:pPr>
                  <w:r>
                    <w:rPr>
                      <w:color w:val="auto"/>
                      <w:szCs w:val="21"/>
                    </w:rPr>
                    <w:t>粉煤灰</w:t>
                  </w:r>
                </w:p>
              </w:tc>
              <w:tc>
                <w:tcPr>
                  <w:tcW w:w="543" w:type="pct"/>
                  <w:tcBorders>
                    <w:bottom w:val="single" w:color="auto" w:sz="4" w:space="0"/>
                    <w:right w:val="single" w:color="auto" w:sz="4" w:space="0"/>
                  </w:tcBorders>
                  <w:vAlign w:val="center"/>
                </w:tcPr>
                <w:p w14:paraId="7A6DF27B">
                  <w:pPr>
                    <w:jc w:val="center"/>
                    <w:rPr>
                      <w:color w:val="auto"/>
                      <w:szCs w:val="21"/>
                    </w:rPr>
                  </w:pPr>
                  <w:r>
                    <w:rPr>
                      <w:color w:val="auto"/>
                      <w:szCs w:val="21"/>
                    </w:rPr>
                    <w:t>8.95万</w:t>
                  </w:r>
                </w:p>
              </w:tc>
              <w:tc>
                <w:tcPr>
                  <w:tcW w:w="624" w:type="pct"/>
                  <w:tcBorders>
                    <w:left w:val="single" w:color="auto" w:sz="4" w:space="0"/>
                    <w:bottom w:val="single" w:color="auto" w:sz="4" w:space="0"/>
                    <w:right w:val="single" w:color="auto" w:sz="4" w:space="0"/>
                  </w:tcBorders>
                  <w:vAlign w:val="center"/>
                </w:tcPr>
                <w:p w14:paraId="66FC5DD4">
                  <w:pPr>
                    <w:jc w:val="center"/>
                    <w:rPr>
                      <w:color w:val="auto"/>
                      <w:szCs w:val="21"/>
                    </w:rPr>
                  </w:pPr>
                  <w:r>
                    <w:rPr>
                      <w:color w:val="auto"/>
                      <w:szCs w:val="21"/>
                    </w:rPr>
                    <w:t>17.9万</w:t>
                  </w:r>
                </w:p>
              </w:tc>
              <w:tc>
                <w:tcPr>
                  <w:tcW w:w="688" w:type="pct"/>
                  <w:tcBorders>
                    <w:left w:val="single" w:color="auto" w:sz="4" w:space="0"/>
                    <w:bottom w:val="single" w:color="auto" w:sz="4" w:space="0"/>
                    <w:right w:val="single" w:color="auto" w:sz="4" w:space="0"/>
                  </w:tcBorders>
                  <w:vAlign w:val="center"/>
                </w:tcPr>
                <w:p w14:paraId="7AA885AC">
                  <w:pPr>
                    <w:jc w:val="center"/>
                    <w:rPr>
                      <w:color w:val="auto"/>
                      <w:szCs w:val="21"/>
                    </w:rPr>
                  </w:pPr>
                  <w:r>
                    <w:rPr>
                      <w:color w:val="auto"/>
                      <w:szCs w:val="21"/>
                    </w:rPr>
                    <w:t>26.85万</w:t>
                  </w:r>
                </w:p>
              </w:tc>
              <w:tc>
                <w:tcPr>
                  <w:tcW w:w="594" w:type="pct"/>
                  <w:tcBorders>
                    <w:left w:val="single" w:color="auto" w:sz="4" w:space="0"/>
                    <w:bottom w:val="single" w:color="auto" w:sz="4" w:space="0"/>
                    <w:right w:val="single" w:color="auto" w:sz="4" w:space="0"/>
                  </w:tcBorders>
                  <w:vAlign w:val="center"/>
                </w:tcPr>
                <w:p w14:paraId="2E1D1AC3">
                  <w:pPr>
                    <w:jc w:val="center"/>
                    <w:rPr>
                      <w:color w:val="auto"/>
                      <w:szCs w:val="21"/>
                    </w:rPr>
                  </w:pPr>
                  <w:r>
                    <w:rPr>
                      <w:color w:val="auto"/>
                      <w:szCs w:val="21"/>
                    </w:rPr>
                    <w:t>2.9万</w:t>
                  </w:r>
                </w:p>
              </w:tc>
              <w:tc>
                <w:tcPr>
                  <w:tcW w:w="462" w:type="pct"/>
                  <w:tcBorders>
                    <w:left w:val="single" w:color="auto" w:sz="4" w:space="0"/>
                    <w:bottom w:val="single" w:color="auto" w:sz="4" w:space="0"/>
                    <w:right w:val="single" w:color="auto" w:sz="4" w:space="0"/>
                  </w:tcBorders>
                  <w:vAlign w:val="center"/>
                </w:tcPr>
                <w:p w14:paraId="2D98674F">
                  <w:pPr>
                    <w:jc w:val="center"/>
                    <w:rPr>
                      <w:color w:val="auto"/>
                      <w:szCs w:val="21"/>
                    </w:rPr>
                  </w:pPr>
                  <w:r>
                    <w:rPr>
                      <w:color w:val="auto"/>
                      <w:szCs w:val="21"/>
                    </w:rPr>
                    <w:t>粉状，筒仓</w:t>
                  </w:r>
                </w:p>
              </w:tc>
              <w:tc>
                <w:tcPr>
                  <w:tcW w:w="603" w:type="pct"/>
                  <w:tcBorders>
                    <w:left w:val="single" w:color="auto" w:sz="4" w:space="0"/>
                    <w:bottom w:val="single" w:color="auto" w:sz="4" w:space="0"/>
                    <w:right w:val="single" w:color="auto" w:sz="4" w:space="0"/>
                  </w:tcBorders>
                  <w:vAlign w:val="center"/>
                </w:tcPr>
                <w:p w14:paraId="4AC00B94">
                  <w:pPr>
                    <w:jc w:val="center"/>
                    <w:rPr>
                      <w:color w:val="auto"/>
                      <w:szCs w:val="21"/>
                    </w:rPr>
                  </w:pPr>
                  <w:r>
                    <w:rPr>
                      <w:color w:val="auto"/>
                      <w:szCs w:val="21"/>
                    </w:rPr>
                    <w:t>外购</w:t>
                  </w:r>
                </w:p>
              </w:tc>
              <w:tc>
                <w:tcPr>
                  <w:tcW w:w="627" w:type="pct"/>
                  <w:tcBorders>
                    <w:left w:val="single" w:color="auto" w:sz="4" w:space="0"/>
                    <w:bottom w:val="single" w:color="auto" w:sz="4" w:space="0"/>
                    <w:right w:val="single" w:color="auto" w:sz="4" w:space="0"/>
                  </w:tcBorders>
                  <w:vAlign w:val="center"/>
                </w:tcPr>
                <w:p w14:paraId="44890A5A">
                  <w:pPr>
                    <w:jc w:val="center"/>
                    <w:rPr>
                      <w:color w:val="auto"/>
                      <w:szCs w:val="21"/>
                    </w:rPr>
                  </w:pPr>
                  <w:r>
                    <w:rPr>
                      <w:color w:val="auto"/>
                      <w:szCs w:val="21"/>
                    </w:rPr>
                    <w:t>/</w:t>
                  </w:r>
                </w:p>
              </w:tc>
            </w:tr>
            <w:tr w14:paraId="060CB1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73" w:type="pct"/>
                  <w:tcBorders>
                    <w:top w:val="single" w:color="auto" w:sz="4" w:space="0"/>
                  </w:tcBorders>
                  <w:vAlign w:val="center"/>
                </w:tcPr>
                <w:p w14:paraId="4DB0DA1B">
                  <w:pPr>
                    <w:jc w:val="center"/>
                    <w:rPr>
                      <w:color w:val="auto"/>
                      <w:szCs w:val="21"/>
                    </w:rPr>
                  </w:pPr>
                  <w:r>
                    <w:rPr>
                      <w:color w:val="auto"/>
                      <w:szCs w:val="21"/>
                    </w:rPr>
                    <w:t>2</w:t>
                  </w:r>
                </w:p>
              </w:tc>
              <w:tc>
                <w:tcPr>
                  <w:tcW w:w="583" w:type="pct"/>
                  <w:tcBorders>
                    <w:top w:val="single" w:color="auto" w:sz="4" w:space="0"/>
                  </w:tcBorders>
                  <w:vAlign w:val="center"/>
                </w:tcPr>
                <w:p w14:paraId="14AC1EC5">
                  <w:pPr>
                    <w:jc w:val="center"/>
                    <w:rPr>
                      <w:color w:val="auto"/>
                    </w:rPr>
                  </w:pPr>
                  <w:r>
                    <w:rPr>
                      <w:color w:val="auto"/>
                    </w:rPr>
                    <w:t>生石灰</w:t>
                  </w:r>
                </w:p>
              </w:tc>
              <w:tc>
                <w:tcPr>
                  <w:tcW w:w="543" w:type="pct"/>
                  <w:tcBorders>
                    <w:top w:val="single" w:color="auto" w:sz="4" w:space="0"/>
                    <w:right w:val="single" w:color="auto" w:sz="4" w:space="0"/>
                  </w:tcBorders>
                  <w:vAlign w:val="center"/>
                </w:tcPr>
                <w:p w14:paraId="2A2520B1">
                  <w:pPr>
                    <w:jc w:val="center"/>
                    <w:rPr>
                      <w:color w:val="auto"/>
                      <w:szCs w:val="21"/>
                    </w:rPr>
                  </w:pPr>
                  <w:r>
                    <w:rPr>
                      <w:color w:val="auto"/>
                      <w:szCs w:val="21"/>
                    </w:rPr>
                    <w:t>1.95万</w:t>
                  </w:r>
                </w:p>
              </w:tc>
              <w:tc>
                <w:tcPr>
                  <w:tcW w:w="624" w:type="pct"/>
                  <w:tcBorders>
                    <w:top w:val="single" w:color="auto" w:sz="4" w:space="0"/>
                    <w:left w:val="single" w:color="auto" w:sz="4" w:space="0"/>
                    <w:right w:val="single" w:color="auto" w:sz="4" w:space="0"/>
                  </w:tcBorders>
                  <w:vAlign w:val="center"/>
                </w:tcPr>
                <w:p w14:paraId="6D63F7D2">
                  <w:pPr>
                    <w:jc w:val="center"/>
                    <w:rPr>
                      <w:color w:val="auto"/>
                      <w:szCs w:val="21"/>
                    </w:rPr>
                  </w:pPr>
                  <w:r>
                    <w:rPr>
                      <w:color w:val="auto"/>
                      <w:szCs w:val="21"/>
                    </w:rPr>
                    <w:t>3.9万</w:t>
                  </w:r>
                </w:p>
              </w:tc>
              <w:tc>
                <w:tcPr>
                  <w:tcW w:w="688" w:type="pct"/>
                  <w:tcBorders>
                    <w:top w:val="single" w:color="auto" w:sz="4" w:space="0"/>
                    <w:left w:val="single" w:color="auto" w:sz="4" w:space="0"/>
                    <w:right w:val="single" w:color="auto" w:sz="4" w:space="0"/>
                  </w:tcBorders>
                  <w:vAlign w:val="center"/>
                </w:tcPr>
                <w:p w14:paraId="2F27251B">
                  <w:pPr>
                    <w:jc w:val="center"/>
                    <w:rPr>
                      <w:color w:val="auto"/>
                      <w:szCs w:val="21"/>
                    </w:rPr>
                  </w:pPr>
                  <w:r>
                    <w:rPr>
                      <w:color w:val="auto"/>
                      <w:szCs w:val="21"/>
                    </w:rPr>
                    <w:t>5.85万</w:t>
                  </w:r>
                </w:p>
              </w:tc>
              <w:tc>
                <w:tcPr>
                  <w:tcW w:w="594" w:type="pct"/>
                  <w:tcBorders>
                    <w:top w:val="single" w:color="auto" w:sz="4" w:space="0"/>
                    <w:left w:val="single" w:color="auto" w:sz="4" w:space="0"/>
                    <w:right w:val="single" w:color="auto" w:sz="4" w:space="0"/>
                  </w:tcBorders>
                  <w:vAlign w:val="center"/>
                </w:tcPr>
                <w:p w14:paraId="0BC7535B">
                  <w:pPr>
                    <w:jc w:val="center"/>
                    <w:rPr>
                      <w:color w:val="auto"/>
                      <w:szCs w:val="21"/>
                    </w:rPr>
                  </w:pPr>
                  <w:r>
                    <w:rPr>
                      <w:rFonts w:hint="eastAsia"/>
                      <w:color w:val="auto"/>
                      <w:szCs w:val="21"/>
                    </w:rPr>
                    <w:t>150</w:t>
                  </w:r>
                </w:p>
              </w:tc>
              <w:tc>
                <w:tcPr>
                  <w:tcW w:w="462" w:type="pct"/>
                  <w:tcBorders>
                    <w:top w:val="single" w:color="auto" w:sz="4" w:space="0"/>
                    <w:left w:val="single" w:color="auto" w:sz="4" w:space="0"/>
                    <w:right w:val="single" w:color="auto" w:sz="4" w:space="0"/>
                  </w:tcBorders>
                  <w:vAlign w:val="center"/>
                </w:tcPr>
                <w:p w14:paraId="78D575AA">
                  <w:pPr>
                    <w:jc w:val="center"/>
                    <w:rPr>
                      <w:color w:val="auto"/>
                      <w:szCs w:val="21"/>
                    </w:rPr>
                  </w:pPr>
                  <w:r>
                    <w:rPr>
                      <w:rFonts w:hint="eastAsia"/>
                      <w:color w:val="auto"/>
                      <w:szCs w:val="21"/>
                    </w:rPr>
                    <w:t>粉状</w:t>
                  </w:r>
                  <w:r>
                    <w:rPr>
                      <w:color w:val="auto"/>
                      <w:szCs w:val="21"/>
                    </w:rPr>
                    <w:t>，</w:t>
                  </w:r>
                  <w:r>
                    <w:rPr>
                      <w:rFonts w:hint="eastAsia"/>
                      <w:color w:val="auto"/>
                      <w:szCs w:val="21"/>
                    </w:rPr>
                    <w:t>筒仓</w:t>
                  </w:r>
                </w:p>
              </w:tc>
              <w:tc>
                <w:tcPr>
                  <w:tcW w:w="603" w:type="pct"/>
                  <w:tcBorders>
                    <w:top w:val="single" w:color="auto" w:sz="4" w:space="0"/>
                    <w:left w:val="single" w:color="auto" w:sz="4" w:space="0"/>
                    <w:right w:val="single" w:color="auto" w:sz="4" w:space="0"/>
                  </w:tcBorders>
                  <w:vAlign w:val="center"/>
                </w:tcPr>
                <w:p w14:paraId="300FF006">
                  <w:pPr>
                    <w:jc w:val="center"/>
                    <w:rPr>
                      <w:color w:val="auto"/>
                      <w:szCs w:val="21"/>
                    </w:rPr>
                  </w:pPr>
                  <w:r>
                    <w:rPr>
                      <w:color w:val="auto"/>
                      <w:szCs w:val="21"/>
                    </w:rPr>
                    <w:t>外购</w:t>
                  </w:r>
                </w:p>
              </w:tc>
              <w:tc>
                <w:tcPr>
                  <w:tcW w:w="627" w:type="pct"/>
                  <w:tcBorders>
                    <w:top w:val="single" w:color="auto" w:sz="4" w:space="0"/>
                    <w:left w:val="single" w:color="auto" w:sz="4" w:space="0"/>
                    <w:right w:val="single" w:color="auto" w:sz="4" w:space="0"/>
                  </w:tcBorders>
                  <w:vAlign w:val="center"/>
                </w:tcPr>
                <w:p w14:paraId="6E77D3FE">
                  <w:pPr>
                    <w:jc w:val="center"/>
                    <w:rPr>
                      <w:color w:val="auto"/>
                      <w:szCs w:val="21"/>
                    </w:rPr>
                  </w:pPr>
                  <w:r>
                    <w:rPr>
                      <w:color w:val="auto"/>
                      <w:szCs w:val="21"/>
                    </w:rPr>
                    <w:t>/</w:t>
                  </w:r>
                </w:p>
              </w:tc>
            </w:tr>
            <w:tr w14:paraId="12EF7E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73" w:type="pct"/>
                  <w:tcBorders>
                    <w:top w:val="single" w:color="auto" w:sz="4" w:space="0"/>
                  </w:tcBorders>
                  <w:vAlign w:val="center"/>
                </w:tcPr>
                <w:p w14:paraId="300FFEB1">
                  <w:pPr>
                    <w:jc w:val="center"/>
                    <w:rPr>
                      <w:color w:val="auto"/>
                      <w:szCs w:val="21"/>
                    </w:rPr>
                  </w:pPr>
                  <w:r>
                    <w:rPr>
                      <w:color w:val="auto"/>
                      <w:szCs w:val="21"/>
                    </w:rPr>
                    <w:t>3</w:t>
                  </w:r>
                </w:p>
              </w:tc>
              <w:tc>
                <w:tcPr>
                  <w:tcW w:w="583" w:type="pct"/>
                  <w:tcBorders>
                    <w:top w:val="single" w:color="auto" w:sz="4" w:space="0"/>
                  </w:tcBorders>
                  <w:vAlign w:val="center"/>
                </w:tcPr>
                <w:p w14:paraId="70AAA7DC">
                  <w:pPr>
                    <w:jc w:val="center"/>
                    <w:rPr>
                      <w:color w:val="auto"/>
                    </w:rPr>
                  </w:pPr>
                  <w:r>
                    <w:rPr>
                      <w:color w:val="auto"/>
                    </w:rPr>
                    <w:t>水泥</w:t>
                  </w:r>
                </w:p>
              </w:tc>
              <w:tc>
                <w:tcPr>
                  <w:tcW w:w="543" w:type="pct"/>
                  <w:tcBorders>
                    <w:top w:val="single" w:color="auto" w:sz="4" w:space="0"/>
                    <w:right w:val="single" w:color="auto" w:sz="4" w:space="0"/>
                  </w:tcBorders>
                  <w:vAlign w:val="center"/>
                </w:tcPr>
                <w:p w14:paraId="5DF6A1C6">
                  <w:pPr>
                    <w:jc w:val="center"/>
                    <w:rPr>
                      <w:color w:val="auto"/>
                      <w:szCs w:val="21"/>
                    </w:rPr>
                  </w:pPr>
                  <w:r>
                    <w:rPr>
                      <w:color w:val="auto"/>
                      <w:szCs w:val="21"/>
                    </w:rPr>
                    <w:t>1.0万</w:t>
                  </w:r>
                </w:p>
              </w:tc>
              <w:tc>
                <w:tcPr>
                  <w:tcW w:w="624" w:type="pct"/>
                  <w:tcBorders>
                    <w:top w:val="single" w:color="auto" w:sz="4" w:space="0"/>
                    <w:left w:val="single" w:color="auto" w:sz="4" w:space="0"/>
                    <w:right w:val="single" w:color="auto" w:sz="4" w:space="0"/>
                  </w:tcBorders>
                  <w:vAlign w:val="center"/>
                </w:tcPr>
                <w:p w14:paraId="59A916B3">
                  <w:pPr>
                    <w:jc w:val="center"/>
                    <w:rPr>
                      <w:color w:val="auto"/>
                      <w:szCs w:val="21"/>
                    </w:rPr>
                  </w:pPr>
                  <w:r>
                    <w:rPr>
                      <w:color w:val="auto"/>
                      <w:szCs w:val="21"/>
                    </w:rPr>
                    <w:t>2.0万</w:t>
                  </w:r>
                </w:p>
              </w:tc>
              <w:tc>
                <w:tcPr>
                  <w:tcW w:w="688" w:type="pct"/>
                  <w:tcBorders>
                    <w:top w:val="single" w:color="auto" w:sz="4" w:space="0"/>
                    <w:left w:val="single" w:color="auto" w:sz="4" w:space="0"/>
                    <w:right w:val="single" w:color="auto" w:sz="4" w:space="0"/>
                  </w:tcBorders>
                  <w:vAlign w:val="center"/>
                </w:tcPr>
                <w:p w14:paraId="46D8AED6">
                  <w:pPr>
                    <w:jc w:val="center"/>
                    <w:rPr>
                      <w:color w:val="auto"/>
                      <w:szCs w:val="21"/>
                    </w:rPr>
                  </w:pPr>
                  <w:r>
                    <w:rPr>
                      <w:color w:val="auto"/>
                      <w:szCs w:val="21"/>
                    </w:rPr>
                    <w:t>3.0万</w:t>
                  </w:r>
                </w:p>
              </w:tc>
              <w:tc>
                <w:tcPr>
                  <w:tcW w:w="594" w:type="pct"/>
                  <w:tcBorders>
                    <w:top w:val="single" w:color="auto" w:sz="4" w:space="0"/>
                    <w:left w:val="single" w:color="auto" w:sz="4" w:space="0"/>
                    <w:right w:val="single" w:color="auto" w:sz="4" w:space="0"/>
                  </w:tcBorders>
                  <w:vAlign w:val="center"/>
                </w:tcPr>
                <w:p w14:paraId="01B83178">
                  <w:pPr>
                    <w:jc w:val="center"/>
                    <w:rPr>
                      <w:color w:val="auto"/>
                      <w:szCs w:val="21"/>
                    </w:rPr>
                  </w:pPr>
                  <w:r>
                    <w:rPr>
                      <w:color w:val="auto"/>
                      <w:szCs w:val="21"/>
                    </w:rPr>
                    <w:t>1</w:t>
                  </w:r>
                  <w:r>
                    <w:rPr>
                      <w:rFonts w:hint="eastAsia"/>
                      <w:color w:val="auto"/>
                      <w:szCs w:val="21"/>
                    </w:rPr>
                    <w:t>50</w:t>
                  </w:r>
                </w:p>
              </w:tc>
              <w:tc>
                <w:tcPr>
                  <w:tcW w:w="462" w:type="pct"/>
                  <w:tcBorders>
                    <w:top w:val="single" w:color="auto" w:sz="4" w:space="0"/>
                    <w:left w:val="single" w:color="auto" w:sz="4" w:space="0"/>
                    <w:right w:val="single" w:color="auto" w:sz="4" w:space="0"/>
                  </w:tcBorders>
                  <w:vAlign w:val="center"/>
                </w:tcPr>
                <w:p w14:paraId="124E8763">
                  <w:pPr>
                    <w:jc w:val="center"/>
                    <w:rPr>
                      <w:color w:val="auto"/>
                      <w:szCs w:val="21"/>
                    </w:rPr>
                  </w:pPr>
                  <w:r>
                    <w:rPr>
                      <w:color w:val="auto"/>
                      <w:szCs w:val="21"/>
                    </w:rPr>
                    <w:t>粉状，筒仓</w:t>
                  </w:r>
                </w:p>
              </w:tc>
              <w:tc>
                <w:tcPr>
                  <w:tcW w:w="603" w:type="pct"/>
                  <w:tcBorders>
                    <w:top w:val="single" w:color="auto" w:sz="4" w:space="0"/>
                    <w:left w:val="single" w:color="auto" w:sz="4" w:space="0"/>
                    <w:right w:val="single" w:color="auto" w:sz="4" w:space="0"/>
                  </w:tcBorders>
                  <w:vAlign w:val="center"/>
                </w:tcPr>
                <w:p w14:paraId="69AC9CAF">
                  <w:pPr>
                    <w:jc w:val="center"/>
                    <w:rPr>
                      <w:color w:val="auto"/>
                      <w:szCs w:val="21"/>
                    </w:rPr>
                  </w:pPr>
                  <w:r>
                    <w:rPr>
                      <w:color w:val="auto"/>
                      <w:szCs w:val="21"/>
                    </w:rPr>
                    <w:t>外购</w:t>
                  </w:r>
                </w:p>
              </w:tc>
              <w:tc>
                <w:tcPr>
                  <w:tcW w:w="627" w:type="pct"/>
                  <w:tcBorders>
                    <w:top w:val="single" w:color="auto" w:sz="4" w:space="0"/>
                    <w:left w:val="single" w:color="auto" w:sz="4" w:space="0"/>
                    <w:right w:val="single" w:color="auto" w:sz="4" w:space="0"/>
                  </w:tcBorders>
                  <w:vAlign w:val="center"/>
                </w:tcPr>
                <w:p w14:paraId="1E03CD81">
                  <w:pPr>
                    <w:jc w:val="center"/>
                    <w:rPr>
                      <w:color w:val="auto"/>
                      <w:szCs w:val="21"/>
                    </w:rPr>
                  </w:pPr>
                  <w:r>
                    <w:rPr>
                      <w:color w:val="auto"/>
                      <w:szCs w:val="21"/>
                    </w:rPr>
                    <w:t>/</w:t>
                  </w:r>
                </w:p>
              </w:tc>
            </w:tr>
            <w:tr w14:paraId="3DA2BF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73" w:type="pct"/>
                  <w:tcBorders>
                    <w:top w:val="single" w:color="auto" w:sz="4" w:space="0"/>
                  </w:tcBorders>
                  <w:vAlign w:val="center"/>
                </w:tcPr>
                <w:p w14:paraId="08E2DC8C">
                  <w:pPr>
                    <w:jc w:val="center"/>
                    <w:rPr>
                      <w:color w:val="auto"/>
                      <w:szCs w:val="21"/>
                    </w:rPr>
                  </w:pPr>
                  <w:r>
                    <w:rPr>
                      <w:color w:val="auto"/>
                      <w:szCs w:val="21"/>
                    </w:rPr>
                    <w:t>4</w:t>
                  </w:r>
                </w:p>
              </w:tc>
              <w:tc>
                <w:tcPr>
                  <w:tcW w:w="583" w:type="pct"/>
                  <w:tcBorders>
                    <w:top w:val="single" w:color="auto" w:sz="4" w:space="0"/>
                  </w:tcBorders>
                  <w:vAlign w:val="center"/>
                </w:tcPr>
                <w:p w14:paraId="0233AECB">
                  <w:pPr>
                    <w:jc w:val="center"/>
                    <w:rPr>
                      <w:color w:val="auto"/>
                    </w:rPr>
                  </w:pPr>
                  <w:r>
                    <w:rPr>
                      <w:color w:val="auto"/>
                    </w:rPr>
                    <w:t>铝粉</w:t>
                  </w:r>
                </w:p>
              </w:tc>
              <w:tc>
                <w:tcPr>
                  <w:tcW w:w="543" w:type="pct"/>
                  <w:tcBorders>
                    <w:top w:val="single" w:color="auto" w:sz="4" w:space="0"/>
                    <w:right w:val="single" w:color="auto" w:sz="4" w:space="0"/>
                  </w:tcBorders>
                  <w:vAlign w:val="center"/>
                </w:tcPr>
                <w:p w14:paraId="13C5639C">
                  <w:pPr>
                    <w:jc w:val="center"/>
                    <w:rPr>
                      <w:color w:val="auto"/>
                      <w:szCs w:val="21"/>
                    </w:rPr>
                  </w:pPr>
                  <w:r>
                    <w:rPr>
                      <w:color w:val="auto"/>
                      <w:szCs w:val="21"/>
                    </w:rPr>
                    <w:t>92.6万</w:t>
                  </w:r>
                </w:p>
              </w:tc>
              <w:tc>
                <w:tcPr>
                  <w:tcW w:w="624" w:type="pct"/>
                  <w:tcBorders>
                    <w:top w:val="single" w:color="auto" w:sz="4" w:space="0"/>
                    <w:left w:val="single" w:color="auto" w:sz="4" w:space="0"/>
                    <w:right w:val="single" w:color="auto" w:sz="4" w:space="0"/>
                  </w:tcBorders>
                  <w:vAlign w:val="center"/>
                </w:tcPr>
                <w:p w14:paraId="168B248E">
                  <w:pPr>
                    <w:jc w:val="center"/>
                    <w:rPr>
                      <w:color w:val="auto"/>
                      <w:szCs w:val="21"/>
                    </w:rPr>
                  </w:pPr>
                  <w:r>
                    <w:rPr>
                      <w:color w:val="auto"/>
                      <w:szCs w:val="21"/>
                    </w:rPr>
                    <w:t>185.2万</w:t>
                  </w:r>
                </w:p>
              </w:tc>
              <w:tc>
                <w:tcPr>
                  <w:tcW w:w="688" w:type="pct"/>
                  <w:tcBorders>
                    <w:top w:val="single" w:color="auto" w:sz="4" w:space="0"/>
                    <w:left w:val="single" w:color="auto" w:sz="4" w:space="0"/>
                    <w:right w:val="single" w:color="auto" w:sz="4" w:space="0"/>
                  </w:tcBorders>
                  <w:vAlign w:val="center"/>
                </w:tcPr>
                <w:p w14:paraId="73060DA3">
                  <w:pPr>
                    <w:jc w:val="center"/>
                    <w:rPr>
                      <w:color w:val="auto"/>
                      <w:szCs w:val="21"/>
                    </w:rPr>
                  </w:pPr>
                  <w:r>
                    <w:rPr>
                      <w:color w:val="auto"/>
                      <w:szCs w:val="21"/>
                    </w:rPr>
                    <w:t>277.8万</w:t>
                  </w:r>
                </w:p>
              </w:tc>
              <w:tc>
                <w:tcPr>
                  <w:tcW w:w="594" w:type="pct"/>
                  <w:tcBorders>
                    <w:top w:val="single" w:color="auto" w:sz="4" w:space="0"/>
                    <w:left w:val="single" w:color="auto" w:sz="4" w:space="0"/>
                    <w:right w:val="single" w:color="auto" w:sz="4" w:space="0"/>
                  </w:tcBorders>
                  <w:vAlign w:val="center"/>
                </w:tcPr>
                <w:p w14:paraId="4A460CF1">
                  <w:pPr>
                    <w:jc w:val="center"/>
                    <w:rPr>
                      <w:color w:val="auto"/>
                      <w:szCs w:val="21"/>
                    </w:rPr>
                  </w:pPr>
                  <w:r>
                    <w:rPr>
                      <w:color w:val="auto"/>
                      <w:szCs w:val="21"/>
                    </w:rPr>
                    <w:t>5万</w:t>
                  </w:r>
                </w:p>
              </w:tc>
              <w:tc>
                <w:tcPr>
                  <w:tcW w:w="462" w:type="pct"/>
                  <w:tcBorders>
                    <w:top w:val="single" w:color="auto" w:sz="4" w:space="0"/>
                    <w:left w:val="single" w:color="auto" w:sz="4" w:space="0"/>
                    <w:right w:val="single" w:color="auto" w:sz="4" w:space="0"/>
                  </w:tcBorders>
                  <w:vAlign w:val="center"/>
                </w:tcPr>
                <w:p w14:paraId="7C6B5496">
                  <w:pPr>
                    <w:jc w:val="center"/>
                    <w:rPr>
                      <w:color w:val="auto"/>
                      <w:szCs w:val="21"/>
                    </w:rPr>
                  </w:pPr>
                  <w:r>
                    <w:rPr>
                      <w:color w:val="auto"/>
                      <w:szCs w:val="21"/>
                    </w:rPr>
                    <w:t>粉状，吨包</w:t>
                  </w:r>
                  <w:r>
                    <w:rPr>
                      <w:rFonts w:hint="eastAsia"/>
                      <w:color w:val="auto"/>
                      <w:szCs w:val="21"/>
                    </w:rPr>
                    <w:t>/桶装</w:t>
                  </w:r>
                </w:p>
              </w:tc>
              <w:tc>
                <w:tcPr>
                  <w:tcW w:w="603" w:type="pct"/>
                  <w:tcBorders>
                    <w:top w:val="single" w:color="auto" w:sz="4" w:space="0"/>
                    <w:left w:val="single" w:color="auto" w:sz="4" w:space="0"/>
                    <w:right w:val="single" w:color="auto" w:sz="4" w:space="0"/>
                  </w:tcBorders>
                  <w:vAlign w:val="center"/>
                </w:tcPr>
                <w:p w14:paraId="3C98F2EE">
                  <w:pPr>
                    <w:jc w:val="center"/>
                    <w:rPr>
                      <w:color w:val="auto"/>
                      <w:szCs w:val="21"/>
                    </w:rPr>
                  </w:pPr>
                  <w:r>
                    <w:rPr>
                      <w:color w:val="auto"/>
                      <w:szCs w:val="21"/>
                    </w:rPr>
                    <w:t>外购</w:t>
                  </w:r>
                </w:p>
              </w:tc>
              <w:tc>
                <w:tcPr>
                  <w:tcW w:w="627" w:type="pct"/>
                  <w:tcBorders>
                    <w:top w:val="single" w:color="auto" w:sz="4" w:space="0"/>
                    <w:left w:val="single" w:color="auto" w:sz="4" w:space="0"/>
                    <w:right w:val="single" w:color="auto" w:sz="4" w:space="0"/>
                  </w:tcBorders>
                  <w:vAlign w:val="center"/>
                </w:tcPr>
                <w:p w14:paraId="52AC78CA">
                  <w:pPr>
                    <w:jc w:val="center"/>
                    <w:rPr>
                      <w:color w:val="auto"/>
                      <w:szCs w:val="21"/>
                    </w:rPr>
                  </w:pPr>
                  <w:r>
                    <w:rPr>
                      <w:color w:val="auto"/>
                      <w:szCs w:val="21"/>
                    </w:rPr>
                    <w:t>/</w:t>
                  </w:r>
                </w:p>
              </w:tc>
            </w:tr>
            <w:tr w14:paraId="1B7EC3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73" w:type="pct"/>
                  <w:tcBorders>
                    <w:top w:val="single" w:color="auto" w:sz="4" w:space="0"/>
                  </w:tcBorders>
                  <w:vAlign w:val="center"/>
                </w:tcPr>
                <w:p w14:paraId="279AE907">
                  <w:pPr>
                    <w:jc w:val="center"/>
                    <w:rPr>
                      <w:color w:val="auto"/>
                      <w:szCs w:val="21"/>
                    </w:rPr>
                  </w:pPr>
                  <w:r>
                    <w:rPr>
                      <w:color w:val="auto"/>
                      <w:szCs w:val="21"/>
                    </w:rPr>
                    <w:t>5</w:t>
                  </w:r>
                </w:p>
              </w:tc>
              <w:tc>
                <w:tcPr>
                  <w:tcW w:w="583" w:type="pct"/>
                  <w:tcBorders>
                    <w:top w:val="single" w:color="auto" w:sz="4" w:space="0"/>
                  </w:tcBorders>
                  <w:vAlign w:val="center"/>
                </w:tcPr>
                <w:p w14:paraId="7CEA677D">
                  <w:pPr>
                    <w:jc w:val="center"/>
                    <w:rPr>
                      <w:color w:val="auto"/>
                    </w:rPr>
                  </w:pPr>
                  <w:r>
                    <w:rPr>
                      <w:color w:val="auto"/>
                    </w:rPr>
                    <w:t>脱硫石膏</w:t>
                  </w:r>
                </w:p>
              </w:tc>
              <w:tc>
                <w:tcPr>
                  <w:tcW w:w="543" w:type="pct"/>
                  <w:tcBorders>
                    <w:top w:val="single" w:color="auto" w:sz="4" w:space="0"/>
                    <w:right w:val="single" w:color="auto" w:sz="4" w:space="0"/>
                  </w:tcBorders>
                  <w:vAlign w:val="center"/>
                </w:tcPr>
                <w:p w14:paraId="47911E38">
                  <w:pPr>
                    <w:jc w:val="center"/>
                    <w:rPr>
                      <w:color w:val="auto"/>
                      <w:szCs w:val="21"/>
                    </w:rPr>
                  </w:pPr>
                  <w:r>
                    <w:rPr>
                      <w:color w:val="auto"/>
                      <w:szCs w:val="21"/>
                    </w:rPr>
                    <w:t>1.0万t</w:t>
                  </w:r>
                </w:p>
              </w:tc>
              <w:tc>
                <w:tcPr>
                  <w:tcW w:w="624" w:type="pct"/>
                  <w:tcBorders>
                    <w:top w:val="single" w:color="auto" w:sz="4" w:space="0"/>
                    <w:left w:val="single" w:color="auto" w:sz="4" w:space="0"/>
                    <w:right w:val="single" w:color="auto" w:sz="4" w:space="0"/>
                  </w:tcBorders>
                  <w:vAlign w:val="center"/>
                </w:tcPr>
                <w:p w14:paraId="25413545">
                  <w:pPr>
                    <w:jc w:val="center"/>
                    <w:rPr>
                      <w:color w:val="auto"/>
                      <w:szCs w:val="21"/>
                    </w:rPr>
                  </w:pPr>
                  <w:r>
                    <w:rPr>
                      <w:color w:val="auto"/>
                      <w:szCs w:val="21"/>
                    </w:rPr>
                    <w:t>2.0万</w:t>
                  </w:r>
                </w:p>
              </w:tc>
              <w:tc>
                <w:tcPr>
                  <w:tcW w:w="688" w:type="pct"/>
                  <w:tcBorders>
                    <w:top w:val="single" w:color="auto" w:sz="4" w:space="0"/>
                    <w:left w:val="single" w:color="auto" w:sz="4" w:space="0"/>
                    <w:right w:val="single" w:color="auto" w:sz="4" w:space="0"/>
                  </w:tcBorders>
                  <w:vAlign w:val="center"/>
                </w:tcPr>
                <w:p w14:paraId="51A55342">
                  <w:pPr>
                    <w:jc w:val="center"/>
                    <w:rPr>
                      <w:color w:val="auto"/>
                      <w:szCs w:val="21"/>
                    </w:rPr>
                  </w:pPr>
                  <w:r>
                    <w:rPr>
                      <w:color w:val="auto"/>
                      <w:szCs w:val="21"/>
                    </w:rPr>
                    <w:t>3.0万</w:t>
                  </w:r>
                </w:p>
              </w:tc>
              <w:tc>
                <w:tcPr>
                  <w:tcW w:w="594" w:type="pct"/>
                  <w:tcBorders>
                    <w:top w:val="single" w:color="auto" w:sz="4" w:space="0"/>
                    <w:left w:val="single" w:color="auto" w:sz="4" w:space="0"/>
                    <w:right w:val="single" w:color="auto" w:sz="4" w:space="0"/>
                  </w:tcBorders>
                  <w:vAlign w:val="center"/>
                </w:tcPr>
                <w:p w14:paraId="4E77F7D9">
                  <w:pPr>
                    <w:jc w:val="center"/>
                    <w:rPr>
                      <w:color w:val="auto"/>
                      <w:szCs w:val="21"/>
                    </w:rPr>
                  </w:pPr>
                  <w:r>
                    <w:rPr>
                      <w:color w:val="auto"/>
                      <w:szCs w:val="21"/>
                    </w:rPr>
                    <w:t>100</w:t>
                  </w:r>
                </w:p>
              </w:tc>
              <w:tc>
                <w:tcPr>
                  <w:tcW w:w="462" w:type="pct"/>
                  <w:tcBorders>
                    <w:top w:val="single" w:color="auto" w:sz="4" w:space="0"/>
                    <w:left w:val="single" w:color="auto" w:sz="4" w:space="0"/>
                    <w:right w:val="single" w:color="auto" w:sz="4" w:space="0"/>
                  </w:tcBorders>
                  <w:vAlign w:val="center"/>
                </w:tcPr>
                <w:p w14:paraId="6B6C16BF">
                  <w:pPr>
                    <w:jc w:val="center"/>
                    <w:rPr>
                      <w:color w:val="auto"/>
                      <w:szCs w:val="21"/>
                    </w:rPr>
                  </w:pPr>
                  <w:r>
                    <w:rPr>
                      <w:rFonts w:hint="eastAsia"/>
                      <w:color w:val="auto"/>
                      <w:szCs w:val="21"/>
                    </w:rPr>
                    <w:t>泥块状</w:t>
                  </w:r>
                  <w:r>
                    <w:rPr>
                      <w:color w:val="auto"/>
                      <w:szCs w:val="21"/>
                    </w:rPr>
                    <w:t>，吨包</w:t>
                  </w:r>
                </w:p>
              </w:tc>
              <w:tc>
                <w:tcPr>
                  <w:tcW w:w="603" w:type="pct"/>
                  <w:tcBorders>
                    <w:top w:val="single" w:color="auto" w:sz="4" w:space="0"/>
                    <w:left w:val="single" w:color="auto" w:sz="4" w:space="0"/>
                    <w:right w:val="single" w:color="auto" w:sz="4" w:space="0"/>
                  </w:tcBorders>
                  <w:vAlign w:val="center"/>
                </w:tcPr>
                <w:p w14:paraId="2CB19234">
                  <w:pPr>
                    <w:jc w:val="center"/>
                    <w:rPr>
                      <w:color w:val="auto"/>
                      <w:szCs w:val="21"/>
                    </w:rPr>
                  </w:pPr>
                  <w:r>
                    <w:rPr>
                      <w:color w:val="auto"/>
                      <w:szCs w:val="21"/>
                    </w:rPr>
                    <w:t>外购</w:t>
                  </w:r>
                </w:p>
              </w:tc>
              <w:tc>
                <w:tcPr>
                  <w:tcW w:w="627" w:type="pct"/>
                  <w:tcBorders>
                    <w:top w:val="single" w:color="auto" w:sz="4" w:space="0"/>
                    <w:left w:val="single" w:color="auto" w:sz="4" w:space="0"/>
                    <w:right w:val="single" w:color="auto" w:sz="4" w:space="0"/>
                  </w:tcBorders>
                  <w:vAlign w:val="center"/>
                </w:tcPr>
                <w:p w14:paraId="33428F43">
                  <w:pPr>
                    <w:jc w:val="center"/>
                    <w:rPr>
                      <w:color w:val="auto"/>
                      <w:szCs w:val="21"/>
                    </w:rPr>
                  </w:pPr>
                  <w:r>
                    <w:rPr>
                      <w:color w:val="auto"/>
                      <w:szCs w:val="21"/>
                    </w:rPr>
                    <w:t>/</w:t>
                  </w:r>
                </w:p>
              </w:tc>
            </w:tr>
            <w:tr w14:paraId="54ADDC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73" w:type="pct"/>
                  <w:tcBorders>
                    <w:top w:val="single" w:color="auto" w:sz="4" w:space="0"/>
                  </w:tcBorders>
                  <w:vAlign w:val="center"/>
                </w:tcPr>
                <w:p w14:paraId="692F129E">
                  <w:pPr>
                    <w:jc w:val="center"/>
                    <w:rPr>
                      <w:color w:val="auto"/>
                      <w:szCs w:val="21"/>
                    </w:rPr>
                  </w:pPr>
                  <w:r>
                    <w:rPr>
                      <w:color w:val="auto"/>
                      <w:szCs w:val="21"/>
                    </w:rPr>
                    <w:t>6</w:t>
                  </w:r>
                </w:p>
              </w:tc>
              <w:tc>
                <w:tcPr>
                  <w:tcW w:w="583" w:type="pct"/>
                  <w:tcBorders>
                    <w:top w:val="single" w:color="auto" w:sz="4" w:space="0"/>
                  </w:tcBorders>
                  <w:vAlign w:val="center"/>
                </w:tcPr>
                <w:p w14:paraId="4DEA2817">
                  <w:pPr>
                    <w:jc w:val="center"/>
                    <w:rPr>
                      <w:color w:val="auto"/>
                    </w:rPr>
                  </w:pPr>
                  <w:r>
                    <w:rPr>
                      <w:color w:val="auto"/>
                    </w:rPr>
                    <w:t>机油</w:t>
                  </w:r>
                </w:p>
              </w:tc>
              <w:tc>
                <w:tcPr>
                  <w:tcW w:w="543" w:type="pct"/>
                  <w:tcBorders>
                    <w:top w:val="single" w:color="auto" w:sz="4" w:space="0"/>
                    <w:right w:val="single" w:color="auto" w:sz="4" w:space="0"/>
                  </w:tcBorders>
                  <w:vAlign w:val="center"/>
                </w:tcPr>
                <w:p w14:paraId="2B10DB64">
                  <w:pPr>
                    <w:jc w:val="center"/>
                    <w:rPr>
                      <w:color w:val="auto"/>
                      <w:szCs w:val="21"/>
                    </w:rPr>
                  </w:pPr>
                  <w:r>
                    <w:rPr>
                      <w:color w:val="auto"/>
                      <w:szCs w:val="21"/>
                    </w:rPr>
                    <w:t>1</w:t>
                  </w:r>
                </w:p>
              </w:tc>
              <w:tc>
                <w:tcPr>
                  <w:tcW w:w="624" w:type="pct"/>
                  <w:tcBorders>
                    <w:top w:val="single" w:color="auto" w:sz="4" w:space="0"/>
                    <w:left w:val="single" w:color="auto" w:sz="4" w:space="0"/>
                    <w:right w:val="single" w:color="auto" w:sz="4" w:space="0"/>
                  </w:tcBorders>
                  <w:vAlign w:val="center"/>
                </w:tcPr>
                <w:p w14:paraId="40BD476C">
                  <w:pPr>
                    <w:jc w:val="center"/>
                    <w:rPr>
                      <w:color w:val="auto"/>
                      <w:szCs w:val="21"/>
                    </w:rPr>
                  </w:pPr>
                  <w:r>
                    <w:rPr>
                      <w:color w:val="auto"/>
                      <w:szCs w:val="21"/>
                    </w:rPr>
                    <w:t>1</w:t>
                  </w:r>
                </w:p>
              </w:tc>
              <w:tc>
                <w:tcPr>
                  <w:tcW w:w="688" w:type="pct"/>
                  <w:tcBorders>
                    <w:top w:val="single" w:color="auto" w:sz="4" w:space="0"/>
                    <w:left w:val="single" w:color="auto" w:sz="4" w:space="0"/>
                    <w:right w:val="single" w:color="auto" w:sz="4" w:space="0"/>
                  </w:tcBorders>
                  <w:vAlign w:val="center"/>
                </w:tcPr>
                <w:p w14:paraId="3869C7A3">
                  <w:pPr>
                    <w:jc w:val="center"/>
                    <w:rPr>
                      <w:color w:val="auto"/>
                      <w:szCs w:val="21"/>
                    </w:rPr>
                  </w:pPr>
                  <w:r>
                    <w:rPr>
                      <w:color w:val="auto"/>
                      <w:szCs w:val="21"/>
                    </w:rPr>
                    <w:t>2</w:t>
                  </w:r>
                </w:p>
              </w:tc>
              <w:tc>
                <w:tcPr>
                  <w:tcW w:w="594" w:type="pct"/>
                  <w:tcBorders>
                    <w:top w:val="single" w:color="auto" w:sz="4" w:space="0"/>
                    <w:left w:val="single" w:color="auto" w:sz="4" w:space="0"/>
                    <w:right w:val="single" w:color="auto" w:sz="4" w:space="0"/>
                  </w:tcBorders>
                  <w:vAlign w:val="center"/>
                </w:tcPr>
                <w:p w14:paraId="4D1C840B">
                  <w:pPr>
                    <w:jc w:val="center"/>
                    <w:rPr>
                      <w:color w:val="auto"/>
                      <w:szCs w:val="21"/>
                    </w:rPr>
                  </w:pPr>
                  <w:r>
                    <w:rPr>
                      <w:color w:val="auto"/>
                      <w:szCs w:val="21"/>
                    </w:rPr>
                    <w:t>1</w:t>
                  </w:r>
                </w:p>
              </w:tc>
              <w:tc>
                <w:tcPr>
                  <w:tcW w:w="462" w:type="pct"/>
                  <w:tcBorders>
                    <w:top w:val="single" w:color="auto" w:sz="4" w:space="0"/>
                    <w:left w:val="single" w:color="auto" w:sz="4" w:space="0"/>
                    <w:right w:val="single" w:color="auto" w:sz="4" w:space="0"/>
                  </w:tcBorders>
                  <w:vAlign w:val="center"/>
                </w:tcPr>
                <w:p w14:paraId="5A026CF1">
                  <w:pPr>
                    <w:jc w:val="center"/>
                    <w:rPr>
                      <w:color w:val="auto"/>
                      <w:szCs w:val="21"/>
                    </w:rPr>
                  </w:pPr>
                  <w:r>
                    <w:rPr>
                      <w:color w:val="auto"/>
                      <w:szCs w:val="21"/>
                    </w:rPr>
                    <w:t>100kg/桶装</w:t>
                  </w:r>
                </w:p>
              </w:tc>
              <w:tc>
                <w:tcPr>
                  <w:tcW w:w="603" w:type="pct"/>
                  <w:tcBorders>
                    <w:top w:val="single" w:color="auto" w:sz="4" w:space="0"/>
                    <w:left w:val="single" w:color="auto" w:sz="4" w:space="0"/>
                    <w:right w:val="single" w:color="auto" w:sz="4" w:space="0"/>
                  </w:tcBorders>
                  <w:vAlign w:val="center"/>
                </w:tcPr>
                <w:p w14:paraId="2A1A3650">
                  <w:pPr>
                    <w:jc w:val="center"/>
                    <w:rPr>
                      <w:color w:val="auto"/>
                      <w:szCs w:val="21"/>
                    </w:rPr>
                  </w:pPr>
                  <w:r>
                    <w:rPr>
                      <w:color w:val="auto"/>
                      <w:szCs w:val="21"/>
                    </w:rPr>
                    <w:t>外购</w:t>
                  </w:r>
                </w:p>
              </w:tc>
              <w:tc>
                <w:tcPr>
                  <w:tcW w:w="627" w:type="pct"/>
                  <w:tcBorders>
                    <w:top w:val="single" w:color="auto" w:sz="4" w:space="0"/>
                    <w:left w:val="single" w:color="auto" w:sz="4" w:space="0"/>
                    <w:right w:val="single" w:color="auto" w:sz="4" w:space="0"/>
                  </w:tcBorders>
                  <w:vAlign w:val="center"/>
                </w:tcPr>
                <w:p w14:paraId="4AA26FF5">
                  <w:pPr>
                    <w:jc w:val="center"/>
                    <w:rPr>
                      <w:color w:val="auto"/>
                      <w:szCs w:val="21"/>
                    </w:rPr>
                  </w:pPr>
                  <w:r>
                    <w:rPr>
                      <w:color w:val="auto"/>
                      <w:szCs w:val="21"/>
                    </w:rPr>
                    <w:t>/</w:t>
                  </w:r>
                </w:p>
              </w:tc>
            </w:tr>
            <w:tr w14:paraId="0B664E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000" w:type="pct"/>
                  <w:gridSpan w:val="9"/>
                  <w:tcBorders>
                    <w:right w:val="single" w:color="auto" w:sz="4" w:space="0"/>
                  </w:tcBorders>
                  <w:vAlign w:val="center"/>
                </w:tcPr>
                <w:p w14:paraId="2CE29476">
                  <w:pPr>
                    <w:jc w:val="center"/>
                    <w:rPr>
                      <w:b/>
                      <w:bCs/>
                      <w:color w:val="auto"/>
                      <w:kern w:val="0"/>
                      <w:szCs w:val="21"/>
                    </w:rPr>
                  </w:pPr>
                  <w:r>
                    <w:rPr>
                      <w:b/>
                      <w:bCs/>
                      <w:color w:val="auto"/>
                      <w:kern w:val="0"/>
                      <w:szCs w:val="21"/>
                    </w:rPr>
                    <w:t>能源消耗</w:t>
                  </w:r>
                </w:p>
              </w:tc>
            </w:tr>
            <w:tr w14:paraId="23915D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73" w:type="pct"/>
                  <w:vAlign w:val="center"/>
                </w:tcPr>
                <w:p w14:paraId="6EE729EE">
                  <w:pPr>
                    <w:jc w:val="center"/>
                    <w:rPr>
                      <w:color w:val="auto"/>
                      <w:szCs w:val="21"/>
                    </w:rPr>
                  </w:pPr>
                  <w:r>
                    <w:rPr>
                      <w:color w:val="auto"/>
                      <w:szCs w:val="21"/>
                    </w:rPr>
                    <w:t>1</w:t>
                  </w:r>
                </w:p>
              </w:tc>
              <w:tc>
                <w:tcPr>
                  <w:tcW w:w="583" w:type="pct"/>
                  <w:vAlign w:val="center"/>
                </w:tcPr>
                <w:p w14:paraId="35409309">
                  <w:pPr>
                    <w:jc w:val="center"/>
                    <w:rPr>
                      <w:color w:val="auto"/>
                      <w:szCs w:val="21"/>
                    </w:rPr>
                  </w:pPr>
                  <w:r>
                    <w:rPr>
                      <w:color w:val="auto"/>
                      <w:kern w:val="0"/>
                      <w:szCs w:val="21"/>
                    </w:rPr>
                    <w:t>电</w:t>
                  </w:r>
                </w:p>
              </w:tc>
              <w:tc>
                <w:tcPr>
                  <w:tcW w:w="543" w:type="pct"/>
                  <w:tcBorders>
                    <w:right w:val="single" w:color="auto" w:sz="4" w:space="0"/>
                  </w:tcBorders>
                  <w:vAlign w:val="center"/>
                </w:tcPr>
                <w:p w14:paraId="0955989D">
                  <w:pPr>
                    <w:jc w:val="center"/>
                    <w:rPr>
                      <w:color w:val="auto"/>
                      <w:szCs w:val="21"/>
                    </w:rPr>
                  </w:pPr>
                  <w:r>
                    <w:rPr>
                      <w:color w:val="auto"/>
                      <w:szCs w:val="21"/>
                    </w:rPr>
                    <w:t>290</w:t>
                  </w:r>
                </w:p>
              </w:tc>
              <w:tc>
                <w:tcPr>
                  <w:tcW w:w="624" w:type="pct"/>
                  <w:tcBorders>
                    <w:left w:val="single" w:color="auto" w:sz="4" w:space="0"/>
                    <w:right w:val="single" w:color="auto" w:sz="4" w:space="0"/>
                  </w:tcBorders>
                  <w:vAlign w:val="center"/>
                </w:tcPr>
                <w:p w14:paraId="33CC786E">
                  <w:pPr>
                    <w:jc w:val="center"/>
                    <w:rPr>
                      <w:color w:val="auto"/>
                      <w:kern w:val="0"/>
                      <w:szCs w:val="21"/>
                    </w:rPr>
                  </w:pPr>
                  <w:r>
                    <w:rPr>
                      <w:color w:val="auto"/>
                      <w:kern w:val="0"/>
                      <w:szCs w:val="21"/>
                    </w:rPr>
                    <w:t>130</w:t>
                  </w:r>
                </w:p>
              </w:tc>
              <w:tc>
                <w:tcPr>
                  <w:tcW w:w="688" w:type="pct"/>
                  <w:tcBorders>
                    <w:left w:val="single" w:color="auto" w:sz="4" w:space="0"/>
                    <w:right w:val="single" w:color="auto" w:sz="4" w:space="0"/>
                  </w:tcBorders>
                  <w:vAlign w:val="center"/>
                </w:tcPr>
                <w:p w14:paraId="4634F30B">
                  <w:pPr>
                    <w:jc w:val="center"/>
                    <w:rPr>
                      <w:color w:val="auto"/>
                      <w:szCs w:val="21"/>
                    </w:rPr>
                  </w:pPr>
                  <w:r>
                    <w:rPr>
                      <w:color w:val="auto"/>
                      <w:szCs w:val="21"/>
                    </w:rPr>
                    <w:t>310</w:t>
                  </w:r>
                </w:p>
              </w:tc>
              <w:tc>
                <w:tcPr>
                  <w:tcW w:w="594" w:type="pct"/>
                  <w:tcBorders>
                    <w:left w:val="single" w:color="auto" w:sz="4" w:space="0"/>
                    <w:right w:val="single" w:color="auto" w:sz="4" w:space="0"/>
                  </w:tcBorders>
                  <w:vAlign w:val="center"/>
                </w:tcPr>
                <w:p w14:paraId="785CDA17">
                  <w:pPr>
                    <w:jc w:val="center"/>
                    <w:rPr>
                      <w:color w:val="auto"/>
                      <w:szCs w:val="21"/>
                    </w:rPr>
                  </w:pPr>
                  <w:r>
                    <w:rPr>
                      <w:color w:val="auto"/>
                      <w:kern w:val="0"/>
                      <w:szCs w:val="21"/>
                    </w:rPr>
                    <w:t>万kW·h/a</w:t>
                  </w:r>
                </w:p>
              </w:tc>
              <w:tc>
                <w:tcPr>
                  <w:tcW w:w="462" w:type="pct"/>
                  <w:tcBorders>
                    <w:left w:val="single" w:color="auto" w:sz="4" w:space="0"/>
                    <w:right w:val="single" w:color="auto" w:sz="4" w:space="0"/>
                  </w:tcBorders>
                  <w:vAlign w:val="center"/>
                </w:tcPr>
                <w:p w14:paraId="1D27902E">
                  <w:pPr>
                    <w:jc w:val="center"/>
                    <w:rPr>
                      <w:color w:val="auto"/>
                      <w:szCs w:val="21"/>
                    </w:rPr>
                  </w:pPr>
                  <w:r>
                    <w:rPr>
                      <w:color w:val="auto"/>
                      <w:szCs w:val="21"/>
                    </w:rPr>
                    <w:t>/</w:t>
                  </w:r>
                </w:p>
              </w:tc>
              <w:tc>
                <w:tcPr>
                  <w:tcW w:w="603" w:type="pct"/>
                  <w:tcBorders>
                    <w:left w:val="single" w:color="auto" w:sz="4" w:space="0"/>
                    <w:right w:val="single" w:color="auto" w:sz="4" w:space="0"/>
                  </w:tcBorders>
                  <w:vAlign w:val="center"/>
                </w:tcPr>
                <w:p w14:paraId="11D2F6E0">
                  <w:pPr>
                    <w:jc w:val="center"/>
                    <w:rPr>
                      <w:color w:val="auto"/>
                      <w:szCs w:val="21"/>
                    </w:rPr>
                  </w:pPr>
                  <w:r>
                    <w:rPr>
                      <w:color w:val="auto"/>
                      <w:szCs w:val="21"/>
                    </w:rPr>
                    <w:t>/</w:t>
                  </w:r>
                </w:p>
              </w:tc>
              <w:tc>
                <w:tcPr>
                  <w:tcW w:w="627" w:type="pct"/>
                  <w:tcBorders>
                    <w:left w:val="single" w:color="auto" w:sz="4" w:space="0"/>
                    <w:right w:val="single" w:color="auto" w:sz="4" w:space="0"/>
                  </w:tcBorders>
                  <w:vAlign w:val="center"/>
                </w:tcPr>
                <w:p w14:paraId="6555B1C2">
                  <w:pPr>
                    <w:jc w:val="center"/>
                    <w:rPr>
                      <w:color w:val="auto"/>
                      <w:szCs w:val="21"/>
                    </w:rPr>
                  </w:pPr>
                  <w:r>
                    <w:rPr>
                      <w:color w:val="auto"/>
                      <w:szCs w:val="21"/>
                    </w:rPr>
                    <w:t>/</w:t>
                  </w:r>
                </w:p>
              </w:tc>
            </w:tr>
            <w:tr w14:paraId="6D93E0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273" w:type="pct"/>
                  <w:vAlign w:val="center"/>
                </w:tcPr>
                <w:p w14:paraId="1AAEAC48">
                  <w:pPr>
                    <w:jc w:val="center"/>
                    <w:rPr>
                      <w:color w:val="auto"/>
                      <w:szCs w:val="21"/>
                    </w:rPr>
                  </w:pPr>
                  <w:r>
                    <w:rPr>
                      <w:color w:val="auto"/>
                      <w:szCs w:val="21"/>
                    </w:rPr>
                    <w:t>2</w:t>
                  </w:r>
                </w:p>
              </w:tc>
              <w:tc>
                <w:tcPr>
                  <w:tcW w:w="583" w:type="pct"/>
                  <w:vAlign w:val="center"/>
                </w:tcPr>
                <w:p w14:paraId="3A141236">
                  <w:pPr>
                    <w:jc w:val="center"/>
                    <w:rPr>
                      <w:color w:val="auto"/>
                      <w:kern w:val="0"/>
                      <w:szCs w:val="21"/>
                    </w:rPr>
                  </w:pPr>
                  <w:r>
                    <w:rPr>
                      <w:color w:val="auto"/>
                      <w:kern w:val="0"/>
                      <w:szCs w:val="21"/>
                    </w:rPr>
                    <w:t>天然气</w:t>
                  </w:r>
                </w:p>
              </w:tc>
              <w:tc>
                <w:tcPr>
                  <w:tcW w:w="543" w:type="pct"/>
                  <w:tcBorders>
                    <w:right w:val="single" w:color="auto" w:sz="4" w:space="0"/>
                  </w:tcBorders>
                  <w:vAlign w:val="center"/>
                </w:tcPr>
                <w:p w14:paraId="2F0B631B">
                  <w:pPr>
                    <w:jc w:val="center"/>
                    <w:rPr>
                      <w:color w:val="auto"/>
                      <w:szCs w:val="21"/>
                    </w:rPr>
                  </w:pPr>
                  <w:r>
                    <w:rPr>
                      <w:color w:val="auto"/>
                      <w:szCs w:val="21"/>
                    </w:rPr>
                    <w:t>210</w:t>
                  </w:r>
                </w:p>
              </w:tc>
              <w:tc>
                <w:tcPr>
                  <w:tcW w:w="624" w:type="pct"/>
                  <w:tcBorders>
                    <w:left w:val="single" w:color="auto" w:sz="4" w:space="0"/>
                    <w:right w:val="single" w:color="auto" w:sz="4" w:space="0"/>
                  </w:tcBorders>
                  <w:vAlign w:val="center"/>
                </w:tcPr>
                <w:p w14:paraId="62E5D334">
                  <w:pPr>
                    <w:jc w:val="center"/>
                    <w:rPr>
                      <w:color w:val="auto"/>
                      <w:kern w:val="0"/>
                      <w:szCs w:val="21"/>
                    </w:rPr>
                  </w:pPr>
                  <w:r>
                    <w:rPr>
                      <w:color w:val="auto"/>
                      <w:kern w:val="0"/>
                      <w:szCs w:val="21"/>
                    </w:rPr>
                    <w:t>0</w:t>
                  </w:r>
                </w:p>
              </w:tc>
              <w:tc>
                <w:tcPr>
                  <w:tcW w:w="688" w:type="pct"/>
                  <w:tcBorders>
                    <w:left w:val="single" w:color="auto" w:sz="4" w:space="0"/>
                    <w:right w:val="single" w:color="auto" w:sz="4" w:space="0"/>
                  </w:tcBorders>
                  <w:vAlign w:val="center"/>
                </w:tcPr>
                <w:p w14:paraId="25E46E46">
                  <w:pPr>
                    <w:jc w:val="center"/>
                    <w:rPr>
                      <w:color w:val="auto"/>
                      <w:szCs w:val="21"/>
                    </w:rPr>
                  </w:pPr>
                  <w:r>
                    <w:rPr>
                      <w:color w:val="auto"/>
                      <w:szCs w:val="21"/>
                    </w:rPr>
                    <w:t>0</w:t>
                  </w:r>
                </w:p>
              </w:tc>
              <w:tc>
                <w:tcPr>
                  <w:tcW w:w="594" w:type="pct"/>
                  <w:tcBorders>
                    <w:left w:val="single" w:color="auto" w:sz="4" w:space="0"/>
                    <w:right w:val="single" w:color="auto" w:sz="4" w:space="0"/>
                  </w:tcBorders>
                  <w:vAlign w:val="center"/>
                </w:tcPr>
                <w:p w14:paraId="47673AFC">
                  <w:pPr>
                    <w:jc w:val="center"/>
                    <w:rPr>
                      <w:color w:val="auto"/>
                      <w:kern w:val="0"/>
                      <w:szCs w:val="21"/>
                    </w:rPr>
                  </w:pPr>
                  <w:r>
                    <w:rPr>
                      <w:color w:val="auto"/>
                      <w:szCs w:val="21"/>
                    </w:rPr>
                    <w:t>万/m³</w:t>
                  </w:r>
                </w:p>
              </w:tc>
              <w:tc>
                <w:tcPr>
                  <w:tcW w:w="462" w:type="pct"/>
                  <w:tcBorders>
                    <w:left w:val="single" w:color="auto" w:sz="4" w:space="0"/>
                    <w:right w:val="single" w:color="auto" w:sz="4" w:space="0"/>
                  </w:tcBorders>
                  <w:vAlign w:val="center"/>
                </w:tcPr>
                <w:p w14:paraId="5E4EC14B">
                  <w:pPr>
                    <w:jc w:val="center"/>
                    <w:rPr>
                      <w:color w:val="auto"/>
                      <w:szCs w:val="21"/>
                    </w:rPr>
                  </w:pPr>
                  <w:r>
                    <w:rPr>
                      <w:color w:val="auto"/>
                      <w:szCs w:val="21"/>
                    </w:rPr>
                    <w:t>/</w:t>
                  </w:r>
                </w:p>
              </w:tc>
              <w:tc>
                <w:tcPr>
                  <w:tcW w:w="603" w:type="pct"/>
                  <w:tcBorders>
                    <w:left w:val="single" w:color="auto" w:sz="4" w:space="0"/>
                    <w:right w:val="single" w:color="auto" w:sz="4" w:space="0"/>
                  </w:tcBorders>
                  <w:vAlign w:val="center"/>
                </w:tcPr>
                <w:p w14:paraId="0E5A3BBB">
                  <w:pPr>
                    <w:jc w:val="center"/>
                    <w:rPr>
                      <w:color w:val="auto"/>
                      <w:szCs w:val="21"/>
                    </w:rPr>
                  </w:pPr>
                  <w:r>
                    <w:rPr>
                      <w:color w:val="auto"/>
                      <w:szCs w:val="21"/>
                    </w:rPr>
                    <w:t>/</w:t>
                  </w:r>
                </w:p>
              </w:tc>
              <w:tc>
                <w:tcPr>
                  <w:tcW w:w="627" w:type="pct"/>
                  <w:tcBorders>
                    <w:left w:val="single" w:color="auto" w:sz="4" w:space="0"/>
                    <w:right w:val="single" w:color="auto" w:sz="4" w:space="0"/>
                  </w:tcBorders>
                  <w:vAlign w:val="center"/>
                </w:tcPr>
                <w:p w14:paraId="36B23479">
                  <w:pPr>
                    <w:jc w:val="center"/>
                    <w:rPr>
                      <w:color w:val="auto"/>
                      <w:szCs w:val="21"/>
                    </w:rPr>
                  </w:pPr>
                  <w:r>
                    <w:rPr>
                      <w:color w:val="auto"/>
                      <w:szCs w:val="21"/>
                    </w:rPr>
                    <w:t>天然气锅炉作为备用锅炉</w:t>
                  </w:r>
                </w:p>
              </w:tc>
            </w:tr>
            <w:tr w14:paraId="04C815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73" w:type="pct"/>
                  <w:vAlign w:val="center"/>
                </w:tcPr>
                <w:p w14:paraId="5D2B64B6">
                  <w:pPr>
                    <w:jc w:val="center"/>
                    <w:rPr>
                      <w:color w:val="auto"/>
                      <w:szCs w:val="21"/>
                    </w:rPr>
                  </w:pPr>
                  <w:r>
                    <w:rPr>
                      <w:color w:val="auto"/>
                      <w:szCs w:val="21"/>
                    </w:rPr>
                    <w:t>3</w:t>
                  </w:r>
                </w:p>
              </w:tc>
              <w:tc>
                <w:tcPr>
                  <w:tcW w:w="583" w:type="pct"/>
                  <w:vAlign w:val="center"/>
                </w:tcPr>
                <w:p w14:paraId="64C37E72">
                  <w:pPr>
                    <w:jc w:val="center"/>
                    <w:rPr>
                      <w:color w:val="auto"/>
                      <w:kern w:val="0"/>
                      <w:szCs w:val="21"/>
                    </w:rPr>
                  </w:pPr>
                  <w:r>
                    <w:rPr>
                      <w:color w:val="auto"/>
                      <w:kern w:val="0"/>
                      <w:szCs w:val="21"/>
                    </w:rPr>
                    <w:t>蒸汽</w:t>
                  </w:r>
                </w:p>
              </w:tc>
              <w:tc>
                <w:tcPr>
                  <w:tcW w:w="543" w:type="pct"/>
                  <w:tcBorders>
                    <w:right w:val="single" w:color="auto" w:sz="4" w:space="0"/>
                  </w:tcBorders>
                  <w:vAlign w:val="center"/>
                </w:tcPr>
                <w:p w14:paraId="3AD6BD92">
                  <w:pPr>
                    <w:jc w:val="center"/>
                    <w:rPr>
                      <w:color w:val="auto"/>
                      <w:szCs w:val="21"/>
                    </w:rPr>
                  </w:pPr>
                  <w:r>
                    <w:rPr>
                      <w:color w:val="auto"/>
                      <w:szCs w:val="21"/>
                    </w:rPr>
                    <w:t>0</w:t>
                  </w:r>
                </w:p>
              </w:tc>
              <w:tc>
                <w:tcPr>
                  <w:tcW w:w="624" w:type="pct"/>
                  <w:tcBorders>
                    <w:left w:val="single" w:color="auto" w:sz="4" w:space="0"/>
                    <w:right w:val="single" w:color="auto" w:sz="4" w:space="0"/>
                  </w:tcBorders>
                  <w:vAlign w:val="center"/>
                </w:tcPr>
                <w:p w14:paraId="5B3361EE">
                  <w:pPr>
                    <w:jc w:val="center"/>
                    <w:rPr>
                      <w:color w:val="auto"/>
                      <w:kern w:val="0"/>
                      <w:szCs w:val="21"/>
                    </w:rPr>
                  </w:pPr>
                  <w:r>
                    <w:rPr>
                      <w:color w:val="auto"/>
                      <w:kern w:val="0"/>
                      <w:szCs w:val="21"/>
                    </w:rPr>
                    <w:t>36000</w:t>
                  </w:r>
                </w:p>
              </w:tc>
              <w:tc>
                <w:tcPr>
                  <w:tcW w:w="688" w:type="pct"/>
                  <w:tcBorders>
                    <w:left w:val="single" w:color="auto" w:sz="4" w:space="0"/>
                    <w:right w:val="single" w:color="auto" w:sz="4" w:space="0"/>
                  </w:tcBorders>
                  <w:vAlign w:val="center"/>
                </w:tcPr>
                <w:p w14:paraId="5D40C3C5">
                  <w:pPr>
                    <w:jc w:val="center"/>
                    <w:rPr>
                      <w:color w:val="auto"/>
                      <w:szCs w:val="21"/>
                    </w:rPr>
                  </w:pPr>
                  <w:r>
                    <w:rPr>
                      <w:color w:val="auto"/>
                      <w:szCs w:val="21"/>
                    </w:rPr>
                    <w:t>36000</w:t>
                  </w:r>
                </w:p>
              </w:tc>
              <w:tc>
                <w:tcPr>
                  <w:tcW w:w="594" w:type="pct"/>
                  <w:tcBorders>
                    <w:left w:val="single" w:color="auto" w:sz="4" w:space="0"/>
                    <w:right w:val="single" w:color="auto" w:sz="4" w:space="0"/>
                  </w:tcBorders>
                  <w:vAlign w:val="center"/>
                </w:tcPr>
                <w:p w14:paraId="18A35461">
                  <w:pPr>
                    <w:jc w:val="center"/>
                    <w:rPr>
                      <w:color w:val="auto"/>
                      <w:szCs w:val="21"/>
                    </w:rPr>
                  </w:pPr>
                  <w:r>
                    <w:rPr>
                      <w:rFonts w:hint="eastAsia"/>
                      <w:color w:val="auto"/>
                      <w:szCs w:val="21"/>
                      <w:lang w:val="en-US" w:eastAsia="zh-CN"/>
                    </w:rPr>
                    <w:t>t</w:t>
                  </w:r>
                  <w:r>
                    <w:rPr>
                      <w:rFonts w:hint="eastAsia"/>
                      <w:color w:val="auto"/>
                      <w:szCs w:val="21"/>
                    </w:rPr>
                    <w:t>/a</w:t>
                  </w:r>
                </w:p>
              </w:tc>
              <w:tc>
                <w:tcPr>
                  <w:tcW w:w="462" w:type="pct"/>
                  <w:tcBorders>
                    <w:left w:val="single" w:color="auto" w:sz="4" w:space="0"/>
                    <w:right w:val="single" w:color="auto" w:sz="4" w:space="0"/>
                  </w:tcBorders>
                  <w:vAlign w:val="center"/>
                </w:tcPr>
                <w:p w14:paraId="4CE8D1B9">
                  <w:pPr>
                    <w:jc w:val="center"/>
                    <w:rPr>
                      <w:color w:val="auto"/>
                      <w:szCs w:val="21"/>
                    </w:rPr>
                  </w:pPr>
                  <w:r>
                    <w:rPr>
                      <w:color w:val="auto"/>
                      <w:szCs w:val="21"/>
                    </w:rPr>
                    <w:t>/</w:t>
                  </w:r>
                </w:p>
              </w:tc>
              <w:tc>
                <w:tcPr>
                  <w:tcW w:w="603" w:type="pct"/>
                  <w:tcBorders>
                    <w:left w:val="single" w:color="auto" w:sz="4" w:space="0"/>
                    <w:right w:val="single" w:color="auto" w:sz="4" w:space="0"/>
                  </w:tcBorders>
                  <w:vAlign w:val="center"/>
                </w:tcPr>
                <w:p w14:paraId="1AC280CC">
                  <w:pPr>
                    <w:jc w:val="center"/>
                    <w:rPr>
                      <w:color w:val="auto"/>
                      <w:szCs w:val="21"/>
                    </w:rPr>
                  </w:pPr>
                  <w:r>
                    <w:rPr>
                      <w:color w:val="auto"/>
                      <w:szCs w:val="21"/>
                    </w:rPr>
                    <w:t>/</w:t>
                  </w:r>
                </w:p>
              </w:tc>
              <w:tc>
                <w:tcPr>
                  <w:tcW w:w="627" w:type="pct"/>
                  <w:tcBorders>
                    <w:left w:val="single" w:color="auto" w:sz="4" w:space="0"/>
                    <w:right w:val="single" w:color="auto" w:sz="4" w:space="0"/>
                  </w:tcBorders>
                  <w:vAlign w:val="center"/>
                </w:tcPr>
                <w:p w14:paraId="32D3DCBD">
                  <w:pPr>
                    <w:jc w:val="center"/>
                    <w:rPr>
                      <w:color w:val="auto"/>
                      <w:szCs w:val="21"/>
                    </w:rPr>
                  </w:pPr>
                  <w:r>
                    <w:rPr>
                      <w:color w:val="auto"/>
                      <w:szCs w:val="21"/>
                    </w:rPr>
                    <w:t>热源来着国能宿州热力有限公司</w:t>
                  </w:r>
                </w:p>
              </w:tc>
            </w:tr>
            <w:tr w14:paraId="146FDB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73" w:type="pct"/>
                  <w:vAlign w:val="center"/>
                </w:tcPr>
                <w:p w14:paraId="0AE23DDE">
                  <w:pPr>
                    <w:jc w:val="center"/>
                    <w:rPr>
                      <w:color w:val="auto"/>
                      <w:szCs w:val="21"/>
                    </w:rPr>
                  </w:pPr>
                  <w:r>
                    <w:rPr>
                      <w:color w:val="auto"/>
                      <w:szCs w:val="21"/>
                    </w:rPr>
                    <w:t>2</w:t>
                  </w:r>
                </w:p>
              </w:tc>
              <w:tc>
                <w:tcPr>
                  <w:tcW w:w="583" w:type="pct"/>
                  <w:vAlign w:val="center"/>
                </w:tcPr>
                <w:p w14:paraId="246C1630">
                  <w:pPr>
                    <w:jc w:val="center"/>
                    <w:rPr>
                      <w:color w:val="auto"/>
                      <w:szCs w:val="21"/>
                    </w:rPr>
                  </w:pPr>
                  <w:r>
                    <w:rPr>
                      <w:color w:val="auto"/>
                      <w:szCs w:val="21"/>
                    </w:rPr>
                    <w:t>生产用水</w:t>
                  </w:r>
                </w:p>
              </w:tc>
              <w:tc>
                <w:tcPr>
                  <w:tcW w:w="543" w:type="pct"/>
                  <w:tcBorders>
                    <w:right w:val="single" w:color="auto" w:sz="4" w:space="0"/>
                  </w:tcBorders>
                  <w:vAlign w:val="center"/>
                </w:tcPr>
                <w:p w14:paraId="619BED2D">
                  <w:pPr>
                    <w:jc w:val="center"/>
                    <w:rPr>
                      <w:color w:val="auto"/>
                    </w:rPr>
                  </w:pPr>
                  <w:r>
                    <w:rPr>
                      <w:color w:val="auto"/>
                    </w:rPr>
                    <w:t>74592</w:t>
                  </w:r>
                </w:p>
              </w:tc>
              <w:tc>
                <w:tcPr>
                  <w:tcW w:w="624" w:type="pct"/>
                  <w:tcBorders>
                    <w:left w:val="single" w:color="auto" w:sz="4" w:space="0"/>
                    <w:right w:val="single" w:color="auto" w:sz="4" w:space="0"/>
                  </w:tcBorders>
                  <w:vAlign w:val="center"/>
                </w:tcPr>
                <w:p w14:paraId="35E6CAF7">
                  <w:pPr>
                    <w:jc w:val="center"/>
                    <w:rPr>
                      <w:color w:val="auto"/>
                      <w:kern w:val="0"/>
                      <w:szCs w:val="21"/>
                    </w:rPr>
                  </w:pPr>
                  <w:r>
                    <w:rPr>
                      <w:color w:val="auto"/>
                      <w:kern w:val="0"/>
                      <w:szCs w:val="21"/>
                    </w:rPr>
                    <w:t>144237</w:t>
                  </w:r>
                </w:p>
              </w:tc>
              <w:tc>
                <w:tcPr>
                  <w:tcW w:w="688" w:type="pct"/>
                  <w:tcBorders>
                    <w:left w:val="single" w:color="auto" w:sz="4" w:space="0"/>
                    <w:right w:val="single" w:color="auto" w:sz="4" w:space="0"/>
                  </w:tcBorders>
                  <w:vAlign w:val="center"/>
                </w:tcPr>
                <w:p w14:paraId="7205239E">
                  <w:pPr>
                    <w:jc w:val="center"/>
                    <w:rPr>
                      <w:color w:val="auto"/>
                    </w:rPr>
                  </w:pPr>
                  <w:r>
                    <w:rPr>
                      <w:color w:val="auto"/>
                    </w:rPr>
                    <w:t>218829</w:t>
                  </w:r>
                </w:p>
              </w:tc>
              <w:tc>
                <w:tcPr>
                  <w:tcW w:w="594" w:type="pct"/>
                  <w:tcBorders>
                    <w:left w:val="single" w:color="auto" w:sz="4" w:space="0"/>
                    <w:right w:val="single" w:color="auto" w:sz="4" w:space="0"/>
                  </w:tcBorders>
                  <w:vAlign w:val="center"/>
                </w:tcPr>
                <w:p w14:paraId="4A3465F3">
                  <w:pPr>
                    <w:jc w:val="center"/>
                    <w:rPr>
                      <w:color w:val="auto"/>
                    </w:rPr>
                  </w:pPr>
                  <w:r>
                    <w:rPr>
                      <w:color w:val="auto"/>
                      <w:kern w:val="0"/>
                      <w:szCs w:val="21"/>
                    </w:rPr>
                    <w:t>t/a</w:t>
                  </w:r>
                </w:p>
              </w:tc>
              <w:tc>
                <w:tcPr>
                  <w:tcW w:w="462" w:type="pct"/>
                  <w:tcBorders>
                    <w:left w:val="single" w:color="auto" w:sz="4" w:space="0"/>
                    <w:right w:val="single" w:color="auto" w:sz="4" w:space="0"/>
                  </w:tcBorders>
                  <w:vAlign w:val="center"/>
                </w:tcPr>
                <w:p w14:paraId="5737F75D">
                  <w:pPr>
                    <w:jc w:val="center"/>
                    <w:rPr>
                      <w:color w:val="auto"/>
                    </w:rPr>
                  </w:pPr>
                  <w:r>
                    <w:rPr>
                      <w:color w:val="auto"/>
                    </w:rPr>
                    <w:t>/</w:t>
                  </w:r>
                </w:p>
              </w:tc>
              <w:tc>
                <w:tcPr>
                  <w:tcW w:w="603" w:type="pct"/>
                  <w:tcBorders>
                    <w:left w:val="single" w:color="auto" w:sz="4" w:space="0"/>
                    <w:right w:val="single" w:color="auto" w:sz="4" w:space="0"/>
                  </w:tcBorders>
                  <w:vAlign w:val="center"/>
                </w:tcPr>
                <w:p w14:paraId="19198DB1">
                  <w:pPr>
                    <w:jc w:val="center"/>
                    <w:rPr>
                      <w:color w:val="auto"/>
                    </w:rPr>
                  </w:pPr>
                  <w:r>
                    <w:rPr>
                      <w:color w:val="auto"/>
                    </w:rPr>
                    <w:t>/</w:t>
                  </w:r>
                </w:p>
              </w:tc>
              <w:tc>
                <w:tcPr>
                  <w:tcW w:w="627" w:type="pct"/>
                  <w:tcBorders>
                    <w:left w:val="single" w:color="auto" w:sz="4" w:space="0"/>
                    <w:right w:val="single" w:color="auto" w:sz="4" w:space="0"/>
                  </w:tcBorders>
                  <w:vAlign w:val="center"/>
                </w:tcPr>
                <w:p w14:paraId="045D9027">
                  <w:pPr>
                    <w:jc w:val="center"/>
                    <w:rPr>
                      <w:color w:val="auto"/>
                    </w:rPr>
                  </w:pPr>
                  <w:r>
                    <w:rPr>
                      <w:color w:val="auto"/>
                    </w:rPr>
                    <w:t>/</w:t>
                  </w:r>
                </w:p>
              </w:tc>
            </w:tr>
            <w:tr w14:paraId="0B9A1B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73" w:type="pct"/>
                  <w:vAlign w:val="center"/>
                </w:tcPr>
                <w:p w14:paraId="223BBB43">
                  <w:pPr>
                    <w:jc w:val="center"/>
                    <w:rPr>
                      <w:color w:val="auto"/>
                      <w:szCs w:val="21"/>
                    </w:rPr>
                  </w:pPr>
                  <w:r>
                    <w:rPr>
                      <w:color w:val="auto"/>
                      <w:szCs w:val="21"/>
                    </w:rPr>
                    <w:t>3</w:t>
                  </w:r>
                </w:p>
              </w:tc>
              <w:tc>
                <w:tcPr>
                  <w:tcW w:w="583" w:type="pct"/>
                  <w:vAlign w:val="center"/>
                </w:tcPr>
                <w:p w14:paraId="688BC0F8">
                  <w:pPr>
                    <w:jc w:val="center"/>
                    <w:rPr>
                      <w:color w:val="auto"/>
                      <w:szCs w:val="21"/>
                    </w:rPr>
                  </w:pPr>
                  <w:r>
                    <w:rPr>
                      <w:color w:val="auto"/>
                      <w:szCs w:val="21"/>
                    </w:rPr>
                    <w:t>生活用水</w:t>
                  </w:r>
                </w:p>
              </w:tc>
              <w:tc>
                <w:tcPr>
                  <w:tcW w:w="543" w:type="pct"/>
                  <w:tcBorders>
                    <w:right w:val="single" w:color="auto" w:sz="4" w:space="0"/>
                  </w:tcBorders>
                  <w:vAlign w:val="center"/>
                </w:tcPr>
                <w:p w14:paraId="5476DCCF">
                  <w:pPr>
                    <w:jc w:val="center"/>
                    <w:rPr>
                      <w:color w:val="auto"/>
                    </w:rPr>
                  </w:pPr>
                  <w:r>
                    <w:rPr>
                      <w:color w:val="auto"/>
                    </w:rPr>
                    <w:t>1800</w:t>
                  </w:r>
                </w:p>
              </w:tc>
              <w:tc>
                <w:tcPr>
                  <w:tcW w:w="624" w:type="pct"/>
                  <w:tcBorders>
                    <w:left w:val="single" w:color="auto" w:sz="4" w:space="0"/>
                    <w:right w:val="single" w:color="auto" w:sz="4" w:space="0"/>
                  </w:tcBorders>
                  <w:vAlign w:val="center"/>
                </w:tcPr>
                <w:p w14:paraId="6F01CE8F">
                  <w:pPr>
                    <w:jc w:val="center"/>
                    <w:rPr>
                      <w:color w:val="auto"/>
                      <w:kern w:val="0"/>
                      <w:szCs w:val="21"/>
                    </w:rPr>
                  </w:pPr>
                  <w:r>
                    <w:rPr>
                      <w:color w:val="auto"/>
                      <w:kern w:val="0"/>
                      <w:szCs w:val="21"/>
                    </w:rPr>
                    <w:t>0</w:t>
                  </w:r>
                </w:p>
              </w:tc>
              <w:tc>
                <w:tcPr>
                  <w:tcW w:w="688" w:type="pct"/>
                  <w:tcBorders>
                    <w:left w:val="single" w:color="auto" w:sz="4" w:space="0"/>
                    <w:right w:val="single" w:color="auto" w:sz="4" w:space="0"/>
                  </w:tcBorders>
                  <w:vAlign w:val="center"/>
                </w:tcPr>
                <w:p w14:paraId="335E2A3A">
                  <w:pPr>
                    <w:jc w:val="center"/>
                    <w:rPr>
                      <w:color w:val="auto"/>
                      <w:kern w:val="0"/>
                      <w:szCs w:val="21"/>
                    </w:rPr>
                  </w:pPr>
                  <w:r>
                    <w:rPr>
                      <w:color w:val="auto"/>
                      <w:kern w:val="0"/>
                      <w:szCs w:val="21"/>
                    </w:rPr>
                    <w:t>1800</w:t>
                  </w:r>
                </w:p>
              </w:tc>
              <w:tc>
                <w:tcPr>
                  <w:tcW w:w="594" w:type="pct"/>
                  <w:tcBorders>
                    <w:left w:val="single" w:color="auto" w:sz="4" w:space="0"/>
                    <w:right w:val="single" w:color="auto" w:sz="4" w:space="0"/>
                  </w:tcBorders>
                  <w:vAlign w:val="center"/>
                </w:tcPr>
                <w:p w14:paraId="3E86CAA9">
                  <w:pPr>
                    <w:jc w:val="center"/>
                    <w:rPr>
                      <w:color w:val="auto"/>
                      <w:kern w:val="0"/>
                      <w:szCs w:val="21"/>
                    </w:rPr>
                  </w:pPr>
                  <w:r>
                    <w:rPr>
                      <w:color w:val="auto"/>
                      <w:kern w:val="0"/>
                      <w:szCs w:val="21"/>
                    </w:rPr>
                    <w:t>t/a</w:t>
                  </w:r>
                </w:p>
              </w:tc>
              <w:tc>
                <w:tcPr>
                  <w:tcW w:w="462" w:type="pct"/>
                  <w:tcBorders>
                    <w:left w:val="single" w:color="auto" w:sz="4" w:space="0"/>
                    <w:right w:val="single" w:color="auto" w:sz="4" w:space="0"/>
                  </w:tcBorders>
                  <w:vAlign w:val="center"/>
                </w:tcPr>
                <w:p w14:paraId="54199C32">
                  <w:pPr>
                    <w:jc w:val="center"/>
                    <w:rPr>
                      <w:color w:val="auto"/>
                      <w:kern w:val="0"/>
                      <w:szCs w:val="21"/>
                    </w:rPr>
                  </w:pPr>
                  <w:r>
                    <w:rPr>
                      <w:color w:val="auto"/>
                      <w:kern w:val="0"/>
                      <w:szCs w:val="21"/>
                    </w:rPr>
                    <w:t>/</w:t>
                  </w:r>
                </w:p>
              </w:tc>
              <w:tc>
                <w:tcPr>
                  <w:tcW w:w="603" w:type="pct"/>
                  <w:tcBorders>
                    <w:left w:val="single" w:color="auto" w:sz="4" w:space="0"/>
                    <w:right w:val="single" w:color="auto" w:sz="4" w:space="0"/>
                  </w:tcBorders>
                  <w:vAlign w:val="center"/>
                </w:tcPr>
                <w:p w14:paraId="758A0C18">
                  <w:pPr>
                    <w:jc w:val="center"/>
                    <w:rPr>
                      <w:color w:val="auto"/>
                      <w:kern w:val="0"/>
                      <w:szCs w:val="21"/>
                    </w:rPr>
                  </w:pPr>
                  <w:r>
                    <w:rPr>
                      <w:color w:val="auto"/>
                      <w:kern w:val="0"/>
                      <w:szCs w:val="21"/>
                    </w:rPr>
                    <w:t>/</w:t>
                  </w:r>
                </w:p>
              </w:tc>
              <w:tc>
                <w:tcPr>
                  <w:tcW w:w="627" w:type="pct"/>
                  <w:tcBorders>
                    <w:left w:val="single" w:color="auto" w:sz="4" w:space="0"/>
                    <w:right w:val="single" w:color="auto" w:sz="4" w:space="0"/>
                  </w:tcBorders>
                  <w:vAlign w:val="center"/>
                </w:tcPr>
                <w:p w14:paraId="4BFEDE11">
                  <w:pPr>
                    <w:jc w:val="center"/>
                    <w:rPr>
                      <w:color w:val="auto"/>
                      <w:kern w:val="0"/>
                      <w:szCs w:val="21"/>
                    </w:rPr>
                  </w:pPr>
                  <w:r>
                    <w:rPr>
                      <w:color w:val="auto"/>
                      <w:kern w:val="0"/>
                      <w:szCs w:val="21"/>
                    </w:rPr>
                    <w:t>/</w:t>
                  </w:r>
                </w:p>
              </w:tc>
            </w:tr>
          </w:tbl>
          <w:p w14:paraId="320AAD43">
            <w:pPr>
              <w:pStyle w:val="37"/>
              <w:numPr>
                <w:ilvl w:val="0"/>
                <w:numId w:val="2"/>
              </w:numPr>
              <w:ind w:firstLineChars="0"/>
              <w:rPr>
                <w:b/>
                <w:vanish/>
                <w:color w:val="auto"/>
                <w:sz w:val="24"/>
              </w:rPr>
            </w:pPr>
          </w:p>
          <w:p w14:paraId="5EA5AA25">
            <w:pPr>
              <w:pStyle w:val="37"/>
              <w:numPr>
                <w:ilvl w:val="0"/>
                <w:numId w:val="2"/>
              </w:numPr>
              <w:ind w:firstLineChars="0"/>
              <w:jc w:val="center"/>
              <w:rPr>
                <w:b/>
                <w:vanish/>
                <w:color w:val="auto"/>
                <w:sz w:val="24"/>
              </w:rPr>
            </w:pPr>
          </w:p>
          <w:p w14:paraId="147D403C">
            <w:pPr>
              <w:pStyle w:val="37"/>
              <w:numPr>
                <w:ilvl w:val="0"/>
                <w:numId w:val="2"/>
              </w:numPr>
              <w:ind w:firstLineChars="0"/>
              <w:jc w:val="center"/>
              <w:rPr>
                <w:b/>
                <w:vanish/>
                <w:color w:val="auto"/>
                <w:sz w:val="24"/>
              </w:rPr>
            </w:pPr>
          </w:p>
          <w:p w14:paraId="2415FBC4">
            <w:pPr>
              <w:pStyle w:val="37"/>
              <w:numPr>
                <w:ilvl w:val="0"/>
                <w:numId w:val="2"/>
              </w:numPr>
              <w:ind w:firstLineChars="0"/>
              <w:jc w:val="center"/>
              <w:rPr>
                <w:b/>
                <w:vanish/>
                <w:color w:val="auto"/>
                <w:sz w:val="24"/>
              </w:rPr>
            </w:pPr>
          </w:p>
          <w:p w14:paraId="7A6849FE">
            <w:pPr>
              <w:jc w:val="center"/>
              <w:rPr>
                <w:b/>
                <w:color w:val="auto"/>
                <w:sz w:val="24"/>
              </w:rPr>
            </w:pPr>
            <w:r>
              <w:rPr>
                <w:b/>
                <w:color w:val="auto"/>
                <w:sz w:val="24"/>
              </w:rPr>
              <w:t>表2-8  涉及物质主要理化性质</w:t>
            </w:r>
          </w:p>
          <w:tbl>
            <w:tblPr>
              <w:tblStyle w:val="24"/>
              <w:tblW w:w="494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987"/>
              <w:gridCol w:w="7115"/>
            </w:tblGrid>
            <w:tr w14:paraId="2CA2B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370" w:type="pct"/>
                  <w:vAlign w:val="center"/>
                </w:tcPr>
                <w:p w14:paraId="0DEB9388">
                  <w:pPr>
                    <w:jc w:val="center"/>
                    <w:rPr>
                      <w:color w:val="auto"/>
                      <w:szCs w:val="21"/>
                    </w:rPr>
                  </w:pPr>
                  <w:r>
                    <w:rPr>
                      <w:color w:val="auto"/>
                      <w:szCs w:val="21"/>
                    </w:rPr>
                    <w:t>序号</w:t>
                  </w:r>
                </w:p>
              </w:tc>
              <w:tc>
                <w:tcPr>
                  <w:tcW w:w="564" w:type="pct"/>
                  <w:vAlign w:val="center"/>
                </w:tcPr>
                <w:p w14:paraId="21877E6F">
                  <w:pPr>
                    <w:jc w:val="center"/>
                    <w:rPr>
                      <w:color w:val="auto"/>
                      <w:szCs w:val="21"/>
                    </w:rPr>
                  </w:pPr>
                  <w:r>
                    <w:rPr>
                      <w:color w:val="auto"/>
                      <w:szCs w:val="21"/>
                    </w:rPr>
                    <w:t>物质名称</w:t>
                  </w:r>
                </w:p>
              </w:tc>
              <w:tc>
                <w:tcPr>
                  <w:tcW w:w="4065" w:type="pct"/>
                  <w:vAlign w:val="center"/>
                </w:tcPr>
                <w:p w14:paraId="660A1A60">
                  <w:pPr>
                    <w:jc w:val="center"/>
                    <w:rPr>
                      <w:color w:val="auto"/>
                      <w:szCs w:val="21"/>
                    </w:rPr>
                  </w:pPr>
                  <w:r>
                    <w:rPr>
                      <w:color w:val="auto"/>
                      <w:szCs w:val="21"/>
                    </w:rPr>
                    <w:t>理化特性</w:t>
                  </w:r>
                </w:p>
              </w:tc>
            </w:tr>
            <w:tr w14:paraId="53E42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70" w:type="pct"/>
                  <w:vAlign w:val="center"/>
                </w:tcPr>
                <w:p w14:paraId="7A03DDE8">
                  <w:pPr>
                    <w:widowControl/>
                    <w:numPr>
                      <w:ilvl w:val="0"/>
                      <w:numId w:val="3"/>
                    </w:numPr>
                    <w:jc w:val="center"/>
                    <w:textAlignment w:val="center"/>
                    <w:rPr>
                      <w:color w:val="auto"/>
                      <w:szCs w:val="21"/>
                    </w:rPr>
                  </w:pPr>
                </w:p>
              </w:tc>
              <w:tc>
                <w:tcPr>
                  <w:tcW w:w="564" w:type="pct"/>
                  <w:vAlign w:val="center"/>
                </w:tcPr>
                <w:p w14:paraId="0164FAC1">
                  <w:pPr>
                    <w:contextualSpacing/>
                    <w:jc w:val="center"/>
                    <w:rPr>
                      <w:color w:val="auto"/>
                      <w:szCs w:val="21"/>
                    </w:rPr>
                  </w:pPr>
                  <w:r>
                    <w:rPr>
                      <w:color w:val="auto"/>
                      <w:szCs w:val="21"/>
                    </w:rPr>
                    <w:t>水泥</w:t>
                  </w:r>
                </w:p>
              </w:tc>
              <w:tc>
                <w:tcPr>
                  <w:tcW w:w="4065" w:type="pct"/>
                  <w:vAlign w:val="center"/>
                </w:tcPr>
                <w:p w14:paraId="19F48021">
                  <w:pPr>
                    <w:contextualSpacing/>
                    <w:jc w:val="center"/>
                    <w:rPr>
                      <w:color w:val="auto"/>
                      <w:szCs w:val="21"/>
                    </w:rPr>
                  </w:pPr>
                  <w:r>
                    <w:rPr>
                      <w:color w:val="auto"/>
                      <w:szCs w:val="21"/>
                    </w:rPr>
                    <w:t>粉状水硬性无机胶凝材料。加水搅拌后成浆体，能在空气中硬化或者在水中硬化，并能把砂、石等材料牢固地胶结在一起。水泥作为一种重要的胶凝材料，广泛应用于土木建筑、水利、国防等工程。</w:t>
                  </w:r>
                </w:p>
              </w:tc>
            </w:tr>
            <w:tr w14:paraId="429FC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70" w:type="pct"/>
                  <w:vAlign w:val="center"/>
                </w:tcPr>
                <w:p w14:paraId="72A381B8">
                  <w:pPr>
                    <w:widowControl/>
                    <w:numPr>
                      <w:ilvl w:val="0"/>
                      <w:numId w:val="3"/>
                    </w:numPr>
                    <w:jc w:val="center"/>
                    <w:textAlignment w:val="center"/>
                    <w:rPr>
                      <w:color w:val="auto"/>
                      <w:szCs w:val="21"/>
                    </w:rPr>
                  </w:pPr>
                </w:p>
              </w:tc>
              <w:tc>
                <w:tcPr>
                  <w:tcW w:w="564" w:type="pct"/>
                  <w:vAlign w:val="center"/>
                </w:tcPr>
                <w:p w14:paraId="05B46F13">
                  <w:pPr>
                    <w:contextualSpacing/>
                    <w:jc w:val="center"/>
                    <w:rPr>
                      <w:color w:val="auto"/>
                      <w:szCs w:val="21"/>
                    </w:rPr>
                  </w:pPr>
                  <w:r>
                    <w:rPr>
                      <w:color w:val="auto"/>
                      <w:szCs w:val="21"/>
                    </w:rPr>
                    <w:t>粉煤灰</w:t>
                  </w:r>
                </w:p>
              </w:tc>
              <w:tc>
                <w:tcPr>
                  <w:tcW w:w="4065" w:type="pct"/>
                  <w:vAlign w:val="center"/>
                </w:tcPr>
                <w:p w14:paraId="7615EFDC">
                  <w:pPr>
                    <w:contextualSpacing/>
                    <w:jc w:val="center"/>
                    <w:rPr>
                      <w:color w:val="auto"/>
                      <w:szCs w:val="21"/>
                    </w:rPr>
                  </w:pPr>
                  <w:r>
                    <w:rPr>
                      <w:color w:val="auto"/>
                      <w:szCs w:val="21"/>
                    </w:rPr>
                    <w:t>粉煤灰是燃煤火电厂燃煤后的颗粒物，最后形成的粉煤灰（其中80%~90%为飞灰，10%~20%为炉底灰）是颗粒较细而不均匀的复杂多变的多相物质。粉煤灰的活性主要来自活性SiO</w:t>
                  </w:r>
                  <w:r>
                    <w:rPr>
                      <w:color w:val="auto"/>
                      <w:szCs w:val="21"/>
                      <w:vertAlign w:val="subscript"/>
                    </w:rPr>
                    <w:t>2</w:t>
                  </w:r>
                  <w:r>
                    <w:rPr>
                      <w:color w:val="auto"/>
                      <w:szCs w:val="21"/>
                    </w:rPr>
                    <w:t>（玻璃体SiO</w:t>
                  </w:r>
                  <w:r>
                    <w:rPr>
                      <w:color w:val="auto"/>
                      <w:szCs w:val="21"/>
                      <w:vertAlign w:val="subscript"/>
                    </w:rPr>
                    <w:t>2</w:t>
                  </w:r>
                  <w:r>
                    <w:rPr>
                      <w:color w:val="auto"/>
                      <w:szCs w:val="21"/>
                    </w:rPr>
                    <w:t>）和活性 Al</w:t>
                  </w:r>
                  <w:r>
                    <w:rPr>
                      <w:color w:val="auto"/>
                      <w:szCs w:val="21"/>
                      <w:vertAlign w:val="subscript"/>
                    </w:rPr>
                    <w:t>2</w:t>
                  </w:r>
                  <w:r>
                    <w:rPr>
                      <w:color w:val="auto"/>
                      <w:szCs w:val="21"/>
                    </w:rPr>
                    <w:t>O</w:t>
                  </w:r>
                  <w:r>
                    <w:rPr>
                      <w:color w:val="auto"/>
                      <w:szCs w:val="21"/>
                      <w:vertAlign w:val="subscript"/>
                    </w:rPr>
                    <w:t>3</w:t>
                  </w:r>
                  <w:r>
                    <w:rPr>
                      <w:color w:val="auto"/>
                      <w:szCs w:val="21"/>
                    </w:rPr>
                    <w:t>（玻璃体 Al</w:t>
                  </w:r>
                  <w:r>
                    <w:rPr>
                      <w:color w:val="auto"/>
                      <w:szCs w:val="21"/>
                      <w:vertAlign w:val="subscript"/>
                    </w:rPr>
                    <w:t>2</w:t>
                  </w:r>
                  <w:r>
                    <w:rPr>
                      <w:color w:val="auto"/>
                      <w:szCs w:val="21"/>
                    </w:rPr>
                    <w:t>O</w:t>
                  </w:r>
                  <w:r>
                    <w:rPr>
                      <w:color w:val="auto"/>
                      <w:szCs w:val="21"/>
                      <w:vertAlign w:val="subscript"/>
                    </w:rPr>
                    <w:t>3</w:t>
                  </w:r>
                  <w:r>
                    <w:rPr>
                      <w:color w:val="auto"/>
                      <w:szCs w:val="21"/>
                    </w:rPr>
                    <w:t>）在一定碱性条件下的水化作用。当其以粉状及水存在时，能在常温，特别是在水热处理（蒸汽养护）条件下，与氢氧化钙或其他碱土金属氢氧化物发生化学反应，生成具有水硬胶凝性能的化合物，成为一种增加强度和耐久性的材料，故广泛应用于水泥、混凝土、轻质墙体建材的生产中。</w:t>
                  </w:r>
                </w:p>
              </w:tc>
            </w:tr>
            <w:tr w14:paraId="730F1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70" w:type="pct"/>
                  <w:vAlign w:val="center"/>
                </w:tcPr>
                <w:p w14:paraId="05CD8D22">
                  <w:pPr>
                    <w:widowControl/>
                    <w:numPr>
                      <w:ilvl w:val="0"/>
                      <w:numId w:val="3"/>
                    </w:numPr>
                    <w:jc w:val="center"/>
                    <w:textAlignment w:val="center"/>
                    <w:rPr>
                      <w:color w:val="auto"/>
                      <w:szCs w:val="21"/>
                    </w:rPr>
                  </w:pPr>
                </w:p>
              </w:tc>
              <w:tc>
                <w:tcPr>
                  <w:tcW w:w="564" w:type="pct"/>
                  <w:vAlign w:val="center"/>
                </w:tcPr>
                <w:p w14:paraId="39AC0CD8">
                  <w:pPr>
                    <w:contextualSpacing/>
                    <w:jc w:val="center"/>
                    <w:rPr>
                      <w:color w:val="auto"/>
                      <w:szCs w:val="21"/>
                    </w:rPr>
                  </w:pPr>
                  <w:r>
                    <w:rPr>
                      <w:color w:val="auto"/>
                      <w:szCs w:val="21"/>
                    </w:rPr>
                    <w:t>铝粉</w:t>
                  </w:r>
                </w:p>
              </w:tc>
              <w:tc>
                <w:tcPr>
                  <w:tcW w:w="4065" w:type="pct"/>
                  <w:vAlign w:val="center"/>
                </w:tcPr>
                <w:p w14:paraId="18759CDA">
                  <w:pPr>
                    <w:contextualSpacing/>
                    <w:jc w:val="center"/>
                    <w:rPr>
                      <w:color w:val="auto"/>
                      <w:szCs w:val="21"/>
                    </w:rPr>
                  </w:pPr>
                  <w:r>
                    <w:rPr>
                      <w:color w:val="auto"/>
                      <w:szCs w:val="21"/>
                    </w:rPr>
                    <w:t>铝粉是一种常见的金属粉末，通常为银白色有光泽的粉末，粒度约细，色泽约灰暗。密度2.702g/cm³，熔点660℃，沸点2056℃，铝粉本身无毒，但长期吸入铝粉粉尘会引发铝尘肺，铝粉易燃，遇水会发生燃烧爆炸，空气中铝粉尘含量较多时也会发生燃烧爆炸现象，因此在储存和运输过程中应注意干燥、远离火源，操作时需穿戴防护装备，防止粉尘浓度过高</w:t>
                  </w:r>
                </w:p>
              </w:tc>
            </w:tr>
            <w:tr w14:paraId="63A27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70" w:type="pct"/>
                  <w:vAlign w:val="center"/>
                </w:tcPr>
                <w:p w14:paraId="25F07970">
                  <w:pPr>
                    <w:widowControl/>
                    <w:numPr>
                      <w:ilvl w:val="0"/>
                      <w:numId w:val="3"/>
                    </w:numPr>
                    <w:jc w:val="center"/>
                    <w:textAlignment w:val="center"/>
                    <w:rPr>
                      <w:color w:val="auto"/>
                      <w:szCs w:val="21"/>
                    </w:rPr>
                  </w:pPr>
                </w:p>
              </w:tc>
              <w:tc>
                <w:tcPr>
                  <w:tcW w:w="564" w:type="pct"/>
                  <w:vAlign w:val="center"/>
                </w:tcPr>
                <w:p w14:paraId="156F9056">
                  <w:pPr>
                    <w:contextualSpacing/>
                    <w:jc w:val="center"/>
                    <w:rPr>
                      <w:color w:val="auto"/>
                      <w:szCs w:val="21"/>
                    </w:rPr>
                  </w:pPr>
                  <w:r>
                    <w:rPr>
                      <w:rFonts w:hint="eastAsia"/>
                      <w:color w:val="auto"/>
                      <w:szCs w:val="21"/>
                    </w:rPr>
                    <w:t>生石灰</w:t>
                  </w:r>
                </w:p>
              </w:tc>
              <w:tc>
                <w:tcPr>
                  <w:tcW w:w="4065" w:type="pct"/>
                  <w:vAlign w:val="center"/>
                </w:tcPr>
                <w:p w14:paraId="7400F421">
                  <w:pPr>
                    <w:contextualSpacing/>
                    <w:jc w:val="center"/>
                    <w:rPr>
                      <w:color w:val="auto"/>
                      <w:szCs w:val="21"/>
                    </w:rPr>
                  </w:pPr>
                  <w:r>
                    <w:rPr>
                      <w:rFonts w:hint="eastAsia"/>
                      <w:color w:val="auto"/>
                      <w:szCs w:val="21"/>
                    </w:rPr>
                    <w:t>生石灰主要成分是氧化钙，外观一般为白色块状或粉末状，含有杂质时为淡灰色或淡黄色；与水会产生剧烈反应，生成氢氧化钙，并放出大量的热。</w:t>
                  </w:r>
                </w:p>
              </w:tc>
            </w:tr>
            <w:tr w14:paraId="177DC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70" w:type="pct"/>
                  <w:vAlign w:val="center"/>
                </w:tcPr>
                <w:p w14:paraId="6B6395D8">
                  <w:pPr>
                    <w:widowControl/>
                    <w:numPr>
                      <w:ilvl w:val="0"/>
                      <w:numId w:val="3"/>
                    </w:numPr>
                    <w:jc w:val="center"/>
                    <w:textAlignment w:val="center"/>
                    <w:rPr>
                      <w:color w:val="auto"/>
                      <w:szCs w:val="21"/>
                    </w:rPr>
                  </w:pPr>
                </w:p>
              </w:tc>
              <w:tc>
                <w:tcPr>
                  <w:tcW w:w="564" w:type="pct"/>
                  <w:vAlign w:val="center"/>
                </w:tcPr>
                <w:p w14:paraId="6678715C">
                  <w:pPr>
                    <w:contextualSpacing/>
                    <w:jc w:val="center"/>
                    <w:rPr>
                      <w:color w:val="auto"/>
                      <w:szCs w:val="21"/>
                    </w:rPr>
                  </w:pPr>
                  <w:r>
                    <w:rPr>
                      <w:rFonts w:hint="eastAsia"/>
                      <w:color w:val="auto"/>
                      <w:szCs w:val="21"/>
                    </w:rPr>
                    <w:t>脱硫石膏</w:t>
                  </w:r>
                </w:p>
              </w:tc>
              <w:tc>
                <w:tcPr>
                  <w:tcW w:w="4065" w:type="pct"/>
                  <w:vAlign w:val="center"/>
                </w:tcPr>
                <w:p w14:paraId="35A1B3DC">
                  <w:pPr>
                    <w:contextualSpacing/>
                    <w:jc w:val="center"/>
                    <w:rPr>
                      <w:color w:val="auto"/>
                      <w:szCs w:val="21"/>
                    </w:rPr>
                  </w:pPr>
                  <w:r>
                    <w:rPr>
                      <w:rFonts w:hint="eastAsia"/>
                      <w:color w:val="auto"/>
                      <w:szCs w:val="21"/>
                    </w:rPr>
                    <w:t>主要成分为二水硫酸钙，是燃煤电厂等烟气脱硫工艺副产物，外观通常为白色或灰白色粉末状、结晶状固体，含杂质时呈浅黄、浅灰色。</w:t>
                  </w:r>
                </w:p>
              </w:tc>
            </w:tr>
            <w:tr w14:paraId="2533E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70" w:type="pct"/>
                  <w:vAlign w:val="center"/>
                </w:tcPr>
                <w:p w14:paraId="4F1A433B">
                  <w:pPr>
                    <w:widowControl/>
                    <w:numPr>
                      <w:ilvl w:val="0"/>
                      <w:numId w:val="3"/>
                    </w:numPr>
                    <w:jc w:val="center"/>
                    <w:textAlignment w:val="center"/>
                    <w:rPr>
                      <w:color w:val="auto"/>
                      <w:szCs w:val="21"/>
                    </w:rPr>
                  </w:pPr>
                </w:p>
              </w:tc>
              <w:tc>
                <w:tcPr>
                  <w:tcW w:w="564" w:type="pct"/>
                  <w:vAlign w:val="center"/>
                </w:tcPr>
                <w:p w14:paraId="3D920EA4">
                  <w:pPr>
                    <w:contextualSpacing/>
                    <w:jc w:val="center"/>
                    <w:rPr>
                      <w:color w:val="auto"/>
                      <w:szCs w:val="21"/>
                    </w:rPr>
                  </w:pPr>
                  <w:r>
                    <w:rPr>
                      <w:color w:val="auto"/>
                      <w:szCs w:val="21"/>
                    </w:rPr>
                    <w:t>机油</w:t>
                  </w:r>
                </w:p>
              </w:tc>
              <w:tc>
                <w:tcPr>
                  <w:tcW w:w="4065" w:type="pct"/>
                  <w:vAlign w:val="center"/>
                </w:tcPr>
                <w:p w14:paraId="27488C1C">
                  <w:pPr>
                    <w:contextualSpacing/>
                    <w:jc w:val="center"/>
                    <w:rPr>
                      <w:color w:val="auto"/>
                      <w:szCs w:val="21"/>
                    </w:rPr>
                  </w:pPr>
                  <w:r>
                    <w:rPr>
                      <w:color w:val="auto"/>
                      <w:szCs w:val="21"/>
                    </w:rPr>
                    <w:t>机油，即发动机润滑油。密度约为 0.91×10</w:t>
                  </w:r>
                  <w:r>
                    <w:rPr>
                      <w:color w:val="auto"/>
                      <w:szCs w:val="21"/>
                      <w:vertAlign w:val="superscript"/>
                    </w:rPr>
                    <w:t>3</w:t>
                  </w:r>
                  <w:r>
                    <w:rPr>
                      <w:color w:val="auto"/>
                      <w:szCs w:val="21"/>
                    </w:rPr>
                    <w:t>（kg/m³）能对发动机起到润滑减磨、辅助冷却降温、密封防漏、防锈防蚀、减震缓冲等作用。被誉为汽车的“血液”。机油由基础油和添加剂两部分组成。基础油是润滑油的主要成分，决定着润滑油的基本性质，添加剂则可弥补和改善基础油性能方面的不足，赋予某些新的性能，是润滑油的重要组成部分。</w:t>
                  </w:r>
                </w:p>
              </w:tc>
            </w:tr>
          </w:tbl>
          <w:p w14:paraId="5286B634">
            <w:pPr>
              <w:widowControl/>
              <w:spacing w:line="360" w:lineRule="auto"/>
              <w:textAlignment w:val="baseline"/>
              <w:rPr>
                <w:b/>
                <w:color w:val="auto"/>
                <w:kern w:val="0"/>
                <w:sz w:val="24"/>
                <w:u w:color="000000"/>
              </w:rPr>
            </w:pPr>
            <w:r>
              <w:rPr>
                <w:b/>
                <w:color w:val="auto"/>
                <w:kern w:val="0"/>
                <w:sz w:val="24"/>
                <w:u w:color="000000"/>
              </w:rPr>
              <w:t>5、主要生产设备</w:t>
            </w:r>
          </w:p>
          <w:p w14:paraId="1508BC37">
            <w:pPr>
              <w:tabs>
                <w:tab w:val="left" w:pos="0"/>
              </w:tabs>
              <w:suppressAutoHyphens/>
              <w:adjustRightInd w:val="0"/>
              <w:snapToGrid w:val="0"/>
              <w:jc w:val="center"/>
              <w:rPr>
                <w:b/>
                <w:color w:val="auto"/>
                <w:sz w:val="24"/>
              </w:rPr>
            </w:pPr>
            <w:r>
              <w:rPr>
                <w:b/>
                <w:color w:val="auto"/>
                <w:sz w:val="24"/>
              </w:rPr>
              <w:t>表2-9  项目主要生产设备一览表</w:t>
            </w:r>
          </w:p>
          <w:tbl>
            <w:tblPr>
              <w:tblStyle w:val="3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66"/>
              <w:gridCol w:w="1429"/>
              <w:gridCol w:w="1265"/>
              <w:gridCol w:w="1636"/>
              <w:gridCol w:w="1406"/>
              <w:gridCol w:w="2539"/>
            </w:tblGrid>
            <w:tr w14:paraId="15EC1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0" w:type="pct"/>
                  <w:vAlign w:val="center"/>
                </w:tcPr>
                <w:p w14:paraId="0B293CDC">
                  <w:pPr>
                    <w:pStyle w:val="32"/>
                    <w:jc w:val="center"/>
                    <w:rPr>
                      <w:rFonts w:ascii="Times New Roman" w:hAnsi="Times New Roman" w:cs="Times New Roman"/>
                      <w:b/>
                      <w:bCs/>
                      <w:color w:val="auto"/>
                      <w:sz w:val="21"/>
                      <w:szCs w:val="21"/>
                      <w:lang w:eastAsia="zh-CN"/>
                    </w:rPr>
                  </w:pPr>
                  <w:r>
                    <w:rPr>
                      <w:rFonts w:ascii="Times New Roman" w:hAnsi="Times New Roman" w:cs="Times New Roman"/>
                      <w:b/>
                      <w:bCs/>
                      <w:color w:val="auto"/>
                      <w:sz w:val="21"/>
                      <w:szCs w:val="21"/>
                      <w:lang w:eastAsia="zh-CN"/>
                    </w:rPr>
                    <w:t>序号</w:t>
                  </w:r>
                </w:p>
              </w:tc>
              <w:tc>
                <w:tcPr>
                  <w:tcW w:w="808" w:type="pct"/>
                  <w:vAlign w:val="center"/>
                </w:tcPr>
                <w:p w14:paraId="48108436">
                  <w:pPr>
                    <w:pStyle w:val="32"/>
                    <w:jc w:val="center"/>
                    <w:rPr>
                      <w:rFonts w:ascii="Times New Roman" w:hAnsi="Times New Roman" w:cs="Times New Roman"/>
                      <w:color w:val="auto"/>
                      <w:sz w:val="21"/>
                      <w:szCs w:val="21"/>
                    </w:rPr>
                  </w:pPr>
                  <w:r>
                    <w:rPr>
                      <w:rFonts w:ascii="Times New Roman" w:hAnsi="Times New Roman" w:cs="Times New Roman"/>
                      <w:b/>
                      <w:bCs/>
                      <w:color w:val="auto"/>
                      <w:sz w:val="21"/>
                      <w:szCs w:val="21"/>
                    </w:rPr>
                    <w:t>生产设施</w:t>
                  </w:r>
                </w:p>
              </w:tc>
              <w:tc>
                <w:tcPr>
                  <w:tcW w:w="715" w:type="pct"/>
                  <w:vAlign w:val="center"/>
                </w:tcPr>
                <w:p w14:paraId="3CACDF9D">
                  <w:pPr>
                    <w:pStyle w:val="32"/>
                    <w:jc w:val="center"/>
                    <w:rPr>
                      <w:rFonts w:ascii="Times New Roman" w:hAnsi="Times New Roman" w:cs="Times New Roman"/>
                      <w:color w:val="auto"/>
                      <w:sz w:val="21"/>
                      <w:szCs w:val="21"/>
                    </w:rPr>
                  </w:pPr>
                  <w:r>
                    <w:rPr>
                      <w:rFonts w:ascii="Times New Roman" w:hAnsi="Times New Roman" w:cs="Times New Roman"/>
                      <w:b/>
                      <w:bCs/>
                      <w:color w:val="auto"/>
                      <w:sz w:val="21"/>
                      <w:szCs w:val="21"/>
                      <w:lang w:eastAsia="zh-CN"/>
                    </w:rPr>
                    <w:t>扩建前设备</w:t>
                  </w:r>
                  <w:r>
                    <w:rPr>
                      <w:rFonts w:ascii="Times New Roman" w:hAnsi="Times New Roman" w:cs="Times New Roman"/>
                      <w:b/>
                      <w:bCs/>
                      <w:color w:val="auto"/>
                      <w:sz w:val="21"/>
                      <w:szCs w:val="21"/>
                    </w:rPr>
                    <w:t>（台</w:t>
                  </w:r>
                  <w:r>
                    <w:rPr>
                      <w:rFonts w:ascii="Times New Roman" w:hAnsi="Times New Roman" w:cs="Times New Roman"/>
                      <w:color w:val="auto"/>
                      <w:sz w:val="21"/>
                      <w:szCs w:val="21"/>
                    </w:rPr>
                    <w:t xml:space="preserve"> </w:t>
                  </w:r>
                  <w:r>
                    <w:rPr>
                      <w:rFonts w:ascii="Times New Roman" w:hAnsi="Times New Roman" w:cs="Times New Roman"/>
                      <w:b/>
                      <w:bCs/>
                      <w:color w:val="auto"/>
                      <w:sz w:val="21"/>
                      <w:szCs w:val="21"/>
                    </w:rPr>
                    <w:t>/套）</w:t>
                  </w:r>
                </w:p>
              </w:tc>
              <w:tc>
                <w:tcPr>
                  <w:tcW w:w="925" w:type="pct"/>
                  <w:vAlign w:val="center"/>
                </w:tcPr>
                <w:p w14:paraId="4F0B5543">
                  <w:pPr>
                    <w:pStyle w:val="32"/>
                    <w:jc w:val="center"/>
                    <w:rPr>
                      <w:rFonts w:ascii="Times New Roman" w:hAnsi="Times New Roman" w:cs="Times New Roman"/>
                      <w:color w:val="auto"/>
                      <w:sz w:val="21"/>
                      <w:szCs w:val="21"/>
                      <w:lang w:eastAsia="zh-CN"/>
                    </w:rPr>
                  </w:pPr>
                  <w:r>
                    <w:rPr>
                      <w:rFonts w:ascii="Times New Roman" w:hAnsi="Times New Roman" w:cs="Times New Roman"/>
                      <w:b/>
                      <w:bCs/>
                      <w:color w:val="auto"/>
                      <w:sz w:val="21"/>
                      <w:szCs w:val="21"/>
                      <w:lang w:eastAsia="zh-CN"/>
                    </w:rPr>
                    <w:t>扩建项目设备（台</w:t>
                  </w:r>
                  <w:r>
                    <w:rPr>
                      <w:rFonts w:ascii="Times New Roman" w:hAnsi="Times New Roman" w:cs="Times New Roman"/>
                      <w:color w:val="auto"/>
                      <w:sz w:val="21"/>
                      <w:szCs w:val="21"/>
                      <w:lang w:eastAsia="zh-CN"/>
                    </w:rPr>
                    <w:t xml:space="preserve"> </w:t>
                  </w:r>
                  <w:r>
                    <w:rPr>
                      <w:rFonts w:ascii="Times New Roman" w:hAnsi="Times New Roman" w:cs="Times New Roman"/>
                      <w:b/>
                      <w:bCs/>
                      <w:color w:val="auto"/>
                      <w:sz w:val="21"/>
                      <w:szCs w:val="21"/>
                      <w:lang w:eastAsia="zh-CN"/>
                    </w:rPr>
                    <w:t>/套）</w:t>
                  </w:r>
                </w:p>
              </w:tc>
              <w:tc>
                <w:tcPr>
                  <w:tcW w:w="795" w:type="pct"/>
                  <w:vAlign w:val="center"/>
                </w:tcPr>
                <w:p w14:paraId="00D2D345">
                  <w:pPr>
                    <w:pStyle w:val="32"/>
                    <w:jc w:val="center"/>
                    <w:rPr>
                      <w:rFonts w:ascii="Times New Roman" w:hAnsi="Times New Roman" w:cs="Times New Roman"/>
                      <w:color w:val="auto"/>
                      <w:sz w:val="21"/>
                      <w:szCs w:val="21"/>
                      <w:lang w:eastAsia="zh-CN"/>
                    </w:rPr>
                  </w:pPr>
                  <w:r>
                    <w:rPr>
                      <w:rFonts w:ascii="Times New Roman" w:hAnsi="Times New Roman" w:cs="Times New Roman"/>
                      <w:b/>
                      <w:bCs/>
                      <w:color w:val="auto"/>
                      <w:sz w:val="21"/>
                      <w:szCs w:val="21"/>
                      <w:lang w:eastAsia="zh-CN"/>
                    </w:rPr>
                    <w:t>全厂设备（台/ 套）</w:t>
                  </w:r>
                </w:p>
              </w:tc>
              <w:tc>
                <w:tcPr>
                  <w:tcW w:w="1435" w:type="pct"/>
                  <w:vAlign w:val="center"/>
                </w:tcPr>
                <w:p w14:paraId="32FFAF12">
                  <w:pPr>
                    <w:pStyle w:val="32"/>
                    <w:jc w:val="center"/>
                    <w:rPr>
                      <w:rFonts w:ascii="Times New Roman" w:hAnsi="Times New Roman" w:cs="Times New Roman"/>
                      <w:color w:val="auto"/>
                      <w:sz w:val="21"/>
                      <w:szCs w:val="21"/>
                      <w:lang w:eastAsia="zh-CN"/>
                    </w:rPr>
                  </w:pPr>
                  <w:r>
                    <w:rPr>
                      <w:rFonts w:ascii="Times New Roman" w:hAnsi="Times New Roman" w:cs="Times New Roman"/>
                      <w:b/>
                      <w:bCs/>
                      <w:color w:val="auto"/>
                      <w:sz w:val="21"/>
                      <w:szCs w:val="21"/>
                      <w:lang w:eastAsia="zh-CN"/>
                    </w:rPr>
                    <w:t>型号</w:t>
                  </w:r>
                </w:p>
              </w:tc>
            </w:tr>
            <w:tr w14:paraId="2D148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0" w:type="pct"/>
                  <w:vAlign w:val="center"/>
                </w:tcPr>
                <w:p w14:paraId="1D4BF71F">
                  <w:pPr>
                    <w:pStyle w:val="3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1</w:t>
                  </w:r>
                </w:p>
              </w:tc>
              <w:tc>
                <w:tcPr>
                  <w:tcW w:w="808" w:type="pct"/>
                  <w:vAlign w:val="center"/>
                </w:tcPr>
                <w:p w14:paraId="065430C7">
                  <w:pPr>
                    <w:adjustRightInd w:val="0"/>
                    <w:snapToGrid w:val="0"/>
                    <w:jc w:val="center"/>
                    <w:rPr>
                      <w:color w:val="auto"/>
                      <w:szCs w:val="21"/>
                    </w:rPr>
                  </w:pPr>
                  <w:r>
                    <w:rPr>
                      <w:color w:val="auto"/>
                      <w:szCs w:val="21"/>
                    </w:rPr>
                    <w:t>鄂式破碎机</w:t>
                  </w:r>
                </w:p>
              </w:tc>
              <w:tc>
                <w:tcPr>
                  <w:tcW w:w="715" w:type="pct"/>
                  <w:vAlign w:val="center"/>
                </w:tcPr>
                <w:p w14:paraId="66DFE937">
                  <w:pPr>
                    <w:adjustRightInd w:val="0"/>
                    <w:snapToGrid w:val="0"/>
                    <w:jc w:val="center"/>
                    <w:rPr>
                      <w:color w:val="auto"/>
                      <w:szCs w:val="21"/>
                    </w:rPr>
                  </w:pPr>
                  <w:r>
                    <w:rPr>
                      <w:color w:val="auto"/>
                      <w:szCs w:val="21"/>
                    </w:rPr>
                    <w:t>1</w:t>
                  </w:r>
                </w:p>
              </w:tc>
              <w:tc>
                <w:tcPr>
                  <w:tcW w:w="925" w:type="pct"/>
                  <w:vAlign w:val="center"/>
                </w:tcPr>
                <w:p w14:paraId="3702DDE7">
                  <w:pPr>
                    <w:adjustRightInd w:val="0"/>
                    <w:snapToGrid w:val="0"/>
                    <w:jc w:val="center"/>
                    <w:rPr>
                      <w:color w:val="auto"/>
                      <w:szCs w:val="21"/>
                    </w:rPr>
                  </w:pPr>
                  <w:r>
                    <w:rPr>
                      <w:color w:val="auto"/>
                      <w:szCs w:val="21"/>
                    </w:rPr>
                    <w:t>0</w:t>
                  </w:r>
                </w:p>
              </w:tc>
              <w:tc>
                <w:tcPr>
                  <w:tcW w:w="795" w:type="pct"/>
                  <w:vAlign w:val="center"/>
                </w:tcPr>
                <w:p w14:paraId="0407ACE8">
                  <w:pPr>
                    <w:adjustRightInd w:val="0"/>
                    <w:snapToGrid w:val="0"/>
                    <w:jc w:val="center"/>
                    <w:rPr>
                      <w:color w:val="auto"/>
                      <w:szCs w:val="21"/>
                    </w:rPr>
                  </w:pPr>
                  <w:r>
                    <w:rPr>
                      <w:color w:val="auto"/>
                      <w:szCs w:val="21"/>
                    </w:rPr>
                    <w:t>1</w:t>
                  </w:r>
                </w:p>
              </w:tc>
              <w:tc>
                <w:tcPr>
                  <w:tcW w:w="1435" w:type="pct"/>
                  <w:vAlign w:val="center"/>
                </w:tcPr>
                <w:p w14:paraId="3580E66C">
                  <w:pPr>
                    <w:adjustRightInd w:val="0"/>
                    <w:snapToGrid w:val="0"/>
                    <w:jc w:val="center"/>
                    <w:rPr>
                      <w:color w:val="auto"/>
                      <w:szCs w:val="21"/>
                    </w:rPr>
                  </w:pPr>
                  <w:r>
                    <w:rPr>
                      <w:color w:val="auto"/>
                      <w:szCs w:val="21"/>
                    </w:rPr>
                    <w:t>/</w:t>
                  </w:r>
                </w:p>
              </w:tc>
            </w:tr>
            <w:tr w14:paraId="2DA9F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0" w:type="pct"/>
                  <w:vAlign w:val="center"/>
                </w:tcPr>
                <w:p w14:paraId="06D289A9">
                  <w:pPr>
                    <w:pStyle w:val="3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w:t>
                  </w:r>
                </w:p>
              </w:tc>
              <w:tc>
                <w:tcPr>
                  <w:tcW w:w="808" w:type="pct"/>
                  <w:vAlign w:val="center"/>
                </w:tcPr>
                <w:p w14:paraId="55F7CA4C">
                  <w:pPr>
                    <w:adjustRightInd w:val="0"/>
                    <w:snapToGrid w:val="0"/>
                    <w:jc w:val="center"/>
                    <w:rPr>
                      <w:color w:val="auto"/>
                      <w:szCs w:val="21"/>
                    </w:rPr>
                  </w:pPr>
                  <w:r>
                    <w:rPr>
                      <w:color w:val="auto"/>
                      <w:szCs w:val="21"/>
                    </w:rPr>
                    <w:t>球磨机（湿式）</w:t>
                  </w:r>
                </w:p>
              </w:tc>
              <w:tc>
                <w:tcPr>
                  <w:tcW w:w="715" w:type="pct"/>
                  <w:vAlign w:val="center"/>
                </w:tcPr>
                <w:p w14:paraId="1E189E67">
                  <w:pPr>
                    <w:adjustRightInd w:val="0"/>
                    <w:snapToGrid w:val="0"/>
                    <w:jc w:val="center"/>
                    <w:rPr>
                      <w:color w:val="auto"/>
                      <w:szCs w:val="21"/>
                    </w:rPr>
                  </w:pPr>
                  <w:r>
                    <w:rPr>
                      <w:color w:val="auto"/>
                      <w:szCs w:val="21"/>
                    </w:rPr>
                    <w:t>1</w:t>
                  </w:r>
                </w:p>
              </w:tc>
              <w:tc>
                <w:tcPr>
                  <w:tcW w:w="925" w:type="pct"/>
                  <w:vAlign w:val="center"/>
                </w:tcPr>
                <w:p w14:paraId="31819243">
                  <w:pPr>
                    <w:adjustRightInd w:val="0"/>
                    <w:snapToGrid w:val="0"/>
                    <w:jc w:val="center"/>
                    <w:rPr>
                      <w:color w:val="auto"/>
                      <w:szCs w:val="21"/>
                    </w:rPr>
                  </w:pPr>
                  <w:r>
                    <w:rPr>
                      <w:color w:val="auto"/>
                      <w:szCs w:val="21"/>
                    </w:rPr>
                    <w:t>0</w:t>
                  </w:r>
                </w:p>
              </w:tc>
              <w:tc>
                <w:tcPr>
                  <w:tcW w:w="795" w:type="pct"/>
                  <w:vAlign w:val="center"/>
                </w:tcPr>
                <w:p w14:paraId="52D4DAB2">
                  <w:pPr>
                    <w:adjustRightInd w:val="0"/>
                    <w:snapToGrid w:val="0"/>
                    <w:jc w:val="center"/>
                    <w:rPr>
                      <w:rFonts w:eastAsia="Times New Roman"/>
                      <w:color w:val="auto"/>
                      <w:szCs w:val="21"/>
                    </w:rPr>
                  </w:pPr>
                  <w:r>
                    <w:rPr>
                      <w:color w:val="auto"/>
                      <w:szCs w:val="21"/>
                    </w:rPr>
                    <w:t>1</w:t>
                  </w:r>
                </w:p>
              </w:tc>
              <w:tc>
                <w:tcPr>
                  <w:tcW w:w="1435" w:type="pct"/>
                  <w:vAlign w:val="center"/>
                </w:tcPr>
                <w:p w14:paraId="4AD6CE02">
                  <w:pPr>
                    <w:adjustRightInd w:val="0"/>
                    <w:snapToGrid w:val="0"/>
                    <w:jc w:val="center"/>
                    <w:rPr>
                      <w:color w:val="auto"/>
                      <w:szCs w:val="21"/>
                    </w:rPr>
                  </w:pPr>
                  <w:r>
                    <w:rPr>
                      <w:color w:val="auto"/>
                      <w:szCs w:val="21"/>
                    </w:rPr>
                    <w:t>/</w:t>
                  </w:r>
                </w:p>
              </w:tc>
            </w:tr>
            <w:tr w14:paraId="21EDF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0" w:type="pct"/>
                  <w:vAlign w:val="center"/>
                </w:tcPr>
                <w:p w14:paraId="6CD25DC7">
                  <w:pPr>
                    <w:pStyle w:val="3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3</w:t>
                  </w:r>
                </w:p>
              </w:tc>
              <w:tc>
                <w:tcPr>
                  <w:tcW w:w="808" w:type="pct"/>
                  <w:vAlign w:val="center"/>
                </w:tcPr>
                <w:p w14:paraId="5D648850">
                  <w:pPr>
                    <w:adjustRightInd w:val="0"/>
                    <w:snapToGrid w:val="0"/>
                    <w:jc w:val="center"/>
                    <w:rPr>
                      <w:color w:val="auto"/>
                      <w:szCs w:val="21"/>
                    </w:rPr>
                  </w:pPr>
                  <w:r>
                    <w:rPr>
                      <w:color w:val="auto"/>
                      <w:szCs w:val="21"/>
                    </w:rPr>
                    <w:t>球磨机（干式）</w:t>
                  </w:r>
                </w:p>
              </w:tc>
              <w:tc>
                <w:tcPr>
                  <w:tcW w:w="715" w:type="pct"/>
                  <w:vAlign w:val="center"/>
                </w:tcPr>
                <w:p w14:paraId="74CE49FD">
                  <w:pPr>
                    <w:adjustRightInd w:val="0"/>
                    <w:snapToGrid w:val="0"/>
                    <w:jc w:val="center"/>
                    <w:rPr>
                      <w:color w:val="auto"/>
                      <w:szCs w:val="21"/>
                    </w:rPr>
                  </w:pPr>
                  <w:r>
                    <w:rPr>
                      <w:color w:val="auto"/>
                      <w:szCs w:val="21"/>
                    </w:rPr>
                    <w:t>1</w:t>
                  </w:r>
                </w:p>
              </w:tc>
              <w:tc>
                <w:tcPr>
                  <w:tcW w:w="925" w:type="pct"/>
                  <w:vAlign w:val="center"/>
                </w:tcPr>
                <w:p w14:paraId="28F96274">
                  <w:pPr>
                    <w:adjustRightInd w:val="0"/>
                    <w:snapToGrid w:val="0"/>
                    <w:jc w:val="center"/>
                    <w:rPr>
                      <w:color w:val="auto"/>
                      <w:szCs w:val="21"/>
                    </w:rPr>
                  </w:pPr>
                  <w:r>
                    <w:rPr>
                      <w:color w:val="auto"/>
                      <w:szCs w:val="21"/>
                    </w:rPr>
                    <w:t>0</w:t>
                  </w:r>
                </w:p>
              </w:tc>
              <w:tc>
                <w:tcPr>
                  <w:tcW w:w="795" w:type="pct"/>
                  <w:vAlign w:val="center"/>
                </w:tcPr>
                <w:p w14:paraId="0242B338">
                  <w:pPr>
                    <w:adjustRightInd w:val="0"/>
                    <w:snapToGrid w:val="0"/>
                    <w:jc w:val="center"/>
                    <w:rPr>
                      <w:rFonts w:eastAsia="Times New Roman"/>
                      <w:color w:val="auto"/>
                      <w:szCs w:val="21"/>
                    </w:rPr>
                  </w:pPr>
                  <w:r>
                    <w:rPr>
                      <w:color w:val="auto"/>
                      <w:szCs w:val="21"/>
                    </w:rPr>
                    <w:t>1</w:t>
                  </w:r>
                </w:p>
              </w:tc>
              <w:tc>
                <w:tcPr>
                  <w:tcW w:w="1435" w:type="pct"/>
                  <w:vAlign w:val="center"/>
                </w:tcPr>
                <w:p w14:paraId="53E20BDD">
                  <w:pPr>
                    <w:adjustRightInd w:val="0"/>
                    <w:snapToGrid w:val="0"/>
                    <w:jc w:val="center"/>
                    <w:rPr>
                      <w:color w:val="auto"/>
                      <w:szCs w:val="21"/>
                    </w:rPr>
                  </w:pPr>
                  <w:r>
                    <w:rPr>
                      <w:color w:val="auto"/>
                      <w:szCs w:val="21"/>
                    </w:rPr>
                    <w:t>/</w:t>
                  </w:r>
                </w:p>
              </w:tc>
            </w:tr>
            <w:tr w14:paraId="2456A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0" w:type="pct"/>
                  <w:vAlign w:val="center"/>
                </w:tcPr>
                <w:p w14:paraId="40373A6C">
                  <w:pPr>
                    <w:pStyle w:val="3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4</w:t>
                  </w:r>
                </w:p>
              </w:tc>
              <w:tc>
                <w:tcPr>
                  <w:tcW w:w="808" w:type="pct"/>
                  <w:vAlign w:val="center"/>
                </w:tcPr>
                <w:p w14:paraId="21C91AB3">
                  <w:pPr>
                    <w:adjustRightInd w:val="0"/>
                    <w:snapToGrid w:val="0"/>
                    <w:jc w:val="center"/>
                    <w:rPr>
                      <w:color w:val="auto"/>
                      <w:szCs w:val="21"/>
                    </w:rPr>
                  </w:pPr>
                  <w:r>
                    <w:rPr>
                      <w:color w:val="auto"/>
                      <w:szCs w:val="21"/>
                    </w:rPr>
                    <w:t>粉料计量称</w:t>
                  </w:r>
                </w:p>
              </w:tc>
              <w:tc>
                <w:tcPr>
                  <w:tcW w:w="715" w:type="pct"/>
                  <w:vAlign w:val="center"/>
                </w:tcPr>
                <w:p w14:paraId="3B121A39">
                  <w:pPr>
                    <w:adjustRightInd w:val="0"/>
                    <w:snapToGrid w:val="0"/>
                    <w:jc w:val="center"/>
                    <w:rPr>
                      <w:color w:val="auto"/>
                      <w:szCs w:val="21"/>
                    </w:rPr>
                  </w:pPr>
                  <w:r>
                    <w:rPr>
                      <w:color w:val="auto"/>
                      <w:szCs w:val="21"/>
                    </w:rPr>
                    <w:t>4</w:t>
                  </w:r>
                </w:p>
              </w:tc>
              <w:tc>
                <w:tcPr>
                  <w:tcW w:w="925" w:type="pct"/>
                  <w:vAlign w:val="center"/>
                </w:tcPr>
                <w:p w14:paraId="4084C457">
                  <w:pPr>
                    <w:adjustRightInd w:val="0"/>
                    <w:snapToGrid w:val="0"/>
                    <w:jc w:val="center"/>
                    <w:rPr>
                      <w:color w:val="auto"/>
                      <w:szCs w:val="21"/>
                    </w:rPr>
                  </w:pPr>
                  <w:r>
                    <w:rPr>
                      <w:color w:val="auto"/>
                      <w:szCs w:val="21"/>
                    </w:rPr>
                    <w:t>0</w:t>
                  </w:r>
                </w:p>
              </w:tc>
              <w:tc>
                <w:tcPr>
                  <w:tcW w:w="795" w:type="pct"/>
                  <w:vAlign w:val="center"/>
                </w:tcPr>
                <w:p w14:paraId="406D09F5">
                  <w:pPr>
                    <w:adjustRightInd w:val="0"/>
                    <w:snapToGrid w:val="0"/>
                    <w:jc w:val="center"/>
                    <w:rPr>
                      <w:rFonts w:eastAsia="Times New Roman"/>
                      <w:color w:val="auto"/>
                      <w:szCs w:val="21"/>
                    </w:rPr>
                  </w:pPr>
                  <w:r>
                    <w:rPr>
                      <w:color w:val="auto"/>
                      <w:szCs w:val="21"/>
                    </w:rPr>
                    <w:t>1</w:t>
                  </w:r>
                </w:p>
              </w:tc>
              <w:tc>
                <w:tcPr>
                  <w:tcW w:w="1435" w:type="pct"/>
                  <w:vAlign w:val="center"/>
                </w:tcPr>
                <w:p w14:paraId="3223D95E">
                  <w:pPr>
                    <w:adjustRightInd w:val="0"/>
                    <w:snapToGrid w:val="0"/>
                    <w:jc w:val="center"/>
                    <w:rPr>
                      <w:color w:val="auto"/>
                      <w:szCs w:val="21"/>
                    </w:rPr>
                  </w:pPr>
                  <w:r>
                    <w:rPr>
                      <w:color w:val="auto"/>
                      <w:szCs w:val="21"/>
                    </w:rPr>
                    <w:t>/</w:t>
                  </w:r>
                </w:p>
              </w:tc>
            </w:tr>
            <w:tr w14:paraId="2C28B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0" w:type="pct"/>
                  <w:vAlign w:val="center"/>
                </w:tcPr>
                <w:p w14:paraId="2BED5C55">
                  <w:pPr>
                    <w:pStyle w:val="3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5</w:t>
                  </w:r>
                </w:p>
              </w:tc>
              <w:tc>
                <w:tcPr>
                  <w:tcW w:w="808" w:type="pct"/>
                  <w:vAlign w:val="center"/>
                </w:tcPr>
                <w:p w14:paraId="4BFBE259">
                  <w:pPr>
                    <w:adjustRightInd w:val="0"/>
                    <w:snapToGrid w:val="0"/>
                    <w:jc w:val="center"/>
                    <w:rPr>
                      <w:color w:val="auto"/>
                      <w:szCs w:val="21"/>
                    </w:rPr>
                  </w:pPr>
                  <w:r>
                    <w:rPr>
                      <w:color w:val="auto"/>
                      <w:szCs w:val="21"/>
                    </w:rPr>
                    <w:t>料浆计量罐</w:t>
                  </w:r>
                </w:p>
              </w:tc>
              <w:tc>
                <w:tcPr>
                  <w:tcW w:w="715" w:type="pct"/>
                  <w:vAlign w:val="center"/>
                </w:tcPr>
                <w:p w14:paraId="19275663">
                  <w:pPr>
                    <w:adjustRightInd w:val="0"/>
                    <w:snapToGrid w:val="0"/>
                    <w:jc w:val="center"/>
                    <w:rPr>
                      <w:color w:val="auto"/>
                      <w:szCs w:val="21"/>
                    </w:rPr>
                  </w:pPr>
                  <w:r>
                    <w:rPr>
                      <w:color w:val="auto"/>
                      <w:szCs w:val="21"/>
                    </w:rPr>
                    <w:t>2</w:t>
                  </w:r>
                </w:p>
              </w:tc>
              <w:tc>
                <w:tcPr>
                  <w:tcW w:w="925" w:type="pct"/>
                  <w:vAlign w:val="center"/>
                </w:tcPr>
                <w:p w14:paraId="1529D694">
                  <w:pPr>
                    <w:adjustRightInd w:val="0"/>
                    <w:snapToGrid w:val="0"/>
                    <w:jc w:val="center"/>
                    <w:rPr>
                      <w:color w:val="auto"/>
                      <w:szCs w:val="21"/>
                    </w:rPr>
                  </w:pPr>
                  <w:r>
                    <w:rPr>
                      <w:color w:val="auto"/>
                      <w:szCs w:val="21"/>
                    </w:rPr>
                    <w:t>0</w:t>
                  </w:r>
                </w:p>
              </w:tc>
              <w:tc>
                <w:tcPr>
                  <w:tcW w:w="795" w:type="pct"/>
                  <w:vAlign w:val="center"/>
                </w:tcPr>
                <w:p w14:paraId="0119B19A">
                  <w:pPr>
                    <w:adjustRightInd w:val="0"/>
                    <w:snapToGrid w:val="0"/>
                    <w:jc w:val="center"/>
                    <w:rPr>
                      <w:rFonts w:eastAsia="Times New Roman"/>
                      <w:color w:val="auto"/>
                      <w:szCs w:val="21"/>
                    </w:rPr>
                  </w:pPr>
                  <w:r>
                    <w:rPr>
                      <w:color w:val="auto"/>
                      <w:szCs w:val="21"/>
                    </w:rPr>
                    <w:t>1</w:t>
                  </w:r>
                </w:p>
              </w:tc>
              <w:tc>
                <w:tcPr>
                  <w:tcW w:w="1435" w:type="pct"/>
                  <w:vAlign w:val="center"/>
                </w:tcPr>
                <w:p w14:paraId="51BF1F82">
                  <w:pPr>
                    <w:adjustRightInd w:val="0"/>
                    <w:snapToGrid w:val="0"/>
                    <w:jc w:val="center"/>
                    <w:rPr>
                      <w:color w:val="auto"/>
                      <w:szCs w:val="21"/>
                    </w:rPr>
                  </w:pPr>
                  <w:r>
                    <w:rPr>
                      <w:color w:val="auto"/>
                      <w:szCs w:val="21"/>
                    </w:rPr>
                    <w:t>/</w:t>
                  </w:r>
                </w:p>
              </w:tc>
            </w:tr>
            <w:tr w14:paraId="631F2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0" w:type="pct"/>
                  <w:vAlign w:val="center"/>
                </w:tcPr>
                <w:p w14:paraId="303894F4">
                  <w:pPr>
                    <w:pStyle w:val="3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6</w:t>
                  </w:r>
                </w:p>
              </w:tc>
              <w:tc>
                <w:tcPr>
                  <w:tcW w:w="808" w:type="pct"/>
                  <w:vAlign w:val="center"/>
                </w:tcPr>
                <w:p w14:paraId="05B72BF0">
                  <w:pPr>
                    <w:adjustRightInd w:val="0"/>
                    <w:snapToGrid w:val="0"/>
                    <w:jc w:val="center"/>
                    <w:rPr>
                      <w:color w:val="auto"/>
                      <w:szCs w:val="21"/>
                    </w:rPr>
                  </w:pPr>
                  <w:r>
                    <w:rPr>
                      <w:color w:val="auto"/>
                      <w:szCs w:val="21"/>
                    </w:rPr>
                    <w:t>料浆储罐</w:t>
                  </w:r>
                </w:p>
              </w:tc>
              <w:tc>
                <w:tcPr>
                  <w:tcW w:w="715" w:type="pct"/>
                  <w:vAlign w:val="center"/>
                </w:tcPr>
                <w:p w14:paraId="5F1D3AC0">
                  <w:pPr>
                    <w:adjustRightInd w:val="0"/>
                    <w:snapToGrid w:val="0"/>
                    <w:jc w:val="center"/>
                    <w:rPr>
                      <w:color w:val="auto"/>
                      <w:szCs w:val="21"/>
                    </w:rPr>
                  </w:pPr>
                  <w:r>
                    <w:rPr>
                      <w:color w:val="auto"/>
                      <w:szCs w:val="21"/>
                    </w:rPr>
                    <w:t>1</w:t>
                  </w:r>
                </w:p>
              </w:tc>
              <w:tc>
                <w:tcPr>
                  <w:tcW w:w="925" w:type="pct"/>
                  <w:vAlign w:val="center"/>
                </w:tcPr>
                <w:p w14:paraId="7F63CA29">
                  <w:pPr>
                    <w:adjustRightInd w:val="0"/>
                    <w:snapToGrid w:val="0"/>
                    <w:jc w:val="center"/>
                    <w:rPr>
                      <w:color w:val="auto"/>
                      <w:szCs w:val="21"/>
                    </w:rPr>
                  </w:pPr>
                  <w:r>
                    <w:rPr>
                      <w:color w:val="auto"/>
                      <w:szCs w:val="21"/>
                    </w:rPr>
                    <w:t>0</w:t>
                  </w:r>
                </w:p>
              </w:tc>
              <w:tc>
                <w:tcPr>
                  <w:tcW w:w="795" w:type="pct"/>
                  <w:vAlign w:val="center"/>
                </w:tcPr>
                <w:p w14:paraId="324F951C">
                  <w:pPr>
                    <w:adjustRightInd w:val="0"/>
                    <w:snapToGrid w:val="0"/>
                    <w:jc w:val="center"/>
                    <w:rPr>
                      <w:rFonts w:eastAsia="Times New Roman"/>
                      <w:color w:val="auto"/>
                      <w:szCs w:val="21"/>
                    </w:rPr>
                  </w:pPr>
                  <w:r>
                    <w:rPr>
                      <w:color w:val="auto"/>
                      <w:szCs w:val="21"/>
                    </w:rPr>
                    <w:t>1</w:t>
                  </w:r>
                </w:p>
              </w:tc>
              <w:tc>
                <w:tcPr>
                  <w:tcW w:w="1435" w:type="pct"/>
                  <w:vAlign w:val="center"/>
                </w:tcPr>
                <w:p w14:paraId="321823B9">
                  <w:pPr>
                    <w:adjustRightInd w:val="0"/>
                    <w:snapToGrid w:val="0"/>
                    <w:jc w:val="center"/>
                    <w:rPr>
                      <w:color w:val="auto"/>
                      <w:szCs w:val="21"/>
                    </w:rPr>
                  </w:pPr>
                  <w:r>
                    <w:rPr>
                      <w:color w:val="auto"/>
                      <w:szCs w:val="21"/>
                    </w:rPr>
                    <w:t>/</w:t>
                  </w:r>
                </w:p>
              </w:tc>
            </w:tr>
            <w:tr w14:paraId="67D22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0" w:type="pct"/>
                  <w:vAlign w:val="center"/>
                </w:tcPr>
                <w:p w14:paraId="3E2CD0CA">
                  <w:pPr>
                    <w:pStyle w:val="3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7</w:t>
                  </w:r>
                </w:p>
              </w:tc>
              <w:tc>
                <w:tcPr>
                  <w:tcW w:w="808" w:type="pct"/>
                  <w:vAlign w:val="center"/>
                </w:tcPr>
                <w:p w14:paraId="58529B84">
                  <w:pPr>
                    <w:adjustRightInd w:val="0"/>
                    <w:snapToGrid w:val="0"/>
                    <w:jc w:val="center"/>
                    <w:rPr>
                      <w:color w:val="auto"/>
                      <w:szCs w:val="21"/>
                    </w:rPr>
                  </w:pPr>
                  <w:r>
                    <w:rPr>
                      <w:color w:val="auto"/>
                      <w:szCs w:val="21"/>
                    </w:rPr>
                    <w:t>渣浆泵</w:t>
                  </w:r>
                </w:p>
              </w:tc>
              <w:tc>
                <w:tcPr>
                  <w:tcW w:w="715" w:type="pct"/>
                  <w:vAlign w:val="center"/>
                </w:tcPr>
                <w:p w14:paraId="7424F164">
                  <w:pPr>
                    <w:adjustRightInd w:val="0"/>
                    <w:snapToGrid w:val="0"/>
                    <w:jc w:val="center"/>
                    <w:rPr>
                      <w:color w:val="auto"/>
                      <w:szCs w:val="21"/>
                    </w:rPr>
                  </w:pPr>
                  <w:r>
                    <w:rPr>
                      <w:color w:val="auto"/>
                      <w:szCs w:val="21"/>
                    </w:rPr>
                    <w:t>7</w:t>
                  </w:r>
                </w:p>
              </w:tc>
              <w:tc>
                <w:tcPr>
                  <w:tcW w:w="925" w:type="pct"/>
                  <w:vAlign w:val="center"/>
                </w:tcPr>
                <w:p w14:paraId="484D6C62">
                  <w:pPr>
                    <w:adjustRightInd w:val="0"/>
                    <w:snapToGrid w:val="0"/>
                    <w:jc w:val="center"/>
                    <w:rPr>
                      <w:color w:val="auto"/>
                      <w:szCs w:val="21"/>
                    </w:rPr>
                  </w:pPr>
                  <w:r>
                    <w:rPr>
                      <w:color w:val="auto"/>
                      <w:szCs w:val="21"/>
                    </w:rPr>
                    <w:t>0</w:t>
                  </w:r>
                </w:p>
              </w:tc>
              <w:tc>
                <w:tcPr>
                  <w:tcW w:w="795" w:type="pct"/>
                  <w:vAlign w:val="center"/>
                </w:tcPr>
                <w:p w14:paraId="5D43CA89">
                  <w:pPr>
                    <w:adjustRightInd w:val="0"/>
                    <w:snapToGrid w:val="0"/>
                    <w:jc w:val="center"/>
                    <w:rPr>
                      <w:rFonts w:eastAsia="Times New Roman"/>
                      <w:color w:val="auto"/>
                      <w:szCs w:val="21"/>
                    </w:rPr>
                  </w:pPr>
                  <w:r>
                    <w:rPr>
                      <w:color w:val="auto"/>
                      <w:szCs w:val="21"/>
                    </w:rPr>
                    <w:t>1</w:t>
                  </w:r>
                </w:p>
              </w:tc>
              <w:tc>
                <w:tcPr>
                  <w:tcW w:w="1435" w:type="pct"/>
                  <w:vAlign w:val="center"/>
                </w:tcPr>
                <w:p w14:paraId="0CBDC8EF">
                  <w:pPr>
                    <w:adjustRightInd w:val="0"/>
                    <w:snapToGrid w:val="0"/>
                    <w:jc w:val="center"/>
                    <w:rPr>
                      <w:color w:val="auto"/>
                      <w:szCs w:val="21"/>
                    </w:rPr>
                  </w:pPr>
                  <w:r>
                    <w:rPr>
                      <w:color w:val="auto"/>
                      <w:szCs w:val="21"/>
                    </w:rPr>
                    <w:t>/</w:t>
                  </w:r>
                </w:p>
              </w:tc>
            </w:tr>
            <w:tr w14:paraId="29F25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0" w:type="pct"/>
                  <w:vAlign w:val="center"/>
                </w:tcPr>
                <w:p w14:paraId="0328AC99">
                  <w:pPr>
                    <w:pStyle w:val="3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8</w:t>
                  </w:r>
                </w:p>
              </w:tc>
              <w:tc>
                <w:tcPr>
                  <w:tcW w:w="808" w:type="pct"/>
                  <w:vAlign w:val="center"/>
                </w:tcPr>
                <w:p w14:paraId="4A722C0B">
                  <w:pPr>
                    <w:adjustRightInd w:val="0"/>
                    <w:snapToGrid w:val="0"/>
                    <w:jc w:val="center"/>
                    <w:rPr>
                      <w:color w:val="auto"/>
                      <w:szCs w:val="21"/>
                    </w:rPr>
                  </w:pPr>
                  <w:r>
                    <w:rPr>
                      <w:color w:val="auto"/>
                      <w:szCs w:val="21"/>
                    </w:rPr>
                    <w:t>斗提机</w:t>
                  </w:r>
                </w:p>
              </w:tc>
              <w:tc>
                <w:tcPr>
                  <w:tcW w:w="715" w:type="pct"/>
                  <w:vAlign w:val="center"/>
                </w:tcPr>
                <w:p w14:paraId="19108043">
                  <w:pPr>
                    <w:adjustRightInd w:val="0"/>
                    <w:snapToGrid w:val="0"/>
                    <w:jc w:val="center"/>
                    <w:rPr>
                      <w:color w:val="auto"/>
                      <w:szCs w:val="21"/>
                    </w:rPr>
                  </w:pPr>
                  <w:r>
                    <w:rPr>
                      <w:color w:val="auto"/>
                      <w:szCs w:val="21"/>
                    </w:rPr>
                    <w:t>3</w:t>
                  </w:r>
                </w:p>
              </w:tc>
              <w:tc>
                <w:tcPr>
                  <w:tcW w:w="925" w:type="pct"/>
                  <w:vAlign w:val="center"/>
                </w:tcPr>
                <w:p w14:paraId="291541CA">
                  <w:pPr>
                    <w:adjustRightInd w:val="0"/>
                    <w:snapToGrid w:val="0"/>
                    <w:jc w:val="center"/>
                    <w:rPr>
                      <w:color w:val="auto"/>
                      <w:szCs w:val="21"/>
                    </w:rPr>
                  </w:pPr>
                  <w:r>
                    <w:rPr>
                      <w:color w:val="auto"/>
                      <w:szCs w:val="21"/>
                    </w:rPr>
                    <w:t>0</w:t>
                  </w:r>
                </w:p>
              </w:tc>
              <w:tc>
                <w:tcPr>
                  <w:tcW w:w="795" w:type="pct"/>
                  <w:vAlign w:val="center"/>
                </w:tcPr>
                <w:p w14:paraId="2F89A5BF">
                  <w:pPr>
                    <w:adjustRightInd w:val="0"/>
                    <w:snapToGrid w:val="0"/>
                    <w:jc w:val="center"/>
                    <w:rPr>
                      <w:rFonts w:eastAsia="Times New Roman"/>
                      <w:color w:val="auto"/>
                      <w:szCs w:val="21"/>
                    </w:rPr>
                  </w:pPr>
                  <w:r>
                    <w:rPr>
                      <w:color w:val="auto"/>
                      <w:szCs w:val="21"/>
                    </w:rPr>
                    <w:t>1</w:t>
                  </w:r>
                </w:p>
              </w:tc>
              <w:tc>
                <w:tcPr>
                  <w:tcW w:w="1435" w:type="pct"/>
                  <w:vAlign w:val="center"/>
                </w:tcPr>
                <w:p w14:paraId="4EA84F2D">
                  <w:pPr>
                    <w:adjustRightInd w:val="0"/>
                    <w:snapToGrid w:val="0"/>
                    <w:jc w:val="center"/>
                    <w:rPr>
                      <w:color w:val="auto"/>
                      <w:szCs w:val="21"/>
                    </w:rPr>
                  </w:pPr>
                  <w:r>
                    <w:rPr>
                      <w:color w:val="auto"/>
                      <w:szCs w:val="21"/>
                    </w:rPr>
                    <w:t>J1836</w:t>
                  </w:r>
                </w:p>
              </w:tc>
            </w:tr>
            <w:tr w14:paraId="18C07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0" w:type="pct"/>
                  <w:vAlign w:val="center"/>
                </w:tcPr>
                <w:p w14:paraId="507773E2">
                  <w:pPr>
                    <w:pStyle w:val="3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9</w:t>
                  </w:r>
                </w:p>
              </w:tc>
              <w:tc>
                <w:tcPr>
                  <w:tcW w:w="808" w:type="pct"/>
                  <w:vAlign w:val="center"/>
                </w:tcPr>
                <w:p w14:paraId="11A5858A">
                  <w:pPr>
                    <w:adjustRightInd w:val="0"/>
                    <w:snapToGrid w:val="0"/>
                    <w:jc w:val="center"/>
                    <w:rPr>
                      <w:color w:val="auto"/>
                      <w:szCs w:val="21"/>
                    </w:rPr>
                  </w:pPr>
                  <w:r>
                    <w:rPr>
                      <w:color w:val="auto"/>
                      <w:szCs w:val="21"/>
                    </w:rPr>
                    <w:t>浇注搅拌机</w:t>
                  </w:r>
                </w:p>
              </w:tc>
              <w:tc>
                <w:tcPr>
                  <w:tcW w:w="715" w:type="pct"/>
                  <w:vAlign w:val="center"/>
                </w:tcPr>
                <w:p w14:paraId="1600A9D8">
                  <w:pPr>
                    <w:adjustRightInd w:val="0"/>
                    <w:snapToGrid w:val="0"/>
                    <w:jc w:val="center"/>
                    <w:rPr>
                      <w:color w:val="auto"/>
                      <w:szCs w:val="21"/>
                    </w:rPr>
                  </w:pPr>
                  <w:r>
                    <w:rPr>
                      <w:color w:val="auto"/>
                      <w:szCs w:val="21"/>
                    </w:rPr>
                    <w:t>1</w:t>
                  </w:r>
                </w:p>
              </w:tc>
              <w:tc>
                <w:tcPr>
                  <w:tcW w:w="925" w:type="pct"/>
                  <w:vAlign w:val="center"/>
                </w:tcPr>
                <w:p w14:paraId="32808B7A">
                  <w:pPr>
                    <w:adjustRightInd w:val="0"/>
                    <w:snapToGrid w:val="0"/>
                    <w:jc w:val="center"/>
                    <w:rPr>
                      <w:color w:val="auto"/>
                      <w:szCs w:val="21"/>
                    </w:rPr>
                  </w:pPr>
                  <w:r>
                    <w:rPr>
                      <w:color w:val="auto"/>
                      <w:szCs w:val="21"/>
                    </w:rPr>
                    <w:t>0</w:t>
                  </w:r>
                </w:p>
              </w:tc>
              <w:tc>
                <w:tcPr>
                  <w:tcW w:w="795" w:type="pct"/>
                  <w:vAlign w:val="center"/>
                </w:tcPr>
                <w:p w14:paraId="08739028">
                  <w:pPr>
                    <w:adjustRightInd w:val="0"/>
                    <w:snapToGrid w:val="0"/>
                    <w:jc w:val="center"/>
                    <w:rPr>
                      <w:rFonts w:eastAsia="Times New Roman"/>
                      <w:color w:val="auto"/>
                      <w:szCs w:val="21"/>
                    </w:rPr>
                  </w:pPr>
                  <w:r>
                    <w:rPr>
                      <w:color w:val="auto"/>
                      <w:szCs w:val="21"/>
                    </w:rPr>
                    <w:t>8</w:t>
                  </w:r>
                </w:p>
              </w:tc>
              <w:tc>
                <w:tcPr>
                  <w:tcW w:w="1435" w:type="pct"/>
                  <w:vAlign w:val="center"/>
                </w:tcPr>
                <w:p w14:paraId="546DF0EC">
                  <w:pPr>
                    <w:adjustRightInd w:val="0"/>
                    <w:snapToGrid w:val="0"/>
                    <w:jc w:val="center"/>
                    <w:rPr>
                      <w:color w:val="auto"/>
                      <w:szCs w:val="21"/>
                    </w:rPr>
                  </w:pPr>
                  <w:r>
                    <w:rPr>
                      <w:color w:val="auto"/>
                      <w:kern w:val="0"/>
                      <w:szCs w:val="21"/>
                      <w:lang w:bidi="ar"/>
                    </w:rPr>
                    <w:t>GJZ-1.9</w:t>
                  </w:r>
                </w:p>
              </w:tc>
            </w:tr>
            <w:tr w14:paraId="16E10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0" w:type="pct"/>
                  <w:vAlign w:val="center"/>
                </w:tcPr>
                <w:p w14:paraId="2A774B60">
                  <w:pPr>
                    <w:pStyle w:val="3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10</w:t>
                  </w:r>
                </w:p>
              </w:tc>
              <w:tc>
                <w:tcPr>
                  <w:tcW w:w="808" w:type="pct"/>
                  <w:vAlign w:val="center"/>
                </w:tcPr>
                <w:p w14:paraId="3D936769">
                  <w:pPr>
                    <w:adjustRightInd w:val="0"/>
                    <w:snapToGrid w:val="0"/>
                    <w:jc w:val="center"/>
                    <w:rPr>
                      <w:color w:val="auto"/>
                      <w:szCs w:val="21"/>
                    </w:rPr>
                  </w:pPr>
                  <w:r>
                    <w:rPr>
                      <w:color w:val="auto"/>
                      <w:szCs w:val="21"/>
                    </w:rPr>
                    <w:t>摆渡车</w:t>
                  </w:r>
                </w:p>
              </w:tc>
              <w:tc>
                <w:tcPr>
                  <w:tcW w:w="715" w:type="pct"/>
                  <w:vAlign w:val="center"/>
                </w:tcPr>
                <w:p w14:paraId="5AF2F033">
                  <w:pPr>
                    <w:adjustRightInd w:val="0"/>
                    <w:snapToGrid w:val="0"/>
                    <w:jc w:val="center"/>
                    <w:rPr>
                      <w:color w:val="auto"/>
                      <w:szCs w:val="21"/>
                    </w:rPr>
                  </w:pPr>
                  <w:r>
                    <w:rPr>
                      <w:color w:val="auto"/>
                      <w:szCs w:val="21"/>
                    </w:rPr>
                    <w:t>1</w:t>
                  </w:r>
                </w:p>
              </w:tc>
              <w:tc>
                <w:tcPr>
                  <w:tcW w:w="925" w:type="pct"/>
                  <w:vAlign w:val="center"/>
                </w:tcPr>
                <w:p w14:paraId="34F5B230">
                  <w:pPr>
                    <w:adjustRightInd w:val="0"/>
                    <w:snapToGrid w:val="0"/>
                    <w:jc w:val="center"/>
                    <w:rPr>
                      <w:color w:val="auto"/>
                      <w:szCs w:val="21"/>
                    </w:rPr>
                  </w:pPr>
                  <w:r>
                    <w:rPr>
                      <w:color w:val="auto"/>
                      <w:szCs w:val="21"/>
                    </w:rPr>
                    <w:t>0</w:t>
                  </w:r>
                </w:p>
              </w:tc>
              <w:tc>
                <w:tcPr>
                  <w:tcW w:w="795" w:type="pct"/>
                  <w:vAlign w:val="center"/>
                </w:tcPr>
                <w:p w14:paraId="50C1B739">
                  <w:pPr>
                    <w:adjustRightInd w:val="0"/>
                    <w:snapToGrid w:val="0"/>
                    <w:jc w:val="center"/>
                    <w:rPr>
                      <w:color w:val="auto"/>
                      <w:szCs w:val="21"/>
                    </w:rPr>
                  </w:pPr>
                  <w:r>
                    <w:rPr>
                      <w:color w:val="auto"/>
                      <w:szCs w:val="21"/>
                    </w:rPr>
                    <w:t>1</w:t>
                  </w:r>
                </w:p>
              </w:tc>
              <w:tc>
                <w:tcPr>
                  <w:tcW w:w="1435" w:type="pct"/>
                  <w:vAlign w:val="center"/>
                </w:tcPr>
                <w:p w14:paraId="329EF31A">
                  <w:pPr>
                    <w:adjustRightInd w:val="0"/>
                    <w:snapToGrid w:val="0"/>
                    <w:jc w:val="center"/>
                    <w:rPr>
                      <w:color w:val="auto"/>
                      <w:szCs w:val="21"/>
                    </w:rPr>
                  </w:pPr>
                  <w:r>
                    <w:rPr>
                      <w:color w:val="auto"/>
                      <w:szCs w:val="21"/>
                    </w:rPr>
                    <w:t>/</w:t>
                  </w:r>
                </w:p>
              </w:tc>
            </w:tr>
            <w:tr w14:paraId="413C2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0" w:type="pct"/>
                  <w:vAlign w:val="center"/>
                </w:tcPr>
                <w:p w14:paraId="52DA6342">
                  <w:pPr>
                    <w:pStyle w:val="3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11</w:t>
                  </w:r>
                </w:p>
              </w:tc>
              <w:tc>
                <w:tcPr>
                  <w:tcW w:w="808" w:type="pct"/>
                  <w:vAlign w:val="center"/>
                </w:tcPr>
                <w:p w14:paraId="1F1EBE42">
                  <w:pPr>
                    <w:adjustRightInd w:val="0"/>
                    <w:snapToGrid w:val="0"/>
                    <w:jc w:val="center"/>
                    <w:rPr>
                      <w:color w:val="auto"/>
                      <w:szCs w:val="21"/>
                    </w:rPr>
                  </w:pPr>
                  <w:r>
                    <w:rPr>
                      <w:color w:val="auto"/>
                      <w:szCs w:val="21"/>
                    </w:rPr>
                    <w:t>模具</w:t>
                  </w:r>
                </w:p>
              </w:tc>
              <w:tc>
                <w:tcPr>
                  <w:tcW w:w="715" w:type="pct"/>
                  <w:vAlign w:val="center"/>
                </w:tcPr>
                <w:p w14:paraId="7975B74D">
                  <w:pPr>
                    <w:adjustRightInd w:val="0"/>
                    <w:snapToGrid w:val="0"/>
                    <w:jc w:val="center"/>
                    <w:rPr>
                      <w:color w:val="auto"/>
                      <w:szCs w:val="21"/>
                    </w:rPr>
                  </w:pPr>
                  <w:r>
                    <w:rPr>
                      <w:color w:val="auto"/>
                      <w:szCs w:val="21"/>
                    </w:rPr>
                    <w:t>28</w:t>
                  </w:r>
                </w:p>
              </w:tc>
              <w:tc>
                <w:tcPr>
                  <w:tcW w:w="925" w:type="pct"/>
                  <w:vAlign w:val="center"/>
                </w:tcPr>
                <w:p w14:paraId="3405F032">
                  <w:pPr>
                    <w:adjustRightInd w:val="0"/>
                    <w:snapToGrid w:val="0"/>
                    <w:jc w:val="center"/>
                    <w:rPr>
                      <w:color w:val="auto"/>
                      <w:szCs w:val="21"/>
                    </w:rPr>
                  </w:pPr>
                  <w:r>
                    <w:rPr>
                      <w:color w:val="auto"/>
                      <w:szCs w:val="21"/>
                    </w:rPr>
                    <w:t>28</w:t>
                  </w:r>
                </w:p>
              </w:tc>
              <w:tc>
                <w:tcPr>
                  <w:tcW w:w="795" w:type="pct"/>
                  <w:vAlign w:val="center"/>
                </w:tcPr>
                <w:p w14:paraId="62DC854E">
                  <w:pPr>
                    <w:adjustRightInd w:val="0"/>
                    <w:snapToGrid w:val="0"/>
                    <w:jc w:val="center"/>
                    <w:rPr>
                      <w:color w:val="auto"/>
                      <w:szCs w:val="21"/>
                    </w:rPr>
                  </w:pPr>
                  <w:r>
                    <w:rPr>
                      <w:color w:val="auto"/>
                      <w:szCs w:val="21"/>
                    </w:rPr>
                    <w:t>56</w:t>
                  </w:r>
                </w:p>
              </w:tc>
              <w:tc>
                <w:tcPr>
                  <w:tcW w:w="1435" w:type="pct"/>
                  <w:vAlign w:val="center"/>
                </w:tcPr>
                <w:p w14:paraId="40F2E4B1">
                  <w:pPr>
                    <w:adjustRightInd w:val="0"/>
                    <w:snapToGrid w:val="0"/>
                    <w:jc w:val="center"/>
                    <w:rPr>
                      <w:color w:val="auto"/>
                      <w:szCs w:val="21"/>
                    </w:rPr>
                  </w:pPr>
                  <w:r>
                    <w:rPr>
                      <w:color w:val="auto"/>
                      <w:szCs w:val="21"/>
                    </w:rPr>
                    <w:t>/</w:t>
                  </w:r>
                </w:p>
              </w:tc>
            </w:tr>
            <w:tr w14:paraId="6B6F9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0" w:type="pct"/>
                  <w:vAlign w:val="center"/>
                </w:tcPr>
                <w:p w14:paraId="3CD46452">
                  <w:pPr>
                    <w:pStyle w:val="3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12</w:t>
                  </w:r>
                </w:p>
              </w:tc>
              <w:tc>
                <w:tcPr>
                  <w:tcW w:w="808" w:type="pct"/>
                  <w:vAlign w:val="center"/>
                </w:tcPr>
                <w:p w14:paraId="3B19753B">
                  <w:pPr>
                    <w:adjustRightInd w:val="0"/>
                    <w:snapToGrid w:val="0"/>
                    <w:jc w:val="center"/>
                    <w:rPr>
                      <w:color w:val="auto"/>
                      <w:szCs w:val="21"/>
                    </w:rPr>
                  </w:pPr>
                  <w:r>
                    <w:rPr>
                      <w:color w:val="auto"/>
                      <w:szCs w:val="21"/>
                    </w:rPr>
                    <w:t>侧板</w:t>
                  </w:r>
                </w:p>
              </w:tc>
              <w:tc>
                <w:tcPr>
                  <w:tcW w:w="715" w:type="pct"/>
                  <w:vAlign w:val="center"/>
                </w:tcPr>
                <w:p w14:paraId="5AB3314C">
                  <w:pPr>
                    <w:adjustRightInd w:val="0"/>
                    <w:snapToGrid w:val="0"/>
                    <w:jc w:val="center"/>
                    <w:rPr>
                      <w:color w:val="auto"/>
                      <w:szCs w:val="21"/>
                    </w:rPr>
                  </w:pPr>
                  <w:r>
                    <w:rPr>
                      <w:color w:val="auto"/>
                      <w:szCs w:val="21"/>
                    </w:rPr>
                    <w:t>140</w:t>
                  </w:r>
                </w:p>
              </w:tc>
              <w:tc>
                <w:tcPr>
                  <w:tcW w:w="925" w:type="pct"/>
                  <w:vAlign w:val="center"/>
                </w:tcPr>
                <w:p w14:paraId="27771AC9">
                  <w:pPr>
                    <w:adjustRightInd w:val="0"/>
                    <w:snapToGrid w:val="0"/>
                    <w:jc w:val="center"/>
                    <w:rPr>
                      <w:color w:val="auto"/>
                      <w:szCs w:val="21"/>
                    </w:rPr>
                  </w:pPr>
                  <w:r>
                    <w:rPr>
                      <w:color w:val="auto"/>
                      <w:szCs w:val="21"/>
                    </w:rPr>
                    <w:t>70</w:t>
                  </w:r>
                </w:p>
              </w:tc>
              <w:tc>
                <w:tcPr>
                  <w:tcW w:w="795" w:type="pct"/>
                  <w:vAlign w:val="center"/>
                </w:tcPr>
                <w:p w14:paraId="1F4B5342">
                  <w:pPr>
                    <w:adjustRightInd w:val="0"/>
                    <w:snapToGrid w:val="0"/>
                    <w:jc w:val="center"/>
                    <w:rPr>
                      <w:color w:val="auto"/>
                      <w:szCs w:val="21"/>
                    </w:rPr>
                  </w:pPr>
                  <w:r>
                    <w:rPr>
                      <w:color w:val="auto"/>
                      <w:szCs w:val="21"/>
                    </w:rPr>
                    <w:t>210</w:t>
                  </w:r>
                </w:p>
              </w:tc>
              <w:tc>
                <w:tcPr>
                  <w:tcW w:w="1435" w:type="pct"/>
                  <w:vAlign w:val="center"/>
                </w:tcPr>
                <w:p w14:paraId="27C5D455">
                  <w:pPr>
                    <w:adjustRightInd w:val="0"/>
                    <w:snapToGrid w:val="0"/>
                    <w:jc w:val="center"/>
                    <w:rPr>
                      <w:color w:val="auto"/>
                      <w:szCs w:val="21"/>
                    </w:rPr>
                  </w:pPr>
                  <w:r>
                    <w:rPr>
                      <w:color w:val="auto"/>
                      <w:kern w:val="0"/>
                      <w:szCs w:val="21"/>
                      <w:lang w:bidi="ar"/>
                    </w:rPr>
                    <w:t>WDCB-4.2</w:t>
                  </w:r>
                </w:p>
              </w:tc>
            </w:tr>
            <w:tr w14:paraId="1EC9C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0" w:type="pct"/>
                  <w:vAlign w:val="center"/>
                </w:tcPr>
                <w:p w14:paraId="328F8207">
                  <w:pPr>
                    <w:pStyle w:val="3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13</w:t>
                  </w:r>
                </w:p>
              </w:tc>
              <w:tc>
                <w:tcPr>
                  <w:tcW w:w="808" w:type="pct"/>
                  <w:vAlign w:val="center"/>
                </w:tcPr>
                <w:p w14:paraId="467C0F26">
                  <w:pPr>
                    <w:adjustRightInd w:val="0"/>
                    <w:snapToGrid w:val="0"/>
                    <w:jc w:val="center"/>
                    <w:rPr>
                      <w:color w:val="auto"/>
                      <w:szCs w:val="21"/>
                    </w:rPr>
                  </w:pPr>
                  <w:r>
                    <w:rPr>
                      <w:color w:val="auto"/>
                      <w:szCs w:val="21"/>
                    </w:rPr>
                    <w:t>切割用行车</w:t>
                  </w:r>
                </w:p>
              </w:tc>
              <w:tc>
                <w:tcPr>
                  <w:tcW w:w="715" w:type="pct"/>
                  <w:vAlign w:val="center"/>
                </w:tcPr>
                <w:p w14:paraId="205DFF05">
                  <w:pPr>
                    <w:adjustRightInd w:val="0"/>
                    <w:snapToGrid w:val="0"/>
                    <w:jc w:val="center"/>
                    <w:rPr>
                      <w:color w:val="auto"/>
                      <w:szCs w:val="21"/>
                    </w:rPr>
                  </w:pPr>
                  <w:r>
                    <w:rPr>
                      <w:color w:val="auto"/>
                      <w:szCs w:val="21"/>
                    </w:rPr>
                    <w:t>1</w:t>
                  </w:r>
                </w:p>
              </w:tc>
              <w:tc>
                <w:tcPr>
                  <w:tcW w:w="925" w:type="pct"/>
                  <w:vAlign w:val="center"/>
                </w:tcPr>
                <w:p w14:paraId="510D30F7">
                  <w:pPr>
                    <w:adjustRightInd w:val="0"/>
                    <w:snapToGrid w:val="0"/>
                    <w:jc w:val="center"/>
                    <w:rPr>
                      <w:color w:val="auto"/>
                      <w:szCs w:val="21"/>
                    </w:rPr>
                  </w:pPr>
                  <w:r>
                    <w:rPr>
                      <w:rFonts w:hint="eastAsia"/>
                      <w:color w:val="auto"/>
                      <w:szCs w:val="21"/>
                    </w:rPr>
                    <w:t>0</w:t>
                  </w:r>
                </w:p>
              </w:tc>
              <w:tc>
                <w:tcPr>
                  <w:tcW w:w="795" w:type="pct"/>
                  <w:vAlign w:val="center"/>
                </w:tcPr>
                <w:p w14:paraId="021C5EE2">
                  <w:pPr>
                    <w:adjustRightInd w:val="0"/>
                    <w:snapToGrid w:val="0"/>
                    <w:jc w:val="center"/>
                    <w:rPr>
                      <w:color w:val="auto"/>
                      <w:szCs w:val="21"/>
                    </w:rPr>
                  </w:pPr>
                  <w:r>
                    <w:rPr>
                      <w:rFonts w:hint="eastAsia"/>
                      <w:color w:val="auto"/>
                      <w:szCs w:val="21"/>
                    </w:rPr>
                    <w:t>1</w:t>
                  </w:r>
                </w:p>
              </w:tc>
              <w:tc>
                <w:tcPr>
                  <w:tcW w:w="1435" w:type="pct"/>
                  <w:vAlign w:val="center"/>
                </w:tcPr>
                <w:p w14:paraId="1570ADD7">
                  <w:pPr>
                    <w:adjustRightInd w:val="0"/>
                    <w:snapToGrid w:val="0"/>
                    <w:jc w:val="center"/>
                    <w:rPr>
                      <w:color w:val="auto"/>
                      <w:szCs w:val="21"/>
                    </w:rPr>
                  </w:pPr>
                  <w:r>
                    <w:rPr>
                      <w:color w:val="auto"/>
                      <w:kern w:val="0"/>
                      <w:szCs w:val="21"/>
                      <w:lang w:bidi="ar"/>
                    </w:rPr>
                    <w:t>WDDQG-4.2</w:t>
                  </w:r>
                </w:p>
              </w:tc>
            </w:tr>
            <w:tr w14:paraId="6C434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0" w:type="pct"/>
                  <w:vAlign w:val="center"/>
                </w:tcPr>
                <w:p w14:paraId="3E87454B">
                  <w:pPr>
                    <w:pStyle w:val="3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14</w:t>
                  </w:r>
                </w:p>
              </w:tc>
              <w:tc>
                <w:tcPr>
                  <w:tcW w:w="808" w:type="pct"/>
                  <w:vAlign w:val="center"/>
                </w:tcPr>
                <w:p w14:paraId="667A2F6D">
                  <w:pPr>
                    <w:adjustRightInd w:val="0"/>
                    <w:snapToGrid w:val="0"/>
                    <w:jc w:val="center"/>
                    <w:rPr>
                      <w:color w:val="auto"/>
                      <w:szCs w:val="21"/>
                    </w:rPr>
                  </w:pPr>
                  <w:r>
                    <w:rPr>
                      <w:color w:val="auto"/>
                      <w:szCs w:val="21"/>
                    </w:rPr>
                    <w:t>切割用行车</w:t>
                  </w:r>
                </w:p>
              </w:tc>
              <w:tc>
                <w:tcPr>
                  <w:tcW w:w="715" w:type="pct"/>
                  <w:vAlign w:val="center"/>
                </w:tcPr>
                <w:p w14:paraId="787A58FD">
                  <w:pPr>
                    <w:adjustRightInd w:val="0"/>
                    <w:snapToGrid w:val="0"/>
                    <w:jc w:val="center"/>
                    <w:rPr>
                      <w:color w:val="auto"/>
                      <w:szCs w:val="21"/>
                    </w:rPr>
                  </w:pPr>
                  <w:r>
                    <w:rPr>
                      <w:color w:val="auto"/>
                      <w:szCs w:val="21"/>
                    </w:rPr>
                    <w:t>1</w:t>
                  </w:r>
                </w:p>
              </w:tc>
              <w:tc>
                <w:tcPr>
                  <w:tcW w:w="925" w:type="pct"/>
                  <w:vAlign w:val="center"/>
                </w:tcPr>
                <w:p w14:paraId="08B4CD70">
                  <w:pPr>
                    <w:adjustRightInd w:val="0"/>
                    <w:snapToGrid w:val="0"/>
                    <w:jc w:val="center"/>
                    <w:rPr>
                      <w:color w:val="auto"/>
                      <w:szCs w:val="21"/>
                    </w:rPr>
                  </w:pPr>
                  <w:r>
                    <w:rPr>
                      <w:color w:val="auto"/>
                      <w:szCs w:val="21"/>
                    </w:rPr>
                    <w:t>0</w:t>
                  </w:r>
                </w:p>
              </w:tc>
              <w:tc>
                <w:tcPr>
                  <w:tcW w:w="795" w:type="pct"/>
                  <w:vAlign w:val="center"/>
                </w:tcPr>
                <w:p w14:paraId="1B39E7FA">
                  <w:pPr>
                    <w:adjustRightInd w:val="0"/>
                    <w:snapToGrid w:val="0"/>
                    <w:jc w:val="center"/>
                    <w:rPr>
                      <w:color w:val="auto"/>
                      <w:szCs w:val="21"/>
                    </w:rPr>
                  </w:pPr>
                  <w:r>
                    <w:rPr>
                      <w:color w:val="auto"/>
                      <w:szCs w:val="21"/>
                    </w:rPr>
                    <w:t>1</w:t>
                  </w:r>
                </w:p>
              </w:tc>
              <w:tc>
                <w:tcPr>
                  <w:tcW w:w="1435" w:type="pct"/>
                  <w:vAlign w:val="center"/>
                </w:tcPr>
                <w:p w14:paraId="178534B2">
                  <w:pPr>
                    <w:adjustRightInd w:val="0"/>
                    <w:snapToGrid w:val="0"/>
                    <w:jc w:val="center"/>
                    <w:rPr>
                      <w:color w:val="auto"/>
                      <w:szCs w:val="21"/>
                    </w:rPr>
                  </w:pPr>
                  <w:r>
                    <w:rPr>
                      <w:color w:val="auto"/>
                      <w:kern w:val="0"/>
                      <w:szCs w:val="21"/>
                      <w:lang w:bidi="ar"/>
                    </w:rPr>
                    <w:t>WDDQG-4.2</w:t>
                  </w:r>
                </w:p>
              </w:tc>
            </w:tr>
            <w:tr w14:paraId="04CE3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0" w:type="pct"/>
                  <w:vAlign w:val="center"/>
                </w:tcPr>
                <w:p w14:paraId="6AFEB1BB">
                  <w:pPr>
                    <w:pStyle w:val="3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15</w:t>
                  </w:r>
                </w:p>
              </w:tc>
              <w:tc>
                <w:tcPr>
                  <w:tcW w:w="808" w:type="pct"/>
                  <w:vAlign w:val="center"/>
                </w:tcPr>
                <w:p w14:paraId="47F54B0B">
                  <w:pPr>
                    <w:adjustRightInd w:val="0"/>
                    <w:snapToGrid w:val="0"/>
                    <w:jc w:val="center"/>
                    <w:rPr>
                      <w:color w:val="auto"/>
                      <w:szCs w:val="21"/>
                    </w:rPr>
                  </w:pPr>
                  <w:r>
                    <w:rPr>
                      <w:color w:val="auto"/>
                      <w:szCs w:val="21"/>
                    </w:rPr>
                    <w:t>翻转吊具</w:t>
                  </w:r>
                </w:p>
              </w:tc>
              <w:tc>
                <w:tcPr>
                  <w:tcW w:w="715" w:type="pct"/>
                  <w:vAlign w:val="center"/>
                </w:tcPr>
                <w:p w14:paraId="284CC56E">
                  <w:pPr>
                    <w:adjustRightInd w:val="0"/>
                    <w:snapToGrid w:val="0"/>
                    <w:jc w:val="center"/>
                    <w:rPr>
                      <w:color w:val="auto"/>
                      <w:szCs w:val="21"/>
                    </w:rPr>
                  </w:pPr>
                  <w:r>
                    <w:rPr>
                      <w:color w:val="auto"/>
                      <w:szCs w:val="21"/>
                    </w:rPr>
                    <w:t>1</w:t>
                  </w:r>
                </w:p>
              </w:tc>
              <w:tc>
                <w:tcPr>
                  <w:tcW w:w="925" w:type="pct"/>
                  <w:vAlign w:val="center"/>
                </w:tcPr>
                <w:p w14:paraId="243EDE09">
                  <w:pPr>
                    <w:adjustRightInd w:val="0"/>
                    <w:snapToGrid w:val="0"/>
                    <w:jc w:val="center"/>
                    <w:rPr>
                      <w:color w:val="auto"/>
                      <w:szCs w:val="21"/>
                    </w:rPr>
                  </w:pPr>
                  <w:r>
                    <w:rPr>
                      <w:color w:val="auto"/>
                      <w:szCs w:val="21"/>
                    </w:rPr>
                    <w:t>0</w:t>
                  </w:r>
                </w:p>
              </w:tc>
              <w:tc>
                <w:tcPr>
                  <w:tcW w:w="795" w:type="pct"/>
                  <w:vAlign w:val="center"/>
                </w:tcPr>
                <w:p w14:paraId="1AD8C747">
                  <w:pPr>
                    <w:adjustRightInd w:val="0"/>
                    <w:snapToGrid w:val="0"/>
                    <w:jc w:val="center"/>
                    <w:rPr>
                      <w:color w:val="auto"/>
                      <w:szCs w:val="21"/>
                    </w:rPr>
                  </w:pPr>
                  <w:r>
                    <w:rPr>
                      <w:color w:val="auto"/>
                      <w:szCs w:val="21"/>
                    </w:rPr>
                    <w:t>1</w:t>
                  </w:r>
                </w:p>
              </w:tc>
              <w:tc>
                <w:tcPr>
                  <w:tcW w:w="1435" w:type="pct"/>
                  <w:vAlign w:val="center"/>
                </w:tcPr>
                <w:p w14:paraId="0961B7A0">
                  <w:pPr>
                    <w:adjustRightInd w:val="0"/>
                    <w:snapToGrid w:val="0"/>
                    <w:jc w:val="center"/>
                    <w:rPr>
                      <w:color w:val="auto"/>
                      <w:szCs w:val="21"/>
                    </w:rPr>
                  </w:pPr>
                  <w:r>
                    <w:rPr>
                      <w:color w:val="auto"/>
                      <w:szCs w:val="21"/>
                    </w:rPr>
                    <w:t>/</w:t>
                  </w:r>
                </w:p>
              </w:tc>
            </w:tr>
            <w:tr w14:paraId="23B20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0" w:type="pct"/>
                  <w:vAlign w:val="center"/>
                </w:tcPr>
                <w:p w14:paraId="7728C8E3">
                  <w:pPr>
                    <w:pStyle w:val="3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16</w:t>
                  </w:r>
                </w:p>
              </w:tc>
              <w:tc>
                <w:tcPr>
                  <w:tcW w:w="808" w:type="pct"/>
                  <w:vAlign w:val="center"/>
                </w:tcPr>
                <w:p w14:paraId="72AF98BC">
                  <w:pPr>
                    <w:adjustRightInd w:val="0"/>
                    <w:snapToGrid w:val="0"/>
                    <w:jc w:val="center"/>
                    <w:rPr>
                      <w:color w:val="auto"/>
                      <w:szCs w:val="21"/>
                    </w:rPr>
                  </w:pPr>
                  <w:r>
                    <w:rPr>
                      <w:color w:val="auto"/>
                      <w:szCs w:val="21"/>
                    </w:rPr>
                    <w:t>半成品吊具</w:t>
                  </w:r>
                </w:p>
              </w:tc>
              <w:tc>
                <w:tcPr>
                  <w:tcW w:w="715" w:type="pct"/>
                  <w:vAlign w:val="center"/>
                </w:tcPr>
                <w:p w14:paraId="55835044">
                  <w:pPr>
                    <w:adjustRightInd w:val="0"/>
                    <w:snapToGrid w:val="0"/>
                    <w:jc w:val="center"/>
                    <w:rPr>
                      <w:color w:val="auto"/>
                      <w:szCs w:val="21"/>
                    </w:rPr>
                  </w:pPr>
                  <w:r>
                    <w:rPr>
                      <w:color w:val="auto"/>
                      <w:szCs w:val="21"/>
                    </w:rPr>
                    <w:t>1</w:t>
                  </w:r>
                </w:p>
              </w:tc>
              <w:tc>
                <w:tcPr>
                  <w:tcW w:w="925" w:type="pct"/>
                  <w:vAlign w:val="center"/>
                </w:tcPr>
                <w:p w14:paraId="29AB372B">
                  <w:pPr>
                    <w:adjustRightInd w:val="0"/>
                    <w:snapToGrid w:val="0"/>
                    <w:jc w:val="center"/>
                    <w:rPr>
                      <w:color w:val="auto"/>
                      <w:szCs w:val="21"/>
                    </w:rPr>
                  </w:pPr>
                  <w:r>
                    <w:rPr>
                      <w:color w:val="auto"/>
                      <w:szCs w:val="21"/>
                    </w:rPr>
                    <w:t>0</w:t>
                  </w:r>
                </w:p>
              </w:tc>
              <w:tc>
                <w:tcPr>
                  <w:tcW w:w="795" w:type="pct"/>
                  <w:vAlign w:val="center"/>
                </w:tcPr>
                <w:p w14:paraId="287026C4">
                  <w:pPr>
                    <w:adjustRightInd w:val="0"/>
                    <w:snapToGrid w:val="0"/>
                    <w:jc w:val="center"/>
                    <w:rPr>
                      <w:color w:val="auto"/>
                      <w:szCs w:val="21"/>
                    </w:rPr>
                  </w:pPr>
                  <w:r>
                    <w:rPr>
                      <w:color w:val="auto"/>
                      <w:szCs w:val="21"/>
                    </w:rPr>
                    <w:t>1</w:t>
                  </w:r>
                </w:p>
              </w:tc>
              <w:tc>
                <w:tcPr>
                  <w:tcW w:w="1435" w:type="pct"/>
                  <w:vAlign w:val="center"/>
                </w:tcPr>
                <w:p w14:paraId="718C053E">
                  <w:pPr>
                    <w:adjustRightInd w:val="0"/>
                    <w:snapToGrid w:val="0"/>
                    <w:jc w:val="center"/>
                    <w:rPr>
                      <w:color w:val="auto"/>
                      <w:szCs w:val="21"/>
                    </w:rPr>
                  </w:pPr>
                  <w:r>
                    <w:rPr>
                      <w:color w:val="auto"/>
                      <w:szCs w:val="21"/>
                    </w:rPr>
                    <w:t>/</w:t>
                  </w:r>
                </w:p>
              </w:tc>
            </w:tr>
            <w:tr w14:paraId="02E16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0" w:type="pct"/>
                  <w:vAlign w:val="center"/>
                </w:tcPr>
                <w:p w14:paraId="7F944648">
                  <w:pPr>
                    <w:pStyle w:val="3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17</w:t>
                  </w:r>
                </w:p>
              </w:tc>
              <w:tc>
                <w:tcPr>
                  <w:tcW w:w="808" w:type="pct"/>
                  <w:vAlign w:val="center"/>
                </w:tcPr>
                <w:p w14:paraId="765931B0">
                  <w:pPr>
                    <w:adjustRightInd w:val="0"/>
                    <w:snapToGrid w:val="0"/>
                    <w:jc w:val="center"/>
                    <w:rPr>
                      <w:color w:val="auto"/>
                      <w:szCs w:val="21"/>
                    </w:rPr>
                  </w:pPr>
                  <w:r>
                    <w:rPr>
                      <w:color w:val="auto"/>
                      <w:szCs w:val="21"/>
                    </w:rPr>
                    <w:t>分布式切割机</w:t>
                  </w:r>
                </w:p>
              </w:tc>
              <w:tc>
                <w:tcPr>
                  <w:tcW w:w="715" w:type="pct"/>
                  <w:vAlign w:val="center"/>
                </w:tcPr>
                <w:p w14:paraId="56D41EC1">
                  <w:pPr>
                    <w:adjustRightInd w:val="0"/>
                    <w:snapToGrid w:val="0"/>
                    <w:jc w:val="center"/>
                    <w:rPr>
                      <w:color w:val="auto"/>
                      <w:szCs w:val="21"/>
                    </w:rPr>
                  </w:pPr>
                  <w:r>
                    <w:rPr>
                      <w:color w:val="auto"/>
                      <w:szCs w:val="21"/>
                    </w:rPr>
                    <w:t>2</w:t>
                  </w:r>
                </w:p>
              </w:tc>
              <w:tc>
                <w:tcPr>
                  <w:tcW w:w="925" w:type="pct"/>
                  <w:vAlign w:val="center"/>
                </w:tcPr>
                <w:p w14:paraId="22ACA8A8">
                  <w:pPr>
                    <w:adjustRightInd w:val="0"/>
                    <w:snapToGrid w:val="0"/>
                    <w:jc w:val="center"/>
                    <w:rPr>
                      <w:color w:val="auto"/>
                      <w:szCs w:val="21"/>
                    </w:rPr>
                  </w:pPr>
                  <w:r>
                    <w:rPr>
                      <w:color w:val="auto"/>
                      <w:szCs w:val="21"/>
                    </w:rPr>
                    <w:t>0</w:t>
                  </w:r>
                </w:p>
              </w:tc>
              <w:tc>
                <w:tcPr>
                  <w:tcW w:w="795" w:type="pct"/>
                  <w:vAlign w:val="center"/>
                </w:tcPr>
                <w:p w14:paraId="54CF0700">
                  <w:pPr>
                    <w:adjustRightInd w:val="0"/>
                    <w:snapToGrid w:val="0"/>
                    <w:jc w:val="center"/>
                    <w:rPr>
                      <w:color w:val="auto"/>
                      <w:szCs w:val="21"/>
                    </w:rPr>
                  </w:pPr>
                  <w:r>
                    <w:rPr>
                      <w:color w:val="auto"/>
                      <w:szCs w:val="21"/>
                    </w:rPr>
                    <w:t>2</w:t>
                  </w:r>
                </w:p>
              </w:tc>
              <w:tc>
                <w:tcPr>
                  <w:tcW w:w="1435" w:type="pct"/>
                  <w:vAlign w:val="center"/>
                </w:tcPr>
                <w:p w14:paraId="254C8044">
                  <w:pPr>
                    <w:adjustRightInd w:val="0"/>
                    <w:snapToGrid w:val="0"/>
                    <w:jc w:val="center"/>
                    <w:rPr>
                      <w:color w:val="auto"/>
                      <w:szCs w:val="21"/>
                    </w:rPr>
                  </w:pPr>
                  <w:r>
                    <w:rPr>
                      <w:color w:val="auto"/>
                      <w:szCs w:val="21"/>
                    </w:rPr>
                    <w:t>/</w:t>
                  </w:r>
                </w:p>
              </w:tc>
            </w:tr>
            <w:tr w14:paraId="25E3D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0" w:type="pct"/>
                  <w:vAlign w:val="center"/>
                </w:tcPr>
                <w:p w14:paraId="1D56D8AB">
                  <w:pPr>
                    <w:pStyle w:val="3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18</w:t>
                  </w:r>
                </w:p>
              </w:tc>
              <w:tc>
                <w:tcPr>
                  <w:tcW w:w="808" w:type="pct"/>
                  <w:vAlign w:val="center"/>
                </w:tcPr>
                <w:p w14:paraId="27C2D604">
                  <w:pPr>
                    <w:adjustRightInd w:val="0"/>
                    <w:snapToGrid w:val="0"/>
                    <w:jc w:val="center"/>
                    <w:rPr>
                      <w:color w:val="auto"/>
                      <w:szCs w:val="21"/>
                    </w:rPr>
                  </w:pPr>
                  <w:r>
                    <w:rPr>
                      <w:color w:val="auto"/>
                      <w:szCs w:val="21"/>
                    </w:rPr>
                    <w:t>蒸样小车</w:t>
                  </w:r>
                </w:p>
              </w:tc>
              <w:tc>
                <w:tcPr>
                  <w:tcW w:w="715" w:type="pct"/>
                  <w:vAlign w:val="center"/>
                </w:tcPr>
                <w:p w14:paraId="78992347">
                  <w:pPr>
                    <w:adjustRightInd w:val="0"/>
                    <w:snapToGrid w:val="0"/>
                    <w:jc w:val="center"/>
                    <w:rPr>
                      <w:color w:val="auto"/>
                      <w:szCs w:val="21"/>
                    </w:rPr>
                  </w:pPr>
                  <w:r>
                    <w:rPr>
                      <w:color w:val="auto"/>
                      <w:szCs w:val="21"/>
                    </w:rPr>
                    <w:t>70</w:t>
                  </w:r>
                </w:p>
              </w:tc>
              <w:tc>
                <w:tcPr>
                  <w:tcW w:w="925" w:type="pct"/>
                  <w:vAlign w:val="center"/>
                </w:tcPr>
                <w:p w14:paraId="25EB541B">
                  <w:pPr>
                    <w:adjustRightInd w:val="0"/>
                    <w:snapToGrid w:val="0"/>
                    <w:jc w:val="center"/>
                    <w:rPr>
                      <w:color w:val="auto"/>
                      <w:szCs w:val="21"/>
                    </w:rPr>
                  </w:pPr>
                  <w:r>
                    <w:rPr>
                      <w:color w:val="auto"/>
                      <w:szCs w:val="21"/>
                    </w:rPr>
                    <w:t>35</w:t>
                  </w:r>
                </w:p>
              </w:tc>
              <w:tc>
                <w:tcPr>
                  <w:tcW w:w="795" w:type="pct"/>
                  <w:vAlign w:val="center"/>
                </w:tcPr>
                <w:p w14:paraId="50064648">
                  <w:pPr>
                    <w:adjustRightInd w:val="0"/>
                    <w:snapToGrid w:val="0"/>
                    <w:jc w:val="center"/>
                    <w:rPr>
                      <w:color w:val="auto"/>
                      <w:szCs w:val="21"/>
                    </w:rPr>
                  </w:pPr>
                  <w:r>
                    <w:rPr>
                      <w:color w:val="auto"/>
                      <w:szCs w:val="21"/>
                    </w:rPr>
                    <w:t>105</w:t>
                  </w:r>
                </w:p>
              </w:tc>
              <w:tc>
                <w:tcPr>
                  <w:tcW w:w="1435" w:type="pct"/>
                  <w:vAlign w:val="center"/>
                </w:tcPr>
                <w:p w14:paraId="1BC31405">
                  <w:pPr>
                    <w:adjustRightInd w:val="0"/>
                    <w:snapToGrid w:val="0"/>
                    <w:jc w:val="center"/>
                    <w:rPr>
                      <w:color w:val="auto"/>
                      <w:szCs w:val="21"/>
                    </w:rPr>
                  </w:pPr>
                  <w:r>
                    <w:rPr>
                      <w:color w:val="auto"/>
                      <w:szCs w:val="21"/>
                    </w:rPr>
                    <w:t>/</w:t>
                  </w:r>
                </w:p>
              </w:tc>
            </w:tr>
            <w:tr w14:paraId="2F5B7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0" w:type="pct"/>
                  <w:vAlign w:val="center"/>
                </w:tcPr>
                <w:p w14:paraId="2FF51C23">
                  <w:pPr>
                    <w:pStyle w:val="3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19</w:t>
                  </w:r>
                </w:p>
              </w:tc>
              <w:tc>
                <w:tcPr>
                  <w:tcW w:w="808" w:type="pct"/>
                  <w:vAlign w:val="center"/>
                </w:tcPr>
                <w:p w14:paraId="6945430E">
                  <w:pPr>
                    <w:adjustRightInd w:val="0"/>
                    <w:snapToGrid w:val="0"/>
                    <w:jc w:val="center"/>
                    <w:rPr>
                      <w:color w:val="auto"/>
                      <w:szCs w:val="21"/>
                    </w:rPr>
                  </w:pPr>
                  <w:r>
                    <w:rPr>
                      <w:color w:val="auto"/>
                      <w:szCs w:val="21"/>
                    </w:rPr>
                    <w:t>蒸压釜</w:t>
                  </w:r>
                </w:p>
              </w:tc>
              <w:tc>
                <w:tcPr>
                  <w:tcW w:w="715" w:type="pct"/>
                  <w:vAlign w:val="center"/>
                </w:tcPr>
                <w:p w14:paraId="212A4FD9">
                  <w:pPr>
                    <w:adjustRightInd w:val="0"/>
                    <w:snapToGrid w:val="0"/>
                    <w:jc w:val="center"/>
                    <w:rPr>
                      <w:color w:val="auto"/>
                      <w:szCs w:val="21"/>
                    </w:rPr>
                  </w:pPr>
                  <w:r>
                    <w:rPr>
                      <w:color w:val="auto"/>
                      <w:szCs w:val="21"/>
                    </w:rPr>
                    <w:t>7</w:t>
                  </w:r>
                </w:p>
              </w:tc>
              <w:tc>
                <w:tcPr>
                  <w:tcW w:w="925" w:type="pct"/>
                  <w:vAlign w:val="center"/>
                </w:tcPr>
                <w:p w14:paraId="6F45F08D">
                  <w:pPr>
                    <w:adjustRightInd w:val="0"/>
                    <w:snapToGrid w:val="0"/>
                    <w:jc w:val="center"/>
                    <w:rPr>
                      <w:color w:val="auto"/>
                      <w:szCs w:val="21"/>
                    </w:rPr>
                  </w:pPr>
                  <w:r>
                    <w:rPr>
                      <w:color w:val="auto"/>
                      <w:szCs w:val="21"/>
                    </w:rPr>
                    <w:t>5</w:t>
                  </w:r>
                </w:p>
              </w:tc>
              <w:tc>
                <w:tcPr>
                  <w:tcW w:w="795" w:type="pct"/>
                  <w:vAlign w:val="center"/>
                </w:tcPr>
                <w:p w14:paraId="692A3E51">
                  <w:pPr>
                    <w:adjustRightInd w:val="0"/>
                    <w:snapToGrid w:val="0"/>
                    <w:jc w:val="center"/>
                    <w:rPr>
                      <w:color w:val="auto"/>
                      <w:szCs w:val="21"/>
                    </w:rPr>
                  </w:pPr>
                  <w:r>
                    <w:rPr>
                      <w:color w:val="auto"/>
                      <w:szCs w:val="21"/>
                    </w:rPr>
                    <w:t>12</w:t>
                  </w:r>
                </w:p>
              </w:tc>
              <w:tc>
                <w:tcPr>
                  <w:tcW w:w="1435" w:type="pct"/>
                  <w:vAlign w:val="center"/>
                </w:tcPr>
                <w:p w14:paraId="14A59540">
                  <w:pPr>
                    <w:adjustRightInd w:val="0"/>
                    <w:snapToGrid w:val="0"/>
                    <w:jc w:val="center"/>
                    <w:rPr>
                      <w:color w:val="auto"/>
                      <w:szCs w:val="21"/>
                    </w:rPr>
                  </w:pPr>
                  <w:r>
                    <w:rPr>
                      <w:color w:val="auto"/>
                      <w:szCs w:val="21"/>
                    </w:rPr>
                    <w:t>/</w:t>
                  </w:r>
                </w:p>
              </w:tc>
            </w:tr>
            <w:tr w14:paraId="469F2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0" w:type="pct"/>
                  <w:vAlign w:val="center"/>
                </w:tcPr>
                <w:p w14:paraId="63711706">
                  <w:pPr>
                    <w:pStyle w:val="3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20</w:t>
                  </w:r>
                </w:p>
              </w:tc>
              <w:tc>
                <w:tcPr>
                  <w:tcW w:w="808" w:type="pct"/>
                  <w:vAlign w:val="center"/>
                </w:tcPr>
                <w:p w14:paraId="048D1C99">
                  <w:pPr>
                    <w:adjustRightInd w:val="0"/>
                    <w:snapToGrid w:val="0"/>
                    <w:jc w:val="center"/>
                    <w:rPr>
                      <w:color w:val="auto"/>
                      <w:szCs w:val="21"/>
                    </w:rPr>
                  </w:pPr>
                  <w:r>
                    <w:rPr>
                      <w:color w:val="auto"/>
                      <w:szCs w:val="21"/>
                    </w:rPr>
                    <w:t>真空泵</w:t>
                  </w:r>
                </w:p>
              </w:tc>
              <w:tc>
                <w:tcPr>
                  <w:tcW w:w="715" w:type="pct"/>
                  <w:vAlign w:val="center"/>
                </w:tcPr>
                <w:p w14:paraId="348EBDC6">
                  <w:pPr>
                    <w:adjustRightInd w:val="0"/>
                    <w:snapToGrid w:val="0"/>
                    <w:jc w:val="center"/>
                    <w:rPr>
                      <w:color w:val="auto"/>
                      <w:szCs w:val="21"/>
                    </w:rPr>
                  </w:pPr>
                  <w:r>
                    <w:rPr>
                      <w:color w:val="auto"/>
                      <w:szCs w:val="21"/>
                    </w:rPr>
                    <w:t>2</w:t>
                  </w:r>
                </w:p>
              </w:tc>
              <w:tc>
                <w:tcPr>
                  <w:tcW w:w="925" w:type="pct"/>
                  <w:vAlign w:val="center"/>
                </w:tcPr>
                <w:p w14:paraId="63132480">
                  <w:pPr>
                    <w:adjustRightInd w:val="0"/>
                    <w:snapToGrid w:val="0"/>
                    <w:jc w:val="center"/>
                    <w:rPr>
                      <w:color w:val="auto"/>
                      <w:szCs w:val="21"/>
                    </w:rPr>
                  </w:pPr>
                  <w:r>
                    <w:rPr>
                      <w:color w:val="auto"/>
                      <w:szCs w:val="21"/>
                    </w:rPr>
                    <w:t>0</w:t>
                  </w:r>
                </w:p>
              </w:tc>
              <w:tc>
                <w:tcPr>
                  <w:tcW w:w="795" w:type="pct"/>
                  <w:vAlign w:val="center"/>
                </w:tcPr>
                <w:p w14:paraId="706C3EF4">
                  <w:pPr>
                    <w:adjustRightInd w:val="0"/>
                    <w:snapToGrid w:val="0"/>
                    <w:jc w:val="center"/>
                    <w:rPr>
                      <w:color w:val="auto"/>
                      <w:szCs w:val="21"/>
                    </w:rPr>
                  </w:pPr>
                  <w:r>
                    <w:rPr>
                      <w:color w:val="auto"/>
                      <w:szCs w:val="21"/>
                    </w:rPr>
                    <w:t>2</w:t>
                  </w:r>
                </w:p>
              </w:tc>
              <w:tc>
                <w:tcPr>
                  <w:tcW w:w="1435" w:type="pct"/>
                  <w:vAlign w:val="center"/>
                </w:tcPr>
                <w:p w14:paraId="03B80B88">
                  <w:pPr>
                    <w:adjustRightInd w:val="0"/>
                    <w:snapToGrid w:val="0"/>
                    <w:jc w:val="center"/>
                    <w:rPr>
                      <w:color w:val="auto"/>
                      <w:szCs w:val="21"/>
                    </w:rPr>
                  </w:pPr>
                  <w:r>
                    <w:rPr>
                      <w:color w:val="auto"/>
                      <w:szCs w:val="21"/>
                    </w:rPr>
                    <w:t>/</w:t>
                  </w:r>
                </w:p>
              </w:tc>
            </w:tr>
            <w:tr w14:paraId="5263D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0" w:type="pct"/>
                  <w:vAlign w:val="center"/>
                </w:tcPr>
                <w:p w14:paraId="61DB7EFA">
                  <w:pPr>
                    <w:pStyle w:val="3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21</w:t>
                  </w:r>
                </w:p>
              </w:tc>
              <w:tc>
                <w:tcPr>
                  <w:tcW w:w="808" w:type="pct"/>
                  <w:vAlign w:val="center"/>
                </w:tcPr>
                <w:p w14:paraId="3CA31F34">
                  <w:pPr>
                    <w:adjustRightInd w:val="0"/>
                    <w:snapToGrid w:val="0"/>
                    <w:jc w:val="center"/>
                    <w:rPr>
                      <w:color w:val="auto"/>
                      <w:szCs w:val="21"/>
                    </w:rPr>
                  </w:pPr>
                  <w:r>
                    <w:rPr>
                      <w:color w:val="auto"/>
                      <w:szCs w:val="21"/>
                    </w:rPr>
                    <w:t>铝粉搅拌机</w:t>
                  </w:r>
                </w:p>
              </w:tc>
              <w:tc>
                <w:tcPr>
                  <w:tcW w:w="715" w:type="pct"/>
                  <w:vAlign w:val="center"/>
                </w:tcPr>
                <w:p w14:paraId="58F0D452">
                  <w:pPr>
                    <w:adjustRightInd w:val="0"/>
                    <w:snapToGrid w:val="0"/>
                    <w:jc w:val="center"/>
                    <w:rPr>
                      <w:color w:val="auto"/>
                      <w:szCs w:val="21"/>
                    </w:rPr>
                  </w:pPr>
                  <w:r>
                    <w:rPr>
                      <w:color w:val="auto"/>
                      <w:szCs w:val="21"/>
                    </w:rPr>
                    <w:t>1</w:t>
                  </w:r>
                </w:p>
              </w:tc>
              <w:tc>
                <w:tcPr>
                  <w:tcW w:w="925" w:type="pct"/>
                  <w:vAlign w:val="center"/>
                </w:tcPr>
                <w:p w14:paraId="2A0E441A">
                  <w:pPr>
                    <w:adjustRightInd w:val="0"/>
                    <w:snapToGrid w:val="0"/>
                    <w:jc w:val="center"/>
                    <w:rPr>
                      <w:color w:val="auto"/>
                      <w:szCs w:val="21"/>
                    </w:rPr>
                  </w:pPr>
                  <w:r>
                    <w:rPr>
                      <w:color w:val="auto"/>
                      <w:szCs w:val="21"/>
                    </w:rPr>
                    <w:t>0</w:t>
                  </w:r>
                </w:p>
              </w:tc>
              <w:tc>
                <w:tcPr>
                  <w:tcW w:w="795" w:type="pct"/>
                  <w:vAlign w:val="center"/>
                </w:tcPr>
                <w:p w14:paraId="00576C05">
                  <w:pPr>
                    <w:adjustRightInd w:val="0"/>
                    <w:snapToGrid w:val="0"/>
                    <w:jc w:val="center"/>
                    <w:rPr>
                      <w:color w:val="auto"/>
                      <w:szCs w:val="21"/>
                    </w:rPr>
                  </w:pPr>
                  <w:r>
                    <w:rPr>
                      <w:color w:val="auto"/>
                      <w:szCs w:val="21"/>
                    </w:rPr>
                    <w:t>1</w:t>
                  </w:r>
                </w:p>
              </w:tc>
              <w:tc>
                <w:tcPr>
                  <w:tcW w:w="1435" w:type="pct"/>
                  <w:vAlign w:val="center"/>
                </w:tcPr>
                <w:p w14:paraId="34D7B5BD">
                  <w:pPr>
                    <w:adjustRightInd w:val="0"/>
                    <w:snapToGrid w:val="0"/>
                    <w:jc w:val="center"/>
                    <w:rPr>
                      <w:color w:val="auto"/>
                      <w:szCs w:val="21"/>
                    </w:rPr>
                  </w:pPr>
                  <w:r>
                    <w:rPr>
                      <w:color w:val="auto"/>
                      <w:szCs w:val="21"/>
                    </w:rPr>
                    <w:t>/</w:t>
                  </w:r>
                </w:p>
              </w:tc>
            </w:tr>
            <w:tr w14:paraId="2DBBE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0" w:type="pct"/>
                  <w:vAlign w:val="center"/>
                </w:tcPr>
                <w:p w14:paraId="5B342EBE">
                  <w:pPr>
                    <w:pStyle w:val="3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22</w:t>
                  </w:r>
                </w:p>
              </w:tc>
              <w:tc>
                <w:tcPr>
                  <w:tcW w:w="808" w:type="pct"/>
                  <w:vAlign w:val="center"/>
                </w:tcPr>
                <w:p w14:paraId="7BF218AB">
                  <w:pPr>
                    <w:adjustRightInd w:val="0"/>
                    <w:snapToGrid w:val="0"/>
                    <w:jc w:val="center"/>
                    <w:rPr>
                      <w:color w:val="auto"/>
                      <w:szCs w:val="21"/>
                    </w:rPr>
                  </w:pPr>
                  <w:r>
                    <w:rPr>
                      <w:color w:val="auto"/>
                      <w:szCs w:val="21"/>
                    </w:rPr>
                    <w:t>成品吊具</w:t>
                  </w:r>
                </w:p>
              </w:tc>
              <w:tc>
                <w:tcPr>
                  <w:tcW w:w="715" w:type="pct"/>
                  <w:vAlign w:val="center"/>
                </w:tcPr>
                <w:p w14:paraId="11A95CAC">
                  <w:pPr>
                    <w:adjustRightInd w:val="0"/>
                    <w:snapToGrid w:val="0"/>
                    <w:jc w:val="center"/>
                    <w:rPr>
                      <w:color w:val="auto"/>
                      <w:szCs w:val="21"/>
                    </w:rPr>
                  </w:pPr>
                  <w:r>
                    <w:rPr>
                      <w:color w:val="auto"/>
                      <w:szCs w:val="21"/>
                    </w:rPr>
                    <w:t>2</w:t>
                  </w:r>
                </w:p>
              </w:tc>
              <w:tc>
                <w:tcPr>
                  <w:tcW w:w="925" w:type="pct"/>
                  <w:vAlign w:val="center"/>
                </w:tcPr>
                <w:p w14:paraId="2954F266">
                  <w:pPr>
                    <w:adjustRightInd w:val="0"/>
                    <w:snapToGrid w:val="0"/>
                    <w:jc w:val="center"/>
                    <w:rPr>
                      <w:color w:val="auto"/>
                      <w:szCs w:val="21"/>
                    </w:rPr>
                  </w:pPr>
                  <w:r>
                    <w:rPr>
                      <w:color w:val="auto"/>
                      <w:szCs w:val="21"/>
                    </w:rPr>
                    <w:t>0</w:t>
                  </w:r>
                </w:p>
              </w:tc>
              <w:tc>
                <w:tcPr>
                  <w:tcW w:w="795" w:type="pct"/>
                  <w:vAlign w:val="center"/>
                </w:tcPr>
                <w:p w14:paraId="3AE40A92">
                  <w:pPr>
                    <w:adjustRightInd w:val="0"/>
                    <w:snapToGrid w:val="0"/>
                    <w:jc w:val="center"/>
                    <w:rPr>
                      <w:color w:val="auto"/>
                      <w:szCs w:val="21"/>
                    </w:rPr>
                  </w:pPr>
                  <w:r>
                    <w:rPr>
                      <w:color w:val="auto"/>
                      <w:szCs w:val="21"/>
                    </w:rPr>
                    <w:t>2</w:t>
                  </w:r>
                </w:p>
              </w:tc>
              <w:tc>
                <w:tcPr>
                  <w:tcW w:w="1435" w:type="pct"/>
                  <w:vAlign w:val="center"/>
                </w:tcPr>
                <w:p w14:paraId="597662DF">
                  <w:pPr>
                    <w:adjustRightInd w:val="0"/>
                    <w:snapToGrid w:val="0"/>
                    <w:jc w:val="center"/>
                    <w:rPr>
                      <w:color w:val="auto"/>
                      <w:szCs w:val="21"/>
                    </w:rPr>
                  </w:pPr>
                  <w:r>
                    <w:rPr>
                      <w:color w:val="auto"/>
                      <w:szCs w:val="21"/>
                    </w:rPr>
                    <w:t>/</w:t>
                  </w:r>
                </w:p>
              </w:tc>
            </w:tr>
            <w:tr w14:paraId="38449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0" w:type="pct"/>
                  <w:vAlign w:val="center"/>
                </w:tcPr>
                <w:p w14:paraId="1D35ADCA">
                  <w:pPr>
                    <w:pStyle w:val="3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23</w:t>
                  </w:r>
                </w:p>
              </w:tc>
              <w:tc>
                <w:tcPr>
                  <w:tcW w:w="808" w:type="pct"/>
                  <w:vAlign w:val="center"/>
                </w:tcPr>
                <w:p w14:paraId="2F58E438">
                  <w:pPr>
                    <w:adjustRightInd w:val="0"/>
                    <w:snapToGrid w:val="0"/>
                    <w:jc w:val="center"/>
                    <w:rPr>
                      <w:color w:val="auto"/>
                      <w:szCs w:val="21"/>
                    </w:rPr>
                  </w:pPr>
                  <w:r>
                    <w:rPr>
                      <w:color w:val="auto"/>
                      <w:szCs w:val="21"/>
                    </w:rPr>
                    <w:t>石膏筒仓</w:t>
                  </w:r>
                </w:p>
              </w:tc>
              <w:tc>
                <w:tcPr>
                  <w:tcW w:w="715" w:type="pct"/>
                  <w:vAlign w:val="center"/>
                </w:tcPr>
                <w:p w14:paraId="0037F6EA">
                  <w:pPr>
                    <w:adjustRightInd w:val="0"/>
                    <w:snapToGrid w:val="0"/>
                    <w:jc w:val="center"/>
                    <w:rPr>
                      <w:color w:val="auto"/>
                      <w:szCs w:val="21"/>
                    </w:rPr>
                  </w:pPr>
                  <w:r>
                    <w:rPr>
                      <w:color w:val="auto"/>
                      <w:szCs w:val="21"/>
                    </w:rPr>
                    <w:t>1</w:t>
                  </w:r>
                </w:p>
              </w:tc>
              <w:tc>
                <w:tcPr>
                  <w:tcW w:w="925" w:type="pct"/>
                  <w:vAlign w:val="center"/>
                </w:tcPr>
                <w:p w14:paraId="7E0815D1">
                  <w:pPr>
                    <w:adjustRightInd w:val="0"/>
                    <w:snapToGrid w:val="0"/>
                    <w:jc w:val="center"/>
                    <w:rPr>
                      <w:color w:val="auto"/>
                      <w:szCs w:val="21"/>
                    </w:rPr>
                  </w:pPr>
                  <w:r>
                    <w:rPr>
                      <w:color w:val="auto"/>
                      <w:szCs w:val="21"/>
                    </w:rPr>
                    <w:t>0</w:t>
                  </w:r>
                </w:p>
              </w:tc>
              <w:tc>
                <w:tcPr>
                  <w:tcW w:w="795" w:type="pct"/>
                  <w:vAlign w:val="center"/>
                </w:tcPr>
                <w:p w14:paraId="1739F694">
                  <w:pPr>
                    <w:adjustRightInd w:val="0"/>
                    <w:snapToGrid w:val="0"/>
                    <w:jc w:val="center"/>
                    <w:rPr>
                      <w:color w:val="auto"/>
                      <w:szCs w:val="21"/>
                    </w:rPr>
                  </w:pPr>
                  <w:r>
                    <w:rPr>
                      <w:color w:val="auto"/>
                      <w:szCs w:val="21"/>
                    </w:rPr>
                    <w:t>1</w:t>
                  </w:r>
                </w:p>
              </w:tc>
              <w:tc>
                <w:tcPr>
                  <w:tcW w:w="1435" w:type="pct"/>
                  <w:vAlign w:val="center"/>
                </w:tcPr>
                <w:p w14:paraId="25B5532D">
                  <w:pPr>
                    <w:adjustRightInd w:val="0"/>
                    <w:snapToGrid w:val="0"/>
                    <w:jc w:val="center"/>
                    <w:rPr>
                      <w:color w:val="auto"/>
                      <w:szCs w:val="21"/>
                    </w:rPr>
                  </w:pPr>
                  <w:r>
                    <w:rPr>
                      <w:color w:val="auto"/>
                      <w:szCs w:val="21"/>
                    </w:rPr>
                    <w:t>容积20m³</w:t>
                  </w:r>
                </w:p>
              </w:tc>
            </w:tr>
            <w:tr w14:paraId="6178A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320" w:type="pct"/>
                  <w:vAlign w:val="center"/>
                </w:tcPr>
                <w:p w14:paraId="3B400178">
                  <w:pPr>
                    <w:pStyle w:val="3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24</w:t>
                  </w:r>
                </w:p>
              </w:tc>
              <w:tc>
                <w:tcPr>
                  <w:tcW w:w="808" w:type="pct"/>
                  <w:vAlign w:val="center"/>
                </w:tcPr>
                <w:p w14:paraId="21853DC0">
                  <w:pPr>
                    <w:adjustRightInd w:val="0"/>
                    <w:snapToGrid w:val="0"/>
                    <w:jc w:val="center"/>
                    <w:rPr>
                      <w:color w:val="auto"/>
                      <w:szCs w:val="21"/>
                    </w:rPr>
                  </w:pPr>
                  <w:r>
                    <w:rPr>
                      <w:color w:val="auto"/>
                      <w:szCs w:val="21"/>
                    </w:rPr>
                    <w:t>2万吨粉煤灰仓</w:t>
                  </w:r>
                </w:p>
              </w:tc>
              <w:tc>
                <w:tcPr>
                  <w:tcW w:w="715" w:type="pct"/>
                  <w:vAlign w:val="center"/>
                </w:tcPr>
                <w:p w14:paraId="0F9EAA79">
                  <w:pPr>
                    <w:adjustRightInd w:val="0"/>
                    <w:snapToGrid w:val="0"/>
                    <w:jc w:val="center"/>
                    <w:rPr>
                      <w:color w:val="auto"/>
                      <w:szCs w:val="21"/>
                    </w:rPr>
                  </w:pPr>
                  <w:r>
                    <w:rPr>
                      <w:color w:val="auto"/>
                      <w:szCs w:val="21"/>
                    </w:rPr>
                    <w:t>1</w:t>
                  </w:r>
                </w:p>
              </w:tc>
              <w:tc>
                <w:tcPr>
                  <w:tcW w:w="925" w:type="pct"/>
                  <w:vAlign w:val="center"/>
                </w:tcPr>
                <w:p w14:paraId="54FE8E84">
                  <w:pPr>
                    <w:adjustRightInd w:val="0"/>
                    <w:snapToGrid w:val="0"/>
                    <w:jc w:val="center"/>
                    <w:rPr>
                      <w:color w:val="auto"/>
                      <w:szCs w:val="21"/>
                    </w:rPr>
                  </w:pPr>
                  <w:r>
                    <w:rPr>
                      <w:color w:val="auto"/>
                      <w:szCs w:val="21"/>
                    </w:rPr>
                    <w:t>0</w:t>
                  </w:r>
                </w:p>
              </w:tc>
              <w:tc>
                <w:tcPr>
                  <w:tcW w:w="795" w:type="pct"/>
                  <w:vAlign w:val="center"/>
                </w:tcPr>
                <w:p w14:paraId="44AE3E63">
                  <w:pPr>
                    <w:adjustRightInd w:val="0"/>
                    <w:snapToGrid w:val="0"/>
                    <w:jc w:val="center"/>
                    <w:rPr>
                      <w:color w:val="auto"/>
                      <w:szCs w:val="21"/>
                    </w:rPr>
                  </w:pPr>
                  <w:r>
                    <w:rPr>
                      <w:color w:val="auto"/>
                      <w:szCs w:val="21"/>
                    </w:rPr>
                    <w:t>1</w:t>
                  </w:r>
                </w:p>
              </w:tc>
              <w:tc>
                <w:tcPr>
                  <w:tcW w:w="1435" w:type="pct"/>
                  <w:vAlign w:val="center"/>
                </w:tcPr>
                <w:p w14:paraId="6B9C2D09">
                  <w:pPr>
                    <w:adjustRightInd w:val="0"/>
                    <w:snapToGrid w:val="0"/>
                    <w:jc w:val="center"/>
                    <w:rPr>
                      <w:color w:val="auto"/>
                      <w:szCs w:val="21"/>
                    </w:rPr>
                  </w:pPr>
                  <w:r>
                    <w:rPr>
                      <w:color w:val="auto"/>
                      <w:szCs w:val="21"/>
                    </w:rPr>
                    <w:t>容积2万吨</w:t>
                  </w:r>
                </w:p>
              </w:tc>
            </w:tr>
            <w:tr w14:paraId="6B388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0" w:type="pct"/>
                  <w:vAlign w:val="center"/>
                </w:tcPr>
                <w:p w14:paraId="6BB77C7B">
                  <w:pPr>
                    <w:pStyle w:val="3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25</w:t>
                  </w:r>
                </w:p>
              </w:tc>
              <w:tc>
                <w:tcPr>
                  <w:tcW w:w="808" w:type="pct"/>
                  <w:vAlign w:val="center"/>
                </w:tcPr>
                <w:p w14:paraId="792F70C4">
                  <w:pPr>
                    <w:adjustRightInd w:val="0"/>
                    <w:snapToGrid w:val="0"/>
                    <w:jc w:val="center"/>
                    <w:rPr>
                      <w:color w:val="auto"/>
                      <w:szCs w:val="21"/>
                    </w:rPr>
                  </w:pPr>
                  <w:r>
                    <w:rPr>
                      <w:color w:val="auto"/>
                      <w:szCs w:val="21"/>
                    </w:rPr>
                    <w:t>300吨粉煤灰仓</w:t>
                  </w:r>
                </w:p>
              </w:tc>
              <w:tc>
                <w:tcPr>
                  <w:tcW w:w="715" w:type="pct"/>
                  <w:vAlign w:val="center"/>
                </w:tcPr>
                <w:p w14:paraId="2C061999">
                  <w:pPr>
                    <w:adjustRightInd w:val="0"/>
                    <w:snapToGrid w:val="0"/>
                    <w:jc w:val="center"/>
                    <w:rPr>
                      <w:color w:val="auto"/>
                      <w:szCs w:val="21"/>
                    </w:rPr>
                  </w:pPr>
                  <w:r>
                    <w:rPr>
                      <w:color w:val="auto"/>
                      <w:szCs w:val="21"/>
                    </w:rPr>
                    <w:t>3</w:t>
                  </w:r>
                </w:p>
              </w:tc>
              <w:tc>
                <w:tcPr>
                  <w:tcW w:w="925" w:type="pct"/>
                  <w:vAlign w:val="center"/>
                </w:tcPr>
                <w:p w14:paraId="0110C8F2">
                  <w:pPr>
                    <w:adjustRightInd w:val="0"/>
                    <w:snapToGrid w:val="0"/>
                    <w:jc w:val="center"/>
                    <w:rPr>
                      <w:color w:val="auto"/>
                      <w:szCs w:val="21"/>
                    </w:rPr>
                  </w:pPr>
                  <w:r>
                    <w:rPr>
                      <w:color w:val="auto"/>
                      <w:szCs w:val="21"/>
                    </w:rPr>
                    <w:t>0</w:t>
                  </w:r>
                </w:p>
              </w:tc>
              <w:tc>
                <w:tcPr>
                  <w:tcW w:w="795" w:type="pct"/>
                  <w:vAlign w:val="center"/>
                </w:tcPr>
                <w:p w14:paraId="7BF98E87">
                  <w:pPr>
                    <w:adjustRightInd w:val="0"/>
                    <w:snapToGrid w:val="0"/>
                    <w:jc w:val="center"/>
                    <w:rPr>
                      <w:color w:val="auto"/>
                      <w:szCs w:val="21"/>
                    </w:rPr>
                  </w:pPr>
                  <w:r>
                    <w:rPr>
                      <w:color w:val="auto"/>
                      <w:szCs w:val="21"/>
                    </w:rPr>
                    <w:t>3</w:t>
                  </w:r>
                </w:p>
              </w:tc>
              <w:tc>
                <w:tcPr>
                  <w:tcW w:w="1435" w:type="pct"/>
                  <w:vAlign w:val="center"/>
                </w:tcPr>
                <w:p w14:paraId="2FDDCE1A">
                  <w:pPr>
                    <w:adjustRightInd w:val="0"/>
                    <w:snapToGrid w:val="0"/>
                    <w:jc w:val="center"/>
                    <w:rPr>
                      <w:color w:val="auto"/>
                      <w:szCs w:val="21"/>
                    </w:rPr>
                  </w:pPr>
                  <w:r>
                    <w:rPr>
                      <w:color w:val="auto"/>
                      <w:szCs w:val="21"/>
                    </w:rPr>
                    <w:t>容积300吨</w:t>
                  </w:r>
                </w:p>
              </w:tc>
            </w:tr>
            <w:tr w14:paraId="1BACE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0" w:type="pct"/>
                  <w:vAlign w:val="center"/>
                </w:tcPr>
                <w:p w14:paraId="71AA86E2">
                  <w:pPr>
                    <w:pStyle w:val="3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26</w:t>
                  </w:r>
                </w:p>
              </w:tc>
              <w:tc>
                <w:tcPr>
                  <w:tcW w:w="808" w:type="pct"/>
                  <w:vAlign w:val="center"/>
                </w:tcPr>
                <w:p w14:paraId="36057E85">
                  <w:pPr>
                    <w:adjustRightInd w:val="0"/>
                    <w:snapToGrid w:val="0"/>
                    <w:jc w:val="center"/>
                    <w:rPr>
                      <w:color w:val="auto"/>
                      <w:szCs w:val="21"/>
                    </w:rPr>
                  </w:pPr>
                  <w:r>
                    <w:rPr>
                      <w:color w:val="auto"/>
                      <w:szCs w:val="21"/>
                    </w:rPr>
                    <w:t>150吨石灰仓</w:t>
                  </w:r>
                </w:p>
              </w:tc>
              <w:tc>
                <w:tcPr>
                  <w:tcW w:w="715" w:type="pct"/>
                  <w:vAlign w:val="center"/>
                </w:tcPr>
                <w:p w14:paraId="0BD375E2">
                  <w:pPr>
                    <w:adjustRightInd w:val="0"/>
                    <w:snapToGrid w:val="0"/>
                    <w:jc w:val="center"/>
                    <w:rPr>
                      <w:color w:val="auto"/>
                      <w:szCs w:val="21"/>
                    </w:rPr>
                  </w:pPr>
                  <w:r>
                    <w:rPr>
                      <w:color w:val="auto"/>
                      <w:szCs w:val="21"/>
                    </w:rPr>
                    <w:t>1</w:t>
                  </w:r>
                </w:p>
              </w:tc>
              <w:tc>
                <w:tcPr>
                  <w:tcW w:w="925" w:type="pct"/>
                  <w:vAlign w:val="center"/>
                </w:tcPr>
                <w:p w14:paraId="4A5E101B">
                  <w:pPr>
                    <w:adjustRightInd w:val="0"/>
                    <w:snapToGrid w:val="0"/>
                    <w:jc w:val="center"/>
                    <w:rPr>
                      <w:color w:val="auto"/>
                      <w:szCs w:val="21"/>
                    </w:rPr>
                  </w:pPr>
                  <w:r>
                    <w:rPr>
                      <w:color w:val="auto"/>
                      <w:szCs w:val="21"/>
                    </w:rPr>
                    <w:t>0</w:t>
                  </w:r>
                </w:p>
              </w:tc>
              <w:tc>
                <w:tcPr>
                  <w:tcW w:w="795" w:type="pct"/>
                  <w:vAlign w:val="center"/>
                </w:tcPr>
                <w:p w14:paraId="159CADB5">
                  <w:pPr>
                    <w:adjustRightInd w:val="0"/>
                    <w:snapToGrid w:val="0"/>
                    <w:jc w:val="center"/>
                    <w:rPr>
                      <w:color w:val="auto"/>
                      <w:szCs w:val="21"/>
                    </w:rPr>
                  </w:pPr>
                  <w:r>
                    <w:rPr>
                      <w:color w:val="auto"/>
                      <w:szCs w:val="21"/>
                    </w:rPr>
                    <w:t>1</w:t>
                  </w:r>
                </w:p>
              </w:tc>
              <w:tc>
                <w:tcPr>
                  <w:tcW w:w="1435" w:type="pct"/>
                  <w:vAlign w:val="center"/>
                </w:tcPr>
                <w:p w14:paraId="36C0C0B0">
                  <w:pPr>
                    <w:adjustRightInd w:val="0"/>
                    <w:snapToGrid w:val="0"/>
                    <w:jc w:val="center"/>
                    <w:rPr>
                      <w:color w:val="auto"/>
                      <w:szCs w:val="21"/>
                    </w:rPr>
                  </w:pPr>
                  <w:r>
                    <w:rPr>
                      <w:color w:val="auto"/>
                      <w:szCs w:val="21"/>
                    </w:rPr>
                    <w:t>容积150吨</w:t>
                  </w:r>
                </w:p>
              </w:tc>
            </w:tr>
            <w:tr w14:paraId="6F1CE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0" w:type="pct"/>
                  <w:vAlign w:val="center"/>
                </w:tcPr>
                <w:p w14:paraId="525F4259">
                  <w:pPr>
                    <w:pStyle w:val="3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27</w:t>
                  </w:r>
                </w:p>
              </w:tc>
              <w:tc>
                <w:tcPr>
                  <w:tcW w:w="808" w:type="pct"/>
                  <w:vAlign w:val="center"/>
                </w:tcPr>
                <w:p w14:paraId="2B81381C">
                  <w:pPr>
                    <w:adjustRightInd w:val="0"/>
                    <w:snapToGrid w:val="0"/>
                    <w:jc w:val="center"/>
                    <w:rPr>
                      <w:color w:val="auto"/>
                      <w:szCs w:val="21"/>
                    </w:rPr>
                  </w:pPr>
                  <w:r>
                    <w:rPr>
                      <w:color w:val="auto"/>
                      <w:szCs w:val="21"/>
                    </w:rPr>
                    <w:t>30立方废浆罐</w:t>
                  </w:r>
                </w:p>
              </w:tc>
              <w:tc>
                <w:tcPr>
                  <w:tcW w:w="715" w:type="pct"/>
                  <w:vAlign w:val="center"/>
                </w:tcPr>
                <w:p w14:paraId="1752539B">
                  <w:pPr>
                    <w:adjustRightInd w:val="0"/>
                    <w:snapToGrid w:val="0"/>
                    <w:jc w:val="center"/>
                    <w:rPr>
                      <w:color w:val="auto"/>
                      <w:szCs w:val="21"/>
                    </w:rPr>
                  </w:pPr>
                  <w:r>
                    <w:rPr>
                      <w:color w:val="auto"/>
                      <w:szCs w:val="21"/>
                    </w:rPr>
                    <w:t>1</w:t>
                  </w:r>
                </w:p>
              </w:tc>
              <w:tc>
                <w:tcPr>
                  <w:tcW w:w="925" w:type="pct"/>
                  <w:vAlign w:val="center"/>
                </w:tcPr>
                <w:p w14:paraId="4C5E1515">
                  <w:pPr>
                    <w:adjustRightInd w:val="0"/>
                    <w:snapToGrid w:val="0"/>
                    <w:jc w:val="center"/>
                    <w:rPr>
                      <w:color w:val="auto"/>
                      <w:szCs w:val="21"/>
                    </w:rPr>
                  </w:pPr>
                  <w:r>
                    <w:rPr>
                      <w:color w:val="auto"/>
                      <w:szCs w:val="21"/>
                    </w:rPr>
                    <w:t>2</w:t>
                  </w:r>
                </w:p>
              </w:tc>
              <w:tc>
                <w:tcPr>
                  <w:tcW w:w="795" w:type="pct"/>
                  <w:vAlign w:val="center"/>
                </w:tcPr>
                <w:p w14:paraId="505BB42C">
                  <w:pPr>
                    <w:adjustRightInd w:val="0"/>
                    <w:snapToGrid w:val="0"/>
                    <w:jc w:val="center"/>
                    <w:rPr>
                      <w:color w:val="auto"/>
                      <w:szCs w:val="21"/>
                    </w:rPr>
                  </w:pPr>
                  <w:r>
                    <w:rPr>
                      <w:color w:val="auto"/>
                      <w:szCs w:val="21"/>
                    </w:rPr>
                    <w:t>3</w:t>
                  </w:r>
                </w:p>
              </w:tc>
              <w:tc>
                <w:tcPr>
                  <w:tcW w:w="1435" w:type="pct"/>
                  <w:vAlign w:val="center"/>
                </w:tcPr>
                <w:p w14:paraId="691BEB40">
                  <w:pPr>
                    <w:adjustRightInd w:val="0"/>
                    <w:snapToGrid w:val="0"/>
                    <w:jc w:val="center"/>
                    <w:rPr>
                      <w:color w:val="auto"/>
                      <w:szCs w:val="21"/>
                    </w:rPr>
                  </w:pPr>
                  <w:r>
                    <w:rPr>
                      <w:color w:val="auto"/>
                      <w:szCs w:val="21"/>
                    </w:rPr>
                    <w:t>容积30m³</w:t>
                  </w:r>
                </w:p>
              </w:tc>
            </w:tr>
            <w:tr w14:paraId="5D5F4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0" w:type="pct"/>
                  <w:vAlign w:val="center"/>
                </w:tcPr>
                <w:p w14:paraId="43A38346">
                  <w:pPr>
                    <w:pStyle w:val="3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28</w:t>
                  </w:r>
                </w:p>
              </w:tc>
              <w:tc>
                <w:tcPr>
                  <w:tcW w:w="808" w:type="pct"/>
                  <w:vAlign w:val="center"/>
                </w:tcPr>
                <w:p w14:paraId="72EFDAC9">
                  <w:pPr>
                    <w:adjustRightInd w:val="0"/>
                    <w:snapToGrid w:val="0"/>
                    <w:jc w:val="center"/>
                    <w:rPr>
                      <w:color w:val="auto"/>
                      <w:szCs w:val="21"/>
                    </w:rPr>
                  </w:pPr>
                  <w:r>
                    <w:rPr>
                      <w:color w:val="auto"/>
                      <w:szCs w:val="21"/>
                    </w:rPr>
                    <w:t>50立方储浆罐</w:t>
                  </w:r>
                </w:p>
              </w:tc>
              <w:tc>
                <w:tcPr>
                  <w:tcW w:w="715" w:type="pct"/>
                  <w:vAlign w:val="center"/>
                </w:tcPr>
                <w:p w14:paraId="76A9405C">
                  <w:pPr>
                    <w:adjustRightInd w:val="0"/>
                    <w:snapToGrid w:val="0"/>
                    <w:jc w:val="center"/>
                    <w:rPr>
                      <w:color w:val="auto"/>
                      <w:szCs w:val="21"/>
                    </w:rPr>
                  </w:pPr>
                  <w:r>
                    <w:rPr>
                      <w:color w:val="auto"/>
                      <w:szCs w:val="21"/>
                    </w:rPr>
                    <w:t>4</w:t>
                  </w:r>
                </w:p>
              </w:tc>
              <w:tc>
                <w:tcPr>
                  <w:tcW w:w="925" w:type="pct"/>
                  <w:vAlign w:val="center"/>
                </w:tcPr>
                <w:p w14:paraId="561706A0">
                  <w:pPr>
                    <w:adjustRightInd w:val="0"/>
                    <w:snapToGrid w:val="0"/>
                    <w:jc w:val="center"/>
                    <w:rPr>
                      <w:color w:val="auto"/>
                      <w:szCs w:val="21"/>
                    </w:rPr>
                  </w:pPr>
                  <w:r>
                    <w:rPr>
                      <w:color w:val="auto"/>
                      <w:szCs w:val="21"/>
                    </w:rPr>
                    <w:t>0</w:t>
                  </w:r>
                </w:p>
              </w:tc>
              <w:tc>
                <w:tcPr>
                  <w:tcW w:w="795" w:type="pct"/>
                  <w:vAlign w:val="center"/>
                </w:tcPr>
                <w:p w14:paraId="4C66160B">
                  <w:pPr>
                    <w:adjustRightInd w:val="0"/>
                    <w:snapToGrid w:val="0"/>
                    <w:jc w:val="center"/>
                    <w:rPr>
                      <w:color w:val="auto"/>
                      <w:szCs w:val="21"/>
                    </w:rPr>
                  </w:pPr>
                  <w:r>
                    <w:rPr>
                      <w:color w:val="auto"/>
                      <w:szCs w:val="21"/>
                    </w:rPr>
                    <w:t>4</w:t>
                  </w:r>
                </w:p>
              </w:tc>
              <w:tc>
                <w:tcPr>
                  <w:tcW w:w="1435" w:type="pct"/>
                  <w:vAlign w:val="center"/>
                </w:tcPr>
                <w:p w14:paraId="03688FBF">
                  <w:pPr>
                    <w:adjustRightInd w:val="0"/>
                    <w:snapToGrid w:val="0"/>
                    <w:jc w:val="center"/>
                    <w:rPr>
                      <w:color w:val="auto"/>
                      <w:szCs w:val="21"/>
                    </w:rPr>
                  </w:pPr>
                  <w:r>
                    <w:rPr>
                      <w:color w:val="auto"/>
                      <w:szCs w:val="21"/>
                    </w:rPr>
                    <w:t>容积50m³</w:t>
                  </w:r>
                </w:p>
              </w:tc>
            </w:tr>
            <w:tr w14:paraId="250F0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0" w:type="pct"/>
                  <w:vAlign w:val="center"/>
                </w:tcPr>
                <w:p w14:paraId="2C2D33C4">
                  <w:pPr>
                    <w:pStyle w:val="3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29</w:t>
                  </w:r>
                </w:p>
              </w:tc>
              <w:tc>
                <w:tcPr>
                  <w:tcW w:w="808" w:type="pct"/>
                  <w:vAlign w:val="center"/>
                </w:tcPr>
                <w:p w14:paraId="5D27C13D">
                  <w:pPr>
                    <w:adjustRightInd w:val="0"/>
                    <w:snapToGrid w:val="0"/>
                    <w:jc w:val="center"/>
                    <w:rPr>
                      <w:color w:val="auto"/>
                      <w:szCs w:val="21"/>
                    </w:rPr>
                  </w:pPr>
                  <w:r>
                    <w:rPr>
                      <w:color w:val="auto"/>
                      <w:szCs w:val="21"/>
                    </w:rPr>
                    <w:t>100立方储浆罐</w:t>
                  </w:r>
                </w:p>
              </w:tc>
              <w:tc>
                <w:tcPr>
                  <w:tcW w:w="715" w:type="pct"/>
                  <w:vAlign w:val="center"/>
                </w:tcPr>
                <w:p w14:paraId="592D3599">
                  <w:pPr>
                    <w:adjustRightInd w:val="0"/>
                    <w:snapToGrid w:val="0"/>
                    <w:jc w:val="center"/>
                    <w:rPr>
                      <w:color w:val="auto"/>
                      <w:szCs w:val="21"/>
                    </w:rPr>
                  </w:pPr>
                  <w:r>
                    <w:rPr>
                      <w:color w:val="auto"/>
                      <w:szCs w:val="21"/>
                    </w:rPr>
                    <w:t>2</w:t>
                  </w:r>
                </w:p>
              </w:tc>
              <w:tc>
                <w:tcPr>
                  <w:tcW w:w="925" w:type="pct"/>
                  <w:vAlign w:val="center"/>
                </w:tcPr>
                <w:p w14:paraId="366E12C3">
                  <w:pPr>
                    <w:adjustRightInd w:val="0"/>
                    <w:snapToGrid w:val="0"/>
                    <w:jc w:val="center"/>
                    <w:rPr>
                      <w:color w:val="auto"/>
                      <w:szCs w:val="21"/>
                    </w:rPr>
                  </w:pPr>
                  <w:r>
                    <w:rPr>
                      <w:color w:val="auto"/>
                      <w:szCs w:val="21"/>
                    </w:rPr>
                    <w:t>0</w:t>
                  </w:r>
                </w:p>
              </w:tc>
              <w:tc>
                <w:tcPr>
                  <w:tcW w:w="795" w:type="pct"/>
                  <w:vAlign w:val="center"/>
                </w:tcPr>
                <w:p w14:paraId="37D2970F">
                  <w:pPr>
                    <w:adjustRightInd w:val="0"/>
                    <w:snapToGrid w:val="0"/>
                    <w:jc w:val="center"/>
                    <w:rPr>
                      <w:color w:val="auto"/>
                      <w:szCs w:val="21"/>
                    </w:rPr>
                  </w:pPr>
                  <w:r>
                    <w:rPr>
                      <w:color w:val="auto"/>
                      <w:szCs w:val="21"/>
                    </w:rPr>
                    <w:t>2</w:t>
                  </w:r>
                </w:p>
              </w:tc>
              <w:tc>
                <w:tcPr>
                  <w:tcW w:w="1435" w:type="pct"/>
                  <w:vAlign w:val="center"/>
                </w:tcPr>
                <w:p w14:paraId="24F9FA96">
                  <w:pPr>
                    <w:adjustRightInd w:val="0"/>
                    <w:snapToGrid w:val="0"/>
                    <w:jc w:val="center"/>
                    <w:rPr>
                      <w:color w:val="auto"/>
                      <w:szCs w:val="21"/>
                    </w:rPr>
                  </w:pPr>
                  <w:r>
                    <w:rPr>
                      <w:color w:val="auto"/>
                      <w:szCs w:val="21"/>
                    </w:rPr>
                    <w:t>容积100m³</w:t>
                  </w:r>
                </w:p>
              </w:tc>
            </w:tr>
            <w:tr w14:paraId="77913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0" w:type="pct"/>
                  <w:vAlign w:val="center"/>
                </w:tcPr>
                <w:p w14:paraId="4BC0BBCA">
                  <w:pPr>
                    <w:pStyle w:val="3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30</w:t>
                  </w:r>
                </w:p>
              </w:tc>
              <w:tc>
                <w:tcPr>
                  <w:tcW w:w="808" w:type="pct"/>
                  <w:vAlign w:val="center"/>
                </w:tcPr>
                <w:p w14:paraId="3BF12214">
                  <w:pPr>
                    <w:adjustRightInd w:val="0"/>
                    <w:snapToGrid w:val="0"/>
                    <w:jc w:val="center"/>
                    <w:rPr>
                      <w:color w:val="auto"/>
                      <w:szCs w:val="21"/>
                    </w:rPr>
                  </w:pPr>
                  <w:r>
                    <w:rPr>
                      <w:color w:val="auto"/>
                      <w:szCs w:val="21"/>
                    </w:rPr>
                    <w:t>150立方米水泥筒仓</w:t>
                  </w:r>
                </w:p>
              </w:tc>
              <w:tc>
                <w:tcPr>
                  <w:tcW w:w="715" w:type="pct"/>
                  <w:vAlign w:val="center"/>
                </w:tcPr>
                <w:p w14:paraId="2CB5301C">
                  <w:pPr>
                    <w:adjustRightInd w:val="0"/>
                    <w:snapToGrid w:val="0"/>
                    <w:jc w:val="center"/>
                    <w:rPr>
                      <w:color w:val="auto"/>
                      <w:szCs w:val="21"/>
                    </w:rPr>
                  </w:pPr>
                  <w:r>
                    <w:rPr>
                      <w:color w:val="auto"/>
                      <w:szCs w:val="21"/>
                    </w:rPr>
                    <w:t>1</w:t>
                  </w:r>
                </w:p>
              </w:tc>
              <w:tc>
                <w:tcPr>
                  <w:tcW w:w="925" w:type="pct"/>
                  <w:vAlign w:val="center"/>
                </w:tcPr>
                <w:p w14:paraId="3E0369A7">
                  <w:pPr>
                    <w:adjustRightInd w:val="0"/>
                    <w:snapToGrid w:val="0"/>
                    <w:jc w:val="center"/>
                    <w:rPr>
                      <w:color w:val="auto"/>
                      <w:szCs w:val="21"/>
                    </w:rPr>
                  </w:pPr>
                  <w:r>
                    <w:rPr>
                      <w:color w:val="auto"/>
                      <w:szCs w:val="21"/>
                    </w:rPr>
                    <w:t>0</w:t>
                  </w:r>
                </w:p>
              </w:tc>
              <w:tc>
                <w:tcPr>
                  <w:tcW w:w="795" w:type="pct"/>
                  <w:vAlign w:val="center"/>
                </w:tcPr>
                <w:p w14:paraId="23F91073">
                  <w:pPr>
                    <w:adjustRightInd w:val="0"/>
                    <w:snapToGrid w:val="0"/>
                    <w:jc w:val="center"/>
                    <w:rPr>
                      <w:color w:val="auto"/>
                      <w:szCs w:val="21"/>
                    </w:rPr>
                  </w:pPr>
                  <w:r>
                    <w:rPr>
                      <w:color w:val="auto"/>
                      <w:szCs w:val="21"/>
                    </w:rPr>
                    <w:t>1</w:t>
                  </w:r>
                </w:p>
              </w:tc>
              <w:tc>
                <w:tcPr>
                  <w:tcW w:w="1435" w:type="pct"/>
                  <w:vAlign w:val="center"/>
                </w:tcPr>
                <w:p w14:paraId="24F8CB05">
                  <w:pPr>
                    <w:adjustRightInd w:val="0"/>
                    <w:snapToGrid w:val="0"/>
                    <w:jc w:val="center"/>
                    <w:rPr>
                      <w:color w:val="auto"/>
                      <w:szCs w:val="21"/>
                    </w:rPr>
                  </w:pPr>
                  <w:r>
                    <w:rPr>
                      <w:color w:val="auto"/>
                      <w:szCs w:val="21"/>
                    </w:rPr>
                    <w:t>容积150m³</w:t>
                  </w:r>
                </w:p>
              </w:tc>
            </w:tr>
            <w:tr w14:paraId="6E385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5" w:hRule="atLeast"/>
                <w:jc w:val="center"/>
              </w:trPr>
              <w:tc>
                <w:tcPr>
                  <w:tcW w:w="320" w:type="pct"/>
                  <w:vAlign w:val="center"/>
                </w:tcPr>
                <w:p w14:paraId="1A03A4BF">
                  <w:pPr>
                    <w:pStyle w:val="3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30</w:t>
                  </w:r>
                </w:p>
              </w:tc>
              <w:tc>
                <w:tcPr>
                  <w:tcW w:w="808" w:type="pct"/>
                  <w:vAlign w:val="center"/>
                </w:tcPr>
                <w:p w14:paraId="18D3EFDB">
                  <w:pPr>
                    <w:adjustRightInd w:val="0"/>
                    <w:snapToGrid w:val="0"/>
                    <w:jc w:val="center"/>
                    <w:rPr>
                      <w:color w:val="auto"/>
                      <w:szCs w:val="21"/>
                    </w:rPr>
                  </w:pPr>
                  <w:r>
                    <w:rPr>
                      <w:color w:val="auto"/>
                      <w:szCs w:val="21"/>
                    </w:rPr>
                    <w:t>天然气锅炉</w:t>
                  </w:r>
                </w:p>
              </w:tc>
              <w:tc>
                <w:tcPr>
                  <w:tcW w:w="715" w:type="pct"/>
                  <w:vAlign w:val="center"/>
                </w:tcPr>
                <w:p w14:paraId="15A56E71">
                  <w:pPr>
                    <w:adjustRightInd w:val="0"/>
                    <w:snapToGrid w:val="0"/>
                    <w:jc w:val="center"/>
                    <w:rPr>
                      <w:color w:val="auto"/>
                      <w:szCs w:val="21"/>
                    </w:rPr>
                  </w:pPr>
                  <w:r>
                    <w:rPr>
                      <w:color w:val="auto"/>
                      <w:szCs w:val="21"/>
                    </w:rPr>
                    <w:t>1</w:t>
                  </w:r>
                </w:p>
              </w:tc>
              <w:tc>
                <w:tcPr>
                  <w:tcW w:w="925" w:type="pct"/>
                  <w:vAlign w:val="center"/>
                </w:tcPr>
                <w:p w14:paraId="068A9C47">
                  <w:pPr>
                    <w:adjustRightInd w:val="0"/>
                    <w:snapToGrid w:val="0"/>
                    <w:jc w:val="center"/>
                    <w:rPr>
                      <w:color w:val="auto"/>
                      <w:szCs w:val="21"/>
                    </w:rPr>
                  </w:pPr>
                  <w:r>
                    <w:rPr>
                      <w:color w:val="auto"/>
                      <w:szCs w:val="21"/>
                    </w:rPr>
                    <w:t>0</w:t>
                  </w:r>
                </w:p>
              </w:tc>
              <w:tc>
                <w:tcPr>
                  <w:tcW w:w="795" w:type="pct"/>
                  <w:vAlign w:val="center"/>
                </w:tcPr>
                <w:p w14:paraId="0E99FE40">
                  <w:pPr>
                    <w:adjustRightInd w:val="0"/>
                    <w:snapToGrid w:val="0"/>
                    <w:jc w:val="center"/>
                    <w:rPr>
                      <w:color w:val="auto"/>
                      <w:szCs w:val="21"/>
                    </w:rPr>
                  </w:pPr>
                  <w:r>
                    <w:rPr>
                      <w:color w:val="auto"/>
                      <w:szCs w:val="21"/>
                    </w:rPr>
                    <w:t>1</w:t>
                  </w:r>
                </w:p>
              </w:tc>
              <w:tc>
                <w:tcPr>
                  <w:tcW w:w="1435" w:type="pct"/>
                  <w:vAlign w:val="center"/>
                </w:tcPr>
                <w:p w14:paraId="44BBA867">
                  <w:pPr>
                    <w:adjustRightInd w:val="0"/>
                    <w:snapToGrid w:val="0"/>
                    <w:jc w:val="center"/>
                    <w:rPr>
                      <w:color w:val="auto"/>
                      <w:szCs w:val="21"/>
                    </w:rPr>
                  </w:pPr>
                  <w:r>
                    <w:rPr>
                      <w:color w:val="auto"/>
                      <w:szCs w:val="21"/>
                    </w:rPr>
                    <w:t>/</w:t>
                  </w:r>
                </w:p>
              </w:tc>
            </w:tr>
            <w:tr w14:paraId="105DD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0" w:type="pct"/>
                  <w:vAlign w:val="center"/>
                </w:tcPr>
                <w:p w14:paraId="02A3365E">
                  <w:pPr>
                    <w:pStyle w:val="3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31</w:t>
                  </w:r>
                </w:p>
              </w:tc>
              <w:tc>
                <w:tcPr>
                  <w:tcW w:w="808" w:type="pct"/>
                  <w:vAlign w:val="center"/>
                </w:tcPr>
                <w:p w14:paraId="4A695F62">
                  <w:pPr>
                    <w:adjustRightInd w:val="0"/>
                    <w:snapToGrid w:val="0"/>
                    <w:jc w:val="center"/>
                    <w:rPr>
                      <w:color w:val="auto"/>
                      <w:szCs w:val="21"/>
                    </w:rPr>
                  </w:pPr>
                  <w:r>
                    <w:rPr>
                      <w:color w:val="auto"/>
                      <w:szCs w:val="21"/>
                    </w:rPr>
                    <w:t>滚动筛</w:t>
                  </w:r>
                </w:p>
              </w:tc>
              <w:tc>
                <w:tcPr>
                  <w:tcW w:w="715" w:type="pct"/>
                  <w:vAlign w:val="center"/>
                </w:tcPr>
                <w:p w14:paraId="477D0506">
                  <w:pPr>
                    <w:adjustRightInd w:val="0"/>
                    <w:snapToGrid w:val="0"/>
                    <w:jc w:val="center"/>
                    <w:rPr>
                      <w:color w:val="auto"/>
                      <w:szCs w:val="21"/>
                    </w:rPr>
                  </w:pPr>
                  <w:r>
                    <w:rPr>
                      <w:color w:val="auto"/>
                      <w:szCs w:val="21"/>
                    </w:rPr>
                    <w:t>1</w:t>
                  </w:r>
                </w:p>
              </w:tc>
              <w:tc>
                <w:tcPr>
                  <w:tcW w:w="925" w:type="pct"/>
                  <w:vAlign w:val="center"/>
                </w:tcPr>
                <w:p w14:paraId="2236A088">
                  <w:pPr>
                    <w:adjustRightInd w:val="0"/>
                    <w:snapToGrid w:val="0"/>
                    <w:jc w:val="center"/>
                    <w:rPr>
                      <w:color w:val="auto"/>
                      <w:szCs w:val="21"/>
                    </w:rPr>
                  </w:pPr>
                  <w:r>
                    <w:rPr>
                      <w:color w:val="auto"/>
                      <w:szCs w:val="21"/>
                    </w:rPr>
                    <w:t>0</w:t>
                  </w:r>
                </w:p>
              </w:tc>
              <w:tc>
                <w:tcPr>
                  <w:tcW w:w="795" w:type="pct"/>
                  <w:vAlign w:val="center"/>
                </w:tcPr>
                <w:p w14:paraId="24B943B8">
                  <w:pPr>
                    <w:adjustRightInd w:val="0"/>
                    <w:snapToGrid w:val="0"/>
                    <w:jc w:val="center"/>
                    <w:rPr>
                      <w:color w:val="auto"/>
                      <w:szCs w:val="21"/>
                    </w:rPr>
                  </w:pPr>
                  <w:r>
                    <w:rPr>
                      <w:color w:val="auto"/>
                      <w:szCs w:val="21"/>
                    </w:rPr>
                    <w:t>1</w:t>
                  </w:r>
                </w:p>
              </w:tc>
              <w:tc>
                <w:tcPr>
                  <w:tcW w:w="1435" w:type="pct"/>
                  <w:vAlign w:val="center"/>
                </w:tcPr>
                <w:p w14:paraId="7267BA2A">
                  <w:pPr>
                    <w:adjustRightInd w:val="0"/>
                    <w:snapToGrid w:val="0"/>
                    <w:jc w:val="center"/>
                    <w:rPr>
                      <w:color w:val="auto"/>
                      <w:szCs w:val="21"/>
                    </w:rPr>
                  </w:pPr>
                  <w:r>
                    <w:rPr>
                      <w:color w:val="auto"/>
                      <w:szCs w:val="21"/>
                    </w:rPr>
                    <w:t>/</w:t>
                  </w:r>
                </w:p>
              </w:tc>
            </w:tr>
            <w:tr w14:paraId="1CCC3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0" w:type="pct"/>
                  <w:vAlign w:val="center"/>
                </w:tcPr>
                <w:p w14:paraId="7A67DC3C">
                  <w:pPr>
                    <w:pStyle w:val="3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32</w:t>
                  </w:r>
                </w:p>
              </w:tc>
              <w:tc>
                <w:tcPr>
                  <w:tcW w:w="808" w:type="pct"/>
                  <w:vAlign w:val="center"/>
                </w:tcPr>
                <w:p w14:paraId="7D78DC22">
                  <w:pPr>
                    <w:adjustRightInd w:val="0"/>
                    <w:snapToGrid w:val="0"/>
                    <w:jc w:val="center"/>
                    <w:rPr>
                      <w:color w:val="auto"/>
                      <w:szCs w:val="21"/>
                    </w:rPr>
                  </w:pPr>
                  <w:r>
                    <w:rPr>
                      <w:color w:val="auto"/>
                      <w:szCs w:val="21"/>
                    </w:rPr>
                    <w:t>料浆破碎机</w:t>
                  </w:r>
                </w:p>
              </w:tc>
              <w:tc>
                <w:tcPr>
                  <w:tcW w:w="715" w:type="pct"/>
                  <w:vAlign w:val="center"/>
                </w:tcPr>
                <w:p w14:paraId="20A20BC0">
                  <w:pPr>
                    <w:adjustRightInd w:val="0"/>
                    <w:snapToGrid w:val="0"/>
                    <w:jc w:val="center"/>
                    <w:rPr>
                      <w:color w:val="auto"/>
                      <w:szCs w:val="21"/>
                    </w:rPr>
                  </w:pPr>
                  <w:r>
                    <w:rPr>
                      <w:color w:val="auto"/>
                      <w:szCs w:val="21"/>
                    </w:rPr>
                    <w:t>1</w:t>
                  </w:r>
                </w:p>
              </w:tc>
              <w:tc>
                <w:tcPr>
                  <w:tcW w:w="925" w:type="pct"/>
                  <w:vAlign w:val="center"/>
                </w:tcPr>
                <w:p w14:paraId="03A980EC">
                  <w:pPr>
                    <w:adjustRightInd w:val="0"/>
                    <w:snapToGrid w:val="0"/>
                    <w:jc w:val="center"/>
                    <w:rPr>
                      <w:color w:val="auto"/>
                      <w:szCs w:val="21"/>
                    </w:rPr>
                  </w:pPr>
                  <w:r>
                    <w:rPr>
                      <w:color w:val="auto"/>
                      <w:szCs w:val="21"/>
                    </w:rPr>
                    <w:t>0</w:t>
                  </w:r>
                </w:p>
              </w:tc>
              <w:tc>
                <w:tcPr>
                  <w:tcW w:w="795" w:type="pct"/>
                  <w:vAlign w:val="center"/>
                </w:tcPr>
                <w:p w14:paraId="18C38BBE">
                  <w:pPr>
                    <w:adjustRightInd w:val="0"/>
                    <w:snapToGrid w:val="0"/>
                    <w:jc w:val="center"/>
                    <w:rPr>
                      <w:color w:val="auto"/>
                      <w:szCs w:val="21"/>
                    </w:rPr>
                  </w:pPr>
                  <w:r>
                    <w:rPr>
                      <w:color w:val="auto"/>
                      <w:szCs w:val="21"/>
                    </w:rPr>
                    <w:t>1</w:t>
                  </w:r>
                </w:p>
              </w:tc>
              <w:tc>
                <w:tcPr>
                  <w:tcW w:w="1435" w:type="pct"/>
                  <w:vAlign w:val="center"/>
                </w:tcPr>
                <w:p w14:paraId="20D4BFBB">
                  <w:pPr>
                    <w:adjustRightInd w:val="0"/>
                    <w:snapToGrid w:val="0"/>
                    <w:jc w:val="center"/>
                    <w:rPr>
                      <w:color w:val="auto"/>
                      <w:szCs w:val="21"/>
                    </w:rPr>
                  </w:pPr>
                  <w:r>
                    <w:rPr>
                      <w:color w:val="auto"/>
                      <w:szCs w:val="21"/>
                    </w:rPr>
                    <w:t>/</w:t>
                  </w:r>
                </w:p>
              </w:tc>
            </w:tr>
            <w:tr w14:paraId="59454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0" w:type="pct"/>
                  <w:vAlign w:val="center"/>
                </w:tcPr>
                <w:p w14:paraId="623062DA">
                  <w:pPr>
                    <w:pStyle w:val="3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33</w:t>
                  </w:r>
                </w:p>
              </w:tc>
              <w:tc>
                <w:tcPr>
                  <w:tcW w:w="808" w:type="pct"/>
                  <w:vAlign w:val="center"/>
                </w:tcPr>
                <w:p w14:paraId="754D2BD8">
                  <w:pPr>
                    <w:adjustRightInd w:val="0"/>
                    <w:snapToGrid w:val="0"/>
                    <w:jc w:val="center"/>
                    <w:rPr>
                      <w:color w:val="auto"/>
                      <w:szCs w:val="21"/>
                    </w:rPr>
                  </w:pPr>
                  <w:r>
                    <w:rPr>
                      <w:color w:val="auto"/>
                      <w:szCs w:val="21"/>
                    </w:rPr>
                    <w:t>出模摆渡车</w:t>
                  </w:r>
                </w:p>
              </w:tc>
              <w:tc>
                <w:tcPr>
                  <w:tcW w:w="715" w:type="pct"/>
                  <w:vAlign w:val="center"/>
                </w:tcPr>
                <w:p w14:paraId="2C97F7D4">
                  <w:pPr>
                    <w:adjustRightInd w:val="0"/>
                    <w:snapToGrid w:val="0"/>
                    <w:jc w:val="center"/>
                    <w:rPr>
                      <w:color w:val="auto"/>
                      <w:szCs w:val="21"/>
                    </w:rPr>
                  </w:pPr>
                  <w:r>
                    <w:rPr>
                      <w:color w:val="auto"/>
                      <w:szCs w:val="21"/>
                    </w:rPr>
                    <w:t>0</w:t>
                  </w:r>
                </w:p>
              </w:tc>
              <w:tc>
                <w:tcPr>
                  <w:tcW w:w="925" w:type="pct"/>
                  <w:vAlign w:val="center"/>
                </w:tcPr>
                <w:p w14:paraId="5D0B4B51">
                  <w:pPr>
                    <w:adjustRightInd w:val="0"/>
                    <w:snapToGrid w:val="0"/>
                    <w:jc w:val="center"/>
                    <w:rPr>
                      <w:color w:val="auto"/>
                      <w:szCs w:val="21"/>
                    </w:rPr>
                  </w:pPr>
                  <w:r>
                    <w:rPr>
                      <w:color w:val="auto"/>
                      <w:szCs w:val="21"/>
                    </w:rPr>
                    <w:t>1</w:t>
                  </w:r>
                </w:p>
              </w:tc>
              <w:tc>
                <w:tcPr>
                  <w:tcW w:w="795" w:type="pct"/>
                  <w:vAlign w:val="center"/>
                </w:tcPr>
                <w:p w14:paraId="15555153">
                  <w:pPr>
                    <w:adjustRightInd w:val="0"/>
                    <w:snapToGrid w:val="0"/>
                    <w:jc w:val="center"/>
                    <w:rPr>
                      <w:color w:val="auto"/>
                      <w:szCs w:val="21"/>
                    </w:rPr>
                  </w:pPr>
                  <w:r>
                    <w:rPr>
                      <w:color w:val="auto"/>
                      <w:szCs w:val="21"/>
                    </w:rPr>
                    <w:t>1</w:t>
                  </w:r>
                </w:p>
              </w:tc>
              <w:tc>
                <w:tcPr>
                  <w:tcW w:w="1435" w:type="pct"/>
                  <w:vAlign w:val="center"/>
                </w:tcPr>
                <w:p w14:paraId="051D8A0A">
                  <w:pPr>
                    <w:adjustRightInd w:val="0"/>
                    <w:snapToGrid w:val="0"/>
                    <w:jc w:val="center"/>
                    <w:rPr>
                      <w:color w:val="auto"/>
                      <w:szCs w:val="21"/>
                    </w:rPr>
                  </w:pPr>
                  <w:r>
                    <w:rPr>
                      <w:color w:val="auto"/>
                      <w:kern w:val="0"/>
                      <w:szCs w:val="21"/>
                      <w:lang w:bidi="ar"/>
                    </w:rPr>
                    <w:t>WDJYBD-4.8B</w:t>
                  </w:r>
                </w:p>
              </w:tc>
            </w:tr>
            <w:tr w14:paraId="7EB49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0" w:type="pct"/>
                  <w:vAlign w:val="center"/>
                </w:tcPr>
                <w:p w14:paraId="52BC91E8">
                  <w:pPr>
                    <w:pStyle w:val="3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34</w:t>
                  </w:r>
                </w:p>
              </w:tc>
              <w:tc>
                <w:tcPr>
                  <w:tcW w:w="808" w:type="pct"/>
                  <w:vAlign w:val="center"/>
                </w:tcPr>
                <w:p w14:paraId="273644E7">
                  <w:pPr>
                    <w:adjustRightInd w:val="0"/>
                    <w:snapToGrid w:val="0"/>
                    <w:jc w:val="center"/>
                    <w:rPr>
                      <w:color w:val="auto"/>
                      <w:szCs w:val="21"/>
                    </w:rPr>
                  </w:pPr>
                  <w:r>
                    <w:rPr>
                      <w:color w:val="auto"/>
                      <w:szCs w:val="21"/>
                    </w:rPr>
                    <w:t>出釜摆渡车</w:t>
                  </w:r>
                </w:p>
              </w:tc>
              <w:tc>
                <w:tcPr>
                  <w:tcW w:w="715" w:type="pct"/>
                  <w:vAlign w:val="center"/>
                </w:tcPr>
                <w:p w14:paraId="67FE20AA">
                  <w:pPr>
                    <w:adjustRightInd w:val="0"/>
                    <w:snapToGrid w:val="0"/>
                    <w:jc w:val="center"/>
                    <w:rPr>
                      <w:color w:val="auto"/>
                      <w:szCs w:val="21"/>
                    </w:rPr>
                  </w:pPr>
                  <w:r>
                    <w:rPr>
                      <w:color w:val="auto"/>
                      <w:szCs w:val="21"/>
                    </w:rPr>
                    <w:t>0</w:t>
                  </w:r>
                </w:p>
              </w:tc>
              <w:tc>
                <w:tcPr>
                  <w:tcW w:w="925" w:type="pct"/>
                  <w:vAlign w:val="center"/>
                </w:tcPr>
                <w:p w14:paraId="1B38164B">
                  <w:pPr>
                    <w:adjustRightInd w:val="0"/>
                    <w:snapToGrid w:val="0"/>
                    <w:jc w:val="center"/>
                    <w:rPr>
                      <w:color w:val="auto"/>
                      <w:szCs w:val="21"/>
                    </w:rPr>
                  </w:pPr>
                  <w:r>
                    <w:rPr>
                      <w:color w:val="auto"/>
                      <w:szCs w:val="21"/>
                    </w:rPr>
                    <w:t>1</w:t>
                  </w:r>
                </w:p>
              </w:tc>
              <w:tc>
                <w:tcPr>
                  <w:tcW w:w="795" w:type="pct"/>
                  <w:vAlign w:val="center"/>
                </w:tcPr>
                <w:p w14:paraId="51BBEA60">
                  <w:pPr>
                    <w:adjustRightInd w:val="0"/>
                    <w:snapToGrid w:val="0"/>
                    <w:jc w:val="center"/>
                    <w:rPr>
                      <w:color w:val="auto"/>
                      <w:szCs w:val="21"/>
                    </w:rPr>
                  </w:pPr>
                  <w:r>
                    <w:rPr>
                      <w:color w:val="auto"/>
                      <w:szCs w:val="21"/>
                    </w:rPr>
                    <w:t>1</w:t>
                  </w:r>
                </w:p>
              </w:tc>
              <w:tc>
                <w:tcPr>
                  <w:tcW w:w="1435" w:type="pct"/>
                  <w:vAlign w:val="center"/>
                </w:tcPr>
                <w:p w14:paraId="311B4862">
                  <w:pPr>
                    <w:adjustRightInd w:val="0"/>
                    <w:snapToGrid w:val="0"/>
                    <w:jc w:val="center"/>
                    <w:rPr>
                      <w:color w:val="auto"/>
                      <w:szCs w:val="21"/>
                    </w:rPr>
                  </w:pPr>
                  <w:r>
                    <w:rPr>
                      <w:color w:val="auto"/>
                      <w:kern w:val="0"/>
                      <w:szCs w:val="21"/>
                      <w:lang w:bidi="ar"/>
                    </w:rPr>
                    <w:t>WDMJ-4.8</w:t>
                  </w:r>
                </w:p>
              </w:tc>
            </w:tr>
            <w:tr w14:paraId="6064C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0" w:type="pct"/>
                  <w:vAlign w:val="center"/>
                </w:tcPr>
                <w:p w14:paraId="708A4173">
                  <w:pPr>
                    <w:pStyle w:val="3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35</w:t>
                  </w:r>
                </w:p>
              </w:tc>
              <w:tc>
                <w:tcPr>
                  <w:tcW w:w="808" w:type="pct"/>
                  <w:vAlign w:val="center"/>
                </w:tcPr>
                <w:p w14:paraId="02FDD77C">
                  <w:pPr>
                    <w:adjustRightInd w:val="0"/>
                    <w:snapToGrid w:val="0"/>
                    <w:jc w:val="center"/>
                    <w:rPr>
                      <w:color w:val="auto"/>
                      <w:szCs w:val="21"/>
                    </w:rPr>
                  </w:pPr>
                  <w:r>
                    <w:rPr>
                      <w:color w:val="auto"/>
                      <w:szCs w:val="21"/>
                    </w:rPr>
                    <w:t>分离机行车</w:t>
                  </w:r>
                </w:p>
              </w:tc>
              <w:tc>
                <w:tcPr>
                  <w:tcW w:w="715" w:type="pct"/>
                  <w:vAlign w:val="center"/>
                </w:tcPr>
                <w:p w14:paraId="5F406984">
                  <w:pPr>
                    <w:adjustRightInd w:val="0"/>
                    <w:snapToGrid w:val="0"/>
                    <w:jc w:val="center"/>
                    <w:rPr>
                      <w:color w:val="auto"/>
                      <w:szCs w:val="21"/>
                    </w:rPr>
                  </w:pPr>
                  <w:r>
                    <w:rPr>
                      <w:color w:val="auto"/>
                      <w:szCs w:val="21"/>
                    </w:rPr>
                    <w:t>1</w:t>
                  </w:r>
                </w:p>
              </w:tc>
              <w:tc>
                <w:tcPr>
                  <w:tcW w:w="925" w:type="pct"/>
                  <w:vAlign w:val="center"/>
                </w:tcPr>
                <w:p w14:paraId="451CD302">
                  <w:pPr>
                    <w:adjustRightInd w:val="0"/>
                    <w:snapToGrid w:val="0"/>
                    <w:jc w:val="center"/>
                    <w:rPr>
                      <w:color w:val="auto"/>
                      <w:szCs w:val="21"/>
                    </w:rPr>
                  </w:pPr>
                  <w:r>
                    <w:rPr>
                      <w:color w:val="auto"/>
                      <w:szCs w:val="21"/>
                    </w:rPr>
                    <w:t>0</w:t>
                  </w:r>
                </w:p>
              </w:tc>
              <w:tc>
                <w:tcPr>
                  <w:tcW w:w="795" w:type="pct"/>
                  <w:vAlign w:val="center"/>
                </w:tcPr>
                <w:p w14:paraId="7DD7CD56">
                  <w:pPr>
                    <w:adjustRightInd w:val="0"/>
                    <w:snapToGrid w:val="0"/>
                    <w:jc w:val="center"/>
                    <w:rPr>
                      <w:color w:val="auto"/>
                      <w:szCs w:val="21"/>
                    </w:rPr>
                  </w:pPr>
                  <w:r>
                    <w:rPr>
                      <w:color w:val="auto"/>
                      <w:szCs w:val="21"/>
                    </w:rPr>
                    <w:t>1</w:t>
                  </w:r>
                </w:p>
              </w:tc>
              <w:tc>
                <w:tcPr>
                  <w:tcW w:w="1435" w:type="pct"/>
                  <w:vAlign w:val="center"/>
                </w:tcPr>
                <w:p w14:paraId="5AED65BC">
                  <w:pPr>
                    <w:adjustRightInd w:val="0"/>
                    <w:snapToGrid w:val="0"/>
                    <w:jc w:val="center"/>
                    <w:rPr>
                      <w:color w:val="auto"/>
                      <w:szCs w:val="21"/>
                    </w:rPr>
                  </w:pPr>
                  <w:r>
                    <w:rPr>
                      <w:color w:val="auto"/>
                      <w:szCs w:val="21"/>
                    </w:rPr>
                    <w:t>/</w:t>
                  </w:r>
                </w:p>
              </w:tc>
            </w:tr>
            <w:tr w14:paraId="6D031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0" w:type="pct"/>
                  <w:vAlign w:val="center"/>
                </w:tcPr>
                <w:p w14:paraId="149E76B3">
                  <w:pPr>
                    <w:pStyle w:val="3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36</w:t>
                  </w:r>
                </w:p>
              </w:tc>
              <w:tc>
                <w:tcPr>
                  <w:tcW w:w="808" w:type="pct"/>
                  <w:vAlign w:val="center"/>
                </w:tcPr>
                <w:p w14:paraId="1E3C5CDD">
                  <w:pPr>
                    <w:adjustRightInd w:val="0"/>
                    <w:snapToGrid w:val="0"/>
                    <w:jc w:val="center"/>
                    <w:rPr>
                      <w:color w:val="auto"/>
                      <w:szCs w:val="21"/>
                    </w:rPr>
                  </w:pPr>
                  <w:r>
                    <w:rPr>
                      <w:color w:val="auto"/>
                      <w:szCs w:val="21"/>
                    </w:rPr>
                    <w:t>无托打包线</w:t>
                  </w:r>
                </w:p>
              </w:tc>
              <w:tc>
                <w:tcPr>
                  <w:tcW w:w="715" w:type="pct"/>
                  <w:vAlign w:val="center"/>
                </w:tcPr>
                <w:p w14:paraId="0CC347BB">
                  <w:pPr>
                    <w:adjustRightInd w:val="0"/>
                    <w:snapToGrid w:val="0"/>
                    <w:jc w:val="center"/>
                    <w:rPr>
                      <w:color w:val="auto"/>
                      <w:szCs w:val="21"/>
                    </w:rPr>
                  </w:pPr>
                  <w:r>
                    <w:rPr>
                      <w:color w:val="auto"/>
                      <w:szCs w:val="21"/>
                    </w:rPr>
                    <w:t>0</w:t>
                  </w:r>
                </w:p>
              </w:tc>
              <w:tc>
                <w:tcPr>
                  <w:tcW w:w="925" w:type="pct"/>
                  <w:vAlign w:val="center"/>
                </w:tcPr>
                <w:p w14:paraId="3AA38250">
                  <w:pPr>
                    <w:adjustRightInd w:val="0"/>
                    <w:snapToGrid w:val="0"/>
                    <w:jc w:val="center"/>
                    <w:rPr>
                      <w:color w:val="auto"/>
                      <w:szCs w:val="21"/>
                    </w:rPr>
                  </w:pPr>
                  <w:r>
                    <w:rPr>
                      <w:color w:val="auto"/>
                      <w:szCs w:val="21"/>
                    </w:rPr>
                    <w:t>1</w:t>
                  </w:r>
                </w:p>
              </w:tc>
              <w:tc>
                <w:tcPr>
                  <w:tcW w:w="795" w:type="pct"/>
                  <w:vAlign w:val="center"/>
                </w:tcPr>
                <w:p w14:paraId="2DCB0570">
                  <w:pPr>
                    <w:adjustRightInd w:val="0"/>
                    <w:snapToGrid w:val="0"/>
                    <w:jc w:val="center"/>
                    <w:rPr>
                      <w:color w:val="auto"/>
                      <w:szCs w:val="21"/>
                    </w:rPr>
                  </w:pPr>
                  <w:r>
                    <w:rPr>
                      <w:color w:val="auto"/>
                      <w:szCs w:val="21"/>
                    </w:rPr>
                    <w:t>1</w:t>
                  </w:r>
                </w:p>
              </w:tc>
              <w:tc>
                <w:tcPr>
                  <w:tcW w:w="1435" w:type="pct"/>
                  <w:vAlign w:val="center"/>
                </w:tcPr>
                <w:p w14:paraId="609C7360">
                  <w:pPr>
                    <w:adjustRightInd w:val="0"/>
                    <w:snapToGrid w:val="0"/>
                    <w:jc w:val="center"/>
                    <w:rPr>
                      <w:color w:val="auto"/>
                      <w:szCs w:val="21"/>
                    </w:rPr>
                  </w:pPr>
                  <w:r>
                    <w:rPr>
                      <w:color w:val="auto"/>
                      <w:szCs w:val="21"/>
                    </w:rPr>
                    <w:t>/</w:t>
                  </w:r>
                </w:p>
              </w:tc>
            </w:tr>
            <w:tr w14:paraId="531D6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0" w:type="pct"/>
                  <w:vAlign w:val="center"/>
                </w:tcPr>
                <w:p w14:paraId="2A221917">
                  <w:pPr>
                    <w:pStyle w:val="3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37</w:t>
                  </w:r>
                </w:p>
              </w:tc>
              <w:tc>
                <w:tcPr>
                  <w:tcW w:w="808" w:type="pct"/>
                  <w:vAlign w:val="center"/>
                </w:tcPr>
                <w:p w14:paraId="792954E7">
                  <w:pPr>
                    <w:adjustRightInd w:val="0"/>
                    <w:snapToGrid w:val="0"/>
                    <w:jc w:val="center"/>
                    <w:rPr>
                      <w:color w:val="auto"/>
                      <w:szCs w:val="21"/>
                    </w:rPr>
                  </w:pPr>
                  <w:r>
                    <w:rPr>
                      <w:color w:val="auto"/>
                      <w:szCs w:val="21"/>
                    </w:rPr>
                    <w:t>有托打包线</w:t>
                  </w:r>
                </w:p>
              </w:tc>
              <w:tc>
                <w:tcPr>
                  <w:tcW w:w="715" w:type="pct"/>
                  <w:vAlign w:val="center"/>
                </w:tcPr>
                <w:p w14:paraId="41AB220C">
                  <w:pPr>
                    <w:adjustRightInd w:val="0"/>
                    <w:snapToGrid w:val="0"/>
                    <w:jc w:val="center"/>
                    <w:rPr>
                      <w:color w:val="auto"/>
                      <w:szCs w:val="21"/>
                    </w:rPr>
                  </w:pPr>
                  <w:r>
                    <w:rPr>
                      <w:color w:val="auto"/>
                      <w:szCs w:val="21"/>
                    </w:rPr>
                    <w:t>1</w:t>
                  </w:r>
                </w:p>
              </w:tc>
              <w:tc>
                <w:tcPr>
                  <w:tcW w:w="925" w:type="pct"/>
                  <w:vAlign w:val="center"/>
                </w:tcPr>
                <w:p w14:paraId="5D45F136">
                  <w:pPr>
                    <w:adjustRightInd w:val="0"/>
                    <w:snapToGrid w:val="0"/>
                    <w:jc w:val="center"/>
                    <w:rPr>
                      <w:color w:val="auto"/>
                      <w:szCs w:val="21"/>
                    </w:rPr>
                  </w:pPr>
                  <w:r>
                    <w:rPr>
                      <w:color w:val="auto"/>
                      <w:szCs w:val="21"/>
                    </w:rPr>
                    <w:t>0</w:t>
                  </w:r>
                </w:p>
              </w:tc>
              <w:tc>
                <w:tcPr>
                  <w:tcW w:w="795" w:type="pct"/>
                  <w:vAlign w:val="center"/>
                </w:tcPr>
                <w:p w14:paraId="5F439010">
                  <w:pPr>
                    <w:adjustRightInd w:val="0"/>
                    <w:snapToGrid w:val="0"/>
                    <w:jc w:val="center"/>
                    <w:rPr>
                      <w:color w:val="auto"/>
                      <w:szCs w:val="21"/>
                    </w:rPr>
                  </w:pPr>
                  <w:r>
                    <w:rPr>
                      <w:color w:val="auto"/>
                      <w:szCs w:val="21"/>
                    </w:rPr>
                    <w:t>1</w:t>
                  </w:r>
                </w:p>
              </w:tc>
              <w:tc>
                <w:tcPr>
                  <w:tcW w:w="1435" w:type="pct"/>
                  <w:vAlign w:val="center"/>
                </w:tcPr>
                <w:p w14:paraId="3DFAA1C9">
                  <w:pPr>
                    <w:adjustRightInd w:val="0"/>
                    <w:snapToGrid w:val="0"/>
                    <w:jc w:val="center"/>
                    <w:rPr>
                      <w:color w:val="auto"/>
                      <w:szCs w:val="21"/>
                    </w:rPr>
                  </w:pPr>
                  <w:r>
                    <w:rPr>
                      <w:color w:val="auto"/>
                      <w:szCs w:val="21"/>
                    </w:rPr>
                    <w:t>/</w:t>
                  </w:r>
                </w:p>
              </w:tc>
            </w:tr>
            <w:tr w14:paraId="03B43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0" w:type="pct"/>
                  <w:vAlign w:val="center"/>
                </w:tcPr>
                <w:p w14:paraId="2AC6BB89">
                  <w:pPr>
                    <w:pStyle w:val="3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37</w:t>
                  </w:r>
                </w:p>
              </w:tc>
              <w:tc>
                <w:tcPr>
                  <w:tcW w:w="808" w:type="pct"/>
                  <w:vAlign w:val="center"/>
                </w:tcPr>
                <w:p w14:paraId="251552EF">
                  <w:pPr>
                    <w:adjustRightInd w:val="0"/>
                    <w:snapToGrid w:val="0"/>
                    <w:jc w:val="center"/>
                    <w:rPr>
                      <w:color w:val="auto"/>
                      <w:szCs w:val="21"/>
                    </w:rPr>
                  </w:pPr>
                  <w:r>
                    <w:rPr>
                      <w:color w:val="auto"/>
                      <w:szCs w:val="21"/>
                    </w:rPr>
                    <w:t>150吨粉煤灰仓</w:t>
                  </w:r>
                </w:p>
              </w:tc>
              <w:tc>
                <w:tcPr>
                  <w:tcW w:w="715" w:type="pct"/>
                  <w:vAlign w:val="center"/>
                </w:tcPr>
                <w:p w14:paraId="3E1B5E56">
                  <w:pPr>
                    <w:adjustRightInd w:val="0"/>
                    <w:snapToGrid w:val="0"/>
                    <w:jc w:val="center"/>
                    <w:rPr>
                      <w:color w:val="auto"/>
                      <w:szCs w:val="21"/>
                    </w:rPr>
                  </w:pPr>
                  <w:r>
                    <w:rPr>
                      <w:color w:val="auto"/>
                      <w:szCs w:val="21"/>
                    </w:rPr>
                    <w:t>0</w:t>
                  </w:r>
                </w:p>
              </w:tc>
              <w:tc>
                <w:tcPr>
                  <w:tcW w:w="925" w:type="pct"/>
                  <w:vAlign w:val="center"/>
                </w:tcPr>
                <w:p w14:paraId="3AFED5F8">
                  <w:pPr>
                    <w:adjustRightInd w:val="0"/>
                    <w:snapToGrid w:val="0"/>
                    <w:jc w:val="center"/>
                    <w:rPr>
                      <w:color w:val="auto"/>
                      <w:szCs w:val="21"/>
                    </w:rPr>
                  </w:pPr>
                  <w:r>
                    <w:rPr>
                      <w:color w:val="auto"/>
                      <w:szCs w:val="21"/>
                    </w:rPr>
                    <w:t>1</w:t>
                  </w:r>
                </w:p>
              </w:tc>
              <w:tc>
                <w:tcPr>
                  <w:tcW w:w="795" w:type="pct"/>
                  <w:vAlign w:val="center"/>
                </w:tcPr>
                <w:p w14:paraId="5D6364EE">
                  <w:pPr>
                    <w:adjustRightInd w:val="0"/>
                    <w:snapToGrid w:val="0"/>
                    <w:jc w:val="center"/>
                    <w:rPr>
                      <w:color w:val="auto"/>
                      <w:szCs w:val="21"/>
                    </w:rPr>
                  </w:pPr>
                  <w:r>
                    <w:rPr>
                      <w:color w:val="auto"/>
                      <w:szCs w:val="21"/>
                    </w:rPr>
                    <w:t>1</w:t>
                  </w:r>
                </w:p>
              </w:tc>
              <w:tc>
                <w:tcPr>
                  <w:tcW w:w="1435" w:type="pct"/>
                  <w:vAlign w:val="center"/>
                </w:tcPr>
                <w:p w14:paraId="4923F67F">
                  <w:pPr>
                    <w:adjustRightInd w:val="0"/>
                    <w:snapToGrid w:val="0"/>
                    <w:jc w:val="center"/>
                    <w:rPr>
                      <w:color w:val="auto"/>
                      <w:szCs w:val="21"/>
                    </w:rPr>
                  </w:pPr>
                  <w:r>
                    <w:rPr>
                      <w:color w:val="auto"/>
                      <w:szCs w:val="21"/>
                    </w:rPr>
                    <w:t>容积150m³</w:t>
                  </w:r>
                </w:p>
              </w:tc>
            </w:tr>
          </w:tbl>
          <w:p w14:paraId="34F5EC45">
            <w:pPr>
              <w:widowControl/>
              <w:autoSpaceDE w:val="0"/>
              <w:autoSpaceDN w:val="0"/>
              <w:spacing w:line="360" w:lineRule="auto"/>
              <w:textAlignment w:val="baseline"/>
              <w:rPr>
                <w:b/>
                <w:color w:val="auto"/>
                <w:sz w:val="24"/>
              </w:rPr>
            </w:pPr>
            <w:r>
              <w:rPr>
                <w:b/>
                <w:color w:val="auto"/>
                <w:sz w:val="24"/>
              </w:rPr>
              <w:t>产能匹配性分析：</w:t>
            </w:r>
          </w:p>
          <w:p w14:paraId="5975DED1">
            <w:pPr>
              <w:widowControl/>
              <w:autoSpaceDE w:val="0"/>
              <w:autoSpaceDN w:val="0"/>
              <w:spacing w:line="360" w:lineRule="auto"/>
              <w:ind w:firstLine="480" w:firstLineChars="200"/>
              <w:textAlignment w:val="baseline"/>
              <w:rPr>
                <w:color w:val="auto"/>
                <w:sz w:val="24"/>
              </w:rPr>
            </w:pPr>
            <w:r>
              <w:rPr>
                <w:color w:val="auto"/>
                <w:sz w:val="24"/>
              </w:rPr>
              <w:t>项目扩建前蒸压养护慢，但切割好的坯体必须进入蒸压釜，在高温高压饱和蒸汽环境下养护8-12小时，才能发生水热合成反应，获得最终的强度和其他性能。现增加养护模框，大大提高了养护时间，使得坯体在进入蒸养前充分发生合成反应，缩短了蒸压环节的时间。也就是说增加养护时间，缩短蒸养时间，直接提升了单台蒸压釜的周转率。</w:t>
            </w:r>
          </w:p>
          <w:p w14:paraId="19F1EA45">
            <w:pPr>
              <w:widowControl/>
              <w:autoSpaceDE w:val="0"/>
              <w:autoSpaceDN w:val="0"/>
              <w:spacing w:line="360" w:lineRule="auto"/>
              <w:ind w:firstLine="480" w:firstLineChars="200"/>
              <w:textAlignment w:val="baseline"/>
              <w:rPr>
                <w:color w:val="auto"/>
                <w:sz w:val="24"/>
              </w:rPr>
            </w:pPr>
            <w:r>
              <w:rPr>
                <w:color w:val="auto"/>
                <w:sz w:val="24"/>
              </w:rPr>
              <w:t>本项目企业对蒸压釜进行升级改造，企业拟设置5条蒸压加气混凝土砌砖生产线，单条生产线产能为267m³/d，本项目年工作300d，最大年产能为40.5万m³蒸压加气混凝土砌块，因此，可满足本项目的计划产能（年产40万m³蒸压加气混凝土砌块）。</w:t>
            </w:r>
          </w:p>
          <w:p w14:paraId="70B51395">
            <w:pPr>
              <w:widowControl/>
              <w:autoSpaceDE w:val="0"/>
              <w:autoSpaceDN w:val="0"/>
              <w:spacing w:line="360" w:lineRule="auto"/>
              <w:ind w:firstLine="480" w:firstLineChars="200"/>
              <w:textAlignment w:val="baseline"/>
              <w:rPr>
                <w:bCs/>
                <w:color w:val="auto"/>
                <w:sz w:val="24"/>
              </w:rPr>
            </w:pPr>
            <w:r>
              <w:rPr>
                <w:bCs/>
                <w:color w:val="auto"/>
                <w:sz w:val="24"/>
              </w:rPr>
              <w:t>5、职工人数及工作制度</w:t>
            </w:r>
          </w:p>
          <w:p w14:paraId="6DBD3602">
            <w:pPr>
              <w:spacing w:line="360" w:lineRule="auto"/>
              <w:ind w:firstLine="480" w:firstLineChars="200"/>
              <w:rPr>
                <w:color w:val="auto"/>
                <w:sz w:val="24"/>
              </w:rPr>
            </w:pPr>
            <w:r>
              <w:rPr>
                <w:color w:val="auto"/>
                <w:sz w:val="24"/>
              </w:rPr>
              <w:t>工作制度：年工作300天，一班制，单班8小时，年工作时间2400小时。</w:t>
            </w:r>
          </w:p>
          <w:p w14:paraId="0ECDE6BC">
            <w:pPr>
              <w:spacing w:line="360" w:lineRule="auto"/>
              <w:ind w:firstLine="480" w:firstLineChars="200"/>
              <w:rPr>
                <w:color w:val="auto"/>
                <w:sz w:val="24"/>
              </w:rPr>
            </w:pPr>
            <w:r>
              <w:rPr>
                <w:color w:val="auto"/>
                <w:sz w:val="24"/>
              </w:rPr>
              <w:t>劳动定员：项目劳动定员40人，本次扩建项目不新增劳动定员。</w:t>
            </w:r>
          </w:p>
          <w:p w14:paraId="0C198574">
            <w:pPr>
              <w:spacing w:line="360" w:lineRule="auto"/>
              <w:ind w:firstLine="480" w:firstLineChars="200"/>
              <w:rPr>
                <w:color w:val="auto"/>
                <w:sz w:val="24"/>
              </w:rPr>
            </w:pPr>
            <w:r>
              <w:rPr>
                <w:color w:val="auto"/>
                <w:sz w:val="24"/>
              </w:rPr>
              <w:t>6、项目平面布置</w:t>
            </w:r>
          </w:p>
          <w:p w14:paraId="4A216DBC">
            <w:pPr>
              <w:spacing w:line="360" w:lineRule="auto"/>
              <w:ind w:firstLine="480" w:firstLineChars="200"/>
              <w:rPr>
                <w:b/>
                <w:color w:val="auto"/>
                <w:sz w:val="24"/>
              </w:rPr>
            </w:pPr>
            <w:r>
              <w:rPr>
                <w:color w:val="auto"/>
                <w:sz w:val="24"/>
              </w:rPr>
              <w:t>安徽永丰新型墙体材料有限公司位于宿州市埇桥区朱仙庄镇东三环与泗永路交叉口东侧，根据项目功能要求和场地地形，本次扩建项目依托原有已建车间，并相应的进行扩大车间面积，项目主出入口位于厂区南侧，靠近马路。高噪声设备安置在生产区，并采用隔声、减振等降噪措施，减少对外环境的影响。综合分析，车间内按各生产流程布置各生产设备和生产材料，以缩短运输路线，提高生产效率。厂内外运输配合协调，避免了往返运输和作业线交叉，避免人流货流交叉。项目布置总体来说，结构明朗，流程顺畅，布局紧凑，符合防火、安全卫生、环保、交通、运输、生产工艺流程等需求。总体上做到按功能分区，系统分明，布置整齐。项目平面布置满足生产人流、物流分离、互不交叉干扰的原则（具体见附图）。综上所述，本项目厂区平面布局较合理。</w:t>
            </w:r>
          </w:p>
          <w:p w14:paraId="7F7BA0C8">
            <w:pPr>
              <w:widowControl/>
              <w:autoSpaceDE w:val="0"/>
              <w:autoSpaceDN w:val="0"/>
              <w:spacing w:line="360" w:lineRule="auto"/>
              <w:ind w:firstLine="480" w:firstLineChars="200"/>
              <w:textAlignment w:val="baseline"/>
              <w:rPr>
                <w:color w:val="auto"/>
                <w:sz w:val="24"/>
              </w:rPr>
            </w:pPr>
            <w:r>
              <w:rPr>
                <w:color w:val="auto"/>
                <w:sz w:val="24"/>
              </w:rPr>
              <w:t>7、水量平衡</w:t>
            </w:r>
          </w:p>
          <w:p w14:paraId="44D4108B">
            <w:pPr>
              <w:spacing w:line="360" w:lineRule="auto"/>
              <w:ind w:firstLine="480" w:firstLineChars="200"/>
              <w:rPr>
                <w:color w:val="auto"/>
                <w:sz w:val="24"/>
              </w:rPr>
            </w:pPr>
            <w:r>
              <w:rPr>
                <w:color w:val="auto"/>
                <w:sz w:val="24"/>
              </w:rPr>
              <w:t>（1）生活用水</w:t>
            </w:r>
          </w:p>
          <w:p w14:paraId="168B6FF4">
            <w:pPr>
              <w:spacing w:line="360" w:lineRule="auto"/>
              <w:ind w:firstLine="480" w:firstLineChars="200"/>
              <w:rPr>
                <w:color w:val="auto"/>
                <w:sz w:val="24"/>
              </w:rPr>
            </w:pPr>
            <w:r>
              <w:rPr>
                <w:color w:val="auto"/>
                <w:sz w:val="24"/>
              </w:rPr>
              <w:t>本项目不新增员工，不新增生活用水。生活污水经化粪池预处理后定期清掏，不外排。</w:t>
            </w:r>
          </w:p>
          <w:p w14:paraId="7E5293BE">
            <w:pPr>
              <w:spacing w:line="360" w:lineRule="auto"/>
              <w:ind w:firstLine="480" w:firstLineChars="200"/>
              <w:rPr>
                <w:color w:val="auto"/>
                <w:sz w:val="24"/>
              </w:rPr>
            </w:pPr>
            <w:r>
              <w:rPr>
                <w:color w:val="auto"/>
                <w:sz w:val="24"/>
              </w:rPr>
              <w:t>（2）生产用水</w:t>
            </w:r>
          </w:p>
          <w:p w14:paraId="40FAD164">
            <w:pPr>
              <w:pStyle w:val="9"/>
              <w:spacing w:line="360" w:lineRule="auto"/>
              <w:ind w:firstLine="480" w:firstLineChars="200"/>
              <w:rPr>
                <w:color w:val="auto"/>
                <w:sz w:val="24"/>
              </w:rPr>
            </w:pPr>
            <w:r>
              <w:rPr>
                <w:color w:val="auto"/>
                <w:sz w:val="24"/>
              </w:rPr>
              <w:t>①产品用水</w:t>
            </w:r>
          </w:p>
          <w:p w14:paraId="713FBC6C">
            <w:pPr>
              <w:spacing w:line="360" w:lineRule="auto"/>
              <w:ind w:firstLine="480" w:firstLineChars="200"/>
              <w:rPr>
                <w:color w:val="auto"/>
                <w:sz w:val="24"/>
              </w:rPr>
            </w:pPr>
            <w:r>
              <w:rPr>
                <w:color w:val="auto"/>
                <w:sz w:val="24"/>
              </w:rPr>
              <w:t>扩建项目加气混凝土砌块生产工程中需加入一定比例的水，根据建设单位实际生产经验，项目生产1m³加气混凝土砌块需要用水0.35t扩建项目年产40万m³加气混凝土砌块，则项目配料用水为140000t/a（466.67t/d），配料水全部进入产品中，经蒸压后全部蒸发损耗，不外排。</w:t>
            </w:r>
          </w:p>
          <w:p w14:paraId="352C65EF">
            <w:pPr>
              <w:spacing w:line="360" w:lineRule="auto"/>
              <w:ind w:firstLine="480" w:firstLineChars="200"/>
              <w:rPr>
                <w:color w:val="auto"/>
                <w:sz w:val="24"/>
              </w:rPr>
            </w:pPr>
            <w:r>
              <w:rPr>
                <w:color w:val="auto"/>
                <w:sz w:val="24"/>
              </w:rPr>
              <w:t>②湿式球磨用水：扩建项目球磨用水为球磨过程中的喷洒用水，现有项目球磨机用水量为30t/d（9000t/a），本项目不新增球磨设备，球磨运行时间增加，根据建设单位实际生产经验，本项目球磨机用水量为50t/d（15000t/a），清洗用水经沉淀池沉淀后循环利用，不外排，生产过程中损耗的水量约为5%，即损耗水量为2.5t/d（750t/a），全部进入到物料中进行配料。</w:t>
            </w:r>
          </w:p>
          <w:p w14:paraId="034F4E7B">
            <w:pPr>
              <w:spacing w:line="360" w:lineRule="auto"/>
              <w:ind w:firstLine="480" w:firstLineChars="200"/>
              <w:rPr>
                <w:color w:val="auto"/>
                <w:sz w:val="24"/>
              </w:rPr>
            </w:pPr>
            <w:r>
              <w:rPr>
                <w:color w:val="auto"/>
                <w:sz w:val="24"/>
              </w:rPr>
              <w:t>③搅拌机清洗用水</w:t>
            </w:r>
          </w:p>
          <w:p w14:paraId="14827132">
            <w:pPr>
              <w:spacing w:line="360" w:lineRule="auto"/>
              <w:ind w:firstLine="480" w:firstLineChars="200"/>
              <w:rPr>
                <w:color w:val="auto"/>
                <w:sz w:val="24"/>
              </w:rPr>
            </w:pPr>
            <w:r>
              <w:rPr>
                <w:color w:val="auto"/>
                <w:sz w:val="24"/>
              </w:rPr>
              <w:t>本项目为扩建项目，原项目搅拌机停止作业后需清洗，本次评价不涉及新增搅拌机设备，故而不新增搅拌机设备清洗用水。</w:t>
            </w:r>
          </w:p>
          <w:p w14:paraId="6B3D3A98">
            <w:pPr>
              <w:spacing w:line="360" w:lineRule="auto"/>
              <w:ind w:firstLine="480" w:firstLineChars="200"/>
              <w:rPr>
                <w:color w:val="auto"/>
                <w:sz w:val="24"/>
              </w:rPr>
            </w:pPr>
            <w:r>
              <w:rPr>
                <w:color w:val="auto"/>
                <w:sz w:val="24"/>
              </w:rPr>
              <w:t>④车辆冲洗用水</w:t>
            </w:r>
          </w:p>
          <w:p w14:paraId="26FDC93D">
            <w:pPr>
              <w:spacing w:line="360" w:lineRule="auto"/>
              <w:ind w:firstLine="480" w:firstLineChars="200"/>
              <w:jc w:val="left"/>
              <w:rPr>
                <w:color w:val="auto"/>
                <w:sz w:val="24"/>
              </w:rPr>
            </w:pPr>
            <w:r>
              <w:rPr>
                <w:color w:val="auto"/>
                <w:sz w:val="24"/>
              </w:rPr>
              <w:t>扩建项目车辆出厂区需对轮胎进行冲洗，避免带泥上路，减少扬尘产生。根据扩建项目原辅材料为209万t/a，项目原料按单车一次运输量为30t计算，年运输量为69667次，项目在厂区出入口设置洗车平台，每辆车入厂和出厂均需要清洗，运输车量冲洗水量按0.5m</w:t>
            </w:r>
            <w:r>
              <w:rPr>
                <w:color w:val="auto"/>
                <w:sz w:val="24"/>
                <w:vertAlign w:val="superscript"/>
              </w:rPr>
              <w:t>3</w:t>
            </w:r>
            <w:r>
              <w:rPr>
                <w:color w:val="auto"/>
                <w:sz w:val="24"/>
              </w:rPr>
              <w:t>/辆·次，则运输车辆冲洗用水量为116.11t/d（34833t/a），清洗用水经沉淀池沉淀后循环利用，不外排。损耗系数按10%计，则需定期补充新鲜水量为11.62t/d（3486t/a）。</w:t>
            </w:r>
          </w:p>
          <w:p w14:paraId="711DF1EA">
            <w:pPr>
              <w:spacing w:line="360" w:lineRule="auto"/>
              <w:ind w:firstLine="480" w:firstLineChars="200"/>
              <w:rPr>
                <w:color w:val="auto"/>
                <w:sz w:val="24"/>
              </w:rPr>
            </w:pPr>
            <w:r>
              <w:rPr>
                <w:color w:val="auto"/>
                <w:sz w:val="24"/>
              </w:rPr>
              <w:t>⑤喷淋降尘用水</w:t>
            </w:r>
          </w:p>
          <w:p w14:paraId="24D68629">
            <w:pPr>
              <w:spacing w:line="360" w:lineRule="auto"/>
              <w:ind w:firstLine="480" w:firstLineChars="200"/>
              <w:rPr>
                <w:color w:val="auto"/>
                <w:sz w:val="24"/>
              </w:rPr>
            </w:pPr>
            <w:r>
              <w:rPr>
                <w:color w:val="auto"/>
                <w:sz w:val="24"/>
              </w:rPr>
              <w:t>本项目为扩建项目，不新增用地，仅涉及在现有厂区内进行建设和改造，不新增喷淋降尘用水。</w:t>
            </w:r>
          </w:p>
          <w:p w14:paraId="54E598F4">
            <w:pPr>
              <w:spacing w:line="360" w:lineRule="auto"/>
              <w:ind w:firstLine="480" w:firstLineChars="200"/>
              <w:jc w:val="center"/>
              <w:rPr>
                <w:color w:val="auto"/>
              </w:rPr>
            </w:pPr>
            <w:r>
              <w:rPr>
                <w:color w:val="auto"/>
                <w:sz w:val="24"/>
              </w:rPr>
              <w:drawing>
                <wp:inline distT="0" distB="0" distL="114300" distR="114300">
                  <wp:extent cx="4239895" cy="3218815"/>
                  <wp:effectExtent l="0" t="0" r="12065" b="12065"/>
                  <wp:docPr id="2" name="F360BE8B-6686-4F3D-AEAF-501FE73E4058-1" descr="C:/Users/Administrator/AppData/Local/Temp/绘图1(60).png绘图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360BE8B-6686-4F3D-AEAF-501FE73E4058-1" descr="C:/Users/Administrator/AppData/Local/Temp/绘图1(60).png绘图1(60)"/>
                          <pic:cNvPicPr>
                            <a:picLocks noChangeAspect="1"/>
                          </pic:cNvPicPr>
                        </pic:nvPicPr>
                        <pic:blipFill>
                          <a:blip r:embed="rId5"/>
                          <a:stretch>
                            <a:fillRect/>
                          </a:stretch>
                        </pic:blipFill>
                        <pic:spPr>
                          <a:xfrm>
                            <a:off x="0" y="0"/>
                            <a:ext cx="4239768" cy="3218688"/>
                          </a:xfrm>
                          <a:prstGeom prst="rect">
                            <a:avLst/>
                          </a:prstGeom>
                        </pic:spPr>
                      </pic:pic>
                    </a:graphicData>
                  </a:graphic>
                </wp:inline>
              </w:drawing>
            </w:r>
          </w:p>
          <w:p w14:paraId="07299C1D">
            <w:pPr>
              <w:spacing w:line="360" w:lineRule="auto"/>
              <w:ind w:firstLine="482" w:firstLineChars="200"/>
              <w:jc w:val="center"/>
              <w:rPr>
                <w:b/>
                <w:bCs/>
                <w:color w:val="auto"/>
                <w:sz w:val="24"/>
              </w:rPr>
            </w:pPr>
            <w:r>
              <w:rPr>
                <w:b/>
                <w:bCs/>
                <w:color w:val="auto"/>
                <w:sz w:val="24"/>
              </w:rPr>
              <w:t>图2-1  扩建项目水平衡图t/d</w:t>
            </w:r>
          </w:p>
          <w:p w14:paraId="3879CE53">
            <w:pPr>
              <w:spacing w:line="360" w:lineRule="auto"/>
              <w:ind w:firstLine="482" w:firstLineChars="200"/>
              <w:jc w:val="center"/>
              <w:rPr>
                <w:b/>
                <w:bCs/>
                <w:color w:val="auto"/>
                <w:sz w:val="24"/>
              </w:rPr>
            </w:pPr>
            <w:r>
              <w:rPr>
                <w:b/>
                <w:bCs/>
                <w:color w:val="auto"/>
                <w:sz w:val="24"/>
              </w:rPr>
              <w:drawing>
                <wp:inline distT="0" distB="0" distL="114300" distR="114300">
                  <wp:extent cx="3924300" cy="5060315"/>
                  <wp:effectExtent l="0" t="0" r="7620" b="14605"/>
                  <wp:docPr id="6" name="F360BE8B-6686-4F3D-AEAF-501FE73E4058-2" descr="C:/Users/Administrator/AppData/Local/Temp/绘图1(61).png绘图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360BE8B-6686-4F3D-AEAF-501FE73E4058-2" descr="C:/Users/Administrator/AppData/Local/Temp/绘图1(61).png绘图1(61)"/>
                          <pic:cNvPicPr>
                            <a:picLocks noChangeAspect="1"/>
                          </pic:cNvPicPr>
                        </pic:nvPicPr>
                        <pic:blipFill>
                          <a:blip r:embed="rId6"/>
                          <a:stretch>
                            <a:fillRect/>
                          </a:stretch>
                        </pic:blipFill>
                        <pic:spPr>
                          <a:xfrm>
                            <a:off x="0" y="0"/>
                            <a:ext cx="3924300" cy="5060315"/>
                          </a:xfrm>
                          <a:prstGeom prst="rect">
                            <a:avLst/>
                          </a:prstGeom>
                        </pic:spPr>
                      </pic:pic>
                    </a:graphicData>
                  </a:graphic>
                </wp:inline>
              </w:drawing>
            </w:r>
          </w:p>
          <w:p w14:paraId="33ED22C4">
            <w:pPr>
              <w:spacing w:line="360" w:lineRule="auto"/>
              <w:jc w:val="center"/>
              <w:rPr>
                <w:b/>
                <w:color w:val="auto"/>
                <w:sz w:val="24"/>
              </w:rPr>
            </w:pPr>
            <w:r>
              <w:rPr>
                <w:b/>
                <w:bCs/>
                <w:color w:val="auto"/>
                <w:spacing w:val="-4"/>
                <w:sz w:val="24"/>
              </w:rPr>
              <w:t>图</w:t>
            </w:r>
            <w:r>
              <w:rPr>
                <w:color w:val="auto"/>
                <w:spacing w:val="-37"/>
                <w:sz w:val="24"/>
              </w:rPr>
              <w:t xml:space="preserve"> </w:t>
            </w:r>
            <w:r>
              <w:rPr>
                <w:b/>
                <w:bCs/>
                <w:color w:val="auto"/>
                <w:spacing w:val="-4"/>
                <w:sz w:val="24"/>
              </w:rPr>
              <w:t xml:space="preserve">2-2  扩建前项目水平衡图  </w:t>
            </w:r>
            <w:r>
              <w:rPr>
                <w:b/>
                <w:color w:val="auto"/>
                <w:sz w:val="24"/>
              </w:rPr>
              <w:t>单位：t/</w:t>
            </w:r>
            <w:r>
              <w:rPr>
                <w:rFonts w:hint="eastAsia"/>
                <w:b/>
                <w:color w:val="auto"/>
                <w:sz w:val="24"/>
              </w:rPr>
              <w:t>d</w:t>
            </w:r>
          </w:p>
          <w:p w14:paraId="2B5B8029">
            <w:pPr>
              <w:pStyle w:val="28"/>
              <w:jc w:val="center"/>
              <w:rPr>
                <w:rFonts w:cs="Times New Roman"/>
                <w:b/>
                <w:bCs/>
                <w:color w:val="auto"/>
              </w:rPr>
            </w:pPr>
            <w:r>
              <w:rPr>
                <w:rFonts w:cs="Times New Roman"/>
                <w:b/>
                <w:bCs/>
                <w:color w:val="auto"/>
              </w:rPr>
              <w:drawing>
                <wp:inline distT="0" distB="0" distL="114300" distR="114300">
                  <wp:extent cx="3888105" cy="4347845"/>
                  <wp:effectExtent l="0" t="0" r="13335" b="10795"/>
                  <wp:docPr id="7" name="F360BE8B-6686-4F3D-AEAF-501FE73E4058-3" descr="C:/Users/Administrator/AppData/Local/Temp/绘图1(59).png绘图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360BE8B-6686-4F3D-AEAF-501FE73E4058-3" descr="C:/Users/Administrator/AppData/Local/Temp/绘图1(59).png绘图1(59)"/>
                          <pic:cNvPicPr>
                            <a:picLocks noChangeAspect="1"/>
                          </pic:cNvPicPr>
                        </pic:nvPicPr>
                        <pic:blipFill>
                          <a:blip r:embed="rId7"/>
                          <a:stretch>
                            <a:fillRect/>
                          </a:stretch>
                        </pic:blipFill>
                        <pic:spPr>
                          <a:xfrm>
                            <a:off x="0" y="0"/>
                            <a:ext cx="3888105" cy="4347845"/>
                          </a:xfrm>
                          <a:prstGeom prst="rect">
                            <a:avLst/>
                          </a:prstGeom>
                        </pic:spPr>
                      </pic:pic>
                    </a:graphicData>
                  </a:graphic>
                </wp:inline>
              </w:drawing>
            </w:r>
          </w:p>
          <w:p w14:paraId="70507F41">
            <w:pPr>
              <w:spacing w:line="360" w:lineRule="auto"/>
              <w:jc w:val="center"/>
              <w:rPr>
                <w:color w:val="auto"/>
              </w:rPr>
            </w:pPr>
            <w:r>
              <w:rPr>
                <w:b/>
                <w:bCs/>
                <w:color w:val="auto"/>
                <w:spacing w:val="-4"/>
                <w:sz w:val="24"/>
              </w:rPr>
              <w:t>图</w:t>
            </w:r>
            <w:r>
              <w:rPr>
                <w:color w:val="auto"/>
                <w:spacing w:val="-37"/>
                <w:sz w:val="24"/>
              </w:rPr>
              <w:t xml:space="preserve"> </w:t>
            </w:r>
            <w:r>
              <w:rPr>
                <w:b/>
                <w:bCs/>
                <w:color w:val="auto"/>
                <w:spacing w:val="-4"/>
                <w:sz w:val="24"/>
              </w:rPr>
              <w:t xml:space="preserve">2-3  扩建后全厂水平衡图  </w:t>
            </w:r>
            <w:r>
              <w:rPr>
                <w:b/>
                <w:color w:val="auto"/>
                <w:sz w:val="24"/>
              </w:rPr>
              <w:t>单位：</w:t>
            </w:r>
            <w:r>
              <w:rPr>
                <w:rFonts w:hint="eastAsia"/>
                <w:b/>
                <w:color w:val="auto"/>
                <w:sz w:val="24"/>
              </w:rPr>
              <w:t>t</w:t>
            </w:r>
            <w:r>
              <w:rPr>
                <w:b/>
                <w:color w:val="auto"/>
                <w:sz w:val="24"/>
              </w:rPr>
              <w:t>/d</w:t>
            </w:r>
          </w:p>
        </w:tc>
      </w:tr>
      <w:tr w14:paraId="710EB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6" w:hRule="atLeast"/>
          <w:jc w:val="center"/>
        </w:trPr>
        <w:tc>
          <w:tcPr>
            <w:tcW w:w="541" w:type="dxa"/>
            <w:vAlign w:val="center"/>
          </w:tcPr>
          <w:p w14:paraId="30C9BFCB">
            <w:pPr>
              <w:pStyle w:val="21"/>
              <w:adjustRightInd w:val="0"/>
              <w:snapToGrid w:val="0"/>
              <w:spacing w:before="0" w:beforeAutospacing="0" w:after="0" w:afterAutospacing="0"/>
              <w:jc w:val="center"/>
              <w:rPr>
                <w:rFonts w:ascii="Times New Roman" w:hAnsi="Times New Roman"/>
                <w:b/>
                <w:color w:val="auto"/>
              </w:rPr>
            </w:pPr>
            <w:r>
              <w:rPr>
                <w:rFonts w:ascii="Times New Roman" w:hAnsi="Times New Roman"/>
                <w:b/>
                <w:color w:val="auto"/>
              </w:rPr>
              <w:t>工艺流程和产排污环节</w:t>
            </w:r>
          </w:p>
        </w:tc>
        <w:tc>
          <w:tcPr>
            <w:tcW w:w="8988" w:type="dxa"/>
          </w:tcPr>
          <w:p w14:paraId="46CFA690">
            <w:pPr>
              <w:pStyle w:val="30"/>
              <w:ind w:firstLine="0" w:firstLineChars="0"/>
              <w:rPr>
                <w:b/>
                <w:bCs/>
                <w:color w:val="auto"/>
              </w:rPr>
            </w:pPr>
            <w:r>
              <w:rPr>
                <w:b/>
                <w:bCs/>
                <w:color w:val="auto"/>
              </w:rPr>
              <w:t>1、生产工艺</w:t>
            </w:r>
          </w:p>
          <w:p w14:paraId="2735B7A8">
            <w:pPr>
              <w:widowControl/>
              <w:spacing w:before="156" w:beforeLines="50"/>
              <w:jc w:val="center"/>
              <w:rPr>
                <w:color w:val="auto"/>
              </w:rPr>
            </w:pPr>
            <w:r>
              <w:rPr>
                <w:rFonts w:eastAsiaTheme="minorEastAsia"/>
                <w:color w:val="auto"/>
              </w:rPr>
              <w:drawing>
                <wp:inline distT="0" distB="0" distL="114300" distR="114300">
                  <wp:extent cx="4643755" cy="5509895"/>
                  <wp:effectExtent l="0" t="0" r="4445" b="6985"/>
                  <wp:docPr id="16" name="F360BE8B-6686-4F3D-AEAF-501FE73E4058-4" descr="C:/Users/Administrator/AppData/Local/Temp/绘图1(56).png绘图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360BE8B-6686-4F3D-AEAF-501FE73E4058-4" descr="C:/Users/Administrator/AppData/Local/Temp/绘图1(56).png绘图1(56)"/>
                          <pic:cNvPicPr>
                            <a:picLocks noChangeAspect="1"/>
                          </pic:cNvPicPr>
                        </pic:nvPicPr>
                        <pic:blipFill>
                          <a:blip r:embed="rId8"/>
                          <a:stretch>
                            <a:fillRect/>
                          </a:stretch>
                        </pic:blipFill>
                        <pic:spPr>
                          <a:xfrm>
                            <a:off x="0" y="0"/>
                            <a:ext cx="4643755" cy="5509895"/>
                          </a:xfrm>
                          <a:prstGeom prst="rect">
                            <a:avLst/>
                          </a:prstGeom>
                        </pic:spPr>
                      </pic:pic>
                    </a:graphicData>
                  </a:graphic>
                </wp:inline>
              </w:drawing>
            </w:r>
          </w:p>
          <w:p w14:paraId="52D37D99">
            <w:pPr>
              <w:pStyle w:val="30"/>
              <w:ind w:firstLine="0" w:firstLineChars="0"/>
              <w:jc w:val="center"/>
              <w:rPr>
                <w:b/>
                <w:bCs/>
                <w:color w:val="auto"/>
              </w:rPr>
            </w:pPr>
            <w:r>
              <w:rPr>
                <w:b/>
                <w:bCs/>
                <w:color w:val="auto"/>
              </w:rPr>
              <w:t>图 2-</w:t>
            </w:r>
            <w:r>
              <w:rPr>
                <w:rFonts w:hint="eastAsia"/>
                <w:b/>
                <w:bCs/>
                <w:color w:val="auto"/>
              </w:rPr>
              <w:t>4</w:t>
            </w:r>
            <w:r>
              <w:rPr>
                <w:b/>
                <w:bCs/>
                <w:color w:val="auto"/>
              </w:rPr>
              <w:t xml:space="preserve">  生产工艺流程及产污节点图</w:t>
            </w:r>
          </w:p>
          <w:p w14:paraId="1686410F">
            <w:pPr>
              <w:pStyle w:val="28"/>
              <w:numPr>
                <w:ilvl w:val="1"/>
                <w:numId w:val="0"/>
              </w:numPr>
              <w:jc w:val="center"/>
              <w:rPr>
                <w:rFonts w:cs="Times New Roman"/>
                <w:color w:val="auto"/>
              </w:rPr>
            </w:pPr>
            <w:r>
              <w:rPr>
                <w:rFonts w:cs="Times New Roman"/>
                <w:b/>
                <w:bCs/>
                <w:color w:val="auto"/>
              </w:rPr>
              <w:t>（</w:t>
            </w:r>
            <w:r>
              <w:rPr>
                <w:rFonts w:cs="Times New Roman"/>
                <w:b/>
                <w:bCs/>
                <w:color w:val="auto"/>
                <w:lang w:val="en-US"/>
              </w:rPr>
              <w:t>G：废气、N：噪声、S：固废、W：废水</w:t>
            </w:r>
            <w:r>
              <w:rPr>
                <w:rFonts w:cs="Times New Roman"/>
                <w:b/>
                <w:bCs/>
                <w:color w:val="auto"/>
              </w:rPr>
              <w:t>）</w:t>
            </w:r>
          </w:p>
          <w:p w14:paraId="377A9432">
            <w:pPr>
              <w:pStyle w:val="28"/>
              <w:numPr>
                <w:ilvl w:val="1"/>
                <w:numId w:val="0"/>
              </w:numPr>
              <w:spacing w:line="360" w:lineRule="auto"/>
              <w:rPr>
                <w:rFonts w:cs="Times New Roman"/>
                <w:color w:val="auto"/>
              </w:rPr>
            </w:pPr>
            <w:r>
              <w:rPr>
                <w:rFonts w:cs="Times New Roman"/>
                <w:color w:val="auto"/>
              </w:rPr>
              <w:t>工艺流程描述：</w:t>
            </w:r>
          </w:p>
          <w:p w14:paraId="74942165">
            <w:pPr>
              <w:pStyle w:val="11"/>
              <w:spacing w:after="0" w:line="360" w:lineRule="auto"/>
              <w:ind w:left="0" w:leftChars="0" w:firstLine="480" w:firstLineChars="200"/>
              <w:rPr>
                <w:color w:val="auto"/>
                <w:kern w:val="2"/>
                <w:szCs w:val="24"/>
              </w:rPr>
            </w:pPr>
            <w:r>
              <w:rPr>
                <w:color w:val="auto"/>
                <w:kern w:val="2"/>
                <w:szCs w:val="24"/>
              </w:rPr>
              <w:t>1、原料制备工段</w:t>
            </w:r>
          </w:p>
          <w:p w14:paraId="71D21AB9">
            <w:pPr>
              <w:pStyle w:val="12"/>
              <w:rPr>
                <w:color w:val="auto"/>
              </w:rPr>
            </w:pPr>
            <w:r>
              <w:rPr>
                <w:color w:val="auto"/>
              </w:rPr>
              <w:t>原材料进厂后分别库存。</w:t>
            </w:r>
          </w:p>
          <w:p w14:paraId="24580EF0">
            <w:pPr>
              <w:pStyle w:val="11"/>
              <w:spacing w:after="0" w:line="360" w:lineRule="auto"/>
              <w:ind w:left="0" w:leftChars="0" w:firstLine="480" w:firstLineChars="200"/>
              <w:rPr>
                <w:color w:val="auto"/>
                <w:kern w:val="2"/>
                <w:szCs w:val="24"/>
              </w:rPr>
            </w:pPr>
            <w:r>
              <w:rPr>
                <w:color w:val="auto"/>
                <w:kern w:val="2"/>
                <w:szCs w:val="24"/>
              </w:rPr>
              <w:t>（1）粉煤灰</w:t>
            </w:r>
          </w:p>
          <w:p w14:paraId="6141DE09">
            <w:pPr>
              <w:pStyle w:val="12"/>
              <w:spacing w:line="360" w:lineRule="auto"/>
              <w:ind w:left="0" w:firstLine="480" w:firstLineChars="200"/>
              <w:rPr>
                <w:color w:val="auto"/>
              </w:rPr>
            </w:pPr>
            <w:r>
              <w:rPr>
                <w:color w:val="auto"/>
              </w:rPr>
              <w:t>由灌装车泵入原料中贮存，再由螺旋输送机喂入滚筒筛，将粉煤灰中的杂质筛下来，然后再由输送机喂入球磨机加入细磨，调整粉煤灰密度达标后，贮存在贮存池中备用，再由泥浆泵注入贮浆池中待用。粉煤灰经贮浆池贮存调整，贮浆罐二次贮存，</w:t>
            </w:r>
            <w:r>
              <w:rPr>
                <w:rFonts w:hint="default"/>
                <w:color w:val="auto"/>
                <w:lang w:val="en-US" w:eastAsia="zh-CN"/>
              </w:rPr>
              <w:t>制成一定浓度的粉煤灰浆</w:t>
            </w:r>
            <w:r>
              <w:rPr>
                <w:color w:val="auto"/>
              </w:rPr>
              <w:t>，保证浇注稳定性和连续生产的要求。此过程产生的污染物主要为筛分废气G1、设备噪声N1、杂质S1。</w:t>
            </w:r>
          </w:p>
          <w:p w14:paraId="36EFD8BC">
            <w:pPr>
              <w:pStyle w:val="13"/>
              <w:ind w:left="0" w:leftChars="0" w:firstLine="480"/>
              <w:rPr>
                <w:color w:val="auto"/>
              </w:rPr>
            </w:pPr>
            <w:r>
              <w:rPr>
                <w:color w:val="auto"/>
              </w:rPr>
              <w:t>（2）</w:t>
            </w:r>
            <w:r>
              <w:rPr>
                <w:rFonts w:hint="eastAsia"/>
                <w:color w:val="auto"/>
                <w:lang w:val="en-US" w:eastAsia="zh-CN"/>
              </w:rPr>
              <w:t>生</w:t>
            </w:r>
            <w:r>
              <w:rPr>
                <w:color w:val="auto"/>
              </w:rPr>
              <w:t>石灰</w:t>
            </w:r>
          </w:p>
          <w:p w14:paraId="2A5A797E">
            <w:pPr>
              <w:spacing w:line="360" w:lineRule="auto"/>
              <w:ind w:firstLine="480" w:firstLineChars="200"/>
              <w:rPr>
                <w:color w:val="auto"/>
                <w:sz w:val="24"/>
              </w:rPr>
            </w:pPr>
            <w:r>
              <w:rPr>
                <w:color w:val="auto"/>
                <w:sz w:val="24"/>
              </w:rPr>
              <w:t>块状石灰入厂后，倒入受料斗，由胶带输送喂入颚式破碎机后，由斗式提升机送入石灰筒机再由螺旋输送机喂入斗式提升机提至石灰磨头仓入球磨机磨细由斗式提升机提入</w:t>
            </w:r>
            <w:r>
              <w:rPr>
                <w:rFonts w:hint="eastAsia"/>
                <w:color w:val="auto"/>
                <w:sz w:val="24"/>
                <w:lang w:val="en-US" w:eastAsia="zh-CN"/>
              </w:rPr>
              <w:t>石灰筒仓</w:t>
            </w:r>
            <w:r>
              <w:rPr>
                <w:color w:val="auto"/>
                <w:sz w:val="24"/>
              </w:rPr>
              <w:t>待用。此工段产生的污染物主要为破碎粉尘G2、设备噪声N2</w:t>
            </w:r>
            <w:r>
              <w:rPr>
                <w:rFonts w:hint="eastAsia"/>
                <w:color w:val="auto"/>
                <w:sz w:val="24"/>
              </w:rPr>
              <w:t>。</w:t>
            </w:r>
          </w:p>
          <w:p w14:paraId="6BF39E67">
            <w:pPr>
              <w:spacing w:line="360" w:lineRule="auto"/>
              <w:ind w:firstLine="480" w:firstLineChars="200"/>
              <w:rPr>
                <w:color w:val="auto"/>
                <w:sz w:val="24"/>
              </w:rPr>
            </w:pPr>
            <w:r>
              <w:rPr>
                <w:color w:val="auto"/>
                <w:sz w:val="24"/>
              </w:rPr>
              <w:t>（3）水泥</w:t>
            </w:r>
          </w:p>
          <w:p w14:paraId="7C10C821">
            <w:pPr>
              <w:spacing w:line="360" w:lineRule="auto"/>
              <w:ind w:firstLine="480" w:firstLineChars="200"/>
              <w:rPr>
                <w:color w:val="auto"/>
                <w:sz w:val="24"/>
              </w:rPr>
            </w:pPr>
            <w:r>
              <w:rPr>
                <w:color w:val="auto"/>
                <w:sz w:val="24"/>
              </w:rPr>
              <w:t>由水泥罐装车泵入水泥筒仓中贮存待用，由螺旋输送机送入配料仓。</w:t>
            </w:r>
          </w:p>
          <w:p w14:paraId="2ADA9DCA">
            <w:pPr>
              <w:spacing w:line="360" w:lineRule="auto"/>
              <w:ind w:firstLine="480" w:firstLineChars="200"/>
              <w:rPr>
                <w:color w:val="auto"/>
                <w:sz w:val="24"/>
              </w:rPr>
            </w:pPr>
            <w:r>
              <w:rPr>
                <w:color w:val="auto"/>
                <w:sz w:val="24"/>
              </w:rPr>
              <w:t>（4）石膏</w:t>
            </w:r>
          </w:p>
          <w:p w14:paraId="1FE41558">
            <w:pPr>
              <w:keepNext/>
              <w:keepLines/>
              <w:ind w:firstLine="480" w:firstLineChars="200"/>
              <w:rPr>
                <w:color w:val="auto"/>
              </w:rPr>
            </w:pPr>
            <w:r>
              <w:rPr>
                <w:color w:val="auto"/>
                <w:sz w:val="24"/>
              </w:rPr>
              <w:t>石膏进厂后先通过加热烘干机烘干后，再由斗式提升机送入石膏筒仓中贮存待用。</w:t>
            </w:r>
          </w:p>
          <w:p w14:paraId="0C1384F9">
            <w:pPr>
              <w:spacing w:line="360" w:lineRule="auto"/>
              <w:ind w:firstLine="480" w:firstLineChars="200"/>
              <w:rPr>
                <w:color w:val="auto"/>
                <w:sz w:val="24"/>
              </w:rPr>
            </w:pPr>
            <w:r>
              <w:rPr>
                <w:color w:val="auto"/>
                <w:sz w:val="24"/>
              </w:rPr>
              <w:t>（5）铝粉</w:t>
            </w:r>
          </w:p>
          <w:p w14:paraId="63E0FA2E">
            <w:pPr>
              <w:spacing w:line="360" w:lineRule="auto"/>
              <w:ind w:firstLine="480" w:firstLineChars="200"/>
              <w:rPr>
                <w:color w:val="auto"/>
                <w:sz w:val="24"/>
              </w:rPr>
            </w:pPr>
            <w:r>
              <w:rPr>
                <w:color w:val="auto"/>
                <w:sz w:val="24"/>
              </w:rPr>
              <w:t>铝粉为桶装或袋装，由简易提升设备提至配料楼，装入铝粉配料罐中待用。</w:t>
            </w:r>
          </w:p>
          <w:p w14:paraId="48EA999E">
            <w:pPr>
              <w:spacing w:line="360" w:lineRule="auto"/>
              <w:ind w:firstLine="480" w:firstLineChars="200"/>
              <w:rPr>
                <w:color w:val="auto"/>
                <w:sz w:val="24"/>
              </w:rPr>
            </w:pPr>
            <w:r>
              <w:rPr>
                <w:color w:val="auto"/>
                <w:sz w:val="24"/>
              </w:rPr>
              <w:t>2、计量配料工段</w:t>
            </w:r>
          </w:p>
          <w:p w14:paraId="6B14133E">
            <w:pPr>
              <w:spacing w:line="360" w:lineRule="auto"/>
              <w:ind w:firstLine="480" w:firstLineChars="200"/>
              <w:rPr>
                <w:color w:val="auto"/>
                <w:sz w:val="24"/>
              </w:rPr>
            </w:pPr>
            <w:r>
              <w:rPr>
                <w:color w:val="auto"/>
                <w:sz w:val="24"/>
              </w:rPr>
              <w:t>粉煤灰料浆由贮浆罐经阀门流注入料浆计量罐计量；石灰、水泥、石膏分别由贮仓经叶轮给料机、螺旋输送机喂入电子秤计量；铝粉和外加剂由自动电子秤计量。经过计量的各种物料，按照先粉煤灰料浆，后水泥、石灰、石膏的次序投入搅拌机中搅拌，同时可加入计量好的废料浆作为调节剂。搅拌好的料浆经过温度、稠度等指标的测定合格后，投入铝粉和外加剂搅拌，混合搅拌后即可开始浇筑。此工段产生的主要污染物为搅拌废气G3、设备噪声N3。</w:t>
            </w:r>
          </w:p>
          <w:p w14:paraId="7C333159">
            <w:pPr>
              <w:spacing w:line="360" w:lineRule="auto"/>
              <w:ind w:firstLine="480" w:firstLineChars="200"/>
              <w:rPr>
                <w:color w:val="auto"/>
                <w:sz w:val="24"/>
              </w:rPr>
            </w:pPr>
            <w:r>
              <w:rPr>
                <w:color w:val="auto"/>
                <w:sz w:val="24"/>
              </w:rPr>
              <w:t>3、浇筑静养工段</w:t>
            </w:r>
          </w:p>
          <w:p w14:paraId="52F91F0A">
            <w:pPr>
              <w:spacing w:line="360" w:lineRule="auto"/>
              <w:ind w:firstLine="480" w:firstLineChars="200"/>
              <w:rPr>
                <w:color w:val="auto"/>
                <w:sz w:val="24"/>
              </w:rPr>
            </w:pPr>
            <w:r>
              <w:rPr>
                <w:color w:val="auto"/>
                <w:sz w:val="24"/>
              </w:rPr>
              <w:t>浇注后的模框通过摩擦轮和高速静养摆渡车将模框运行至静养室内进行静停养护，在静养室内完成发气、稠化的过程；静养室内满足30个模框的循环静养，本项目所用蒸汽拟由电厂蒸汽接管引入配汽间，通过配汽间内分汽缸送入养护工段﹐初养静停，静停时间，2~3小时，静停温度45℃左右，坯体静停后强度0.3~0.5MPa。</w:t>
            </w:r>
          </w:p>
          <w:p w14:paraId="3A289847">
            <w:pPr>
              <w:spacing w:line="360" w:lineRule="auto"/>
              <w:ind w:firstLine="480" w:firstLineChars="200"/>
              <w:rPr>
                <w:color w:val="auto"/>
                <w:sz w:val="24"/>
              </w:rPr>
            </w:pPr>
            <w:r>
              <w:rPr>
                <w:color w:val="auto"/>
                <w:sz w:val="24"/>
              </w:rPr>
              <w:t>4、脱模切割阶段</w:t>
            </w:r>
          </w:p>
          <w:p w14:paraId="4266A6DF">
            <w:pPr>
              <w:spacing w:line="360" w:lineRule="auto"/>
              <w:ind w:firstLine="480" w:firstLineChars="200"/>
              <w:rPr>
                <w:color w:val="auto"/>
                <w:sz w:val="24"/>
              </w:rPr>
            </w:pPr>
            <w:r>
              <w:rPr>
                <w:color w:val="auto"/>
                <w:sz w:val="24"/>
              </w:rPr>
              <w:t>出静养室后模框行走至翻转脱模行车下方，并由模框机械定位装置将模框定位好后由翻转脱模行车吊运至切割小车位置完成翻转脱模，将侧板和坯体放置于切割小车上，切割小车承载坯体行走经过侧面切割机和水平切割机完成侧面和厚度切割成型，再行走至垂直切割机下完成砌块宽度的切割。切割完成之后由第二辆切割车将半成品经气扫补切一体机后运输至空翻去底行车下方，由空翻去底机完成底皮的去除，所有切割和去底过程中产生的废料均全部回收，打成废浆回收利用，完成去底后的侧板和半成品由空翻去底机吊运至蒸养车上，一车可以放两板，准备进入后续编组工段。由于此时胚体为湿料，切割过程无粉尘产生。</w:t>
            </w:r>
          </w:p>
          <w:p w14:paraId="771C92FF">
            <w:pPr>
              <w:spacing w:line="360" w:lineRule="auto"/>
              <w:ind w:firstLine="480" w:firstLineChars="200"/>
              <w:rPr>
                <w:color w:val="auto"/>
                <w:sz w:val="24"/>
              </w:rPr>
            </w:pPr>
            <w:r>
              <w:rPr>
                <w:color w:val="auto"/>
                <w:sz w:val="24"/>
              </w:rPr>
              <w:t>5、蒸压养护工段</w:t>
            </w:r>
          </w:p>
          <w:p w14:paraId="1E40469C">
            <w:pPr>
              <w:widowControl/>
              <w:spacing w:line="360" w:lineRule="auto"/>
              <w:ind w:firstLine="480" w:firstLineChars="200"/>
              <w:jc w:val="left"/>
              <w:rPr>
                <w:color w:val="auto"/>
                <w:sz w:val="24"/>
              </w:rPr>
            </w:pPr>
            <w:r>
              <w:rPr>
                <w:color w:val="auto"/>
                <w:sz w:val="24"/>
              </w:rPr>
              <w:t>蒸养车行走由勾车牵引机驱动，行走稳定且定位准确，蒸养车承接两模半成品再由摆渡车将半成品及蒸养车摆渡至釜前预养室内准备编组，每条釜前轨道都配置一台链条式入釜牵引机，待一釜准备好后由入釜牵引机牵引一次入釜，完成编组入釜工段的工作；半成品入釜后关闭釜门，使用饱和蒸汽压力1.2Mpa，温度186℃，</w:t>
            </w:r>
            <w:r>
              <w:rPr>
                <w:snapToGrid w:val="0"/>
                <w:color w:val="auto"/>
                <w:kern w:val="0"/>
                <w:sz w:val="24"/>
                <w:lang w:bidi="ar"/>
              </w:rPr>
              <w:t>1h缓慢升温至80℃，常压下保温养护5h，0.5h降温至30℃，约3h后打开放气阀（放气约需1h），</w:t>
            </w:r>
            <w:r>
              <w:rPr>
                <w:color w:val="auto"/>
                <w:sz w:val="24"/>
              </w:rPr>
              <w:t>所用蒸汽拟由电厂蒸汽接管引入配汽间，通过配汽间内分汽缸送入蒸压釜内，将釜密封充满后，开始蒸养工作，蒸养的过程包含抽真空、升温、疏水、恒压、补压、导气等过程完成制品的蒸压养护工序，管道输送蒸汽过程中会产生蒸汽冷凝水。</w:t>
            </w:r>
          </w:p>
          <w:p w14:paraId="22E19FD2">
            <w:pPr>
              <w:spacing w:line="360" w:lineRule="auto"/>
              <w:ind w:firstLine="480" w:firstLineChars="200"/>
              <w:rPr>
                <w:color w:val="auto"/>
                <w:sz w:val="24"/>
              </w:rPr>
            </w:pPr>
            <w:r>
              <w:rPr>
                <w:color w:val="auto"/>
                <w:sz w:val="24"/>
              </w:rPr>
              <w:t>蒸压养护完成泄压后打开釜门，成品由出釜摆渡车牵引出釜并完成自动脱钩，由出釜摆渡车将一车成品转运至成品搬运行车下方的空车返回轨道上，蒸养车行走至成品搬运机下方。</w:t>
            </w:r>
          </w:p>
          <w:p w14:paraId="44BD0A43">
            <w:pPr>
              <w:spacing w:line="360" w:lineRule="auto"/>
              <w:ind w:firstLine="480" w:firstLineChars="200"/>
              <w:rPr>
                <w:color w:val="auto"/>
                <w:sz w:val="24"/>
              </w:rPr>
            </w:pPr>
            <w:r>
              <w:rPr>
                <w:color w:val="auto"/>
                <w:sz w:val="24"/>
              </w:rPr>
              <w:t>6、成品堆放阶段</w:t>
            </w:r>
          </w:p>
          <w:p w14:paraId="233F976A">
            <w:pPr>
              <w:spacing w:line="360" w:lineRule="auto"/>
              <w:ind w:firstLine="480" w:firstLineChars="200"/>
              <w:rPr>
                <w:color w:val="auto"/>
                <w:sz w:val="24"/>
              </w:rPr>
            </w:pPr>
            <w:r>
              <w:rPr>
                <w:color w:val="auto"/>
                <w:sz w:val="24"/>
              </w:rPr>
              <w:t>检验合格的产品经牵引机拉出釜后由出釜摆渡车运送到打包系统打包，打包完成后将蒸压加气混凝土砌块产品卸入堆场码垛堆存，存放约5天即为成品。</w:t>
            </w:r>
          </w:p>
          <w:p w14:paraId="59A086A3">
            <w:pPr>
              <w:spacing w:line="360" w:lineRule="auto"/>
              <w:ind w:firstLine="480" w:firstLineChars="200"/>
              <w:rPr>
                <w:b/>
                <w:color w:val="auto"/>
              </w:rPr>
            </w:pPr>
            <w:r>
              <w:rPr>
                <w:color w:val="auto"/>
                <w:sz w:val="24"/>
              </w:rPr>
              <w:t>不合格产品于切割废料加入水进行打浆后会用到浇注工段。</w:t>
            </w:r>
          </w:p>
          <w:p w14:paraId="7E59FFD7">
            <w:pPr>
              <w:pStyle w:val="11"/>
              <w:spacing w:after="0" w:line="360" w:lineRule="auto"/>
              <w:ind w:left="0" w:leftChars="0"/>
              <w:rPr>
                <w:b/>
                <w:color w:val="auto"/>
                <w:szCs w:val="24"/>
              </w:rPr>
            </w:pPr>
            <w:r>
              <w:rPr>
                <w:b/>
                <w:color w:val="auto"/>
                <w:szCs w:val="24"/>
              </w:rPr>
              <w:t>2.2、产污环节分析</w:t>
            </w:r>
          </w:p>
          <w:p w14:paraId="5DB8D922">
            <w:pPr>
              <w:pStyle w:val="37"/>
              <w:spacing w:line="360" w:lineRule="auto"/>
              <w:ind w:left="420" w:hanging="420" w:firstLineChars="0"/>
              <w:jc w:val="center"/>
              <w:rPr>
                <w:b/>
                <w:vanish/>
                <w:color w:val="auto"/>
                <w:sz w:val="24"/>
              </w:rPr>
            </w:pPr>
            <w:r>
              <w:rPr>
                <w:b/>
                <w:vanish/>
                <w:color w:val="auto"/>
                <w:sz w:val="24"/>
              </w:rPr>
              <w:t xml:space="preserve">表2-1  </w:t>
            </w:r>
          </w:p>
          <w:p w14:paraId="176EDB46">
            <w:pPr>
              <w:pStyle w:val="37"/>
              <w:spacing w:line="360" w:lineRule="auto"/>
              <w:ind w:left="420" w:hanging="420" w:firstLineChars="0"/>
              <w:jc w:val="center"/>
              <w:rPr>
                <w:b/>
                <w:vanish/>
                <w:color w:val="auto"/>
                <w:sz w:val="24"/>
              </w:rPr>
            </w:pPr>
            <w:r>
              <w:rPr>
                <w:b/>
                <w:vanish/>
                <w:color w:val="auto"/>
                <w:sz w:val="24"/>
              </w:rPr>
              <w:t xml:space="preserve">表2-2  </w:t>
            </w:r>
          </w:p>
          <w:p w14:paraId="12DED1D1">
            <w:pPr>
              <w:pStyle w:val="37"/>
              <w:spacing w:line="360" w:lineRule="auto"/>
              <w:ind w:left="420" w:hanging="420" w:firstLineChars="0"/>
              <w:jc w:val="center"/>
              <w:rPr>
                <w:b/>
                <w:vanish/>
                <w:color w:val="auto"/>
                <w:sz w:val="24"/>
              </w:rPr>
            </w:pPr>
            <w:r>
              <w:rPr>
                <w:b/>
                <w:vanish/>
                <w:color w:val="auto"/>
                <w:sz w:val="24"/>
              </w:rPr>
              <w:t xml:space="preserve">表2-3  </w:t>
            </w:r>
          </w:p>
          <w:p w14:paraId="0923FA0C">
            <w:pPr>
              <w:pStyle w:val="37"/>
              <w:spacing w:line="360" w:lineRule="auto"/>
              <w:ind w:left="420" w:hanging="420" w:firstLineChars="0"/>
              <w:jc w:val="center"/>
              <w:rPr>
                <w:b/>
                <w:vanish/>
                <w:color w:val="auto"/>
                <w:sz w:val="24"/>
              </w:rPr>
            </w:pPr>
            <w:r>
              <w:rPr>
                <w:b/>
                <w:vanish/>
                <w:color w:val="auto"/>
                <w:sz w:val="24"/>
              </w:rPr>
              <w:t xml:space="preserve">表2-4  </w:t>
            </w:r>
          </w:p>
          <w:p w14:paraId="443C5DE6">
            <w:pPr>
              <w:pStyle w:val="37"/>
              <w:spacing w:line="360" w:lineRule="auto"/>
              <w:ind w:left="420" w:hanging="420" w:firstLineChars="0"/>
              <w:jc w:val="center"/>
              <w:rPr>
                <w:b/>
                <w:vanish/>
                <w:color w:val="auto"/>
                <w:sz w:val="24"/>
              </w:rPr>
            </w:pPr>
            <w:r>
              <w:rPr>
                <w:b/>
                <w:vanish/>
                <w:color w:val="auto"/>
                <w:sz w:val="24"/>
              </w:rPr>
              <w:t xml:space="preserve">表2-5  </w:t>
            </w:r>
          </w:p>
          <w:p w14:paraId="5AEB1B97">
            <w:pPr>
              <w:pStyle w:val="37"/>
              <w:spacing w:line="360" w:lineRule="auto"/>
              <w:ind w:left="420" w:hanging="420" w:firstLineChars="0"/>
              <w:jc w:val="center"/>
              <w:rPr>
                <w:b/>
                <w:vanish/>
                <w:color w:val="auto"/>
                <w:sz w:val="24"/>
              </w:rPr>
            </w:pPr>
            <w:r>
              <w:rPr>
                <w:b/>
                <w:vanish/>
                <w:color w:val="auto"/>
                <w:sz w:val="24"/>
              </w:rPr>
              <w:t xml:space="preserve">表2-6  </w:t>
            </w:r>
          </w:p>
          <w:p w14:paraId="088E644C">
            <w:pPr>
              <w:pStyle w:val="37"/>
              <w:spacing w:line="360" w:lineRule="auto"/>
              <w:ind w:left="420" w:hanging="420" w:firstLineChars="0"/>
              <w:jc w:val="center"/>
              <w:rPr>
                <w:b/>
                <w:vanish/>
                <w:color w:val="auto"/>
                <w:sz w:val="24"/>
              </w:rPr>
            </w:pPr>
            <w:r>
              <w:rPr>
                <w:b/>
                <w:vanish/>
                <w:color w:val="auto"/>
                <w:sz w:val="24"/>
              </w:rPr>
              <w:t xml:space="preserve">表2-7  </w:t>
            </w:r>
          </w:p>
          <w:p w14:paraId="59AA756D">
            <w:pPr>
              <w:pStyle w:val="37"/>
              <w:spacing w:line="360" w:lineRule="auto"/>
              <w:ind w:left="420" w:hanging="420" w:firstLineChars="0"/>
              <w:jc w:val="center"/>
              <w:rPr>
                <w:b/>
                <w:vanish/>
                <w:color w:val="auto"/>
                <w:sz w:val="24"/>
              </w:rPr>
            </w:pPr>
            <w:r>
              <w:rPr>
                <w:b/>
                <w:vanish/>
                <w:color w:val="auto"/>
                <w:sz w:val="24"/>
              </w:rPr>
              <w:t xml:space="preserve">表2-8  </w:t>
            </w:r>
          </w:p>
          <w:p w14:paraId="7B67AAD0">
            <w:pPr>
              <w:pStyle w:val="37"/>
              <w:spacing w:line="360" w:lineRule="auto"/>
              <w:ind w:left="420" w:hanging="420" w:firstLineChars="0"/>
              <w:jc w:val="center"/>
              <w:rPr>
                <w:b/>
                <w:vanish/>
                <w:color w:val="auto"/>
                <w:sz w:val="24"/>
              </w:rPr>
            </w:pPr>
            <w:r>
              <w:rPr>
                <w:b/>
                <w:vanish/>
                <w:color w:val="auto"/>
                <w:sz w:val="24"/>
              </w:rPr>
              <w:t xml:space="preserve">表2-9  </w:t>
            </w:r>
          </w:p>
          <w:p w14:paraId="5310F40F">
            <w:pPr>
              <w:spacing w:line="360" w:lineRule="auto"/>
              <w:ind w:firstLine="480" w:firstLineChars="200"/>
              <w:rPr>
                <w:color w:val="auto"/>
                <w:kern w:val="0"/>
                <w:sz w:val="24"/>
              </w:rPr>
            </w:pPr>
            <w:r>
              <w:rPr>
                <w:color w:val="auto"/>
                <w:kern w:val="0"/>
                <w:sz w:val="24"/>
              </w:rPr>
              <w:t>（1）废气：项目营运期废气主要为筛分、破碎、球磨、搅拌工序产生的粉尘，车辆运输扬尘。</w:t>
            </w:r>
          </w:p>
          <w:p w14:paraId="4C6FBF16">
            <w:pPr>
              <w:spacing w:line="360" w:lineRule="auto"/>
              <w:ind w:firstLine="480" w:firstLineChars="200"/>
              <w:rPr>
                <w:color w:val="auto"/>
                <w:kern w:val="0"/>
                <w:sz w:val="24"/>
              </w:rPr>
            </w:pPr>
            <w:r>
              <w:rPr>
                <w:color w:val="auto"/>
                <w:kern w:val="0"/>
                <w:sz w:val="24"/>
              </w:rPr>
              <w:t>（2）废水：车辆冲洗废水、水洗废水，不外排，厂区道路抑尘用水、生产车间雾化喷淋降尘用水全部损耗。水洗废水经沉淀池沉淀后循环使用，不外排。</w:t>
            </w:r>
          </w:p>
          <w:p w14:paraId="76028E73">
            <w:pPr>
              <w:spacing w:line="360" w:lineRule="auto"/>
              <w:ind w:firstLine="480" w:firstLineChars="200"/>
              <w:rPr>
                <w:b/>
                <w:color w:val="auto"/>
                <w:sz w:val="24"/>
              </w:rPr>
            </w:pPr>
            <w:r>
              <w:rPr>
                <w:color w:val="auto"/>
                <w:kern w:val="0"/>
                <w:sz w:val="24"/>
              </w:rPr>
              <w:t>（3）固废：生活垃圾、筛分杂质、不合格品、布袋除尘器收尘、废机油、废机油桶等</w:t>
            </w:r>
            <w:r>
              <w:rPr>
                <w:rFonts w:hint="eastAsia"/>
                <w:color w:val="auto"/>
                <w:kern w:val="0"/>
                <w:sz w:val="24"/>
              </w:rPr>
              <w:t>。</w:t>
            </w:r>
          </w:p>
          <w:p w14:paraId="5B1FBB5A">
            <w:pPr>
              <w:jc w:val="center"/>
              <w:rPr>
                <w:b/>
                <w:color w:val="auto"/>
                <w:sz w:val="24"/>
              </w:rPr>
            </w:pPr>
            <w:r>
              <w:rPr>
                <w:b/>
                <w:color w:val="auto"/>
                <w:sz w:val="24"/>
              </w:rPr>
              <w:t>表2-</w:t>
            </w:r>
            <w:r>
              <w:rPr>
                <w:rFonts w:hint="eastAsia"/>
                <w:b/>
                <w:color w:val="auto"/>
                <w:sz w:val="24"/>
              </w:rPr>
              <w:t>10</w:t>
            </w:r>
            <w:r>
              <w:rPr>
                <w:b/>
                <w:color w:val="auto"/>
                <w:sz w:val="24"/>
              </w:rPr>
              <w:t xml:space="preserve">  项目产污情况一览表</w:t>
            </w:r>
          </w:p>
          <w:tbl>
            <w:tblPr>
              <w:tblStyle w:val="24"/>
              <w:tblW w:w="491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8"/>
              <w:gridCol w:w="1176"/>
              <w:gridCol w:w="1423"/>
              <w:gridCol w:w="1933"/>
              <w:gridCol w:w="3346"/>
            </w:tblGrid>
            <w:tr w14:paraId="1DDD0E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4" w:hRule="atLeast"/>
                <w:tblHeader/>
                <w:jc w:val="center"/>
              </w:trPr>
              <w:tc>
                <w:tcPr>
                  <w:tcW w:w="470" w:type="pct"/>
                  <w:vAlign w:val="center"/>
                </w:tcPr>
                <w:p w14:paraId="6B6342FC">
                  <w:pPr>
                    <w:jc w:val="center"/>
                    <w:rPr>
                      <w:color w:val="auto"/>
                      <w:szCs w:val="21"/>
                    </w:rPr>
                  </w:pPr>
                  <w:r>
                    <w:rPr>
                      <w:color w:val="auto"/>
                      <w:szCs w:val="21"/>
                    </w:rPr>
                    <w:t>类别</w:t>
                  </w:r>
                </w:p>
              </w:tc>
              <w:tc>
                <w:tcPr>
                  <w:tcW w:w="676" w:type="pct"/>
                  <w:vAlign w:val="center"/>
                </w:tcPr>
                <w:p w14:paraId="5A0DAED6">
                  <w:pPr>
                    <w:jc w:val="center"/>
                    <w:rPr>
                      <w:color w:val="auto"/>
                      <w:szCs w:val="21"/>
                    </w:rPr>
                  </w:pPr>
                  <w:r>
                    <w:rPr>
                      <w:color w:val="auto"/>
                      <w:szCs w:val="21"/>
                    </w:rPr>
                    <w:t>产污点</w:t>
                  </w:r>
                </w:p>
              </w:tc>
              <w:tc>
                <w:tcPr>
                  <w:tcW w:w="818" w:type="pct"/>
                  <w:vAlign w:val="center"/>
                </w:tcPr>
                <w:p w14:paraId="59F93A28">
                  <w:pPr>
                    <w:jc w:val="center"/>
                    <w:rPr>
                      <w:color w:val="auto"/>
                      <w:szCs w:val="21"/>
                    </w:rPr>
                  </w:pPr>
                  <w:r>
                    <w:rPr>
                      <w:color w:val="auto"/>
                      <w:szCs w:val="21"/>
                    </w:rPr>
                    <w:t>污染物</w:t>
                  </w:r>
                </w:p>
              </w:tc>
              <w:tc>
                <w:tcPr>
                  <w:tcW w:w="1111" w:type="pct"/>
                  <w:vAlign w:val="center"/>
                </w:tcPr>
                <w:p w14:paraId="4938F862">
                  <w:pPr>
                    <w:jc w:val="center"/>
                    <w:rPr>
                      <w:color w:val="auto"/>
                      <w:szCs w:val="21"/>
                    </w:rPr>
                  </w:pPr>
                  <w:r>
                    <w:rPr>
                      <w:color w:val="auto"/>
                      <w:szCs w:val="21"/>
                    </w:rPr>
                    <w:t>污染因子</w:t>
                  </w:r>
                </w:p>
              </w:tc>
              <w:tc>
                <w:tcPr>
                  <w:tcW w:w="1923" w:type="pct"/>
                  <w:vAlign w:val="center"/>
                </w:tcPr>
                <w:p w14:paraId="299D9800">
                  <w:pPr>
                    <w:jc w:val="center"/>
                    <w:rPr>
                      <w:color w:val="auto"/>
                      <w:szCs w:val="21"/>
                    </w:rPr>
                  </w:pPr>
                  <w:r>
                    <w:rPr>
                      <w:color w:val="auto"/>
                    </w:rPr>
                    <w:t>治理措施及排放形式</w:t>
                  </w:r>
                </w:p>
              </w:tc>
            </w:tr>
            <w:tr w14:paraId="48792E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8" w:hRule="atLeast"/>
                <w:jc w:val="center"/>
              </w:trPr>
              <w:tc>
                <w:tcPr>
                  <w:tcW w:w="470" w:type="pct"/>
                  <w:vMerge w:val="restart"/>
                  <w:vAlign w:val="center"/>
                </w:tcPr>
                <w:p w14:paraId="446F9D5F">
                  <w:pPr>
                    <w:jc w:val="center"/>
                    <w:rPr>
                      <w:color w:val="auto"/>
                      <w:szCs w:val="21"/>
                    </w:rPr>
                  </w:pPr>
                  <w:r>
                    <w:rPr>
                      <w:color w:val="auto"/>
                      <w:szCs w:val="21"/>
                    </w:rPr>
                    <w:t>废气</w:t>
                  </w:r>
                </w:p>
              </w:tc>
              <w:tc>
                <w:tcPr>
                  <w:tcW w:w="676" w:type="pct"/>
                  <w:vAlign w:val="center"/>
                </w:tcPr>
                <w:p w14:paraId="08F53143">
                  <w:pPr>
                    <w:jc w:val="center"/>
                    <w:rPr>
                      <w:color w:val="auto"/>
                      <w:szCs w:val="21"/>
                    </w:rPr>
                  </w:pPr>
                  <w:r>
                    <w:rPr>
                      <w:color w:val="auto"/>
                      <w:szCs w:val="21"/>
                    </w:rPr>
                    <w:t>筛分、破碎废气</w:t>
                  </w:r>
                </w:p>
              </w:tc>
              <w:tc>
                <w:tcPr>
                  <w:tcW w:w="818" w:type="pct"/>
                  <w:vAlign w:val="center"/>
                </w:tcPr>
                <w:p w14:paraId="416F9275">
                  <w:pPr>
                    <w:jc w:val="center"/>
                    <w:rPr>
                      <w:color w:val="auto"/>
                      <w:szCs w:val="21"/>
                    </w:rPr>
                  </w:pPr>
                  <w:r>
                    <w:rPr>
                      <w:color w:val="auto"/>
                      <w:szCs w:val="21"/>
                    </w:rPr>
                    <w:t>粉尘</w:t>
                  </w:r>
                </w:p>
              </w:tc>
              <w:tc>
                <w:tcPr>
                  <w:tcW w:w="1111" w:type="pct"/>
                  <w:vAlign w:val="center"/>
                </w:tcPr>
                <w:p w14:paraId="70527867">
                  <w:pPr>
                    <w:jc w:val="center"/>
                    <w:rPr>
                      <w:color w:val="auto"/>
                      <w:szCs w:val="21"/>
                    </w:rPr>
                  </w:pPr>
                  <w:r>
                    <w:rPr>
                      <w:color w:val="auto"/>
                      <w:szCs w:val="21"/>
                    </w:rPr>
                    <w:t>颗粒物</w:t>
                  </w:r>
                </w:p>
              </w:tc>
              <w:tc>
                <w:tcPr>
                  <w:tcW w:w="1923" w:type="pct"/>
                  <w:vAlign w:val="center"/>
                </w:tcPr>
                <w:p w14:paraId="26E208D2">
                  <w:pPr>
                    <w:jc w:val="center"/>
                    <w:rPr>
                      <w:color w:val="auto"/>
                      <w:szCs w:val="21"/>
                    </w:rPr>
                  </w:pPr>
                  <w:r>
                    <w:rPr>
                      <w:color w:val="auto"/>
                      <w:szCs w:val="21"/>
                    </w:rPr>
                    <w:t>经集气罩+软帘收集+</w:t>
                  </w:r>
                  <w:r>
                    <w:rPr>
                      <w:color w:val="auto"/>
                      <w:spacing w:val="-3"/>
                    </w:rPr>
                    <w:t>高效</w:t>
                  </w:r>
                  <w:r>
                    <w:rPr>
                      <w:color w:val="auto"/>
                      <w:szCs w:val="21"/>
                    </w:rPr>
                    <w:t>布袋除尘器处理后通过15m高排气筒排放（DA002）</w:t>
                  </w:r>
                </w:p>
              </w:tc>
            </w:tr>
            <w:tr w14:paraId="40B0BD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8" w:hRule="atLeast"/>
                <w:jc w:val="center"/>
              </w:trPr>
              <w:tc>
                <w:tcPr>
                  <w:tcW w:w="470" w:type="pct"/>
                  <w:vMerge w:val="continue"/>
                  <w:vAlign w:val="center"/>
                </w:tcPr>
                <w:p w14:paraId="6BF769D5">
                  <w:pPr>
                    <w:jc w:val="center"/>
                    <w:rPr>
                      <w:color w:val="auto"/>
                      <w:szCs w:val="21"/>
                    </w:rPr>
                  </w:pPr>
                </w:p>
              </w:tc>
              <w:tc>
                <w:tcPr>
                  <w:tcW w:w="676" w:type="pct"/>
                  <w:vAlign w:val="center"/>
                </w:tcPr>
                <w:p w14:paraId="0DA406D8">
                  <w:pPr>
                    <w:jc w:val="center"/>
                    <w:rPr>
                      <w:color w:val="auto"/>
                      <w:szCs w:val="21"/>
                    </w:rPr>
                  </w:pPr>
                  <w:r>
                    <w:rPr>
                      <w:color w:val="auto"/>
                      <w:szCs w:val="21"/>
                    </w:rPr>
                    <w:t>搅拌废气</w:t>
                  </w:r>
                </w:p>
              </w:tc>
              <w:tc>
                <w:tcPr>
                  <w:tcW w:w="818" w:type="pct"/>
                  <w:vAlign w:val="center"/>
                </w:tcPr>
                <w:p w14:paraId="68A746B0">
                  <w:pPr>
                    <w:jc w:val="center"/>
                    <w:rPr>
                      <w:color w:val="auto"/>
                      <w:szCs w:val="21"/>
                    </w:rPr>
                  </w:pPr>
                  <w:r>
                    <w:rPr>
                      <w:color w:val="auto"/>
                      <w:szCs w:val="21"/>
                    </w:rPr>
                    <w:t>粉尘</w:t>
                  </w:r>
                </w:p>
              </w:tc>
              <w:tc>
                <w:tcPr>
                  <w:tcW w:w="1111" w:type="pct"/>
                  <w:vAlign w:val="center"/>
                </w:tcPr>
                <w:p w14:paraId="744FACF2">
                  <w:pPr>
                    <w:jc w:val="center"/>
                    <w:rPr>
                      <w:color w:val="auto"/>
                      <w:szCs w:val="21"/>
                    </w:rPr>
                  </w:pPr>
                  <w:r>
                    <w:rPr>
                      <w:color w:val="auto"/>
                      <w:szCs w:val="21"/>
                    </w:rPr>
                    <w:t>颗粒物</w:t>
                  </w:r>
                </w:p>
              </w:tc>
              <w:tc>
                <w:tcPr>
                  <w:tcW w:w="1923" w:type="pct"/>
                  <w:vAlign w:val="center"/>
                </w:tcPr>
                <w:p w14:paraId="2FAAA60B">
                  <w:pPr>
                    <w:jc w:val="center"/>
                    <w:rPr>
                      <w:color w:val="auto"/>
                      <w:szCs w:val="21"/>
                    </w:rPr>
                  </w:pPr>
                  <w:r>
                    <w:rPr>
                      <w:color w:val="auto"/>
                      <w:szCs w:val="21"/>
                    </w:rPr>
                    <w:t>经集气罩+软帘收集+</w:t>
                  </w:r>
                  <w:r>
                    <w:rPr>
                      <w:color w:val="auto"/>
                      <w:spacing w:val="-3"/>
                    </w:rPr>
                    <w:t>高效</w:t>
                  </w:r>
                  <w:r>
                    <w:rPr>
                      <w:color w:val="auto"/>
                      <w:szCs w:val="21"/>
                    </w:rPr>
                    <w:t>布袋除尘器处理后通过15m高排气筒排放（DA003）</w:t>
                  </w:r>
                </w:p>
              </w:tc>
            </w:tr>
            <w:tr w14:paraId="4300E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8" w:hRule="atLeast"/>
                <w:jc w:val="center"/>
              </w:trPr>
              <w:tc>
                <w:tcPr>
                  <w:tcW w:w="470" w:type="pct"/>
                  <w:vMerge w:val="continue"/>
                  <w:vAlign w:val="center"/>
                </w:tcPr>
                <w:p w14:paraId="57687859">
                  <w:pPr>
                    <w:jc w:val="center"/>
                    <w:rPr>
                      <w:color w:val="auto"/>
                      <w:szCs w:val="21"/>
                    </w:rPr>
                  </w:pPr>
                </w:p>
              </w:tc>
              <w:tc>
                <w:tcPr>
                  <w:tcW w:w="676" w:type="pct"/>
                  <w:vAlign w:val="center"/>
                </w:tcPr>
                <w:p w14:paraId="5DDDCF83">
                  <w:pPr>
                    <w:jc w:val="center"/>
                    <w:rPr>
                      <w:color w:val="auto"/>
                      <w:szCs w:val="21"/>
                    </w:rPr>
                  </w:pPr>
                  <w:r>
                    <w:rPr>
                      <w:color w:val="auto"/>
                    </w:rPr>
                    <w:t>卸料废气</w:t>
                  </w:r>
                </w:p>
              </w:tc>
              <w:tc>
                <w:tcPr>
                  <w:tcW w:w="818" w:type="pct"/>
                  <w:vAlign w:val="center"/>
                </w:tcPr>
                <w:p w14:paraId="216EC4FC">
                  <w:pPr>
                    <w:jc w:val="center"/>
                    <w:rPr>
                      <w:color w:val="auto"/>
                      <w:szCs w:val="21"/>
                    </w:rPr>
                  </w:pPr>
                  <w:r>
                    <w:rPr>
                      <w:color w:val="auto"/>
                      <w:szCs w:val="21"/>
                    </w:rPr>
                    <w:t>粉尘</w:t>
                  </w:r>
                </w:p>
              </w:tc>
              <w:tc>
                <w:tcPr>
                  <w:tcW w:w="1111" w:type="pct"/>
                  <w:vAlign w:val="center"/>
                </w:tcPr>
                <w:p w14:paraId="3187BCB5">
                  <w:pPr>
                    <w:jc w:val="center"/>
                    <w:rPr>
                      <w:color w:val="auto"/>
                      <w:szCs w:val="21"/>
                    </w:rPr>
                  </w:pPr>
                  <w:r>
                    <w:rPr>
                      <w:color w:val="auto"/>
                      <w:szCs w:val="21"/>
                    </w:rPr>
                    <w:t>颗粒物</w:t>
                  </w:r>
                </w:p>
              </w:tc>
              <w:tc>
                <w:tcPr>
                  <w:tcW w:w="1923" w:type="pct"/>
                  <w:vAlign w:val="center"/>
                </w:tcPr>
                <w:p w14:paraId="3F5F3855">
                  <w:pPr>
                    <w:jc w:val="center"/>
                    <w:rPr>
                      <w:color w:val="auto"/>
                      <w:szCs w:val="21"/>
                    </w:rPr>
                  </w:pPr>
                  <w:r>
                    <w:rPr>
                      <w:color w:val="auto"/>
                    </w:rPr>
                    <w:t>采取生产车间封闭、安装喷淋装置、减小卸料落差、地面硬化、定期清扫地面的措施</w:t>
                  </w:r>
                </w:p>
              </w:tc>
            </w:tr>
            <w:tr w14:paraId="31643B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8" w:hRule="atLeast"/>
                <w:jc w:val="center"/>
              </w:trPr>
              <w:tc>
                <w:tcPr>
                  <w:tcW w:w="470" w:type="pct"/>
                  <w:vMerge w:val="continue"/>
                  <w:vAlign w:val="center"/>
                </w:tcPr>
                <w:p w14:paraId="13BC3293">
                  <w:pPr>
                    <w:jc w:val="center"/>
                    <w:rPr>
                      <w:color w:val="auto"/>
                      <w:szCs w:val="21"/>
                    </w:rPr>
                  </w:pPr>
                </w:p>
              </w:tc>
              <w:tc>
                <w:tcPr>
                  <w:tcW w:w="676" w:type="pct"/>
                  <w:vAlign w:val="center"/>
                </w:tcPr>
                <w:p w14:paraId="35ECE3AE">
                  <w:pPr>
                    <w:jc w:val="center"/>
                    <w:rPr>
                      <w:color w:val="auto"/>
                    </w:rPr>
                  </w:pPr>
                  <w:r>
                    <w:rPr>
                      <w:color w:val="auto"/>
                    </w:rPr>
                    <w:t>计量、输送废气</w:t>
                  </w:r>
                </w:p>
              </w:tc>
              <w:tc>
                <w:tcPr>
                  <w:tcW w:w="818" w:type="pct"/>
                  <w:vAlign w:val="center"/>
                </w:tcPr>
                <w:p w14:paraId="5BE75F7A">
                  <w:pPr>
                    <w:jc w:val="center"/>
                    <w:rPr>
                      <w:color w:val="auto"/>
                      <w:szCs w:val="21"/>
                    </w:rPr>
                  </w:pPr>
                  <w:r>
                    <w:rPr>
                      <w:color w:val="auto"/>
                      <w:szCs w:val="21"/>
                    </w:rPr>
                    <w:t>粉尘</w:t>
                  </w:r>
                </w:p>
              </w:tc>
              <w:tc>
                <w:tcPr>
                  <w:tcW w:w="1111" w:type="pct"/>
                  <w:vAlign w:val="center"/>
                </w:tcPr>
                <w:p w14:paraId="5646C048">
                  <w:pPr>
                    <w:jc w:val="center"/>
                    <w:rPr>
                      <w:color w:val="auto"/>
                      <w:szCs w:val="21"/>
                    </w:rPr>
                  </w:pPr>
                  <w:r>
                    <w:rPr>
                      <w:color w:val="auto"/>
                      <w:szCs w:val="21"/>
                    </w:rPr>
                    <w:t>颗粒物</w:t>
                  </w:r>
                </w:p>
              </w:tc>
              <w:tc>
                <w:tcPr>
                  <w:tcW w:w="1923" w:type="pct"/>
                  <w:vAlign w:val="center"/>
                </w:tcPr>
                <w:p w14:paraId="734B78BF">
                  <w:pPr>
                    <w:jc w:val="center"/>
                    <w:rPr>
                      <w:color w:val="auto"/>
                    </w:rPr>
                  </w:pPr>
                  <w:r>
                    <w:rPr>
                      <w:color w:val="auto"/>
                    </w:rPr>
                    <w:t>封闭式管廊输送、设雾化喷淋装置，厂界四周设围墙</w:t>
                  </w:r>
                </w:p>
              </w:tc>
            </w:tr>
            <w:tr w14:paraId="5EB67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8" w:hRule="atLeast"/>
                <w:jc w:val="center"/>
              </w:trPr>
              <w:tc>
                <w:tcPr>
                  <w:tcW w:w="470" w:type="pct"/>
                  <w:vMerge w:val="continue"/>
                  <w:vAlign w:val="center"/>
                </w:tcPr>
                <w:p w14:paraId="6D4AE6E0">
                  <w:pPr>
                    <w:jc w:val="center"/>
                    <w:rPr>
                      <w:color w:val="auto"/>
                      <w:szCs w:val="21"/>
                    </w:rPr>
                  </w:pPr>
                </w:p>
              </w:tc>
              <w:tc>
                <w:tcPr>
                  <w:tcW w:w="676" w:type="pct"/>
                  <w:vAlign w:val="center"/>
                </w:tcPr>
                <w:p w14:paraId="6D880F9D">
                  <w:pPr>
                    <w:jc w:val="center"/>
                    <w:rPr>
                      <w:color w:val="auto"/>
                    </w:rPr>
                  </w:pPr>
                  <w:r>
                    <w:rPr>
                      <w:color w:val="auto"/>
                    </w:rPr>
                    <w:t>车辆运输扬尘</w:t>
                  </w:r>
                </w:p>
              </w:tc>
              <w:tc>
                <w:tcPr>
                  <w:tcW w:w="818" w:type="pct"/>
                  <w:vAlign w:val="center"/>
                </w:tcPr>
                <w:p w14:paraId="17CBFE23">
                  <w:pPr>
                    <w:jc w:val="center"/>
                    <w:rPr>
                      <w:color w:val="auto"/>
                      <w:szCs w:val="21"/>
                    </w:rPr>
                  </w:pPr>
                  <w:r>
                    <w:rPr>
                      <w:color w:val="auto"/>
                      <w:szCs w:val="21"/>
                    </w:rPr>
                    <w:t>粉尘</w:t>
                  </w:r>
                </w:p>
              </w:tc>
              <w:tc>
                <w:tcPr>
                  <w:tcW w:w="1111" w:type="pct"/>
                  <w:vAlign w:val="center"/>
                </w:tcPr>
                <w:p w14:paraId="07E14130">
                  <w:pPr>
                    <w:jc w:val="center"/>
                    <w:rPr>
                      <w:color w:val="auto"/>
                      <w:szCs w:val="21"/>
                    </w:rPr>
                  </w:pPr>
                  <w:r>
                    <w:rPr>
                      <w:color w:val="auto"/>
                      <w:szCs w:val="21"/>
                    </w:rPr>
                    <w:t>颗粒物</w:t>
                  </w:r>
                </w:p>
              </w:tc>
              <w:tc>
                <w:tcPr>
                  <w:tcW w:w="1923" w:type="pct"/>
                  <w:vAlign w:val="center"/>
                </w:tcPr>
                <w:p w14:paraId="678E71F4">
                  <w:pPr>
                    <w:jc w:val="center"/>
                    <w:rPr>
                      <w:color w:val="auto"/>
                    </w:rPr>
                  </w:pPr>
                  <w:r>
                    <w:rPr>
                      <w:color w:val="auto"/>
                    </w:rPr>
                    <w:t>设置车辆洗车平台，厂区内道路路面硬化、厂区四周设雾化喷淋装置、定期清扫地面的措施</w:t>
                  </w:r>
                </w:p>
              </w:tc>
            </w:tr>
            <w:tr w14:paraId="2A39FE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0" w:type="pct"/>
                  <w:vMerge w:val="restart"/>
                  <w:tcBorders>
                    <w:top w:val="single" w:color="auto" w:sz="4" w:space="0"/>
                  </w:tcBorders>
                  <w:vAlign w:val="center"/>
                </w:tcPr>
                <w:p w14:paraId="19A234E4">
                  <w:pPr>
                    <w:jc w:val="center"/>
                    <w:rPr>
                      <w:color w:val="auto"/>
                      <w:szCs w:val="21"/>
                    </w:rPr>
                  </w:pPr>
                  <w:r>
                    <w:rPr>
                      <w:color w:val="auto"/>
                      <w:szCs w:val="21"/>
                    </w:rPr>
                    <w:t>废水</w:t>
                  </w:r>
                </w:p>
              </w:tc>
              <w:tc>
                <w:tcPr>
                  <w:tcW w:w="676" w:type="pct"/>
                  <w:vMerge w:val="restart"/>
                  <w:vAlign w:val="center"/>
                </w:tcPr>
                <w:p w14:paraId="7ED3D9FA">
                  <w:pPr>
                    <w:jc w:val="center"/>
                    <w:rPr>
                      <w:color w:val="auto"/>
                      <w:szCs w:val="21"/>
                    </w:rPr>
                  </w:pPr>
                  <w:r>
                    <w:rPr>
                      <w:color w:val="auto"/>
                      <w:szCs w:val="21"/>
                    </w:rPr>
                    <w:t>员工生活</w:t>
                  </w:r>
                </w:p>
              </w:tc>
              <w:tc>
                <w:tcPr>
                  <w:tcW w:w="818" w:type="pct"/>
                  <w:vAlign w:val="center"/>
                </w:tcPr>
                <w:p w14:paraId="205E5325">
                  <w:pPr>
                    <w:jc w:val="center"/>
                    <w:rPr>
                      <w:color w:val="auto"/>
                      <w:szCs w:val="21"/>
                    </w:rPr>
                  </w:pPr>
                  <w:r>
                    <w:rPr>
                      <w:color w:val="auto"/>
                      <w:szCs w:val="21"/>
                    </w:rPr>
                    <w:t>生活污水</w:t>
                  </w:r>
                </w:p>
              </w:tc>
              <w:tc>
                <w:tcPr>
                  <w:tcW w:w="1111" w:type="pct"/>
                  <w:vAlign w:val="center"/>
                </w:tcPr>
                <w:p w14:paraId="5DA867B7">
                  <w:pPr>
                    <w:jc w:val="center"/>
                    <w:rPr>
                      <w:color w:val="auto"/>
                      <w:szCs w:val="21"/>
                    </w:rPr>
                  </w:pPr>
                  <w:r>
                    <w:rPr>
                      <w:color w:val="auto"/>
                      <w:szCs w:val="21"/>
                    </w:rPr>
                    <w:t>pH、COD、BOD</w:t>
                  </w:r>
                  <w:r>
                    <w:rPr>
                      <w:color w:val="auto"/>
                      <w:szCs w:val="21"/>
                      <w:vertAlign w:val="subscript"/>
                    </w:rPr>
                    <w:t>5</w:t>
                  </w:r>
                  <w:r>
                    <w:rPr>
                      <w:color w:val="auto"/>
                      <w:szCs w:val="21"/>
                    </w:rPr>
                    <w:t>、NH</w:t>
                  </w:r>
                  <w:r>
                    <w:rPr>
                      <w:color w:val="auto"/>
                      <w:szCs w:val="21"/>
                      <w:vertAlign w:val="subscript"/>
                    </w:rPr>
                    <w:t>3</w:t>
                  </w:r>
                  <w:r>
                    <w:rPr>
                      <w:color w:val="auto"/>
                      <w:szCs w:val="21"/>
                    </w:rPr>
                    <w:t>-N、SS</w:t>
                  </w:r>
                </w:p>
              </w:tc>
              <w:tc>
                <w:tcPr>
                  <w:tcW w:w="1923" w:type="pct"/>
                  <w:vAlign w:val="center"/>
                </w:tcPr>
                <w:p w14:paraId="209FB6F1">
                  <w:pPr>
                    <w:jc w:val="center"/>
                    <w:rPr>
                      <w:color w:val="auto"/>
                      <w:szCs w:val="21"/>
                    </w:rPr>
                  </w:pPr>
                  <w:r>
                    <w:rPr>
                      <w:color w:val="auto"/>
                    </w:rPr>
                    <w:t>经化粪池处理后定期清掏，不外排</w:t>
                  </w:r>
                </w:p>
              </w:tc>
            </w:tr>
            <w:tr w14:paraId="175C90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0" w:type="pct"/>
                  <w:vMerge w:val="continue"/>
                  <w:vAlign w:val="center"/>
                </w:tcPr>
                <w:p w14:paraId="0DEF560F">
                  <w:pPr>
                    <w:jc w:val="center"/>
                    <w:rPr>
                      <w:color w:val="auto"/>
                      <w:szCs w:val="21"/>
                    </w:rPr>
                  </w:pPr>
                </w:p>
              </w:tc>
              <w:tc>
                <w:tcPr>
                  <w:tcW w:w="676" w:type="pct"/>
                  <w:vMerge w:val="continue"/>
                  <w:vAlign w:val="center"/>
                </w:tcPr>
                <w:p w14:paraId="31C54169">
                  <w:pPr>
                    <w:jc w:val="center"/>
                    <w:rPr>
                      <w:color w:val="auto"/>
                      <w:szCs w:val="21"/>
                    </w:rPr>
                  </w:pPr>
                </w:p>
              </w:tc>
              <w:tc>
                <w:tcPr>
                  <w:tcW w:w="818" w:type="pct"/>
                  <w:vAlign w:val="center"/>
                </w:tcPr>
                <w:p w14:paraId="776B2951">
                  <w:pPr>
                    <w:jc w:val="center"/>
                    <w:rPr>
                      <w:color w:val="auto"/>
                      <w:szCs w:val="21"/>
                    </w:rPr>
                  </w:pPr>
                  <w:r>
                    <w:rPr>
                      <w:color w:val="auto"/>
                      <w:szCs w:val="21"/>
                    </w:rPr>
                    <w:t>生产废水</w:t>
                  </w:r>
                </w:p>
              </w:tc>
              <w:tc>
                <w:tcPr>
                  <w:tcW w:w="1111" w:type="pct"/>
                  <w:vAlign w:val="center"/>
                </w:tcPr>
                <w:p w14:paraId="651CEFE6">
                  <w:pPr>
                    <w:jc w:val="center"/>
                    <w:rPr>
                      <w:color w:val="auto"/>
                      <w:szCs w:val="21"/>
                    </w:rPr>
                  </w:pPr>
                  <w:r>
                    <w:rPr>
                      <w:color w:val="auto"/>
                      <w:szCs w:val="21"/>
                    </w:rPr>
                    <w:t>pH、COD、SS</w:t>
                  </w:r>
                </w:p>
              </w:tc>
              <w:tc>
                <w:tcPr>
                  <w:tcW w:w="1923" w:type="pct"/>
                  <w:vAlign w:val="center"/>
                </w:tcPr>
                <w:p w14:paraId="222C44EA">
                  <w:pPr>
                    <w:jc w:val="center"/>
                    <w:rPr>
                      <w:color w:val="auto"/>
                    </w:rPr>
                  </w:pPr>
                  <w:r>
                    <w:rPr>
                      <w:color w:val="auto"/>
                    </w:rPr>
                    <w:t>沉淀池，废水回用生产</w:t>
                  </w:r>
                </w:p>
              </w:tc>
            </w:tr>
            <w:tr w14:paraId="66DD7D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0" w:type="pct"/>
                  <w:vMerge w:val="restart"/>
                  <w:vAlign w:val="center"/>
                </w:tcPr>
                <w:p w14:paraId="551635B9">
                  <w:pPr>
                    <w:jc w:val="center"/>
                    <w:rPr>
                      <w:color w:val="auto"/>
                      <w:szCs w:val="21"/>
                    </w:rPr>
                  </w:pPr>
                  <w:r>
                    <w:rPr>
                      <w:color w:val="auto"/>
                      <w:szCs w:val="21"/>
                    </w:rPr>
                    <w:t>固体废物</w:t>
                  </w:r>
                </w:p>
              </w:tc>
              <w:tc>
                <w:tcPr>
                  <w:tcW w:w="676" w:type="pct"/>
                  <w:vMerge w:val="restart"/>
                  <w:vAlign w:val="center"/>
                </w:tcPr>
                <w:p w14:paraId="5017D193">
                  <w:pPr>
                    <w:pStyle w:val="39"/>
                    <w:rPr>
                      <w:color w:val="auto"/>
                    </w:rPr>
                  </w:pPr>
                  <w:r>
                    <w:rPr>
                      <w:color w:val="auto"/>
                    </w:rPr>
                    <w:t>生产区</w:t>
                  </w:r>
                </w:p>
              </w:tc>
              <w:tc>
                <w:tcPr>
                  <w:tcW w:w="818" w:type="pct"/>
                  <w:vAlign w:val="center"/>
                </w:tcPr>
                <w:p w14:paraId="3CCFC64D">
                  <w:pPr>
                    <w:pStyle w:val="39"/>
                    <w:rPr>
                      <w:color w:val="auto"/>
                    </w:rPr>
                  </w:pPr>
                  <w:r>
                    <w:rPr>
                      <w:color w:val="auto"/>
                    </w:rPr>
                    <w:t>布袋除尘器收尘</w:t>
                  </w:r>
                </w:p>
              </w:tc>
              <w:tc>
                <w:tcPr>
                  <w:tcW w:w="1111" w:type="pct"/>
                  <w:vAlign w:val="center"/>
                </w:tcPr>
                <w:p w14:paraId="09F73FE8">
                  <w:pPr>
                    <w:pStyle w:val="39"/>
                    <w:rPr>
                      <w:color w:val="auto"/>
                    </w:rPr>
                  </w:pPr>
                  <w:r>
                    <w:rPr>
                      <w:color w:val="auto"/>
                    </w:rPr>
                    <w:t>粉尘</w:t>
                  </w:r>
                </w:p>
              </w:tc>
              <w:tc>
                <w:tcPr>
                  <w:tcW w:w="1923" w:type="pct"/>
                  <w:vAlign w:val="center"/>
                </w:tcPr>
                <w:p w14:paraId="6D5B6924">
                  <w:pPr>
                    <w:pStyle w:val="39"/>
                    <w:rPr>
                      <w:color w:val="auto"/>
                      <w:shd w:val="clear" w:color="auto" w:fill="FFFFFF"/>
                    </w:rPr>
                  </w:pPr>
                  <w:r>
                    <w:rPr>
                      <w:color w:val="auto"/>
                      <w:shd w:val="clear" w:color="auto" w:fill="FFFFFF"/>
                    </w:rPr>
                    <w:t>集中收集后回用生产</w:t>
                  </w:r>
                </w:p>
              </w:tc>
            </w:tr>
            <w:tr w14:paraId="52FEB4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0" w:type="pct"/>
                  <w:vMerge w:val="continue"/>
                  <w:vAlign w:val="center"/>
                </w:tcPr>
                <w:p w14:paraId="5A1D745A">
                  <w:pPr>
                    <w:jc w:val="center"/>
                    <w:rPr>
                      <w:color w:val="auto"/>
                      <w:szCs w:val="21"/>
                    </w:rPr>
                  </w:pPr>
                </w:p>
              </w:tc>
              <w:tc>
                <w:tcPr>
                  <w:tcW w:w="676" w:type="pct"/>
                  <w:vMerge w:val="continue"/>
                  <w:vAlign w:val="center"/>
                </w:tcPr>
                <w:p w14:paraId="37057810">
                  <w:pPr>
                    <w:pStyle w:val="39"/>
                    <w:rPr>
                      <w:color w:val="auto"/>
                    </w:rPr>
                  </w:pPr>
                </w:p>
              </w:tc>
              <w:tc>
                <w:tcPr>
                  <w:tcW w:w="818" w:type="pct"/>
                  <w:vAlign w:val="center"/>
                </w:tcPr>
                <w:p w14:paraId="67DBCFB5">
                  <w:pPr>
                    <w:pStyle w:val="39"/>
                    <w:rPr>
                      <w:color w:val="auto"/>
                    </w:rPr>
                  </w:pPr>
                  <w:r>
                    <w:rPr>
                      <w:color w:val="auto"/>
                    </w:rPr>
                    <w:t>筛分杂质</w:t>
                  </w:r>
                </w:p>
              </w:tc>
              <w:tc>
                <w:tcPr>
                  <w:tcW w:w="1111" w:type="pct"/>
                  <w:vAlign w:val="center"/>
                </w:tcPr>
                <w:p w14:paraId="76BC410C">
                  <w:pPr>
                    <w:pStyle w:val="39"/>
                    <w:rPr>
                      <w:color w:val="auto"/>
                    </w:rPr>
                  </w:pPr>
                  <w:r>
                    <w:rPr>
                      <w:color w:val="auto"/>
                    </w:rPr>
                    <w:t>杂质</w:t>
                  </w:r>
                </w:p>
              </w:tc>
              <w:tc>
                <w:tcPr>
                  <w:tcW w:w="1923" w:type="pct"/>
                  <w:vAlign w:val="center"/>
                </w:tcPr>
                <w:p w14:paraId="2F185196">
                  <w:pPr>
                    <w:pStyle w:val="39"/>
                    <w:rPr>
                      <w:color w:val="auto"/>
                      <w:shd w:val="clear" w:color="auto" w:fill="FFFFFF"/>
                    </w:rPr>
                  </w:pPr>
                  <w:r>
                    <w:rPr>
                      <w:color w:val="auto"/>
                      <w:shd w:val="clear" w:color="auto" w:fill="FFFFFF"/>
                    </w:rPr>
                    <w:t>集中收集后外售</w:t>
                  </w:r>
                </w:p>
              </w:tc>
            </w:tr>
            <w:tr w14:paraId="3F00DE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0" w:type="pct"/>
                  <w:vMerge w:val="continue"/>
                  <w:vAlign w:val="center"/>
                </w:tcPr>
                <w:p w14:paraId="105D41CC">
                  <w:pPr>
                    <w:jc w:val="center"/>
                    <w:rPr>
                      <w:color w:val="auto"/>
                      <w:szCs w:val="21"/>
                    </w:rPr>
                  </w:pPr>
                </w:p>
              </w:tc>
              <w:tc>
                <w:tcPr>
                  <w:tcW w:w="676" w:type="pct"/>
                  <w:vMerge w:val="continue"/>
                  <w:vAlign w:val="center"/>
                </w:tcPr>
                <w:p w14:paraId="64B1F46B">
                  <w:pPr>
                    <w:pStyle w:val="39"/>
                    <w:rPr>
                      <w:color w:val="auto"/>
                    </w:rPr>
                  </w:pPr>
                </w:p>
              </w:tc>
              <w:tc>
                <w:tcPr>
                  <w:tcW w:w="818" w:type="pct"/>
                  <w:vAlign w:val="center"/>
                </w:tcPr>
                <w:p w14:paraId="19FA8763">
                  <w:pPr>
                    <w:pStyle w:val="39"/>
                    <w:rPr>
                      <w:color w:val="auto"/>
                    </w:rPr>
                  </w:pPr>
                  <w:r>
                    <w:rPr>
                      <w:color w:val="auto"/>
                    </w:rPr>
                    <w:t>沉淀池污泥</w:t>
                  </w:r>
                </w:p>
              </w:tc>
              <w:tc>
                <w:tcPr>
                  <w:tcW w:w="1111" w:type="pct"/>
                  <w:vAlign w:val="center"/>
                </w:tcPr>
                <w:p w14:paraId="3B28A4A0">
                  <w:pPr>
                    <w:pStyle w:val="39"/>
                    <w:rPr>
                      <w:color w:val="auto"/>
                    </w:rPr>
                  </w:pPr>
                  <w:r>
                    <w:rPr>
                      <w:color w:val="auto"/>
                    </w:rPr>
                    <w:t>污泥</w:t>
                  </w:r>
                </w:p>
              </w:tc>
              <w:tc>
                <w:tcPr>
                  <w:tcW w:w="1923" w:type="pct"/>
                  <w:vAlign w:val="center"/>
                </w:tcPr>
                <w:p w14:paraId="214068CA">
                  <w:pPr>
                    <w:pStyle w:val="39"/>
                    <w:rPr>
                      <w:color w:val="auto"/>
                      <w:shd w:val="clear" w:color="auto" w:fill="FFFFFF"/>
                    </w:rPr>
                  </w:pPr>
                  <w:r>
                    <w:rPr>
                      <w:color w:val="auto"/>
                      <w:shd w:val="clear" w:color="auto" w:fill="FFFFFF"/>
                    </w:rPr>
                    <w:t>集中收集后外售</w:t>
                  </w:r>
                </w:p>
              </w:tc>
            </w:tr>
            <w:tr w14:paraId="387A5B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0" w:type="pct"/>
                  <w:vMerge w:val="continue"/>
                  <w:vAlign w:val="center"/>
                </w:tcPr>
                <w:p w14:paraId="1F77159B">
                  <w:pPr>
                    <w:jc w:val="center"/>
                    <w:rPr>
                      <w:color w:val="auto"/>
                      <w:szCs w:val="21"/>
                    </w:rPr>
                  </w:pPr>
                </w:p>
              </w:tc>
              <w:tc>
                <w:tcPr>
                  <w:tcW w:w="676" w:type="pct"/>
                  <w:vMerge w:val="continue"/>
                  <w:vAlign w:val="center"/>
                </w:tcPr>
                <w:p w14:paraId="3684ADA8">
                  <w:pPr>
                    <w:pStyle w:val="39"/>
                    <w:rPr>
                      <w:color w:val="auto"/>
                    </w:rPr>
                  </w:pPr>
                </w:p>
              </w:tc>
              <w:tc>
                <w:tcPr>
                  <w:tcW w:w="818" w:type="pct"/>
                  <w:vAlign w:val="center"/>
                </w:tcPr>
                <w:p w14:paraId="1B06D169">
                  <w:pPr>
                    <w:pStyle w:val="39"/>
                    <w:rPr>
                      <w:color w:val="auto"/>
                    </w:rPr>
                  </w:pPr>
                  <w:r>
                    <w:rPr>
                      <w:color w:val="auto"/>
                    </w:rPr>
                    <w:t>不合格品</w:t>
                  </w:r>
                </w:p>
              </w:tc>
              <w:tc>
                <w:tcPr>
                  <w:tcW w:w="1111" w:type="pct"/>
                  <w:vAlign w:val="center"/>
                </w:tcPr>
                <w:p w14:paraId="6F9C78A4">
                  <w:pPr>
                    <w:pStyle w:val="39"/>
                    <w:rPr>
                      <w:color w:val="auto"/>
                    </w:rPr>
                  </w:pPr>
                  <w:r>
                    <w:rPr>
                      <w:color w:val="auto"/>
                    </w:rPr>
                    <w:t>不合格品</w:t>
                  </w:r>
                </w:p>
              </w:tc>
              <w:tc>
                <w:tcPr>
                  <w:tcW w:w="1923" w:type="pct"/>
                  <w:vAlign w:val="center"/>
                </w:tcPr>
                <w:p w14:paraId="60CD2110">
                  <w:pPr>
                    <w:pStyle w:val="39"/>
                    <w:rPr>
                      <w:color w:val="auto"/>
                      <w:shd w:val="clear" w:color="auto" w:fill="FFFFFF"/>
                    </w:rPr>
                  </w:pPr>
                  <w:r>
                    <w:rPr>
                      <w:color w:val="auto"/>
                      <w:shd w:val="clear" w:color="auto" w:fill="FFFFFF"/>
                    </w:rPr>
                    <w:t>收集后回用生产</w:t>
                  </w:r>
                </w:p>
              </w:tc>
            </w:tr>
            <w:tr w14:paraId="1985E4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0" w:type="pct"/>
                  <w:vMerge w:val="continue"/>
                  <w:vAlign w:val="center"/>
                </w:tcPr>
                <w:p w14:paraId="49216E8A">
                  <w:pPr>
                    <w:jc w:val="center"/>
                    <w:rPr>
                      <w:color w:val="auto"/>
                      <w:szCs w:val="21"/>
                    </w:rPr>
                  </w:pPr>
                </w:p>
              </w:tc>
              <w:tc>
                <w:tcPr>
                  <w:tcW w:w="676" w:type="pct"/>
                  <w:vMerge w:val="continue"/>
                  <w:vAlign w:val="center"/>
                </w:tcPr>
                <w:p w14:paraId="229A8983">
                  <w:pPr>
                    <w:pStyle w:val="39"/>
                    <w:rPr>
                      <w:color w:val="auto"/>
                    </w:rPr>
                  </w:pPr>
                </w:p>
              </w:tc>
              <w:tc>
                <w:tcPr>
                  <w:tcW w:w="818" w:type="pct"/>
                  <w:vAlign w:val="center"/>
                </w:tcPr>
                <w:p w14:paraId="1D9A3737">
                  <w:pPr>
                    <w:pStyle w:val="39"/>
                    <w:rPr>
                      <w:color w:val="auto"/>
                    </w:rPr>
                  </w:pPr>
                  <w:r>
                    <w:rPr>
                      <w:color w:val="auto"/>
                    </w:rPr>
                    <w:t>废模框</w:t>
                  </w:r>
                </w:p>
              </w:tc>
              <w:tc>
                <w:tcPr>
                  <w:tcW w:w="1111" w:type="pct"/>
                  <w:vAlign w:val="center"/>
                </w:tcPr>
                <w:p w14:paraId="4044FD8A">
                  <w:pPr>
                    <w:pStyle w:val="39"/>
                    <w:rPr>
                      <w:color w:val="auto"/>
                    </w:rPr>
                  </w:pPr>
                  <w:r>
                    <w:rPr>
                      <w:color w:val="auto"/>
                    </w:rPr>
                    <w:t>废模框</w:t>
                  </w:r>
                </w:p>
              </w:tc>
              <w:tc>
                <w:tcPr>
                  <w:tcW w:w="1923" w:type="pct"/>
                  <w:vAlign w:val="center"/>
                </w:tcPr>
                <w:p w14:paraId="31BF78B1">
                  <w:pPr>
                    <w:pStyle w:val="39"/>
                    <w:rPr>
                      <w:color w:val="auto"/>
                      <w:shd w:val="clear" w:color="auto" w:fill="FFFFFF"/>
                    </w:rPr>
                  </w:pPr>
                  <w:r>
                    <w:rPr>
                      <w:color w:val="auto"/>
                      <w:shd w:val="clear" w:color="auto" w:fill="FFFFFF"/>
                    </w:rPr>
                    <w:t>集中收集后外售</w:t>
                  </w:r>
                </w:p>
              </w:tc>
            </w:tr>
            <w:tr w14:paraId="6FDCAF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0" w:type="pct"/>
                  <w:vMerge w:val="continue"/>
                  <w:vAlign w:val="center"/>
                </w:tcPr>
                <w:p w14:paraId="40A7B01E">
                  <w:pPr>
                    <w:jc w:val="center"/>
                    <w:rPr>
                      <w:color w:val="auto"/>
                      <w:szCs w:val="21"/>
                    </w:rPr>
                  </w:pPr>
                </w:p>
              </w:tc>
              <w:tc>
                <w:tcPr>
                  <w:tcW w:w="676" w:type="pct"/>
                  <w:vMerge w:val="continue"/>
                  <w:vAlign w:val="center"/>
                </w:tcPr>
                <w:p w14:paraId="7C1C3D58">
                  <w:pPr>
                    <w:pStyle w:val="39"/>
                    <w:rPr>
                      <w:color w:val="auto"/>
                    </w:rPr>
                  </w:pPr>
                </w:p>
              </w:tc>
              <w:tc>
                <w:tcPr>
                  <w:tcW w:w="818" w:type="pct"/>
                  <w:vAlign w:val="center"/>
                </w:tcPr>
                <w:p w14:paraId="626A5FFD">
                  <w:pPr>
                    <w:pStyle w:val="39"/>
                    <w:rPr>
                      <w:color w:val="auto"/>
                    </w:rPr>
                  </w:pPr>
                  <w:r>
                    <w:rPr>
                      <w:color w:val="auto"/>
                    </w:rPr>
                    <w:t>废包装材料</w:t>
                  </w:r>
                </w:p>
              </w:tc>
              <w:tc>
                <w:tcPr>
                  <w:tcW w:w="1111" w:type="pct"/>
                  <w:vAlign w:val="center"/>
                </w:tcPr>
                <w:p w14:paraId="25F1530A">
                  <w:pPr>
                    <w:pStyle w:val="39"/>
                    <w:rPr>
                      <w:color w:val="auto"/>
                    </w:rPr>
                  </w:pPr>
                  <w:r>
                    <w:rPr>
                      <w:color w:val="auto"/>
                    </w:rPr>
                    <w:t>废包装材料</w:t>
                  </w:r>
                </w:p>
              </w:tc>
              <w:tc>
                <w:tcPr>
                  <w:tcW w:w="1923" w:type="pct"/>
                  <w:vAlign w:val="center"/>
                </w:tcPr>
                <w:p w14:paraId="360B7037">
                  <w:pPr>
                    <w:pStyle w:val="39"/>
                    <w:rPr>
                      <w:color w:val="auto"/>
                      <w:shd w:val="clear" w:color="auto" w:fill="FFFFFF"/>
                    </w:rPr>
                  </w:pPr>
                  <w:r>
                    <w:rPr>
                      <w:color w:val="auto"/>
                      <w:shd w:val="clear" w:color="auto" w:fill="FFFFFF"/>
                    </w:rPr>
                    <w:t>集中收集后外售</w:t>
                  </w:r>
                </w:p>
              </w:tc>
            </w:tr>
            <w:tr w14:paraId="078CE5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470" w:type="pct"/>
                  <w:vMerge w:val="continue"/>
                  <w:vAlign w:val="center"/>
                </w:tcPr>
                <w:p w14:paraId="004CFE9C">
                  <w:pPr>
                    <w:jc w:val="center"/>
                    <w:rPr>
                      <w:color w:val="auto"/>
                      <w:szCs w:val="21"/>
                    </w:rPr>
                  </w:pPr>
                </w:p>
              </w:tc>
              <w:tc>
                <w:tcPr>
                  <w:tcW w:w="676" w:type="pct"/>
                  <w:vMerge w:val="continue"/>
                  <w:vAlign w:val="center"/>
                </w:tcPr>
                <w:p w14:paraId="24D049F7">
                  <w:pPr>
                    <w:pStyle w:val="39"/>
                    <w:rPr>
                      <w:color w:val="auto"/>
                    </w:rPr>
                  </w:pPr>
                </w:p>
              </w:tc>
              <w:tc>
                <w:tcPr>
                  <w:tcW w:w="818" w:type="pct"/>
                  <w:vAlign w:val="center"/>
                </w:tcPr>
                <w:p w14:paraId="65B25169">
                  <w:pPr>
                    <w:pStyle w:val="39"/>
                    <w:rPr>
                      <w:color w:val="auto"/>
                    </w:rPr>
                  </w:pPr>
                  <w:r>
                    <w:rPr>
                      <w:color w:val="auto"/>
                    </w:rPr>
                    <w:t>废机油</w:t>
                  </w:r>
                </w:p>
              </w:tc>
              <w:tc>
                <w:tcPr>
                  <w:tcW w:w="1111" w:type="pct"/>
                  <w:vAlign w:val="center"/>
                </w:tcPr>
                <w:p w14:paraId="04EA18B7">
                  <w:pPr>
                    <w:pStyle w:val="39"/>
                    <w:rPr>
                      <w:color w:val="auto"/>
                    </w:rPr>
                  </w:pPr>
                  <w:r>
                    <w:rPr>
                      <w:color w:val="auto"/>
                    </w:rPr>
                    <w:t>矿物油</w:t>
                  </w:r>
                </w:p>
              </w:tc>
              <w:tc>
                <w:tcPr>
                  <w:tcW w:w="1923" w:type="pct"/>
                  <w:vAlign w:val="center"/>
                </w:tcPr>
                <w:p w14:paraId="23C2E9B7">
                  <w:pPr>
                    <w:pStyle w:val="39"/>
                    <w:rPr>
                      <w:color w:val="auto"/>
                    </w:rPr>
                  </w:pPr>
                  <w:r>
                    <w:rPr>
                      <w:color w:val="auto"/>
                    </w:rPr>
                    <w:t>委托有资质单位处置</w:t>
                  </w:r>
                </w:p>
              </w:tc>
            </w:tr>
            <w:tr w14:paraId="1E9396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0" w:type="pct"/>
                  <w:vMerge w:val="continue"/>
                  <w:vAlign w:val="center"/>
                </w:tcPr>
                <w:p w14:paraId="433B0553">
                  <w:pPr>
                    <w:jc w:val="center"/>
                    <w:rPr>
                      <w:color w:val="auto"/>
                      <w:szCs w:val="21"/>
                    </w:rPr>
                  </w:pPr>
                </w:p>
              </w:tc>
              <w:tc>
                <w:tcPr>
                  <w:tcW w:w="676" w:type="pct"/>
                  <w:vMerge w:val="continue"/>
                  <w:vAlign w:val="center"/>
                </w:tcPr>
                <w:p w14:paraId="4A481B71">
                  <w:pPr>
                    <w:pStyle w:val="39"/>
                    <w:rPr>
                      <w:color w:val="auto"/>
                    </w:rPr>
                  </w:pPr>
                </w:p>
              </w:tc>
              <w:tc>
                <w:tcPr>
                  <w:tcW w:w="818" w:type="pct"/>
                  <w:vAlign w:val="center"/>
                </w:tcPr>
                <w:p w14:paraId="4B51932B">
                  <w:pPr>
                    <w:pStyle w:val="39"/>
                    <w:rPr>
                      <w:color w:val="auto"/>
                    </w:rPr>
                  </w:pPr>
                  <w:r>
                    <w:rPr>
                      <w:color w:val="auto"/>
                    </w:rPr>
                    <w:t>废机油桶</w:t>
                  </w:r>
                </w:p>
              </w:tc>
              <w:tc>
                <w:tcPr>
                  <w:tcW w:w="1111" w:type="pct"/>
                  <w:vAlign w:val="center"/>
                </w:tcPr>
                <w:p w14:paraId="1387BFA7">
                  <w:pPr>
                    <w:pStyle w:val="39"/>
                    <w:rPr>
                      <w:color w:val="auto"/>
                    </w:rPr>
                  </w:pPr>
                  <w:r>
                    <w:rPr>
                      <w:color w:val="auto"/>
                    </w:rPr>
                    <w:t>矿物油</w:t>
                  </w:r>
                </w:p>
              </w:tc>
              <w:tc>
                <w:tcPr>
                  <w:tcW w:w="1923" w:type="pct"/>
                  <w:vAlign w:val="center"/>
                </w:tcPr>
                <w:p w14:paraId="59D013C7">
                  <w:pPr>
                    <w:pStyle w:val="39"/>
                    <w:rPr>
                      <w:color w:val="auto"/>
                      <w:lang w:val="zh-CN"/>
                    </w:rPr>
                  </w:pPr>
                  <w:r>
                    <w:rPr>
                      <w:color w:val="auto"/>
                    </w:rPr>
                    <w:t>委托有资质单位处置</w:t>
                  </w:r>
                </w:p>
              </w:tc>
            </w:tr>
            <w:tr w14:paraId="49D98D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0" w:type="pct"/>
                  <w:vMerge w:val="continue"/>
                  <w:vAlign w:val="center"/>
                </w:tcPr>
                <w:p w14:paraId="1EF90B98">
                  <w:pPr>
                    <w:jc w:val="center"/>
                    <w:rPr>
                      <w:color w:val="auto"/>
                      <w:szCs w:val="21"/>
                    </w:rPr>
                  </w:pPr>
                </w:p>
              </w:tc>
              <w:tc>
                <w:tcPr>
                  <w:tcW w:w="676" w:type="pct"/>
                  <w:vAlign w:val="center"/>
                </w:tcPr>
                <w:p w14:paraId="533E8BFA">
                  <w:pPr>
                    <w:jc w:val="center"/>
                    <w:rPr>
                      <w:color w:val="auto"/>
                      <w:szCs w:val="21"/>
                    </w:rPr>
                  </w:pPr>
                  <w:r>
                    <w:rPr>
                      <w:color w:val="auto"/>
                      <w:szCs w:val="21"/>
                    </w:rPr>
                    <w:t>员工生活</w:t>
                  </w:r>
                </w:p>
              </w:tc>
              <w:tc>
                <w:tcPr>
                  <w:tcW w:w="818" w:type="pct"/>
                  <w:vAlign w:val="center"/>
                </w:tcPr>
                <w:p w14:paraId="218CD3C8">
                  <w:pPr>
                    <w:jc w:val="center"/>
                    <w:rPr>
                      <w:color w:val="auto"/>
                      <w:szCs w:val="21"/>
                    </w:rPr>
                  </w:pPr>
                  <w:r>
                    <w:rPr>
                      <w:color w:val="auto"/>
                      <w:szCs w:val="21"/>
                    </w:rPr>
                    <w:t>生活垃圾</w:t>
                  </w:r>
                </w:p>
              </w:tc>
              <w:tc>
                <w:tcPr>
                  <w:tcW w:w="1111" w:type="pct"/>
                  <w:vAlign w:val="center"/>
                </w:tcPr>
                <w:p w14:paraId="32A570F4">
                  <w:pPr>
                    <w:jc w:val="center"/>
                    <w:rPr>
                      <w:color w:val="auto"/>
                      <w:szCs w:val="21"/>
                    </w:rPr>
                  </w:pPr>
                  <w:r>
                    <w:rPr>
                      <w:color w:val="auto"/>
                      <w:szCs w:val="21"/>
                    </w:rPr>
                    <w:t>生活垃圾</w:t>
                  </w:r>
                </w:p>
              </w:tc>
              <w:tc>
                <w:tcPr>
                  <w:tcW w:w="1923" w:type="pct"/>
                  <w:vAlign w:val="center"/>
                </w:tcPr>
                <w:p w14:paraId="0FEB1D8E">
                  <w:pPr>
                    <w:jc w:val="center"/>
                    <w:rPr>
                      <w:color w:val="auto"/>
                      <w:szCs w:val="21"/>
                    </w:rPr>
                  </w:pPr>
                  <w:r>
                    <w:rPr>
                      <w:color w:val="auto"/>
                    </w:rPr>
                    <w:t>收集后环卫部门统一清运</w:t>
                  </w:r>
                </w:p>
              </w:tc>
            </w:tr>
          </w:tbl>
          <w:p w14:paraId="3A051BF7">
            <w:pPr>
              <w:adjustRightInd w:val="0"/>
              <w:snapToGrid w:val="0"/>
              <w:spacing w:line="360" w:lineRule="auto"/>
              <w:rPr>
                <w:b/>
                <w:color w:val="auto"/>
                <w:sz w:val="24"/>
              </w:rPr>
            </w:pPr>
          </w:p>
        </w:tc>
      </w:tr>
      <w:tr w14:paraId="47E49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4" w:hRule="atLeast"/>
          <w:jc w:val="center"/>
        </w:trPr>
        <w:tc>
          <w:tcPr>
            <w:tcW w:w="541" w:type="dxa"/>
            <w:vAlign w:val="center"/>
          </w:tcPr>
          <w:p w14:paraId="5B8EE83E">
            <w:pPr>
              <w:pStyle w:val="21"/>
              <w:adjustRightInd w:val="0"/>
              <w:snapToGrid w:val="0"/>
              <w:spacing w:before="0" w:beforeAutospacing="0" w:after="0" w:afterAutospacing="0"/>
              <w:jc w:val="center"/>
              <w:rPr>
                <w:rFonts w:ascii="Times New Roman" w:hAnsi="Times New Roman"/>
                <w:b/>
                <w:color w:val="auto"/>
              </w:rPr>
            </w:pPr>
            <w:r>
              <w:rPr>
                <w:rFonts w:ascii="Times New Roman" w:hAnsi="Times New Roman"/>
                <w:b/>
                <w:color w:val="auto"/>
              </w:rPr>
              <w:t>与项目有关的原有环境污染问题</w:t>
            </w:r>
          </w:p>
        </w:tc>
        <w:tc>
          <w:tcPr>
            <w:tcW w:w="8988" w:type="dxa"/>
          </w:tcPr>
          <w:p w14:paraId="1470840B">
            <w:pPr>
              <w:spacing w:line="360" w:lineRule="auto"/>
              <w:rPr>
                <w:b/>
                <w:color w:val="auto"/>
                <w:sz w:val="24"/>
              </w:rPr>
            </w:pPr>
            <w:r>
              <w:rPr>
                <w:b/>
                <w:color w:val="auto"/>
                <w:sz w:val="24"/>
              </w:rPr>
              <w:t>1、现有项目概括</w:t>
            </w:r>
          </w:p>
          <w:p w14:paraId="3B865497">
            <w:pPr>
              <w:pStyle w:val="32"/>
              <w:widowControl/>
              <w:autoSpaceDE w:val="0"/>
              <w:autoSpaceDN w:val="0"/>
              <w:spacing w:line="360" w:lineRule="auto"/>
              <w:textAlignment w:val="baseline"/>
              <w:rPr>
                <w:rFonts w:ascii="Times New Roman" w:hAnsi="Times New Roman" w:cs="Times New Roman"/>
                <w:color w:val="auto"/>
              </w:rPr>
            </w:pPr>
            <w:r>
              <w:rPr>
                <w:rFonts w:ascii="Times New Roman" w:hAnsi="Times New Roman" w:cs="Times New Roman"/>
                <w:color w:val="auto"/>
                <w:spacing w:val="-1"/>
              </w:rPr>
              <w:t>现有工程</w:t>
            </w:r>
            <w:r>
              <w:rPr>
                <w:rFonts w:ascii="Times New Roman" w:hAnsi="Times New Roman" w:cs="Times New Roman"/>
                <w:color w:val="auto"/>
                <w:spacing w:val="-1"/>
                <w:lang w:eastAsia="zh-CN"/>
              </w:rPr>
              <w:t>项</w:t>
            </w:r>
            <w:r>
              <w:rPr>
                <w:rFonts w:ascii="Times New Roman" w:hAnsi="Times New Roman" w:cs="Times New Roman"/>
                <w:color w:val="auto"/>
                <w:spacing w:val="-1"/>
              </w:rPr>
              <w:t>目环评审批、环保验收情况如下表：</w:t>
            </w:r>
          </w:p>
          <w:p w14:paraId="2B680058">
            <w:pPr>
              <w:pStyle w:val="32"/>
              <w:widowControl/>
              <w:kinsoku w:val="0"/>
              <w:autoSpaceDE w:val="0"/>
              <w:autoSpaceDN w:val="0"/>
              <w:jc w:val="center"/>
              <w:textAlignment w:val="baseline"/>
              <w:rPr>
                <w:rFonts w:ascii="Times New Roman" w:hAnsi="Times New Roman" w:cs="Times New Roman"/>
                <w:color w:val="auto"/>
              </w:rPr>
            </w:pPr>
            <w:r>
              <w:rPr>
                <w:rFonts w:ascii="Times New Roman" w:hAnsi="Times New Roman" w:cs="Times New Roman"/>
                <w:b/>
                <w:bCs/>
                <w:snapToGrid w:val="0"/>
                <w:color w:val="auto"/>
                <w:lang w:eastAsia="zh-CN"/>
              </w:rPr>
              <w:t>表2-</w:t>
            </w:r>
            <w:r>
              <w:rPr>
                <w:rFonts w:hint="eastAsia" w:ascii="Times New Roman" w:hAnsi="Times New Roman" w:cs="Times New Roman"/>
                <w:b/>
                <w:bCs/>
                <w:snapToGrid w:val="0"/>
                <w:color w:val="auto"/>
                <w:lang w:eastAsia="zh-CN"/>
              </w:rPr>
              <w:t>11</w:t>
            </w:r>
            <w:r>
              <w:rPr>
                <w:rFonts w:ascii="Times New Roman" w:hAnsi="Times New Roman" w:cs="Times New Roman"/>
                <w:b/>
                <w:bCs/>
                <w:snapToGrid w:val="0"/>
                <w:color w:val="auto"/>
                <w:lang w:eastAsia="zh-CN"/>
              </w:rPr>
              <w:t xml:space="preserve">  </w:t>
            </w:r>
            <w:r>
              <w:rPr>
                <w:rFonts w:ascii="Times New Roman" w:hAnsi="Times New Roman" w:cs="Times New Roman"/>
                <w:b/>
                <w:bCs/>
                <w:color w:val="auto"/>
                <w:spacing w:val="-2"/>
              </w:rPr>
              <w:t>现有工程环评及验收执行情况一览表</w:t>
            </w:r>
          </w:p>
          <w:tbl>
            <w:tblPr>
              <w:tblStyle w:val="38"/>
              <w:tblW w:w="0" w:type="auto"/>
              <w:tblInd w:w="1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71"/>
              <w:gridCol w:w="1982"/>
              <w:gridCol w:w="3139"/>
              <w:gridCol w:w="3139"/>
            </w:tblGrid>
            <w:tr w14:paraId="73733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471" w:type="dxa"/>
                  <w:textDirection w:val="tbRlV"/>
                  <w:vAlign w:val="center"/>
                </w:tcPr>
                <w:p w14:paraId="4FE2017D">
                  <w:pPr>
                    <w:pStyle w:val="32"/>
                    <w:widowControl/>
                    <w:kinsoku w:val="0"/>
                    <w:autoSpaceDE w:val="0"/>
                    <w:autoSpaceDN w:val="0"/>
                    <w:jc w:val="center"/>
                    <w:textAlignment w:val="baseline"/>
                    <w:rPr>
                      <w:rFonts w:ascii="Times New Roman" w:hAnsi="Times New Roman" w:cs="Times New Roman"/>
                      <w:color w:val="auto"/>
                      <w:sz w:val="21"/>
                      <w:szCs w:val="21"/>
                    </w:rPr>
                  </w:pPr>
                  <w:r>
                    <w:rPr>
                      <w:rFonts w:ascii="Times New Roman" w:hAnsi="Times New Roman" w:cs="Times New Roman"/>
                      <w:b/>
                      <w:bCs/>
                      <w:color w:val="auto"/>
                      <w:spacing w:val="5"/>
                      <w:sz w:val="21"/>
                      <w:szCs w:val="21"/>
                    </w:rPr>
                    <w:t>序号</w:t>
                  </w:r>
                </w:p>
              </w:tc>
              <w:tc>
                <w:tcPr>
                  <w:tcW w:w="1982" w:type="dxa"/>
                  <w:vAlign w:val="center"/>
                </w:tcPr>
                <w:p w14:paraId="2C600A3A">
                  <w:pPr>
                    <w:pStyle w:val="32"/>
                    <w:widowControl/>
                    <w:kinsoku w:val="0"/>
                    <w:autoSpaceDE w:val="0"/>
                    <w:autoSpaceDN w:val="0"/>
                    <w:jc w:val="center"/>
                    <w:textAlignment w:val="baseline"/>
                    <w:rPr>
                      <w:rFonts w:ascii="Times New Roman" w:hAnsi="Times New Roman" w:cs="Times New Roman"/>
                      <w:color w:val="auto"/>
                      <w:sz w:val="21"/>
                      <w:szCs w:val="21"/>
                    </w:rPr>
                  </w:pPr>
                  <w:r>
                    <w:rPr>
                      <w:rFonts w:ascii="Times New Roman" w:hAnsi="Times New Roman" w:cs="Times New Roman"/>
                      <w:b/>
                      <w:bCs/>
                      <w:color w:val="auto"/>
                      <w:spacing w:val="5"/>
                      <w:sz w:val="21"/>
                      <w:szCs w:val="21"/>
                    </w:rPr>
                    <w:t>项目名称</w:t>
                  </w:r>
                </w:p>
              </w:tc>
              <w:tc>
                <w:tcPr>
                  <w:tcW w:w="3139" w:type="dxa"/>
                  <w:vAlign w:val="center"/>
                </w:tcPr>
                <w:p w14:paraId="7B752989">
                  <w:pPr>
                    <w:pStyle w:val="32"/>
                    <w:widowControl/>
                    <w:kinsoku w:val="0"/>
                    <w:autoSpaceDE w:val="0"/>
                    <w:autoSpaceDN w:val="0"/>
                    <w:jc w:val="center"/>
                    <w:textAlignment w:val="baseline"/>
                    <w:rPr>
                      <w:rFonts w:ascii="Times New Roman" w:hAnsi="Times New Roman" w:cs="Times New Roman"/>
                      <w:color w:val="auto"/>
                      <w:sz w:val="21"/>
                      <w:szCs w:val="21"/>
                    </w:rPr>
                  </w:pPr>
                  <w:r>
                    <w:rPr>
                      <w:rFonts w:ascii="Times New Roman" w:hAnsi="Times New Roman" w:cs="Times New Roman"/>
                      <w:b/>
                      <w:bCs/>
                      <w:color w:val="auto"/>
                      <w:spacing w:val="6"/>
                      <w:sz w:val="21"/>
                      <w:szCs w:val="21"/>
                    </w:rPr>
                    <w:t>环评执行情况</w:t>
                  </w:r>
                </w:p>
              </w:tc>
              <w:tc>
                <w:tcPr>
                  <w:tcW w:w="3139" w:type="dxa"/>
                  <w:vAlign w:val="center"/>
                </w:tcPr>
                <w:p w14:paraId="58C75E23">
                  <w:pPr>
                    <w:pStyle w:val="32"/>
                    <w:widowControl/>
                    <w:kinsoku w:val="0"/>
                    <w:autoSpaceDE w:val="0"/>
                    <w:autoSpaceDN w:val="0"/>
                    <w:jc w:val="center"/>
                    <w:textAlignment w:val="baseline"/>
                    <w:rPr>
                      <w:rFonts w:ascii="Times New Roman" w:hAnsi="Times New Roman" w:cs="Times New Roman"/>
                      <w:color w:val="auto"/>
                      <w:sz w:val="21"/>
                      <w:szCs w:val="21"/>
                    </w:rPr>
                  </w:pPr>
                  <w:r>
                    <w:rPr>
                      <w:rFonts w:ascii="Times New Roman" w:hAnsi="Times New Roman" w:cs="Times New Roman"/>
                      <w:b/>
                      <w:bCs/>
                      <w:color w:val="auto"/>
                      <w:spacing w:val="7"/>
                      <w:sz w:val="21"/>
                      <w:szCs w:val="21"/>
                    </w:rPr>
                    <w:t>验收执行情况</w:t>
                  </w:r>
                </w:p>
              </w:tc>
            </w:tr>
            <w:tr w14:paraId="7F8DA0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4" w:hRule="atLeast"/>
              </w:trPr>
              <w:tc>
                <w:tcPr>
                  <w:tcW w:w="471" w:type="dxa"/>
                  <w:vAlign w:val="center"/>
                </w:tcPr>
                <w:p w14:paraId="2630EAE6">
                  <w:pPr>
                    <w:widowControl/>
                    <w:kinsoku w:val="0"/>
                    <w:autoSpaceDE w:val="0"/>
                    <w:autoSpaceDN w:val="0"/>
                    <w:jc w:val="center"/>
                    <w:textAlignment w:val="baseline"/>
                    <w:rPr>
                      <w:color w:val="auto"/>
                      <w:szCs w:val="21"/>
                    </w:rPr>
                  </w:pPr>
                  <w:r>
                    <w:rPr>
                      <w:color w:val="auto"/>
                      <w:szCs w:val="21"/>
                    </w:rPr>
                    <w:t>1</w:t>
                  </w:r>
                </w:p>
              </w:tc>
              <w:tc>
                <w:tcPr>
                  <w:tcW w:w="1982" w:type="dxa"/>
                  <w:vAlign w:val="center"/>
                </w:tcPr>
                <w:p w14:paraId="3DB04635">
                  <w:pPr>
                    <w:pStyle w:val="32"/>
                    <w:widowControl/>
                    <w:kinsoku w:val="0"/>
                    <w:autoSpaceDE w:val="0"/>
                    <w:autoSpaceDN w:val="0"/>
                    <w:jc w:val="center"/>
                    <w:textAlignment w:val="baseline"/>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《安徽永丰新型墙体材料有限公司年产20万立方米加气混凝土砌块砖生产线项目》</w:t>
                  </w:r>
                </w:p>
              </w:tc>
              <w:tc>
                <w:tcPr>
                  <w:tcW w:w="3139" w:type="dxa"/>
                  <w:vAlign w:val="center"/>
                </w:tcPr>
                <w:p w14:paraId="2E823220">
                  <w:pPr>
                    <w:pStyle w:val="32"/>
                    <w:widowControl/>
                    <w:kinsoku w:val="0"/>
                    <w:autoSpaceDE w:val="0"/>
                    <w:autoSpaceDN w:val="0"/>
                    <w:jc w:val="center"/>
                    <w:textAlignment w:val="baseline"/>
                    <w:rPr>
                      <w:rFonts w:ascii="Times New Roman" w:hAnsi="Times New Roman" w:cs="Times New Roman"/>
                      <w:color w:val="auto"/>
                      <w:sz w:val="21"/>
                      <w:szCs w:val="21"/>
                      <w:lang w:eastAsia="zh-CN"/>
                    </w:rPr>
                  </w:pPr>
                  <w:r>
                    <w:rPr>
                      <w:rFonts w:ascii="Times New Roman" w:hAnsi="Times New Roman" w:cs="Times New Roman"/>
                      <w:color w:val="auto"/>
                      <w:spacing w:val="9"/>
                      <w:sz w:val="21"/>
                      <w:szCs w:val="21"/>
                    </w:rPr>
                    <w:t>20</w:t>
                  </w:r>
                  <w:r>
                    <w:rPr>
                      <w:rFonts w:ascii="Times New Roman" w:hAnsi="Times New Roman" w:cs="Times New Roman"/>
                      <w:color w:val="auto"/>
                      <w:spacing w:val="9"/>
                      <w:sz w:val="21"/>
                      <w:szCs w:val="21"/>
                      <w:lang w:eastAsia="zh-CN"/>
                    </w:rPr>
                    <w:t>1</w:t>
                  </w:r>
                  <w:r>
                    <w:rPr>
                      <w:rFonts w:ascii="Times New Roman" w:hAnsi="Times New Roman" w:cs="Times New Roman"/>
                      <w:color w:val="auto"/>
                      <w:spacing w:val="9"/>
                      <w:sz w:val="21"/>
                      <w:szCs w:val="21"/>
                    </w:rPr>
                    <w:t>2年</w:t>
                  </w:r>
                  <w:r>
                    <w:rPr>
                      <w:rFonts w:ascii="Times New Roman" w:hAnsi="Times New Roman" w:cs="Times New Roman"/>
                      <w:color w:val="auto"/>
                      <w:spacing w:val="9"/>
                      <w:sz w:val="21"/>
                      <w:szCs w:val="21"/>
                      <w:lang w:eastAsia="zh-CN"/>
                    </w:rPr>
                    <w:t>2</w:t>
                  </w:r>
                  <w:r>
                    <w:rPr>
                      <w:rFonts w:ascii="Times New Roman" w:hAnsi="Times New Roman" w:cs="Times New Roman"/>
                      <w:color w:val="auto"/>
                      <w:spacing w:val="9"/>
                      <w:sz w:val="21"/>
                      <w:szCs w:val="21"/>
                    </w:rPr>
                    <w:t>月</w:t>
                  </w:r>
                  <w:r>
                    <w:rPr>
                      <w:rFonts w:ascii="Times New Roman" w:hAnsi="Times New Roman" w:cs="Times New Roman"/>
                      <w:color w:val="auto"/>
                      <w:spacing w:val="9"/>
                      <w:sz w:val="21"/>
                      <w:szCs w:val="21"/>
                      <w:lang w:eastAsia="zh-CN"/>
                    </w:rPr>
                    <w:t>24</w:t>
                  </w:r>
                  <w:r>
                    <w:rPr>
                      <w:rFonts w:ascii="Times New Roman" w:hAnsi="Times New Roman" w:cs="Times New Roman"/>
                      <w:color w:val="auto"/>
                      <w:spacing w:val="9"/>
                      <w:sz w:val="21"/>
                      <w:szCs w:val="21"/>
                    </w:rPr>
                    <w:t>日取得了</w:t>
                  </w:r>
                  <w:r>
                    <w:rPr>
                      <w:rFonts w:ascii="Times New Roman" w:hAnsi="Times New Roman" w:cs="Times New Roman"/>
                      <w:color w:val="auto"/>
                      <w:spacing w:val="9"/>
                      <w:sz w:val="21"/>
                      <w:szCs w:val="21"/>
                      <w:lang w:eastAsia="zh-CN"/>
                    </w:rPr>
                    <w:t>取得宿州市埇桥区环境保护局埇环建字[2012]5号</w:t>
                  </w:r>
                </w:p>
              </w:tc>
              <w:tc>
                <w:tcPr>
                  <w:tcW w:w="3139" w:type="dxa"/>
                  <w:vAlign w:val="center"/>
                </w:tcPr>
                <w:p w14:paraId="53C9CB6B">
                  <w:pPr>
                    <w:pStyle w:val="32"/>
                    <w:widowControl/>
                    <w:kinsoku w:val="0"/>
                    <w:autoSpaceDE w:val="0"/>
                    <w:autoSpaceDN w:val="0"/>
                    <w:jc w:val="center"/>
                    <w:textAlignment w:val="baseline"/>
                    <w:rPr>
                      <w:rFonts w:ascii="Times New Roman" w:hAnsi="Times New Roman" w:cs="Times New Roman"/>
                      <w:color w:val="auto"/>
                      <w:sz w:val="21"/>
                      <w:szCs w:val="21"/>
                      <w:lang w:eastAsia="zh-CN"/>
                    </w:rPr>
                  </w:pPr>
                  <w:r>
                    <w:rPr>
                      <w:rFonts w:ascii="Times New Roman" w:hAnsi="Times New Roman" w:cs="Times New Roman"/>
                      <w:color w:val="auto"/>
                      <w:spacing w:val="3"/>
                      <w:sz w:val="21"/>
                      <w:szCs w:val="21"/>
                      <w:lang w:eastAsia="zh-CN"/>
                    </w:rPr>
                    <w:t>2014年7月29日由埇桥区环境保护局出具《</w:t>
                  </w:r>
                  <w:r>
                    <w:rPr>
                      <w:rFonts w:ascii="Times New Roman" w:hAnsi="Times New Roman" w:cs="Times New Roman"/>
                      <w:color w:val="auto"/>
                      <w:sz w:val="21"/>
                      <w:szCs w:val="21"/>
                      <w:lang w:eastAsia="zh-CN"/>
                    </w:rPr>
                    <w:t>安徽永丰新型墙体材料有限公司年产20万立方米加气混凝土砌块砖生产线项目竣工环境环保验收意见</w:t>
                  </w:r>
                  <w:r>
                    <w:rPr>
                      <w:rFonts w:ascii="Times New Roman" w:hAnsi="Times New Roman" w:cs="Times New Roman"/>
                      <w:color w:val="auto"/>
                      <w:spacing w:val="3"/>
                      <w:sz w:val="21"/>
                      <w:szCs w:val="21"/>
                      <w:lang w:eastAsia="zh-CN"/>
                    </w:rPr>
                    <w:t>》</w:t>
                  </w:r>
                  <w:r>
                    <w:rPr>
                      <w:rFonts w:ascii="Times New Roman" w:hAnsi="Times New Roman" w:cs="Times New Roman"/>
                      <w:color w:val="auto"/>
                      <w:spacing w:val="9"/>
                      <w:sz w:val="21"/>
                      <w:szCs w:val="21"/>
                      <w:lang w:eastAsia="zh-CN"/>
                    </w:rPr>
                    <w:t>埇环验字[2014]4号</w:t>
                  </w:r>
                </w:p>
              </w:tc>
            </w:tr>
            <w:tr w14:paraId="6B1E2C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4" w:hRule="atLeast"/>
              </w:trPr>
              <w:tc>
                <w:tcPr>
                  <w:tcW w:w="471" w:type="dxa"/>
                  <w:vAlign w:val="center"/>
                </w:tcPr>
                <w:p w14:paraId="7761F635">
                  <w:pPr>
                    <w:widowControl/>
                    <w:kinsoku w:val="0"/>
                    <w:autoSpaceDE w:val="0"/>
                    <w:autoSpaceDN w:val="0"/>
                    <w:jc w:val="center"/>
                    <w:textAlignment w:val="baseline"/>
                    <w:rPr>
                      <w:color w:val="auto"/>
                      <w:szCs w:val="21"/>
                    </w:rPr>
                  </w:pPr>
                  <w:r>
                    <w:rPr>
                      <w:color w:val="auto"/>
                      <w:szCs w:val="21"/>
                    </w:rPr>
                    <w:t>2</w:t>
                  </w:r>
                </w:p>
              </w:tc>
              <w:tc>
                <w:tcPr>
                  <w:tcW w:w="1982" w:type="dxa"/>
                  <w:vAlign w:val="center"/>
                </w:tcPr>
                <w:p w14:paraId="042F560E">
                  <w:pPr>
                    <w:widowControl/>
                    <w:jc w:val="center"/>
                    <w:rPr>
                      <w:color w:val="auto"/>
                      <w:spacing w:val="8"/>
                      <w:szCs w:val="21"/>
                    </w:rPr>
                  </w:pPr>
                  <w:r>
                    <w:rPr>
                      <w:color w:val="auto"/>
                      <w:spacing w:val="5"/>
                      <w:szCs w:val="21"/>
                    </w:rPr>
                    <w:t>《安徽永丰新型墙体材料有限公司供热系统及仓储技术改造项目》</w:t>
                  </w:r>
                </w:p>
              </w:tc>
              <w:tc>
                <w:tcPr>
                  <w:tcW w:w="3139" w:type="dxa"/>
                  <w:vAlign w:val="center"/>
                </w:tcPr>
                <w:p w14:paraId="270501DF">
                  <w:pPr>
                    <w:pStyle w:val="32"/>
                    <w:widowControl/>
                    <w:kinsoku w:val="0"/>
                    <w:autoSpaceDE w:val="0"/>
                    <w:autoSpaceDN w:val="0"/>
                    <w:jc w:val="center"/>
                    <w:textAlignment w:val="baseline"/>
                    <w:rPr>
                      <w:rFonts w:ascii="Times New Roman" w:hAnsi="Times New Roman" w:cs="Times New Roman"/>
                      <w:color w:val="auto"/>
                      <w:spacing w:val="5"/>
                      <w:sz w:val="21"/>
                      <w:szCs w:val="21"/>
                      <w:lang w:eastAsia="zh-CN"/>
                    </w:rPr>
                  </w:pPr>
                  <w:r>
                    <w:rPr>
                      <w:rFonts w:ascii="Times New Roman" w:hAnsi="Times New Roman" w:cs="Times New Roman"/>
                      <w:color w:val="auto"/>
                      <w:spacing w:val="5"/>
                      <w:sz w:val="21"/>
                      <w:szCs w:val="21"/>
                      <w:lang w:eastAsia="zh-CN"/>
                    </w:rPr>
                    <w:t>2020年12月25日取得宿州市埇桥区生态环境分局《关于安徽永丰新型墙体材料有限公司供热系统及仓储技术改造项目环境影响报告表的批复》</w:t>
                  </w:r>
                  <w:r>
                    <w:rPr>
                      <w:rFonts w:ascii="Times New Roman" w:hAnsi="Times New Roman" w:cs="Times New Roman"/>
                      <w:color w:val="auto"/>
                      <w:spacing w:val="9"/>
                      <w:sz w:val="21"/>
                      <w:szCs w:val="21"/>
                      <w:lang w:eastAsia="zh-CN"/>
                    </w:rPr>
                    <w:t>埇环建字[2020]144号</w:t>
                  </w:r>
                </w:p>
              </w:tc>
              <w:tc>
                <w:tcPr>
                  <w:tcW w:w="3139" w:type="dxa"/>
                  <w:vAlign w:val="center"/>
                </w:tcPr>
                <w:p w14:paraId="062596FD">
                  <w:pPr>
                    <w:pStyle w:val="32"/>
                    <w:widowControl/>
                    <w:kinsoku w:val="0"/>
                    <w:autoSpaceDE w:val="0"/>
                    <w:autoSpaceDN w:val="0"/>
                    <w:jc w:val="center"/>
                    <w:textAlignment w:val="baseline"/>
                    <w:rPr>
                      <w:rFonts w:ascii="Times New Roman" w:hAnsi="Times New Roman" w:cs="Times New Roman"/>
                      <w:color w:val="auto"/>
                      <w:spacing w:val="6"/>
                      <w:sz w:val="21"/>
                      <w:szCs w:val="21"/>
                    </w:rPr>
                  </w:pPr>
                  <w:r>
                    <w:rPr>
                      <w:rFonts w:ascii="Times New Roman" w:hAnsi="Times New Roman" w:cs="Times New Roman"/>
                      <w:color w:val="auto"/>
                      <w:spacing w:val="3"/>
                      <w:sz w:val="21"/>
                      <w:szCs w:val="21"/>
                    </w:rPr>
                    <w:t>202</w:t>
                  </w:r>
                  <w:r>
                    <w:rPr>
                      <w:rFonts w:ascii="Times New Roman" w:hAnsi="Times New Roman" w:cs="Times New Roman"/>
                      <w:color w:val="auto"/>
                      <w:spacing w:val="3"/>
                      <w:sz w:val="21"/>
                      <w:szCs w:val="21"/>
                      <w:lang w:eastAsia="zh-CN"/>
                    </w:rPr>
                    <w:t>1</w:t>
                  </w:r>
                  <w:r>
                    <w:rPr>
                      <w:rFonts w:ascii="Times New Roman" w:hAnsi="Times New Roman" w:cs="Times New Roman"/>
                      <w:color w:val="auto"/>
                      <w:spacing w:val="3"/>
                      <w:sz w:val="21"/>
                      <w:szCs w:val="21"/>
                    </w:rPr>
                    <w:t>年</w:t>
                  </w:r>
                  <w:r>
                    <w:rPr>
                      <w:rFonts w:ascii="Times New Roman" w:hAnsi="Times New Roman" w:cs="Times New Roman"/>
                      <w:color w:val="auto"/>
                      <w:spacing w:val="3"/>
                      <w:sz w:val="21"/>
                      <w:szCs w:val="21"/>
                      <w:lang w:eastAsia="zh-CN"/>
                    </w:rPr>
                    <w:t>8</w:t>
                  </w:r>
                  <w:r>
                    <w:rPr>
                      <w:rFonts w:ascii="Times New Roman" w:hAnsi="Times New Roman" w:cs="Times New Roman"/>
                      <w:color w:val="auto"/>
                      <w:spacing w:val="3"/>
                      <w:sz w:val="21"/>
                      <w:szCs w:val="21"/>
                    </w:rPr>
                    <w:t>月公司</w:t>
                  </w:r>
                  <w:r>
                    <w:rPr>
                      <w:rFonts w:ascii="Times New Roman" w:hAnsi="Times New Roman" w:cs="Times New Roman"/>
                      <w:color w:val="auto"/>
                      <w:spacing w:val="8"/>
                      <w:sz w:val="21"/>
                      <w:szCs w:val="21"/>
                    </w:rPr>
                    <w:t>组织了项目的竣</w:t>
                  </w:r>
                  <w:r>
                    <w:rPr>
                      <w:rFonts w:ascii="Times New Roman" w:hAnsi="Times New Roman" w:cs="Times New Roman"/>
                      <w:color w:val="auto"/>
                      <w:spacing w:val="-2"/>
                      <w:sz w:val="21"/>
                      <w:szCs w:val="21"/>
                    </w:rPr>
                    <w:t>工验收，通过了专</w:t>
                  </w:r>
                  <w:r>
                    <w:rPr>
                      <w:rFonts w:ascii="Times New Roman" w:hAnsi="Times New Roman" w:cs="Times New Roman"/>
                      <w:color w:val="auto"/>
                      <w:spacing w:val="6"/>
                      <w:sz w:val="21"/>
                      <w:szCs w:val="21"/>
                    </w:rPr>
                    <w:t>家组审核</w:t>
                  </w:r>
                </w:p>
              </w:tc>
            </w:tr>
          </w:tbl>
          <w:p w14:paraId="7FA298E3">
            <w:pPr>
              <w:pStyle w:val="32"/>
              <w:spacing w:before="36" w:line="219" w:lineRule="auto"/>
              <w:rPr>
                <w:rFonts w:ascii="Times New Roman" w:hAnsi="Times New Roman" w:cs="Times New Roman"/>
                <w:color w:val="auto"/>
                <w:lang w:eastAsia="zh-CN"/>
              </w:rPr>
            </w:pPr>
            <w:r>
              <w:rPr>
                <w:rFonts w:ascii="Times New Roman" w:hAnsi="Times New Roman" w:eastAsia="Times New Roman" w:cs="Times New Roman"/>
                <w:b/>
                <w:bCs/>
                <w:color w:val="auto"/>
                <w:spacing w:val="-5"/>
                <w:lang w:eastAsia="zh-CN"/>
              </w:rPr>
              <w:t>2</w:t>
            </w:r>
            <w:r>
              <w:rPr>
                <w:rFonts w:ascii="Times New Roman" w:hAnsi="Times New Roman" w:eastAsia="Times New Roman" w:cs="Times New Roman"/>
                <w:b/>
                <w:bCs/>
                <w:color w:val="auto"/>
                <w:spacing w:val="-28"/>
                <w:lang w:eastAsia="zh-CN"/>
              </w:rPr>
              <w:t xml:space="preserve"> </w:t>
            </w:r>
            <w:r>
              <w:rPr>
                <w:rFonts w:ascii="Times New Roman" w:hAnsi="Times New Roman" w:cs="Times New Roman"/>
                <w:b/>
                <w:bCs/>
                <w:color w:val="auto"/>
                <w:spacing w:val="-5"/>
                <w:lang w:eastAsia="zh-CN"/>
              </w:rPr>
              <w:t>、现有项目产品主要工艺</w:t>
            </w:r>
          </w:p>
          <w:p w14:paraId="1BD04776">
            <w:pPr>
              <w:pStyle w:val="32"/>
              <w:spacing w:line="360" w:lineRule="auto"/>
              <w:ind w:firstLine="476" w:firstLineChars="200"/>
              <w:rPr>
                <w:rFonts w:ascii="Times New Roman" w:hAnsi="Times New Roman" w:cs="Times New Roman"/>
                <w:color w:val="auto"/>
                <w:spacing w:val="-1"/>
                <w:lang w:eastAsia="zh-CN"/>
              </w:rPr>
            </w:pPr>
            <w:r>
              <w:rPr>
                <w:rFonts w:ascii="Times New Roman" w:hAnsi="Times New Roman" w:cs="Times New Roman"/>
                <w:color w:val="auto"/>
                <w:spacing w:val="-1"/>
                <w:lang w:eastAsia="zh-CN"/>
              </w:rPr>
              <w:t>现有透水砖项目工艺流程及产污环节见下图</w:t>
            </w:r>
          </w:p>
          <w:p w14:paraId="20522B3F">
            <w:pPr>
              <w:pStyle w:val="32"/>
              <w:spacing w:line="360" w:lineRule="auto"/>
              <w:ind w:firstLine="480" w:firstLineChars="200"/>
              <w:jc w:val="center"/>
              <w:rPr>
                <w:rFonts w:ascii="Times New Roman" w:hAnsi="Times New Roman" w:cs="Times New Roman"/>
                <w:color w:val="auto"/>
                <w:spacing w:val="-1"/>
                <w:lang w:eastAsia="zh-CN"/>
              </w:rPr>
            </w:pPr>
            <w:r>
              <w:rPr>
                <w:rFonts w:ascii="Times New Roman" w:hAnsi="Times New Roman" w:cs="Times New Roman"/>
                <w:color w:val="auto"/>
              </w:rPr>
              <mc:AlternateContent>
                <mc:Choice Requires="wps">
                  <w:drawing>
                    <wp:anchor distT="0" distB="0" distL="114300" distR="114300" simplePos="0" relativeHeight="251660288" behindDoc="0" locked="0" layoutInCell="1" allowOverlap="1">
                      <wp:simplePos x="0" y="0"/>
                      <wp:positionH relativeFrom="column">
                        <wp:posOffset>1939290</wp:posOffset>
                      </wp:positionH>
                      <wp:positionV relativeFrom="paragraph">
                        <wp:posOffset>3121660</wp:posOffset>
                      </wp:positionV>
                      <wp:extent cx="548640" cy="255270"/>
                      <wp:effectExtent l="0" t="0" r="0" b="3810"/>
                      <wp:wrapNone/>
                      <wp:docPr id="17" name="文本框 17"/>
                      <wp:cNvGraphicFramePr/>
                      <a:graphic xmlns:a="http://schemas.openxmlformats.org/drawingml/2006/main">
                        <a:graphicData uri="http://schemas.microsoft.com/office/word/2010/wordprocessingShape">
                          <wps:wsp>
                            <wps:cNvSpPr txBox="1"/>
                            <wps:spPr>
                              <a:xfrm>
                                <a:off x="2694305" y="4171950"/>
                                <a:ext cx="548640" cy="2552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9C835A">
                                  <w:r>
                                    <w:rPr>
                                      <w:rFonts w:hint="eastAsia"/>
                                    </w:rPr>
                                    <w:t>天然气</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52.7pt;margin-top:245.8pt;height:20.1pt;width:43.2pt;z-index:251660288;mso-width-relative:page;mso-height-relative:page;" filled="f" stroked="f" coordsize="21600,21600" o:gfxdata="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ZEtVdkAAAALAQAADwAAAAAAAAABACAAAAAiAAAA&#10;ZHJzL2Rvd25yZXYueG1sUEsBAhQAFAAAAAgAh07iQCLg7zU/AgAAYwQAAA4AAAAAAAAAAQAgAAAA&#10;KAEAAGRycy9lMm9Eb2MueG1sUEsFBgAAAAAGAAYAWQEAANkFAAAAAA==&#10;">
                      <v:fill on="f" focussize="0,0"/>
                      <v:stroke on="f" weight="0.5pt"/>
                      <v:imagedata o:title=""/>
                      <o:lock v:ext="edit" aspectratio="f"/>
                      <v:textbox inset="0mm,0mm,0mm,0mm">
                        <w:txbxContent>
                          <w:p w14:paraId="089C835A">
                            <w:r>
                              <w:rPr>
                                <w:rFonts w:hint="eastAsia"/>
                              </w:rPr>
                              <w:t>天然气</w:t>
                            </w:r>
                          </w:p>
                        </w:txbxContent>
                      </v:textbox>
                    </v:shape>
                  </w:pict>
                </mc:Fallback>
              </mc:AlternateContent>
            </w:r>
            <w:r>
              <w:rPr>
                <w:rFonts w:ascii="Times New Roman" w:hAnsi="Times New Roman" w:cs="Times New Roman"/>
                <w:color w:val="auto"/>
              </w:rPr>
              <mc:AlternateContent>
                <mc:Choice Requires="wps">
                  <w:drawing>
                    <wp:anchor distT="0" distB="0" distL="114300" distR="114300" simplePos="0" relativeHeight="251665408" behindDoc="0" locked="0" layoutInCell="1" allowOverlap="1">
                      <wp:simplePos x="0" y="0"/>
                      <wp:positionH relativeFrom="column">
                        <wp:posOffset>2366010</wp:posOffset>
                      </wp:positionH>
                      <wp:positionV relativeFrom="paragraph">
                        <wp:posOffset>2954020</wp:posOffset>
                      </wp:positionV>
                      <wp:extent cx="457200" cy="262255"/>
                      <wp:effectExtent l="0" t="0" r="0" b="12065"/>
                      <wp:wrapNone/>
                      <wp:docPr id="8" name="文本框 8"/>
                      <wp:cNvGraphicFramePr/>
                      <a:graphic xmlns:a="http://schemas.openxmlformats.org/drawingml/2006/main">
                        <a:graphicData uri="http://schemas.microsoft.com/office/word/2010/wordprocessingShape">
                          <wps:wsp>
                            <wps:cNvSpPr txBox="1"/>
                            <wps:spPr>
                              <a:xfrm>
                                <a:off x="0" y="0"/>
                                <a:ext cx="45720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3EF2E6">
                                  <w:pPr>
                                    <w:jc w:val="center"/>
                                  </w:pPr>
                                  <w:r>
                                    <w:rPr>
                                      <w:rFonts w:hint="eastAsia"/>
                                    </w:rPr>
                                    <w:t>蒸汽</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86.3pt;margin-top:232.6pt;height:20.65pt;width:36pt;z-index:251665408;mso-width-relative:page;mso-height-relative:page;" filled="f" stroked="f" coordsize="21600,21600" o:gfxdata="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rcao3aAAAACwEAAA8AAAAAAAAAAQAgAAAAIgAAAGRycy9kb3ducmV2Lnht&#10;bFBLAQIUABQAAAAIAIdO4kDNaIlJMAIAAFUEAAAOAAAAAAAAAAEAIAAAACkBAABkcnMvZTJvRG9j&#10;LnhtbFBLBQYAAAAABgAGAFkBAADLBQAAAAA=&#10;">
                      <v:fill on="f" focussize="0,0"/>
                      <v:stroke on="f" weight="0.5pt"/>
                      <v:imagedata o:title=""/>
                      <o:lock v:ext="edit" aspectratio="f"/>
                      <v:textbox inset="0mm,0mm,0mm,0mm">
                        <w:txbxContent>
                          <w:p w14:paraId="663EF2E6">
                            <w:pPr>
                              <w:jc w:val="center"/>
                            </w:pPr>
                            <w:r>
                              <w:rPr>
                                <w:rFonts w:hint="eastAsia"/>
                              </w:rPr>
                              <w:t>蒸汽</w:t>
                            </w:r>
                          </w:p>
                        </w:txbxContent>
                      </v:textbox>
                    </v:shape>
                  </w:pict>
                </mc:Fallback>
              </mc:AlternateContent>
            </w:r>
            <w:r>
              <w:rPr>
                <w:rFonts w:ascii="Times New Roman" w:hAnsi="Times New Roman" w:cs="Times New Roman"/>
                <w:color w:val="auto"/>
              </w:rPr>
              <w:drawing>
                <wp:inline distT="0" distB="0" distL="114300" distR="114300">
                  <wp:extent cx="4392295" cy="4090035"/>
                  <wp:effectExtent l="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9"/>
                          <a:stretch>
                            <a:fillRect/>
                          </a:stretch>
                        </pic:blipFill>
                        <pic:spPr>
                          <a:xfrm>
                            <a:off x="0" y="0"/>
                            <a:ext cx="4392295" cy="4090035"/>
                          </a:xfrm>
                          <a:prstGeom prst="rect">
                            <a:avLst/>
                          </a:prstGeom>
                          <a:noFill/>
                          <a:ln>
                            <a:noFill/>
                          </a:ln>
                        </pic:spPr>
                      </pic:pic>
                    </a:graphicData>
                  </a:graphic>
                </wp:inline>
              </w:drawing>
            </w:r>
            <w:r>
              <w:rPr>
                <w:rFonts w:ascii="Times New Roman" w:hAnsi="Times New Roman" w:cs="Times New Roman"/>
                <w:color w:val="auto"/>
              </w:rPr>
              <mc:AlternateContent>
                <mc:Choice Requires="wps">
                  <w:drawing>
                    <wp:anchor distT="0" distB="0" distL="114300" distR="114300" simplePos="0" relativeHeight="251659264" behindDoc="0" locked="0" layoutInCell="1" allowOverlap="1">
                      <wp:simplePos x="0" y="0"/>
                      <wp:positionH relativeFrom="column">
                        <wp:posOffset>2396490</wp:posOffset>
                      </wp:positionH>
                      <wp:positionV relativeFrom="paragraph">
                        <wp:posOffset>3235960</wp:posOffset>
                      </wp:positionV>
                      <wp:extent cx="358140" cy="0"/>
                      <wp:effectExtent l="0" t="38100" r="7620" b="38100"/>
                      <wp:wrapNone/>
                      <wp:docPr id="11" name="直接箭头连接符 11"/>
                      <wp:cNvGraphicFramePr/>
                      <a:graphic xmlns:a="http://schemas.openxmlformats.org/drawingml/2006/main">
                        <a:graphicData uri="http://schemas.microsoft.com/office/word/2010/wordprocessingShape">
                          <wps:wsp>
                            <wps:cNvCnPr/>
                            <wps:spPr>
                              <a:xfrm>
                                <a:off x="3105785" y="4286250"/>
                                <a:ext cx="358140" cy="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88.7pt;margin-top:254.8pt;height:0pt;width:28.2pt;z-index:251659264;mso-width-relative:page;mso-height-relative:page;" filled="f" stroked="t" coordsize="21600,21600" o:gfxdata="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Qj9rdgAAAALAQAADwAAAAAAAAABACAAAAAiAAAAZHJzL2Rvd25yZXYueG1sUEsBAhQAFAAA&#10;AAgAh07iQCFNSD0oAgAAGQQAAA4AAAAAAAAAAQAgAAAAJwEAAGRycy9lMm9Eb2MueG1sUEsFBgAA&#10;AAAGAAYAWQEAAMEFAAAAAA==&#10;">
                      <v:fill on="f" focussize="0,0"/>
                      <v:stroke weight="1pt" color="#000000 [3213]" miterlimit="8" joinstyle="miter" endarrow="block"/>
                      <v:imagedata o:title=""/>
                      <o:lock v:ext="edit" aspectratio="f"/>
                    </v:shape>
                  </w:pict>
                </mc:Fallback>
              </mc:AlternateContent>
            </w:r>
          </w:p>
          <w:p w14:paraId="0B51DE44">
            <w:pPr>
              <w:pStyle w:val="32"/>
              <w:spacing w:before="78" w:line="219" w:lineRule="auto"/>
              <w:jc w:val="center"/>
              <w:rPr>
                <w:rFonts w:ascii="Times New Roman" w:hAnsi="Times New Roman" w:cs="Times New Roman"/>
                <w:color w:val="auto"/>
                <w:lang w:eastAsia="zh-CN"/>
              </w:rPr>
            </w:pPr>
            <w:r>
              <w:rPr>
                <w:rFonts w:ascii="Times New Roman" w:hAnsi="Times New Roman" w:cs="Times New Roman"/>
                <w:b/>
                <w:bCs/>
                <w:color w:val="auto"/>
                <w:lang w:eastAsia="zh-CN"/>
              </w:rPr>
              <w:t>图</w:t>
            </w:r>
            <w:r>
              <w:rPr>
                <w:rFonts w:hint="eastAsia" w:ascii="Times New Roman" w:hAnsi="Times New Roman" w:cs="Times New Roman"/>
                <w:color w:val="auto"/>
                <w:lang w:eastAsia="zh-CN"/>
              </w:rPr>
              <w:t xml:space="preserve">2-5  </w:t>
            </w:r>
            <w:r>
              <w:rPr>
                <w:rFonts w:ascii="Times New Roman" w:hAnsi="Times New Roman" w:cs="Times New Roman"/>
                <w:b/>
                <w:bCs/>
                <w:color w:val="auto"/>
                <w:lang w:eastAsia="zh-CN"/>
              </w:rPr>
              <w:t>生产工艺流程及产污节点图</w:t>
            </w:r>
          </w:p>
          <w:p w14:paraId="5EC88A07">
            <w:pPr>
              <w:spacing w:line="360" w:lineRule="auto"/>
              <w:ind w:firstLine="466" w:firstLineChars="200"/>
              <w:rPr>
                <w:color w:val="auto"/>
                <w:spacing w:val="-4"/>
                <w:sz w:val="24"/>
                <w:szCs w:val="32"/>
              </w:rPr>
            </w:pPr>
            <w:r>
              <w:rPr>
                <w:b/>
                <w:bCs/>
                <w:color w:val="auto"/>
                <w:spacing w:val="-4"/>
                <w:sz w:val="24"/>
                <w:szCs w:val="32"/>
              </w:rPr>
              <w:t>工艺流程简述</w:t>
            </w:r>
            <w:r>
              <w:rPr>
                <w:color w:val="auto"/>
                <w:spacing w:val="-4"/>
                <w:sz w:val="24"/>
                <w:szCs w:val="32"/>
              </w:rPr>
              <w:t>：</w:t>
            </w:r>
          </w:p>
          <w:p w14:paraId="4E6418A4">
            <w:pPr>
              <w:pStyle w:val="11"/>
              <w:spacing w:after="0" w:line="360" w:lineRule="auto"/>
              <w:ind w:left="0" w:leftChars="0" w:firstLine="480" w:firstLineChars="200"/>
              <w:rPr>
                <w:color w:val="auto"/>
                <w:kern w:val="2"/>
                <w:szCs w:val="24"/>
              </w:rPr>
            </w:pPr>
            <w:r>
              <w:rPr>
                <w:color w:val="auto"/>
                <w:kern w:val="2"/>
                <w:szCs w:val="24"/>
              </w:rPr>
              <w:t>1、原料制备工段</w:t>
            </w:r>
          </w:p>
          <w:p w14:paraId="71122D35">
            <w:pPr>
              <w:pStyle w:val="12"/>
              <w:rPr>
                <w:color w:val="auto"/>
              </w:rPr>
            </w:pPr>
            <w:r>
              <w:rPr>
                <w:color w:val="auto"/>
              </w:rPr>
              <w:t>原材料进厂后分别库存。</w:t>
            </w:r>
          </w:p>
          <w:p w14:paraId="615D3E17">
            <w:pPr>
              <w:pStyle w:val="11"/>
              <w:spacing w:after="0" w:line="360" w:lineRule="auto"/>
              <w:ind w:left="0" w:leftChars="0" w:firstLine="480" w:firstLineChars="200"/>
              <w:rPr>
                <w:color w:val="auto"/>
                <w:kern w:val="2"/>
                <w:szCs w:val="24"/>
              </w:rPr>
            </w:pPr>
            <w:r>
              <w:rPr>
                <w:color w:val="auto"/>
                <w:kern w:val="2"/>
                <w:szCs w:val="24"/>
              </w:rPr>
              <w:t>（1）粉煤灰</w:t>
            </w:r>
          </w:p>
          <w:p w14:paraId="5123F1AA">
            <w:pPr>
              <w:pStyle w:val="12"/>
              <w:spacing w:line="360" w:lineRule="auto"/>
              <w:ind w:left="0" w:firstLine="480" w:firstLineChars="200"/>
              <w:rPr>
                <w:color w:val="auto"/>
              </w:rPr>
            </w:pPr>
            <w:r>
              <w:rPr>
                <w:color w:val="auto"/>
              </w:rPr>
              <w:t>由灌装车泵入原料中贮存，再由螺旋输送机喂入球磨机加水细磨，调整粉煤灰密度达标后，贮存在贮存池中备用，再由泥浆泵注入贮浆池中待用。粉煤灰经贮浆池贮存调整，贮浆罐二次贮存，可以促使二氧化硅部分溶于水，提高粉煤灰悬浮性，保证浇注稳定性和连续生产的要求。</w:t>
            </w:r>
          </w:p>
          <w:p w14:paraId="6AFAE384">
            <w:pPr>
              <w:pStyle w:val="13"/>
              <w:ind w:left="0" w:leftChars="0" w:firstLine="480"/>
              <w:rPr>
                <w:color w:val="auto"/>
              </w:rPr>
            </w:pPr>
            <w:r>
              <w:rPr>
                <w:color w:val="auto"/>
              </w:rPr>
              <w:t>（2）石灰</w:t>
            </w:r>
          </w:p>
          <w:p w14:paraId="35F73A36">
            <w:pPr>
              <w:spacing w:line="360" w:lineRule="auto"/>
              <w:ind w:firstLine="480" w:firstLineChars="200"/>
              <w:rPr>
                <w:color w:val="auto"/>
                <w:sz w:val="24"/>
              </w:rPr>
            </w:pPr>
            <w:r>
              <w:rPr>
                <w:color w:val="auto"/>
                <w:sz w:val="24"/>
              </w:rPr>
              <w:t>块状石灰入厂后，倒入受料斗，由胶带输送喂入颚式破碎机后，由斗式提升机送入石灰筒机再由螺旋输送机喂入斗式提升机提至石灰磨头仓入球磨机磨细由斗式提升机提入贮仓待用。此工段产生的污染物主要为破碎粉尘G1、设备噪声N1</w:t>
            </w:r>
          </w:p>
          <w:p w14:paraId="6880FBD0">
            <w:pPr>
              <w:spacing w:line="360" w:lineRule="auto"/>
              <w:ind w:firstLine="480" w:firstLineChars="200"/>
              <w:rPr>
                <w:color w:val="auto"/>
                <w:sz w:val="24"/>
              </w:rPr>
            </w:pPr>
            <w:r>
              <w:rPr>
                <w:color w:val="auto"/>
                <w:sz w:val="24"/>
              </w:rPr>
              <w:t>（3）水泥</w:t>
            </w:r>
          </w:p>
          <w:p w14:paraId="37493E5E">
            <w:pPr>
              <w:spacing w:line="360" w:lineRule="auto"/>
              <w:ind w:firstLine="480" w:firstLineChars="200"/>
              <w:rPr>
                <w:color w:val="auto"/>
                <w:sz w:val="24"/>
              </w:rPr>
            </w:pPr>
            <w:r>
              <w:rPr>
                <w:color w:val="auto"/>
                <w:sz w:val="24"/>
              </w:rPr>
              <w:t>由水泥罐装车泵入水泥筒仓中贮存待用，由螺旋输送机送入配料仓。</w:t>
            </w:r>
          </w:p>
          <w:p w14:paraId="0FEA73E5">
            <w:pPr>
              <w:spacing w:line="360" w:lineRule="auto"/>
              <w:ind w:firstLine="480" w:firstLineChars="200"/>
              <w:rPr>
                <w:color w:val="auto"/>
                <w:sz w:val="24"/>
              </w:rPr>
            </w:pPr>
            <w:r>
              <w:rPr>
                <w:color w:val="auto"/>
                <w:sz w:val="24"/>
              </w:rPr>
              <w:t>（4）石膏</w:t>
            </w:r>
          </w:p>
          <w:p w14:paraId="306CC034">
            <w:pPr>
              <w:spacing w:line="360" w:lineRule="auto"/>
              <w:ind w:firstLine="480" w:firstLineChars="200"/>
              <w:rPr>
                <w:color w:val="auto"/>
                <w:sz w:val="24"/>
              </w:rPr>
            </w:pPr>
            <w:r>
              <w:rPr>
                <w:color w:val="auto"/>
                <w:sz w:val="24"/>
              </w:rPr>
              <w:t>石膏进厂后先通过加热烘干机烘干后，再由斗式提升机送入石膏筒仓中贮存待用。此工段产生的污染物主要为破碎粉尘G2、设备噪声N2</w:t>
            </w:r>
          </w:p>
          <w:p w14:paraId="57166494">
            <w:pPr>
              <w:spacing w:line="360" w:lineRule="auto"/>
              <w:ind w:firstLine="480" w:firstLineChars="200"/>
              <w:rPr>
                <w:color w:val="auto"/>
                <w:sz w:val="24"/>
              </w:rPr>
            </w:pPr>
            <w:r>
              <w:rPr>
                <w:color w:val="auto"/>
                <w:sz w:val="24"/>
              </w:rPr>
              <w:t>（5）铝粉</w:t>
            </w:r>
          </w:p>
          <w:p w14:paraId="111D6BDE">
            <w:pPr>
              <w:spacing w:line="360" w:lineRule="auto"/>
              <w:ind w:firstLine="480" w:firstLineChars="200"/>
              <w:rPr>
                <w:color w:val="auto"/>
                <w:sz w:val="24"/>
              </w:rPr>
            </w:pPr>
            <w:r>
              <w:rPr>
                <w:color w:val="auto"/>
                <w:sz w:val="24"/>
              </w:rPr>
              <w:t>铝粉为桶装或袋装，由简易提升设备提至配料楼，装入铝粉配料罐中待用。</w:t>
            </w:r>
          </w:p>
          <w:p w14:paraId="30BFDEEB">
            <w:pPr>
              <w:spacing w:line="360" w:lineRule="auto"/>
              <w:ind w:firstLine="480" w:firstLineChars="200"/>
              <w:rPr>
                <w:color w:val="auto"/>
                <w:sz w:val="24"/>
              </w:rPr>
            </w:pPr>
            <w:r>
              <w:rPr>
                <w:color w:val="auto"/>
                <w:sz w:val="24"/>
              </w:rPr>
              <w:t>2、计量配料工段</w:t>
            </w:r>
          </w:p>
          <w:p w14:paraId="4BD7AAD9">
            <w:pPr>
              <w:spacing w:line="360" w:lineRule="auto"/>
              <w:ind w:firstLine="480" w:firstLineChars="200"/>
              <w:rPr>
                <w:color w:val="auto"/>
                <w:sz w:val="24"/>
              </w:rPr>
            </w:pPr>
            <w:r>
              <w:rPr>
                <w:color w:val="auto"/>
                <w:sz w:val="24"/>
              </w:rPr>
              <w:t>粉煤灰料浆由贮浆罐经阀门流注入料浆计量罐计量；石灰、水泥、石膏分别由贮仓经叶轮给料机、螺旋输送机喂入电子秤计量；铝粉和外加剂由自动电子秤计量。经过计量的各种物料，按照先粉煤灰料浆，后水泥、石灰、石膏的次序投入搅拌机中搅拌，同时可加入计量好的废料浆作为调节剂。搅拌好的料浆经过温度、稠度等指标的测定合格后，投入铝粉和外加剂搅拌，混合搅拌后即可开始浇筑。此工段产生的主要污染物为搅拌废气G3、设备噪声N3。</w:t>
            </w:r>
          </w:p>
          <w:p w14:paraId="2BC219A1">
            <w:pPr>
              <w:spacing w:line="360" w:lineRule="auto"/>
              <w:ind w:firstLine="480" w:firstLineChars="200"/>
              <w:rPr>
                <w:color w:val="auto"/>
                <w:sz w:val="24"/>
              </w:rPr>
            </w:pPr>
            <w:r>
              <w:rPr>
                <w:color w:val="auto"/>
                <w:sz w:val="24"/>
              </w:rPr>
              <w:t>3、浇筑静养工段</w:t>
            </w:r>
          </w:p>
          <w:p w14:paraId="505E0450">
            <w:pPr>
              <w:spacing w:line="360" w:lineRule="auto"/>
              <w:ind w:firstLine="480" w:firstLineChars="200"/>
              <w:rPr>
                <w:color w:val="auto"/>
                <w:sz w:val="24"/>
              </w:rPr>
            </w:pPr>
            <w:r>
              <w:rPr>
                <w:color w:val="auto"/>
                <w:sz w:val="24"/>
              </w:rPr>
              <w:t>浇注后的模框通过摩擦轮和高速静养摆渡车将模框运行至静养室内进行静停养护，在静养室内完成发气、稠化的过程；静养室内满足30个模框的循环静养，本项目所用蒸汽拟由电厂蒸汽接管引入配汽间，通过配汽间内分汽缸送入养护工段﹐初养静停，静停时间，2~3小时，静停温度45℃左右，坯体静停后强度0.3~0.5MPa。</w:t>
            </w:r>
          </w:p>
          <w:p w14:paraId="41D84E33">
            <w:pPr>
              <w:spacing w:line="360" w:lineRule="auto"/>
              <w:ind w:firstLine="480" w:firstLineChars="200"/>
              <w:rPr>
                <w:color w:val="auto"/>
                <w:sz w:val="24"/>
              </w:rPr>
            </w:pPr>
            <w:r>
              <w:rPr>
                <w:color w:val="auto"/>
                <w:sz w:val="24"/>
              </w:rPr>
              <w:t>4、脱模切割阶段</w:t>
            </w:r>
          </w:p>
          <w:p w14:paraId="223CCBE7">
            <w:pPr>
              <w:spacing w:line="360" w:lineRule="auto"/>
              <w:ind w:firstLine="480" w:firstLineChars="200"/>
              <w:rPr>
                <w:color w:val="auto"/>
                <w:sz w:val="24"/>
              </w:rPr>
            </w:pPr>
            <w:r>
              <w:rPr>
                <w:color w:val="auto"/>
                <w:sz w:val="24"/>
              </w:rPr>
              <w:t>出静养室后模框行走至翻转脱模行车下方，并由模框机械定位装置将模框定位好后由翻转脱模行车吊运至切割小车位置完成翻转脱模，将侧板和坯体放置于切割小车上，切割小车承载坯体行走经过侧面切割机和水平切割机完成侧面和厚度切割成型，再行走至垂直切割机下完成砌块宽度的切割。切割完成之后由第二辆切割车将半成品经气扫补切一体机后运输至空翻去底行车下方，由空翻去底机完成底皮的去除，所有切割和去底过程中产生的废料均全部回收，打成废浆回收利用，完成去底后的侧板和半成品由空翻去底机吊运至蒸养车上，一车可以放两板，准备进入后续编组工段。由于此时胚体为湿料，切割过程无粉尘产生。</w:t>
            </w:r>
          </w:p>
          <w:p w14:paraId="11671A70">
            <w:pPr>
              <w:spacing w:line="360" w:lineRule="auto"/>
              <w:ind w:firstLine="480" w:firstLineChars="200"/>
              <w:rPr>
                <w:color w:val="auto"/>
                <w:sz w:val="24"/>
              </w:rPr>
            </w:pPr>
            <w:r>
              <w:rPr>
                <w:color w:val="auto"/>
                <w:sz w:val="24"/>
              </w:rPr>
              <w:t>5、蒸压养护工段</w:t>
            </w:r>
          </w:p>
          <w:p w14:paraId="3B6DF309">
            <w:pPr>
              <w:widowControl/>
              <w:spacing w:line="360" w:lineRule="auto"/>
              <w:ind w:firstLine="480" w:firstLineChars="200"/>
              <w:jc w:val="left"/>
              <w:rPr>
                <w:color w:val="auto"/>
                <w:sz w:val="24"/>
              </w:rPr>
            </w:pPr>
            <w:r>
              <w:rPr>
                <w:color w:val="auto"/>
                <w:sz w:val="24"/>
              </w:rPr>
              <w:t>蒸养车行走由勾车牵引机驱动，行走稳定且定位准确，蒸养车承接两模半成品再由摆渡车将半成品及蒸养车摆渡至釜前预养室内准备编组，每条釜前轨道都配置一台链条式入釜牵引机，待一釜准备好后由入釜牵引机牵引一次入釜，完成编组入釜工段的工作；半成品入釜后关闭釜门，使用饱和蒸汽压力1.2Mpa，温度186℃，</w:t>
            </w:r>
            <w:r>
              <w:rPr>
                <w:snapToGrid w:val="0"/>
                <w:color w:val="auto"/>
                <w:kern w:val="0"/>
                <w:sz w:val="24"/>
                <w:lang w:bidi="ar"/>
              </w:rPr>
              <w:t>1h缓慢升温至80℃，常压下保温养护5h，0.5h降温至30℃，约3h后打开放气阀（放气约需1h），</w:t>
            </w:r>
            <w:r>
              <w:rPr>
                <w:color w:val="auto"/>
                <w:sz w:val="24"/>
              </w:rPr>
              <w:t>所用蒸汽拟由电厂蒸汽接管引入配汽间，通过配汽间内分汽缸送入蒸压釜内，将釜密封充满后，开始蒸养工作，蒸养的过程包含抽真空、升温、疏水、恒压、补压、导气等过程完成制品的蒸压养护工序，管道输送蒸汽过程中会产生蒸汽冷凝水。</w:t>
            </w:r>
          </w:p>
          <w:p w14:paraId="04116A87">
            <w:pPr>
              <w:spacing w:line="360" w:lineRule="auto"/>
              <w:ind w:firstLine="480" w:firstLineChars="200"/>
              <w:rPr>
                <w:color w:val="auto"/>
                <w:sz w:val="24"/>
              </w:rPr>
            </w:pPr>
            <w:r>
              <w:rPr>
                <w:color w:val="auto"/>
                <w:sz w:val="24"/>
              </w:rPr>
              <w:t>蒸压养护完成泄压后打开釜门，成品由出釜摆渡车牵引出釜并完成自动脱钩，由出釜摆渡车将一车成品转运至成品搬运行车下方的空车返回轨道上，蒸养车行走至成品搬运机下方。</w:t>
            </w:r>
          </w:p>
          <w:p w14:paraId="2B3070BF">
            <w:pPr>
              <w:spacing w:line="360" w:lineRule="auto"/>
              <w:ind w:firstLine="480" w:firstLineChars="200"/>
              <w:rPr>
                <w:color w:val="auto"/>
                <w:sz w:val="24"/>
              </w:rPr>
            </w:pPr>
            <w:r>
              <w:rPr>
                <w:color w:val="auto"/>
                <w:sz w:val="24"/>
              </w:rPr>
              <w:t>6、成品堆放阶段</w:t>
            </w:r>
          </w:p>
          <w:p w14:paraId="7C620F99">
            <w:pPr>
              <w:spacing w:line="360" w:lineRule="auto"/>
              <w:ind w:firstLine="480" w:firstLineChars="200"/>
              <w:rPr>
                <w:color w:val="auto"/>
                <w:sz w:val="24"/>
              </w:rPr>
            </w:pPr>
            <w:r>
              <w:rPr>
                <w:color w:val="auto"/>
                <w:sz w:val="24"/>
              </w:rPr>
              <w:t>检验合格的产品经牵引机拉出釜后由出釜摆渡车运送到打包系统打包，打包完成后将蒸压加气混凝土砌块产品卸入堆场码垛堆存，存放约5天即为成品。</w:t>
            </w:r>
          </w:p>
          <w:p w14:paraId="58FD53F8">
            <w:pPr>
              <w:spacing w:line="360" w:lineRule="auto"/>
              <w:ind w:firstLine="480" w:firstLineChars="200"/>
              <w:rPr>
                <w:b/>
                <w:color w:val="auto"/>
              </w:rPr>
            </w:pPr>
            <w:r>
              <w:rPr>
                <w:color w:val="auto"/>
                <w:sz w:val="24"/>
              </w:rPr>
              <w:t>不合格产品于切割废料加入水进行打浆后会用到浇注工段。</w:t>
            </w:r>
          </w:p>
          <w:p w14:paraId="098B46CF">
            <w:pPr>
              <w:pStyle w:val="32"/>
              <w:spacing w:before="37" w:line="219" w:lineRule="auto"/>
              <w:rPr>
                <w:rFonts w:ascii="Times New Roman" w:hAnsi="Times New Roman" w:cs="Times New Roman"/>
                <w:color w:val="auto"/>
                <w:lang w:eastAsia="zh-CN"/>
              </w:rPr>
            </w:pPr>
            <w:r>
              <w:rPr>
                <w:rFonts w:ascii="Times New Roman" w:hAnsi="Times New Roman" w:eastAsia="Times New Roman" w:cs="Times New Roman"/>
                <w:b/>
                <w:bCs/>
                <w:color w:val="auto"/>
                <w:spacing w:val="-4"/>
                <w:lang w:eastAsia="zh-CN"/>
              </w:rPr>
              <w:t>3</w:t>
            </w:r>
            <w:r>
              <w:rPr>
                <w:rFonts w:ascii="Times New Roman" w:hAnsi="Times New Roman" w:eastAsia="Times New Roman" w:cs="Times New Roman"/>
                <w:b/>
                <w:bCs/>
                <w:color w:val="auto"/>
                <w:spacing w:val="-27"/>
                <w:lang w:eastAsia="zh-CN"/>
              </w:rPr>
              <w:t xml:space="preserve"> </w:t>
            </w:r>
            <w:r>
              <w:rPr>
                <w:rFonts w:ascii="Times New Roman" w:hAnsi="Times New Roman" w:cs="Times New Roman"/>
                <w:b/>
                <w:bCs/>
                <w:color w:val="auto"/>
                <w:spacing w:val="-4"/>
                <w:lang w:eastAsia="zh-CN"/>
              </w:rPr>
              <w:t>、现有项目污染物产生及排放情况</w:t>
            </w:r>
          </w:p>
          <w:p w14:paraId="3F283463">
            <w:pPr>
              <w:pStyle w:val="32"/>
              <w:spacing w:line="360" w:lineRule="auto"/>
              <w:ind w:firstLine="456" w:firstLineChars="200"/>
              <w:rPr>
                <w:rFonts w:hint="eastAsia"/>
                <w:color w:val="auto"/>
                <w:spacing w:val="-6"/>
                <w:lang w:eastAsia="zh-CN"/>
              </w:rPr>
            </w:pPr>
            <w:r>
              <w:rPr>
                <w:rFonts w:hint="eastAsia"/>
                <w:color w:val="auto"/>
                <w:spacing w:val="-6"/>
                <w:lang w:eastAsia="zh-CN"/>
              </w:rPr>
              <w:t>由于项目建设完成后处于长期停产状态，项目污染物产生及排放情况依据“安徽永丰新型墙体材料有限公司供热系统及仓储技术改造项目环境竣工验收报告”具体如下：</w:t>
            </w:r>
          </w:p>
          <w:p w14:paraId="046E94DB">
            <w:pPr>
              <w:pStyle w:val="32"/>
              <w:spacing w:before="24" w:line="220" w:lineRule="auto"/>
              <w:ind w:left="113"/>
              <w:rPr>
                <w:rFonts w:ascii="Times New Roman" w:hAnsi="Times New Roman" w:cs="Times New Roman"/>
                <w:b/>
                <w:bCs/>
                <w:color w:val="auto"/>
                <w:spacing w:val="-6"/>
                <w:lang w:eastAsia="zh-CN"/>
              </w:rPr>
            </w:pPr>
            <w:r>
              <w:rPr>
                <w:rFonts w:ascii="Times New Roman" w:hAnsi="Times New Roman" w:cs="Times New Roman"/>
                <w:b/>
                <w:bCs/>
                <w:color w:val="auto"/>
                <w:spacing w:val="-6"/>
                <w:lang w:eastAsia="zh-CN"/>
              </w:rPr>
              <w:t>① 废气</w:t>
            </w:r>
          </w:p>
          <w:p w14:paraId="215155B3">
            <w:pPr>
              <w:pStyle w:val="32"/>
              <w:spacing w:line="360" w:lineRule="auto"/>
              <w:ind w:firstLine="480" w:firstLineChars="200"/>
              <w:rPr>
                <w:rFonts w:ascii="Times New Roman" w:hAnsi="Times New Roman" w:cs="Times New Roman"/>
                <w:color w:val="auto"/>
                <w:lang w:eastAsia="zh-CN"/>
              </w:rPr>
            </w:pPr>
            <w:r>
              <w:rPr>
                <w:rFonts w:ascii="Times New Roman" w:hAnsi="Times New Roman" w:cs="Times New Roman"/>
                <w:color w:val="auto"/>
                <w:lang w:eastAsia="zh-CN"/>
              </w:rPr>
              <w:t>项目废气监测数据根据例行检测报告数据，具体</w:t>
            </w:r>
            <w:r>
              <w:rPr>
                <w:rFonts w:ascii="Times New Roman" w:hAnsi="Times New Roman" w:cs="Times New Roman"/>
                <w:color w:val="auto"/>
                <w:spacing w:val="-3"/>
                <w:lang w:eastAsia="zh-CN"/>
              </w:rPr>
              <w:t>废气监测结果见下表</w:t>
            </w:r>
          </w:p>
          <w:p w14:paraId="48517A16">
            <w:pPr>
              <w:jc w:val="center"/>
              <w:rPr>
                <w:b/>
                <w:bCs/>
                <w:color w:val="auto"/>
                <w:position w:val="6"/>
                <w:sz w:val="24"/>
              </w:rPr>
            </w:pPr>
            <w:r>
              <w:rPr>
                <w:b/>
                <w:bCs/>
                <w:color w:val="auto"/>
                <w:spacing w:val="1"/>
                <w:sz w:val="24"/>
              </w:rPr>
              <w:t>表2-</w:t>
            </w:r>
            <w:r>
              <w:rPr>
                <w:rFonts w:hint="eastAsia"/>
                <w:b/>
                <w:bCs/>
                <w:color w:val="auto"/>
                <w:spacing w:val="1"/>
                <w:sz w:val="24"/>
              </w:rPr>
              <w:t>12</w:t>
            </w:r>
            <w:r>
              <w:rPr>
                <w:b/>
                <w:bCs/>
                <w:color w:val="auto"/>
                <w:spacing w:val="1"/>
                <w:sz w:val="24"/>
              </w:rPr>
              <w:t xml:space="preserve">  有组织废气监测结果  </w:t>
            </w:r>
          </w:p>
          <w:tbl>
            <w:tblPr>
              <w:tblStyle w:val="25"/>
              <w:tblW w:w="8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3"/>
              <w:gridCol w:w="1263"/>
              <w:gridCol w:w="1264"/>
              <w:gridCol w:w="1264"/>
              <w:gridCol w:w="1264"/>
              <w:gridCol w:w="1264"/>
              <w:gridCol w:w="1264"/>
            </w:tblGrid>
            <w:tr w14:paraId="57A04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3" w:type="dxa"/>
                  <w:vAlign w:val="center"/>
                </w:tcPr>
                <w:p w14:paraId="78C57176">
                  <w:pPr>
                    <w:jc w:val="center"/>
                    <w:rPr>
                      <w:color w:val="auto"/>
                      <w:spacing w:val="-5"/>
                      <w:szCs w:val="21"/>
                    </w:rPr>
                  </w:pPr>
                  <w:r>
                    <w:rPr>
                      <w:color w:val="auto"/>
                      <w:spacing w:val="-5"/>
                      <w:szCs w:val="21"/>
                    </w:rPr>
                    <w:t>采样点位</w:t>
                  </w:r>
                </w:p>
              </w:tc>
              <w:tc>
                <w:tcPr>
                  <w:tcW w:w="1263" w:type="dxa"/>
                  <w:vAlign w:val="center"/>
                </w:tcPr>
                <w:p w14:paraId="499EA30B">
                  <w:pPr>
                    <w:jc w:val="center"/>
                    <w:rPr>
                      <w:color w:val="auto"/>
                      <w:spacing w:val="-5"/>
                      <w:szCs w:val="21"/>
                    </w:rPr>
                  </w:pPr>
                  <w:r>
                    <w:rPr>
                      <w:color w:val="auto"/>
                      <w:spacing w:val="-5"/>
                      <w:szCs w:val="21"/>
                    </w:rPr>
                    <w:t>检测项目</w:t>
                  </w:r>
                </w:p>
              </w:tc>
              <w:tc>
                <w:tcPr>
                  <w:tcW w:w="1264" w:type="dxa"/>
                  <w:vAlign w:val="center"/>
                </w:tcPr>
                <w:p w14:paraId="65E1BB7B">
                  <w:pPr>
                    <w:jc w:val="center"/>
                    <w:rPr>
                      <w:color w:val="auto"/>
                      <w:spacing w:val="-5"/>
                      <w:szCs w:val="21"/>
                    </w:rPr>
                  </w:pPr>
                  <w:r>
                    <w:rPr>
                      <w:color w:val="auto"/>
                      <w:spacing w:val="-5"/>
                      <w:szCs w:val="21"/>
                    </w:rPr>
                    <w:t>采样时间</w:t>
                  </w:r>
                </w:p>
              </w:tc>
              <w:tc>
                <w:tcPr>
                  <w:tcW w:w="1264" w:type="dxa"/>
                  <w:vAlign w:val="center"/>
                </w:tcPr>
                <w:p w14:paraId="1FE23966">
                  <w:pPr>
                    <w:jc w:val="center"/>
                    <w:rPr>
                      <w:color w:val="auto"/>
                      <w:spacing w:val="-5"/>
                      <w:szCs w:val="21"/>
                    </w:rPr>
                  </w:pPr>
                  <w:r>
                    <w:rPr>
                      <w:color w:val="auto"/>
                      <w:spacing w:val="-5"/>
                      <w:szCs w:val="21"/>
                    </w:rPr>
                    <w:t>采样频次</w:t>
                  </w:r>
                </w:p>
              </w:tc>
              <w:tc>
                <w:tcPr>
                  <w:tcW w:w="1264" w:type="dxa"/>
                  <w:vAlign w:val="center"/>
                </w:tcPr>
                <w:p w14:paraId="44C0BE1E">
                  <w:pPr>
                    <w:jc w:val="center"/>
                    <w:rPr>
                      <w:color w:val="auto"/>
                      <w:szCs w:val="21"/>
                    </w:rPr>
                  </w:pPr>
                  <w:r>
                    <w:rPr>
                      <w:color w:val="auto"/>
                      <w:spacing w:val="-5"/>
                      <w:szCs w:val="21"/>
                    </w:rPr>
                    <w:t>实测浓度mg/m³</w:t>
                  </w:r>
                </w:p>
              </w:tc>
              <w:tc>
                <w:tcPr>
                  <w:tcW w:w="1264" w:type="dxa"/>
                  <w:vAlign w:val="center"/>
                </w:tcPr>
                <w:p w14:paraId="314A6A5A">
                  <w:pPr>
                    <w:jc w:val="center"/>
                    <w:rPr>
                      <w:color w:val="auto"/>
                      <w:spacing w:val="-5"/>
                      <w:szCs w:val="21"/>
                    </w:rPr>
                  </w:pPr>
                  <w:r>
                    <w:rPr>
                      <w:color w:val="auto"/>
                      <w:spacing w:val="-5"/>
                      <w:szCs w:val="21"/>
                    </w:rPr>
                    <w:t>排放浓度mg/m³</w:t>
                  </w:r>
                </w:p>
              </w:tc>
              <w:tc>
                <w:tcPr>
                  <w:tcW w:w="1264" w:type="dxa"/>
                  <w:vAlign w:val="center"/>
                </w:tcPr>
                <w:p w14:paraId="0EDED64A">
                  <w:pPr>
                    <w:jc w:val="center"/>
                    <w:rPr>
                      <w:color w:val="auto"/>
                      <w:spacing w:val="-5"/>
                      <w:szCs w:val="21"/>
                    </w:rPr>
                  </w:pPr>
                  <w:r>
                    <w:rPr>
                      <w:color w:val="auto"/>
                      <w:spacing w:val="-5"/>
                      <w:szCs w:val="21"/>
                    </w:rPr>
                    <w:t>排放速率</w:t>
                  </w:r>
                </w:p>
                <w:p w14:paraId="15CF9553">
                  <w:pPr>
                    <w:pStyle w:val="20"/>
                    <w:spacing w:after="0" w:line="240" w:lineRule="auto"/>
                    <w:jc w:val="center"/>
                    <w:rPr>
                      <w:color w:val="auto"/>
                      <w:szCs w:val="21"/>
                    </w:rPr>
                  </w:pPr>
                  <w:r>
                    <w:rPr>
                      <w:color w:val="auto"/>
                      <w:szCs w:val="21"/>
                    </w:rPr>
                    <w:t>kg/h</w:t>
                  </w:r>
                </w:p>
              </w:tc>
            </w:tr>
            <w:tr w14:paraId="42748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3" w:type="dxa"/>
                  <w:vMerge w:val="restart"/>
                  <w:vAlign w:val="center"/>
                </w:tcPr>
                <w:p w14:paraId="3BAC1832">
                  <w:pPr>
                    <w:jc w:val="center"/>
                    <w:rPr>
                      <w:color w:val="auto"/>
                      <w:spacing w:val="-5"/>
                      <w:szCs w:val="21"/>
                    </w:rPr>
                  </w:pPr>
                  <w:r>
                    <w:rPr>
                      <w:color w:val="auto"/>
                      <w:spacing w:val="-5"/>
                      <w:szCs w:val="21"/>
                    </w:rPr>
                    <w:t>天然气锅炉排气筒出口</w:t>
                  </w:r>
                </w:p>
              </w:tc>
              <w:tc>
                <w:tcPr>
                  <w:tcW w:w="1263" w:type="dxa"/>
                  <w:vMerge w:val="restart"/>
                  <w:vAlign w:val="center"/>
                </w:tcPr>
                <w:p w14:paraId="5428F87A">
                  <w:pPr>
                    <w:jc w:val="center"/>
                    <w:rPr>
                      <w:color w:val="auto"/>
                      <w:spacing w:val="-5"/>
                      <w:szCs w:val="21"/>
                    </w:rPr>
                  </w:pPr>
                  <w:r>
                    <w:rPr>
                      <w:color w:val="auto"/>
                      <w:spacing w:val="-5"/>
                      <w:szCs w:val="21"/>
                    </w:rPr>
                    <w:t>颗粒物</w:t>
                  </w:r>
                </w:p>
              </w:tc>
              <w:tc>
                <w:tcPr>
                  <w:tcW w:w="1264" w:type="dxa"/>
                  <w:vMerge w:val="restart"/>
                  <w:vAlign w:val="center"/>
                </w:tcPr>
                <w:p w14:paraId="42D130A5">
                  <w:pPr>
                    <w:jc w:val="center"/>
                    <w:rPr>
                      <w:color w:val="auto"/>
                      <w:spacing w:val="-5"/>
                      <w:szCs w:val="21"/>
                    </w:rPr>
                  </w:pPr>
                  <w:r>
                    <w:rPr>
                      <w:color w:val="auto"/>
                      <w:spacing w:val="-5"/>
                      <w:szCs w:val="21"/>
                    </w:rPr>
                    <w:t>2020.6.23</w:t>
                  </w:r>
                </w:p>
              </w:tc>
              <w:tc>
                <w:tcPr>
                  <w:tcW w:w="1264" w:type="dxa"/>
                  <w:vAlign w:val="center"/>
                </w:tcPr>
                <w:p w14:paraId="6E43F8FD">
                  <w:pPr>
                    <w:jc w:val="center"/>
                    <w:rPr>
                      <w:color w:val="auto"/>
                      <w:spacing w:val="-5"/>
                      <w:szCs w:val="21"/>
                    </w:rPr>
                  </w:pPr>
                  <w:r>
                    <w:rPr>
                      <w:color w:val="auto"/>
                      <w:spacing w:val="-5"/>
                      <w:szCs w:val="21"/>
                    </w:rPr>
                    <w:t>第1次</w:t>
                  </w:r>
                </w:p>
              </w:tc>
              <w:tc>
                <w:tcPr>
                  <w:tcW w:w="1264" w:type="dxa"/>
                  <w:vAlign w:val="center"/>
                </w:tcPr>
                <w:p w14:paraId="40B3F3F4">
                  <w:pPr>
                    <w:jc w:val="center"/>
                    <w:rPr>
                      <w:color w:val="auto"/>
                      <w:spacing w:val="-5"/>
                      <w:szCs w:val="21"/>
                    </w:rPr>
                  </w:pPr>
                  <w:r>
                    <w:rPr>
                      <w:color w:val="auto"/>
                      <w:spacing w:val="-5"/>
                      <w:szCs w:val="21"/>
                    </w:rPr>
                    <w:t>&lt;20（9.7）</w:t>
                  </w:r>
                </w:p>
              </w:tc>
              <w:tc>
                <w:tcPr>
                  <w:tcW w:w="1264" w:type="dxa"/>
                  <w:vAlign w:val="center"/>
                </w:tcPr>
                <w:p w14:paraId="52A29CCC">
                  <w:pPr>
                    <w:jc w:val="center"/>
                    <w:rPr>
                      <w:color w:val="auto"/>
                      <w:spacing w:val="-5"/>
                      <w:szCs w:val="21"/>
                    </w:rPr>
                  </w:pPr>
                  <w:r>
                    <w:rPr>
                      <w:color w:val="auto"/>
                      <w:spacing w:val="-5"/>
                      <w:szCs w:val="21"/>
                    </w:rPr>
                    <w:t>&lt;20（10.2）</w:t>
                  </w:r>
                </w:p>
              </w:tc>
              <w:tc>
                <w:tcPr>
                  <w:tcW w:w="1264" w:type="dxa"/>
                  <w:vAlign w:val="center"/>
                </w:tcPr>
                <w:p w14:paraId="4366310D">
                  <w:pPr>
                    <w:jc w:val="center"/>
                    <w:rPr>
                      <w:color w:val="auto"/>
                      <w:spacing w:val="-5"/>
                      <w:szCs w:val="21"/>
                    </w:rPr>
                  </w:pPr>
                  <w:r>
                    <w:rPr>
                      <w:color w:val="auto"/>
                      <w:spacing w:val="-5"/>
                      <w:szCs w:val="21"/>
                    </w:rPr>
                    <w:t>4.44×10</w:t>
                  </w:r>
                  <w:r>
                    <w:rPr>
                      <w:color w:val="auto"/>
                      <w:spacing w:val="-5"/>
                      <w:szCs w:val="21"/>
                      <w:vertAlign w:val="superscript"/>
                    </w:rPr>
                    <w:t>-2</w:t>
                  </w:r>
                </w:p>
              </w:tc>
            </w:tr>
            <w:tr w14:paraId="3A81E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263" w:type="dxa"/>
                  <w:vMerge w:val="continue"/>
                  <w:vAlign w:val="center"/>
                </w:tcPr>
                <w:p w14:paraId="0C1D530B">
                  <w:pPr>
                    <w:jc w:val="center"/>
                    <w:rPr>
                      <w:color w:val="auto"/>
                      <w:szCs w:val="21"/>
                    </w:rPr>
                  </w:pPr>
                </w:p>
              </w:tc>
              <w:tc>
                <w:tcPr>
                  <w:tcW w:w="1263" w:type="dxa"/>
                  <w:vMerge w:val="continue"/>
                  <w:vAlign w:val="center"/>
                </w:tcPr>
                <w:p w14:paraId="5C077F46">
                  <w:pPr>
                    <w:jc w:val="center"/>
                    <w:rPr>
                      <w:color w:val="auto"/>
                      <w:szCs w:val="21"/>
                    </w:rPr>
                  </w:pPr>
                </w:p>
              </w:tc>
              <w:tc>
                <w:tcPr>
                  <w:tcW w:w="1264" w:type="dxa"/>
                  <w:vMerge w:val="continue"/>
                  <w:vAlign w:val="center"/>
                </w:tcPr>
                <w:p w14:paraId="26AA75B3">
                  <w:pPr>
                    <w:jc w:val="center"/>
                    <w:rPr>
                      <w:color w:val="auto"/>
                      <w:szCs w:val="21"/>
                    </w:rPr>
                  </w:pPr>
                </w:p>
              </w:tc>
              <w:tc>
                <w:tcPr>
                  <w:tcW w:w="1264" w:type="dxa"/>
                  <w:vAlign w:val="center"/>
                </w:tcPr>
                <w:p w14:paraId="747222A0">
                  <w:pPr>
                    <w:jc w:val="center"/>
                    <w:rPr>
                      <w:color w:val="auto"/>
                      <w:spacing w:val="-5"/>
                      <w:szCs w:val="21"/>
                    </w:rPr>
                  </w:pPr>
                  <w:r>
                    <w:rPr>
                      <w:color w:val="auto"/>
                      <w:spacing w:val="-5"/>
                      <w:szCs w:val="21"/>
                    </w:rPr>
                    <w:t>第2次</w:t>
                  </w:r>
                </w:p>
              </w:tc>
              <w:tc>
                <w:tcPr>
                  <w:tcW w:w="1264" w:type="dxa"/>
                  <w:vAlign w:val="center"/>
                </w:tcPr>
                <w:p w14:paraId="59A742B8">
                  <w:pPr>
                    <w:jc w:val="center"/>
                    <w:rPr>
                      <w:color w:val="auto"/>
                      <w:spacing w:val="-5"/>
                      <w:szCs w:val="21"/>
                    </w:rPr>
                  </w:pPr>
                  <w:r>
                    <w:rPr>
                      <w:color w:val="auto"/>
                      <w:spacing w:val="-5"/>
                      <w:szCs w:val="21"/>
                    </w:rPr>
                    <w:t>&lt;20（11.0）</w:t>
                  </w:r>
                </w:p>
              </w:tc>
              <w:tc>
                <w:tcPr>
                  <w:tcW w:w="1264" w:type="dxa"/>
                  <w:vAlign w:val="center"/>
                </w:tcPr>
                <w:p w14:paraId="00B76A95">
                  <w:pPr>
                    <w:jc w:val="center"/>
                    <w:rPr>
                      <w:color w:val="auto"/>
                      <w:spacing w:val="-5"/>
                      <w:szCs w:val="21"/>
                    </w:rPr>
                  </w:pPr>
                  <w:r>
                    <w:rPr>
                      <w:color w:val="auto"/>
                      <w:spacing w:val="-5"/>
                      <w:szCs w:val="21"/>
                    </w:rPr>
                    <w:t>&lt;20（11.5）</w:t>
                  </w:r>
                </w:p>
              </w:tc>
              <w:tc>
                <w:tcPr>
                  <w:tcW w:w="1264" w:type="dxa"/>
                  <w:vAlign w:val="center"/>
                </w:tcPr>
                <w:p w14:paraId="17809286">
                  <w:pPr>
                    <w:jc w:val="center"/>
                    <w:rPr>
                      <w:color w:val="auto"/>
                      <w:spacing w:val="-5"/>
                      <w:szCs w:val="21"/>
                    </w:rPr>
                  </w:pPr>
                  <w:r>
                    <w:rPr>
                      <w:color w:val="auto"/>
                      <w:spacing w:val="-5"/>
                      <w:szCs w:val="21"/>
                    </w:rPr>
                    <w:t>5.16×10</w:t>
                  </w:r>
                  <w:r>
                    <w:rPr>
                      <w:color w:val="auto"/>
                      <w:spacing w:val="-5"/>
                      <w:szCs w:val="21"/>
                      <w:vertAlign w:val="superscript"/>
                    </w:rPr>
                    <w:t>-2</w:t>
                  </w:r>
                </w:p>
              </w:tc>
            </w:tr>
            <w:tr w14:paraId="50A74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3" w:type="dxa"/>
                  <w:vMerge w:val="continue"/>
                  <w:vAlign w:val="center"/>
                </w:tcPr>
                <w:p w14:paraId="23B84B11">
                  <w:pPr>
                    <w:jc w:val="center"/>
                    <w:rPr>
                      <w:color w:val="auto"/>
                      <w:spacing w:val="-5"/>
                      <w:szCs w:val="21"/>
                    </w:rPr>
                  </w:pPr>
                </w:p>
              </w:tc>
              <w:tc>
                <w:tcPr>
                  <w:tcW w:w="1263" w:type="dxa"/>
                  <w:vMerge w:val="continue"/>
                  <w:vAlign w:val="center"/>
                </w:tcPr>
                <w:p w14:paraId="702487DD">
                  <w:pPr>
                    <w:jc w:val="center"/>
                    <w:rPr>
                      <w:color w:val="auto"/>
                      <w:spacing w:val="-5"/>
                      <w:szCs w:val="21"/>
                    </w:rPr>
                  </w:pPr>
                </w:p>
              </w:tc>
              <w:tc>
                <w:tcPr>
                  <w:tcW w:w="1264" w:type="dxa"/>
                  <w:vMerge w:val="continue"/>
                  <w:vAlign w:val="center"/>
                </w:tcPr>
                <w:p w14:paraId="447D2E6F">
                  <w:pPr>
                    <w:jc w:val="center"/>
                    <w:rPr>
                      <w:color w:val="auto"/>
                      <w:spacing w:val="-5"/>
                      <w:szCs w:val="21"/>
                    </w:rPr>
                  </w:pPr>
                </w:p>
              </w:tc>
              <w:tc>
                <w:tcPr>
                  <w:tcW w:w="1264" w:type="dxa"/>
                  <w:vAlign w:val="center"/>
                </w:tcPr>
                <w:p w14:paraId="116B29A0">
                  <w:pPr>
                    <w:jc w:val="center"/>
                    <w:rPr>
                      <w:color w:val="auto"/>
                      <w:spacing w:val="-5"/>
                      <w:szCs w:val="21"/>
                    </w:rPr>
                  </w:pPr>
                  <w:r>
                    <w:rPr>
                      <w:color w:val="auto"/>
                      <w:spacing w:val="-5"/>
                      <w:szCs w:val="21"/>
                    </w:rPr>
                    <w:t>第3次</w:t>
                  </w:r>
                </w:p>
              </w:tc>
              <w:tc>
                <w:tcPr>
                  <w:tcW w:w="1264" w:type="dxa"/>
                  <w:vAlign w:val="center"/>
                </w:tcPr>
                <w:p w14:paraId="572895AC">
                  <w:pPr>
                    <w:jc w:val="center"/>
                    <w:rPr>
                      <w:color w:val="auto"/>
                      <w:spacing w:val="-5"/>
                      <w:szCs w:val="21"/>
                    </w:rPr>
                  </w:pPr>
                  <w:r>
                    <w:rPr>
                      <w:color w:val="auto"/>
                      <w:spacing w:val="-5"/>
                      <w:szCs w:val="21"/>
                    </w:rPr>
                    <w:t>&lt;20（8.3）</w:t>
                  </w:r>
                </w:p>
              </w:tc>
              <w:tc>
                <w:tcPr>
                  <w:tcW w:w="1264" w:type="dxa"/>
                  <w:vAlign w:val="center"/>
                </w:tcPr>
                <w:p w14:paraId="4B02CA50">
                  <w:pPr>
                    <w:jc w:val="center"/>
                    <w:rPr>
                      <w:color w:val="auto"/>
                      <w:spacing w:val="-5"/>
                      <w:szCs w:val="21"/>
                    </w:rPr>
                  </w:pPr>
                  <w:r>
                    <w:rPr>
                      <w:color w:val="auto"/>
                      <w:spacing w:val="-5"/>
                      <w:szCs w:val="21"/>
                    </w:rPr>
                    <w:t>&lt;20（8.7）</w:t>
                  </w:r>
                </w:p>
              </w:tc>
              <w:tc>
                <w:tcPr>
                  <w:tcW w:w="1264" w:type="dxa"/>
                  <w:vAlign w:val="center"/>
                </w:tcPr>
                <w:p w14:paraId="45184F4E">
                  <w:pPr>
                    <w:jc w:val="center"/>
                    <w:rPr>
                      <w:color w:val="auto"/>
                      <w:spacing w:val="-5"/>
                      <w:szCs w:val="21"/>
                    </w:rPr>
                  </w:pPr>
                  <w:r>
                    <w:rPr>
                      <w:color w:val="auto"/>
                      <w:spacing w:val="-5"/>
                      <w:szCs w:val="21"/>
                    </w:rPr>
                    <w:t>3.72×10</w:t>
                  </w:r>
                  <w:r>
                    <w:rPr>
                      <w:color w:val="auto"/>
                      <w:spacing w:val="-5"/>
                      <w:szCs w:val="21"/>
                      <w:vertAlign w:val="superscript"/>
                    </w:rPr>
                    <w:t>-2</w:t>
                  </w:r>
                </w:p>
              </w:tc>
            </w:tr>
            <w:tr w14:paraId="40128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3" w:type="dxa"/>
                  <w:vMerge w:val="continue"/>
                  <w:vAlign w:val="center"/>
                </w:tcPr>
                <w:p w14:paraId="3B72728E">
                  <w:pPr>
                    <w:jc w:val="center"/>
                    <w:rPr>
                      <w:color w:val="auto"/>
                      <w:spacing w:val="-5"/>
                      <w:szCs w:val="21"/>
                    </w:rPr>
                  </w:pPr>
                </w:p>
              </w:tc>
              <w:tc>
                <w:tcPr>
                  <w:tcW w:w="1263" w:type="dxa"/>
                  <w:vMerge w:val="continue"/>
                  <w:vAlign w:val="center"/>
                </w:tcPr>
                <w:p w14:paraId="30A17CBE">
                  <w:pPr>
                    <w:jc w:val="center"/>
                    <w:rPr>
                      <w:color w:val="auto"/>
                      <w:spacing w:val="-5"/>
                      <w:szCs w:val="21"/>
                    </w:rPr>
                  </w:pPr>
                </w:p>
              </w:tc>
              <w:tc>
                <w:tcPr>
                  <w:tcW w:w="1264" w:type="dxa"/>
                  <w:vMerge w:val="restart"/>
                  <w:vAlign w:val="center"/>
                </w:tcPr>
                <w:p w14:paraId="3E3B3F9E">
                  <w:pPr>
                    <w:jc w:val="center"/>
                    <w:rPr>
                      <w:color w:val="auto"/>
                      <w:spacing w:val="-5"/>
                      <w:szCs w:val="21"/>
                    </w:rPr>
                  </w:pPr>
                  <w:r>
                    <w:rPr>
                      <w:color w:val="auto"/>
                      <w:spacing w:val="-5"/>
                      <w:szCs w:val="21"/>
                    </w:rPr>
                    <w:t>2020.6.24</w:t>
                  </w:r>
                </w:p>
              </w:tc>
              <w:tc>
                <w:tcPr>
                  <w:tcW w:w="1264" w:type="dxa"/>
                  <w:vAlign w:val="center"/>
                </w:tcPr>
                <w:p w14:paraId="02046BE4">
                  <w:pPr>
                    <w:jc w:val="center"/>
                    <w:rPr>
                      <w:color w:val="auto"/>
                      <w:spacing w:val="-5"/>
                      <w:szCs w:val="21"/>
                    </w:rPr>
                  </w:pPr>
                  <w:r>
                    <w:rPr>
                      <w:color w:val="auto"/>
                      <w:spacing w:val="-5"/>
                      <w:szCs w:val="21"/>
                    </w:rPr>
                    <w:t>第1次</w:t>
                  </w:r>
                </w:p>
              </w:tc>
              <w:tc>
                <w:tcPr>
                  <w:tcW w:w="1264" w:type="dxa"/>
                  <w:vAlign w:val="center"/>
                </w:tcPr>
                <w:p w14:paraId="7EABB4FC">
                  <w:pPr>
                    <w:jc w:val="center"/>
                    <w:rPr>
                      <w:color w:val="auto"/>
                      <w:spacing w:val="-5"/>
                      <w:szCs w:val="21"/>
                    </w:rPr>
                  </w:pPr>
                  <w:r>
                    <w:rPr>
                      <w:color w:val="auto"/>
                      <w:spacing w:val="-5"/>
                      <w:szCs w:val="21"/>
                    </w:rPr>
                    <w:t>&lt;20（10.4）</w:t>
                  </w:r>
                </w:p>
              </w:tc>
              <w:tc>
                <w:tcPr>
                  <w:tcW w:w="1264" w:type="dxa"/>
                  <w:vAlign w:val="center"/>
                </w:tcPr>
                <w:p w14:paraId="1C4B195E">
                  <w:pPr>
                    <w:jc w:val="center"/>
                    <w:rPr>
                      <w:color w:val="auto"/>
                      <w:spacing w:val="-5"/>
                      <w:szCs w:val="21"/>
                    </w:rPr>
                  </w:pPr>
                  <w:r>
                    <w:rPr>
                      <w:color w:val="auto"/>
                      <w:spacing w:val="-5"/>
                      <w:szCs w:val="21"/>
                    </w:rPr>
                    <w:t>&lt;20（10.9）</w:t>
                  </w:r>
                </w:p>
              </w:tc>
              <w:tc>
                <w:tcPr>
                  <w:tcW w:w="1264" w:type="dxa"/>
                  <w:vAlign w:val="center"/>
                </w:tcPr>
                <w:p w14:paraId="0818F242">
                  <w:pPr>
                    <w:jc w:val="center"/>
                    <w:rPr>
                      <w:color w:val="auto"/>
                      <w:spacing w:val="-5"/>
                      <w:szCs w:val="21"/>
                    </w:rPr>
                  </w:pPr>
                  <w:r>
                    <w:rPr>
                      <w:color w:val="auto"/>
                      <w:spacing w:val="-5"/>
                      <w:szCs w:val="21"/>
                    </w:rPr>
                    <w:t>4.60×10</w:t>
                  </w:r>
                  <w:r>
                    <w:rPr>
                      <w:color w:val="auto"/>
                      <w:spacing w:val="-5"/>
                      <w:szCs w:val="21"/>
                      <w:vertAlign w:val="superscript"/>
                    </w:rPr>
                    <w:t>-2</w:t>
                  </w:r>
                </w:p>
              </w:tc>
            </w:tr>
            <w:tr w14:paraId="42454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63" w:type="dxa"/>
                  <w:vMerge w:val="continue"/>
                  <w:vAlign w:val="center"/>
                </w:tcPr>
                <w:p w14:paraId="2327D7DB">
                  <w:pPr>
                    <w:jc w:val="center"/>
                    <w:rPr>
                      <w:color w:val="auto"/>
                      <w:spacing w:val="-5"/>
                      <w:szCs w:val="21"/>
                    </w:rPr>
                  </w:pPr>
                </w:p>
              </w:tc>
              <w:tc>
                <w:tcPr>
                  <w:tcW w:w="1263" w:type="dxa"/>
                  <w:vMerge w:val="continue"/>
                  <w:vAlign w:val="center"/>
                </w:tcPr>
                <w:p w14:paraId="4A90A9DA">
                  <w:pPr>
                    <w:jc w:val="center"/>
                    <w:rPr>
                      <w:color w:val="auto"/>
                      <w:spacing w:val="-5"/>
                      <w:szCs w:val="21"/>
                    </w:rPr>
                  </w:pPr>
                </w:p>
              </w:tc>
              <w:tc>
                <w:tcPr>
                  <w:tcW w:w="1264" w:type="dxa"/>
                  <w:vMerge w:val="continue"/>
                  <w:vAlign w:val="center"/>
                </w:tcPr>
                <w:p w14:paraId="2AD0DA00">
                  <w:pPr>
                    <w:jc w:val="center"/>
                    <w:rPr>
                      <w:color w:val="auto"/>
                      <w:spacing w:val="-5"/>
                      <w:szCs w:val="21"/>
                    </w:rPr>
                  </w:pPr>
                </w:p>
              </w:tc>
              <w:tc>
                <w:tcPr>
                  <w:tcW w:w="1264" w:type="dxa"/>
                  <w:vAlign w:val="center"/>
                </w:tcPr>
                <w:p w14:paraId="2948089E">
                  <w:pPr>
                    <w:jc w:val="center"/>
                    <w:rPr>
                      <w:color w:val="auto"/>
                      <w:spacing w:val="-5"/>
                      <w:szCs w:val="21"/>
                    </w:rPr>
                  </w:pPr>
                  <w:r>
                    <w:rPr>
                      <w:color w:val="auto"/>
                      <w:spacing w:val="-5"/>
                      <w:szCs w:val="21"/>
                    </w:rPr>
                    <w:t>第2次</w:t>
                  </w:r>
                </w:p>
              </w:tc>
              <w:tc>
                <w:tcPr>
                  <w:tcW w:w="1264" w:type="dxa"/>
                  <w:vAlign w:val="center"/>
                </w:tcPr>
                <w:p w14:paraId="4B7F6E57">
                  <w:pPr>
                    <w:jc w:val="center"/>
                    <w:rPr>
                      <w:color w:val="auto"/>
                      <w:spacing w:val="-5"/>
                      <w:szCs w:val="21"/>
                    </w:rPr>
                  </w:pPr>
                  <w:r>
                    <w:rPr>
                      <w:color w:val="auto"/>
                      <w:spacing w:val="-5"/>
                      <w:szCs w:val="21"/>
                    </w:rPr>
                    <w:t>&lt;20（9.2）</w:t>
                  </w:r>
                </w:p>
              </w:tc>
              <w:tc>
                <w:tcPr>
                  <w:tcW w:w="1264" w:type="dxa"/>
                  <w:vAlign w:val="center"/>
                </w:tcPr>
                <w:p w14:paraId="72B8CA62">
                  <w:pPr>
                    <w:jc w:val="center"/>
                    <w:rPr>
                      <w:color w:val="auto"/>
                      <w:spacing w:val="-5"/>
                      <w:szCs w:val="21"/>
                    </w:rPr>
                  </w:pPr>
                  <w:r>
                    <w:rPr>
                      <w:color w:val="auto"/>
                      <w:spacing w:val="-5"/>
                      <w:szCs w:val="21"/>
                    </w:rPr>
                    <w:t>&lt;20（9.6）</w:t>
                  </w:r>
                </w:p>
              </w:tc>
              <w:tc>
                <w:tcPr>
                  <w:tcW w:w="1264" w:type="dxa"/>
                  <w:vAlign w:val="center"/>
                </w:tcPr>
                <w:p w14:paraId="3638F615">
                  <w:pPr>
                    <w:jc w:val="center"/>
                    <w:rPr>
                      <w:color w:val="auto"/>
                      <w:spacing w:val="-5"/>
                      <w:szCs w:val="21"/>
                    </w:rPr>
                  </w:pPr>
                  <w:r>
                    <w:rPr>
                      <w:color w:val="auto"/>
                      <w:spacing w:val="-5"/>
                      <w:szCs w:val="21"/>
                    </w:rPr>
                    <w:t>4.25×10</w:t>
                  </w:r>
                  <w:r>
                    <w:rPr>
                      <w:color w:val="auto"/>
                      <w:spacing w:val="-5"/>
                      <w:szCs w:val="21"/>
                      <w:vertAlign w:val="superscript"/>
                    </w:rPr>
                    <w:t>-2</w:t>
                  </w:r>
                </w:p>
              </w:tc>
            </w:tr>
            <w:tr w14:paraId="1A9EC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3" w:type="dxa"/>
                  <w:vMerge w:val="continue"/>
                  <w:vAlign w:val="center"/>
                </w:tcPr>
                <w:p w14:paraId="77B871F0">
                  <w:pPr>
                    <w:jc w:val="center"/>
                    <w:rPr>
                      <w:color w:val="auto"/>
                      <w:spacing w:val="-5"/>
                      <w:szCs w:val="21"/>
                    </w:rPr>
                  </w:pPr>
                </w:p>
              </w:tc>
              <w:tc>
                <w:tcPr>
                  <w:tcW w:w="1263" w:type="dxa"/>
                  <w:vMerge w:val="continue"/>
                  <w:vAlign w:val="center"/>
                </w:tcPr>
                <w:p w14:paraId="79F8037D">
                  <w:pPr>
                    <w:jc w:val="center"/>
                    <w:rPr>
                      <w:color w:val="auto"/>
                      <w:spacing w:val="-5"/>
                      <w:szCs w:val="21"/>
                    </w:rPr>
                  </w:pPr>
                </w:p>
              </w:tc>
              <w:tc>
                <w:tcPr>
                  <w:tcW w:w="1264" w:type="dxa"/>
                  <w:vMerge w:val="continue"/>
                  <w:vAlign w:val="center"/>
                </w:tcPr>
                <w:p w14:paraId="3AAAC3A1">
                  <w:pPr>
                    <w:jc w:val="center"/>
                    <w:rPr>
                      <w:color w:val="auto"/>
                      <w:spacing w:val="-5"/>
                      <w:szCs w:val="21"/>
                    </w:rPr>
                  </w:pPr>
                </w:p>
              </w:tc>
              <w:tc>
                <w:tcPr>
                  <w:tcW w:w="1264" w:type="dxa"/>
                  <w:vAlign w:val="center"/>
                </w:tcPr>
                <w:p w14:paraId="441FBCA6">
                  <w:pPr>
                    <w:jc w:val="center"/>
                    <w:rPr>
                      <w:color w:val="auto"/>
                      <w:spacing w:val="-5"/>
                      <w:szCs w:val="21"/>
                    </w:rPr>
                  </w:pPr>
                  <w:r>
                    <w:rPr>
                      <w:color w:val="auto"/>
                      <w:spacing w:val="-5"/>
                      <w:szCs w:val="21"/>
                    </w:rPr>
                    <w:t>第3次</w:t>
                  </w:r>
                </w:p>
              </w:tc>
              <w:tc>
                <w:tcPr>
                  <w:tcW w:w="1264" w:type="dxa"/>
                  <w:vAlign w:val="center"/>
                </w:tcPr>
                <w:p w14:paraId="1094F8E2">
                  <w:pPr>
                    <w:jc w:val="center"/>
                    <w:rPr>
                      <w:color w:val="auto"/>
                      <w:spacing w:val="-5"/>
                      <w:szCs w:val="21"/>
                    </w:rPr>
                  </w:pPr>
                  <w:r>
                    <w:rPr>
                      <w:color w:val="auto"/>
                      <w:spacing w:val="-5"/>
                      <w:szCs w:val="21"/>
                    </w:rPr>
                    <w:t>&lt;20（9.0）</w:t>
                  </w:r>
                </w:p>
              </w:tc>
              <w:tc>
                <w:tcPr>
                  <w:tcW w:w="1264" w:type="dxa"/>
                  <w:vAlign w:val="center"/>
                </w:tcPr>
                <w:p w14:paraId="3E1CC201">
                  <w:pPr>
                    <w:jc w:val="center"/>
                    <w:rPr>
                      <w:color w:val="auto"/>
                      <w:spacing w:val="-5"/>
                      <w:szCs w:val="21"/>
                    </w:rPr>
                  </w:pPr>
                  <w:r>
                    <w:rPr>
                      <w:color w:val="auto"/>
                      <w:spacing w:val="-5"/>
                      <w:szCs w:val="21"/>
                    </w:rPr>
                    <w:t>&lt;20（9.5）</w:t>
                  </w:r>
                </w:p>
              </w:tc>
              <w:tc>
                <w:tcPr>
                  <w:tcW w:w="1264" w:type="dxa"/>
                  <w:vAlign w:val="center"/>
                </w:tcPr>
                <w:p w14:paraId="704B7A46">
                  <w:pPr>
                    <w:jc w:val="center"/>
                    <w:rPr>
                      <w:color w:val="auto"/>
                      <w:spacing w:val="-5"/>
                      <w:szCs w:val="21"/>
                    </w:rPr>
                  </w:pPr>
                  <w:r>
                    <w:rPr>
                      <w:color w:val="auto"/>
                      <w:spacing w:val="-5"/>
                      <w:szCs w:val="21"/>
                    </w:rPr>
                    <w:t>4.11×10</w:t>
                  </w:r>
                  <w:r>
                    <w:rPr>
                      <w:color w:val="auto"/>
                      <w:spacing w:val="-5"/>
                      <w:szCs w:val="21"/>
                      <w:vertAlign w:val="superscript"/>
                    </w:rPr>
                    <w:t>-2</w:t>
                  </w:r>
                </w:p>
              </w:tc>
            </w:tr>
            <w:tr w14:paraId="3DAF5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3" w:type="dxa"/>
                  <w:vMerge w:val="continue"/>
                  <w:vAlign w:val="center"/>
                </w:tcPr>
                <w:p w14:paraId="59624DAB">
                  <w:pPr>
                    <w:jc w:val="center"/>
                    <w:rPr>
                      <w:color w:val="auto"/>
                      <w:spacing w:val="-5"/>
                      <w:szCs w:val="21"/>
                    </w:rPr>
                  </w:pPr>
                </w:p>
              </w:tc>
              <w:tc>
                <w:tcPr>
                  <w:tcW w:w="1263" w:type="dxa"/>
                  <w:vMerge w:val="restart"/>
                  <w:vAlign w:val="center"/>
                </w:tcPr>
                <w:p w14:paraId="2B4A6EB1">
                  <w:pPr>
                    <w:jc w:val="center"/>
                    <w:rPr>
                      <w:color w:val="auto"/>
                      <w:spacing w:val="-5"/>
                      <w:szCs w:val="21"/>
                    </w:rPr>
                  </w:pPr>
                  <w:r>
                    <w:rPr>
                      <w:color w:val="auto"/>
                      <w:spacing w:val="-5"/>
                      <w:szCs w:val="21"/>
                    </w:rPr>
                    <w:t>二氧化硫</w:t>
                  </w:r>
                </w:p>
              </w:tc>
              <w:tc>
                <w:tcPr>
                  <w:tcW w:w="1264" w:type="dxa"/>
                  <w:vMerge w:val="restart"/>
                  <w:vAlign w:val="center"/>
                </w:tcPr>
                <w:p w14:paraId="61854069">
                  <w:pPr>
                    <w:jc w:val="center"/>
                    <w:rPr>
                      <w:color w:val="auto"/>
                      <w:spacing w:val="-5"/>
                      <w:szCs w:val="21"/>
                    </w:rPr>
                  </w:pPr>
                  <w:r>
                    <w:rPr>
                      <w:color w:val="auto"/>
                      <w:spacing w:val="-5"/>
                      <w:szCs w:val="21"/>
                    </w:rPr>
                    <w:t>2020.6.23</w:t>
                  </w:r>
                </w:p>
              </w:tc>
              <w:tc>
                <w:tcPr>
                  <w:tcW w:w="1264" w:type="dxa"/>
                  <w:vAlign w:val="center"/>
                </w:tcPr>
                <w:p w14:paraId="5004DA41">
                  <w:pPr>
                    <w:jc w:val="center"/>
                    <w:rPr>
                      <w:color w:val="auto"/>
                      <w:spacing w:val="-5"/>
                      <w:szCs w:val="21"/>
                    </w:rPr>
                  </w:pPr>
                  <w:r>
                    <w:rPr>
                      <w:color w:val="auto"/>
                      <w:spacing w:val="-5"/>
                      <w:szCs w:val="21"/>
                    </w:rPr>
                    <w:t>第1次</w:t>
                  </w:r>
                </w:p>
              </w:tc>
              <w:tc>
                <w:tcPr>
                  <w:tcW w:w="1264" w:type="dxa"/>
                  <w:vAlign w:val="center"/>
                </w:tcPr>
                <w:p w14:paraId="6535CED8">
                  <w:pPr>
                    <w:jc w:val="center"/>
                    <w:rPr>
                      <w:color w:val="auto"/>
                      <w:spacing w:val="-5"/>
                      <w:szCs w:val="21"/>
                    </w:rPr>
                  </w:pPr>
                  <w:r>
                    <w:rPr>
                      <w:color w:val="auto"/>
                      <w:spacing w:val="-5"/>
                      <w:szCs w:val="21"/>
                    </w:rPr>
                    <w:t>21</w:t>
                  </w:r>
                </w:p>
              </w:tc>
              <w:tc>
                <w:tcPr>
                  <w:tcW w:w="1264" w:type="dxa"/>
                  <w:vAlign w:val="center"/>
                </w:tcPr>
                <w:p w14:paraId="5C4D2F80">
                  <w:pPr>
                    <w:jc w:val="center"/>
                    <w:rPr>
                      <w:color w:val="auto"/>
                      <w:spacing w:val="-5"/>
                      <w:szCs w:val="21"/>
                    </w:rPr>
                  </w:pPr>
                  <w:r>
                    <w:rPr>
                      <w:color w:val="auto"/>
                      <w:spacing w:val="-5"/>
                      <w:szCs w:val="21"/>
                    </w:rPr>
                    <w:t>21</w:t>
                  </w:r>
                </w:p>
              </w:tc>
              <w:tc>
                <w:tcPr>
                  <w:tcW w:w="1264" w:type="dxa"/>
                  <w:vAlign w:val="center"/>
                </w:tcPr>
                <w:p w14:paraId="18242515">
                  <w:pPr>
                    <w:jc w:val="center"/>
                    <w:rPr>
                      <w:color w:val="auto"/>
                      <w:spacing w:val="-5"/>
                      <w:szCs w:val="21"/>
                    </w:rPr>
                  </w:pPr>
                  <w:r>
                    <w:rPr>
                      <w:color w:val="auto"/>
                      <w:spacing w:val="-5"/>
                      <w:szCs w:val="21"/>
                    </w:rPr>
                    <w:t>9.29×10</w:t>
                  </w:r>
                  <w:r>
                    <w:rPr>
                      <w:color w:val="auto"/>
                      <w:spacing w:val="-5"/>
                      <w:szCs w:val="21"/>
                      <w:vertAlign w:val="superscript"/>
                    </w:rPr>
                    <w:t>-2</w:t>
                  </w:r>
                </w:p>
              </w:tc>
            </w:tr>
            <w:tr w14:paraId="2A962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3" w:type="dxa"/>
                  <w:vMerge w:val="continue"/>
                  <w:vAlign w:val="center"/>
                </w:tcPr>
                <w:p w14:paraId="0B0804F9">
                  <w:pPr>
                    <w:jc w:val="center"/>
                    <w:rPr>
                      <w:color w:val="auto"/>
                      <w:spacing w:val="-5"/>
                      <w:szCs w:val="21"/>
                    </w:rPr>
                  </w:pPr>
                </w:p>
              </w:tc>
              <w:tc>
                <w:tcPr>
                  <w:tcW w:w="1263" w:type="dxa"/>
                  <w:vMerge w:val="continue"/>
                  <w:vAlign w:val="center"/>
                </w:tcPr>
                <w:p w14:paraId="4DB376A9">
                  <w:pPr>
                    <w:jc w:val="center"/>
                    <w:rPr>
                      <w:color w:val="auto"/>
                      <w:spacing w:val="-5"/>
                      <w:szCs w:val="21"/>
                    </w:rPr>
                  </w:pPr>
                </w:p>
              </w:tc>
              <w:tc>
                <w:tcPr>
                  <w:tcW w:w="1264" w:type="dxa"/>
                  <w:vMerge w:val="continue"/>
                  <w:vAlign w:val="center"/>
                </w:tcPr>
                <w:p w14:paraId="78DBFFB1">
                  <w:pPr>
                    <w:jc w:val="center"/>
                    <w:rPr>
                      <w:color w:val="auto"/>
                      <w:spacing w:val="-5"/>
                      <w:szCs w:val="21"/>
                    </w:rPr>
                  </w:pPr>
                </w:p>
              </w:tc>
              <w:tc>
                <w:tcPr>
                  <w:tcW w:w="1264" w:type="dxa"/>
                  <w:vAlign w:val="center"/>
                </w:tcPr>
                <w:p w14:paraId="2AED2263">
                  <w:pPr>
                    <w:jc w:val="center"/>
                    <w:rPr>
                      <w:color w:val="auto"/>
                      <w:spacing w:val="-5"/>
                      <w:szCs w:val="21"/>
                    </w:rPr>
                  </w:pPr>
                  <w:r>
                    <w:rPr>
                      <w:color w:val="auto"/>
                      <w:spacing w:val="-5"/>
                      <w:szCs w:val="21"/>
                    </w:rPr>
                    <w:t>第2次</w:t>
                  </w:r>
                </w:p>
              </w:tc>
              <w:tc>
                <w:tcPr>
                  <w:tcW w:w="1264" w:type="dxa"/>
                  <w:vAlign w:val="center"/>
                </w:tcPr>
                <w:p w14:paraId="664CF7D2">
                  <w:pPr>
                    <w:jc w:val="center"/>
                    <w:rPr>
                      <w:color w:val="auto"/>
                      <w:spacing w:val="-5"/>
                      <w:szCs w:val="21"/>
                    </w:rPr>
                  </w:pPr>
                  <w:r>
                    <w:rPr>
                      <w:color w:val="auto"/>
                      <w:spacing w:val="-5"/>
                      <w:szCs w:val="21"/>
                    </w:rPr>
                    <w:t>23</w:t>
                  </w:r>
                </w:p>
              </w:tc>
              <w:tc>
                <w:tcPr>
                  <w:tcW w:w="1264" w:type="dxa"/>
                  <w:vAlign w:val="center"/>
                </w:tcPr>
                <w:p w14:paraId="31CC148C">
                  <w:pPr>
                    <w:jc w:val="center"/>
                    <w:rPr>
                      <w:color w:val="auto"/>
                      <w:spacing w:val="-5"/>
                      <w:szCs w:val="21"/>
                    </w:rPr>
                  </w:pPr>
                  <w:r>
                    <w:rPr>
                      <w:color w:val="auto"/>
                      <w:spacing w:val="-5"/>
                      <w:szCs w:val="21"/>
                    </w:rPr>
                    <w:t>23</w:t>
                  </w:r>
                </w:p>
              </w:tc>
              <w:tc>
                <w:tcPr>
                  <w:tcW w:w="1264" w:type="dxa"/>
                  <w:vAlign w:val="center"/>
                </w:tcPr>
                <w:p w14:paraId="7D3D0FDA">
                  <w:pPr>
                    <w:jc w:val="center"/>
                    <w:rPr>
                      <w:color w:val="auto"/>
                      <w:spacing w:val="-5"/>
                      <w:szCs w:val="21"/>
                    </w:rPr>
                  </w:pPr>
                  <w:r>
                    <w:rPr>
                      <w:color w:val="auto"/>
                      <w:spacing w:val="-5"/>
                      <w:szCs w:val="21"/>
                    </w:rPr>
                    <w:t>0.106</w:t>
                  </w:r>
                </w:p>
              </w:tc>
            </w:tr>
            <w:tr w14:paraId="053E6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3" w:type="dxa"/>
                  <w:vMerge w:val="continue"/>
                  <w:vAlign w:val="center"/>
                </w:tcPr>
                <w:p w14:paraId="5E214951">
                  <w:pPr>
                    <w:jc w:val="center"/>
                    <w:rPr>
                      <w:color w:val="auto"/>
                      <w:spacing w:val="-5"/>
                      <w:szCs w:val="21"/>
                    </w:rPr>
                  </w:pPr>
                </w:p>
              </w:tc>
              <w:tc>
                <w:tcPr>
                  <w:tcW w:w="1263" w:type="dxa"/>
                  <w:vMerge w:val="continue"/>
                  <w:vAlign w:val="center"/>
                </w:tcPr>
                <w:p w14:paraId="3E06972C">
                  <w:pPr>
                    <w:jc w:val="center"/>
                    <w:rPr>
                      <w:color w:val="auto"/>
                      <w:spacing w:val="-5"/>
                      <w:szCs w:val="21"/>
                    </w:rPr>
                  </w:pPr>
                </w:p>
              </w:tc>
              <w:tc>
                <w:tcPr>
                  <w:tcW w:w="1264" w:type="dxa"/>
                  <w:vMerge w:val="continue"/>
                  <w:vAlign w:val="center"/>
                </w:tcPr>
                <w:p w14:paraId="1DE2384C">
                  <w:pPr>
                    <w:jc w:val="center"/>
                    <w:rPr>
                      <w:color w:val="auto"/>
                      <w:spacing w:val="-5"/>
                      <w:szCs w:val="21"/>
                    </w:rPr>
                  </w:pPr>
                </w:p>
              </w:tc>
              <w:tc>
                <w:tcPr>
                  <w:tcW w:w="1264" w:type="dxa"/>
                  <w:vAlign w:val="center"/>
                </w:tcPr>
                <w:p w14:paraId="0A966FC3">
                  <w:pPr>
                    <w:jc w:val="center"/>
                    <w:rPr>
                      <w:color w:val="auto"/>
                      <w:spacing w:val="-5"/>
                      <w:szCs w:val="21"/>
                    </w:rPr>
                  </w:pPr>
                  <w:r>
                    <w:rPr>
                      <w:color w:val="auto"/>
                      <w:spacing w:val="-5"/>
                      <w:szCs w:val="21"/>
                    </w:rPr>
                    <w:t>第3次</w:t>
                  </w:r>
                </w:p>
              </w:tc>
              <w:tc>
                <w:tcPr>
                  <w:tcW w:w="1264" w:type="dxa"/>
                  <w:vAlign w:val="center"/>
                </w:tcPr>
                <w:p w14:paraId="484A4F80">
                  <w:pPr>
                    <w:jc w:val="center"/>
                    <w:rPr>
                      <w:color w:val="auto"/>
                      <w:spacing w:val="-5"/>
                      <w:szCs w:val="21"/>
                    </w:rPr>
                  </w:pPr>
                  <w:r>
                    <w:rPr>
                      <w:color w:val="auto"/>
                      <w:spacing w:val="-5"/>
                      <w:szCs w:val="21"/>
                    </w:rPr>
                    <w:t>22</w:t>
                  </w:r>
                </w:p>
              </w:tc>
              <w:tc>
                <w:tcPr>
                  <w:tcW w:w="1264" w:type="dxa"/>
                  <w:vAlign w:val="center"/>
                </w:tcPr>
                <w:p w14:paraId="65D8BC29">
                  <w:pPr>
                    <w:jc w:val="center"/>
                    <w:rPr>
                      <w:color w:val="auto"/>
                      <w:spacing w:val="-5"/>
                      <w:szCs w:val="21"/>
                    </w:rPr>
                  </w:pPr>
                  <w:r>
                    <w:rPr>
                      <w:color w:val="auto"/>
                      <w:spacing w:val="-5"/>
                      <w:szCs w:val="21"/>
                    </w:rPr>
                    <w:t>22</w:t>
                  </w:r>
                </w:p>
              </w:tc>
              <w:tc>
                <w:tcPr>
                  <w:tcW w:w="1264" w:type="dxa"/>
                  <w:vAlign w:val="center"/>
                </w:tcPr>
                <w:p w14:paraId="46B768DB">
                  <w:pPr>
                    <w:jc w:val="center"/>
                    <w:rPr>
                      <w:color w:val="auto"/>
                      <w:spacing w:val="-5"/>
                      <w:szCs w:val="21"/>
                    </w:rPr>
                  </w:pPr>
                  <w:r>
                    <w:rPr>
                      <w:color w:val="auto"/>
                      <w:spacing w:val="-5"/>
                      <w:szCs w:val="21"/>
                    </w:rPr>
                    <w:t>0.100</w:t>
                  </w:r>
                </w:p>
              </w:tc>
            </w:tr>
            <w:tr w14:paraId="70D4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3" w:type="dxa"/>
                  <w:vMerge w:val="continue"/>
                  <w:vAlign w:val="center"/>
                </w:tcPr>
                <w:p w14:paraId="46C14E88">
                  <w:pPr>
                    <w:jc w:val="center"/>
                    <w:rPr>
                      <w:color w:val="auto"/>
                      <w:spacing w:val="-5"/>
                      <w:szCs w:val="21"/>
                    </w:rPr>
                  </w:pPr>
                </w:p>
              </w:tc>
              <w:tc>
                <w:tcPr>
                  <w:tcW w:w="1263" w:type="dxa"/>
                  <w:vMerge w:val="continue"/>
                  <w:vAlign w:val="center"/>
                </w:tcPr>
                <w:p w14:paraId="00EE82CA">
                  <w:pPr>
                    <w:jc w:val="center"/>
                    <w:rPr>
                      <w:color w:val="auto"/>
                      <w:spacing w:val="-5"/>
                      <w:szCs w:val="21"/>
                    </w:rPr>
                  </w:pPr>
                </w:p>
              </w:tc>
              <w:tc>
                <w:tcPr>
                  <w:tcW w:w="1264" w:type="dxa"/>
                  <w:vMerge w:val="restart"/>
                  <w:vAlign w:val="center"/>
                </w:tcPr>
                <w:p w14:paraId="591C2884">
                  <w:pPr>
                    <w:jc w:val="center"/>
                    <w:rPr>
                      <w:color w:val="auto"/>
                      <w:spacing w:val="-5"/>
                      <w:szCs w:val="21"/>
                    </w:rPr>
                  </w:pPr>
                  <w:r>
                    <w:rPr>
                      <w:color w:val="auto"/>
                      <w:spacing w:val="-5"/>
                      <w:szCs w:val="21"/>
                    </w:rPr>
                    <w:t>2020.6.24</w:t>
                  </w:r>
                </w:p>
              </w:tc>
              <w:tc>
                <w:tcPr>
                  <w:tcW w:w="1264" w:type="dxa"/>
                  <w:vAlign w:val="center"/>
                </w:tcPr>
                <w:p w14:paraId="284B4572">
                  <w:pPr>
                    <w:jc w:val="center"/>
                    <w:rPr>
                      <w:color w:val="auto"/>
                      <w:spacing w:val="-5"/>
                      <w:szCs w:val="21"/>
                    </w:rPr>
                  </w:pPr>
                  <w:r>
                    <w:rPr>
                      <w:color w:val="auto"/>
                      <w:spacing w:val="-5"/>
                      <w:szCs w:val="21"/>
                    </w:rPr>
                    <w:t>第1次</w:t>
                  </w:r>
                </w:p>
              </w:tc>
              <w:tc>
                <w:tcPr>
                  <w:tcW w:w="1264" w:type="dxa"/>
                  <w:vAlign w:val="center"/>
                </w:tcPr>
                <w:p w14:paraId="6AB3DE29">
                  <w:pPr>
                    <w:jc w:val="center"/>
                    <w:rPr>
                      <w:color w:val="auto"/>
                      <w:spacing w:val="-5"/>
                      <w:szCs w:val="21"/>
                    </w:rPr>
                  </w:pPr>
                  <w:r>
                    <w:rPr>
                      <w:color w:val="auto"/>
                      <w:spacing w:val="-5"/>
                      <w:szCs w:val="21"/>
                    </w:rPr>
                    <w:t>20</w:t>
                  </w:r>
                </w:p>
              </w:tc>
              <w:tc>
                <w:tcPr>
                  <w:tcW w:w="1264" w:type="dxa"/>
                  <w:vAlign w:val="center"/>
                </w:tcPr>
                <w:p w14:paraId="115EAA22">
                  <w:pPr>
                    <w:jc w:val="center"/>
                    <w:rPr>
                      <w:color w:val="auto"/>
                      <w:spacing w:val="-5"/>
                      <w:szCs w:val="21"/>
                    </w:rPr>
                  </w:pPr>
                  <w:r>
                    <w:rPr>
                      <w:color w:val="auto"/>
                      <w:spacing w:val="-5"/>
                      <w:szCs w:val="21"/>
                    </w:rPr>
                    <w:t>20</w:t>
                  </w:r>
                </w:p>
              </w:tc>
              <w:tc>
                <w:tcPr>
                  <w:tcW w:w="1264" w:type="dxa"/>
                  <w:vAlign w:val="center"/>
                </w:tcPr>
                <w:p w14:paraId="77B188A7">
                  <w:pPr>
                    <w:jc w:val="center"/>
                    <w:rPr>
                      <w:color w:val="auto"/>
                      <w:spacing w:val="-5"/>
                      <w:szCs w:val="21"/>
                    </w:rPr>
                  </w:pPr>
                  <w:r>
                    <w:rPr>
                      <w:color w:val="auto"/>
                      <w:spacing w:val="-5"/>
                      <w:szCs w:val="21"/>
                    </w:rPr>
                    <w:t>9.16×10</w:t>
                  </w:r>
                  <w:r>
                    <w:rPr>
                      <w:color w:val="auto"/>
                      <w:spacing w:val="-5"/>
                      <w:szCs w:val="21"/>
                      <w:vertAlign w:val="superscript"/>
                    </w:rPr>
                    <w:t>-2</w:t>
                  </w:r>
                </w:p>
              </w:tc>
            </w:tr>
            <w:tr w14:paraId="56551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3" w:type="dxa"/>
                  <w:vMerge w:val="continue"/>
                  <w:vAlign w:val="center"/>
                </w:tcPr>
                <w:p w14:paraId="2223E1F3">
                  <w:pPr>
                    <w:jc w:val="center"/>
                    <w:rPr>
                      <w:color w:val="auto"/>
                      <w:spacing w:val="-5"/>
                      <w:szCs w:val="21"/>
                    </w:rPr>
                  </w:pPr>
                </w:p>
              </w:tc>
              <w:tc>
                <w:tcPr>
                  <w:tcW w:w="1263" w:type="dxa"/>
                  <w:vMerge w:val="continue"/>
                  <w:vAlign w:val="center"/>
                </w:tcPr>
                <w:p w14:paraId="559FE2B2">
                  <w:pPr>
                    <w:jc w:val="center"/>
                    <w:rPr>
                      <w:color w:val="auto"/>
                      <w:spacing w:val="-5"/>
                      <w:szCs w:val="21"/>
                    </w:rPr>
                  </w:pPr>
                </w:p>
              </w:tc>
              <w:tc>
                <w:tcPr>
                  <w:tcW w:w="1264" w:type="dxa"/>
                  <w:vMerge w:val="continue"/>
                  <w:vAlign w:val="center"/>
                </w:tcPr>
                <w:p w14:paraId="71C8A213">
                  <w:pPr>
                    <w:jc w:val="center"/>
                    <w:rPr>
                      <w:color w:val="auto"/>
                      <w:spacing w:val="-5"/>
                      <w:szCs w:val="21"/>
                    </w:rPr>
                  </w:pPr>
                </w:p>
              </w:tc>
              <w:tc>
                <w:tcPr>
                  <w:tcW w:w="1264" w:type="dxa"/>
                  <w:vAlign w:val="center"/>
                </w:tcPr>
                <w:p w14:paraId="38FEA3D2">
                  <w:pPr>
                    <w:jc w:val="center"/>
                    <w:rPr>
                      <w:color w:val="auto"/>
                      <w:spacing w:val="-5"/>
                      <w:szCs w:val="21"/>
                    </w:rPr>
                  </w:pPr>
                  <w:r>
                    <w:rPr>
                      <w:color w:val="auto"/>
                      <w:spacing w:val="-5"/>
                      <w:szCs w:val="21"/>
                    </w:rPr>
                    <w:t>第2次</w:t>
                  </w:r>
                </w:p>
              </w:tc>
              <w:tc>
                <w:tcPr>
                  <w:tcW w:w="1264" w:type="dxa"/>
                  <w:vAlign w:val="center"/>
                </w:tcPr>
                <w:p w14:paraId="1BDF7EF1">
                  <w:pPr>
                    <w:jc w:val="center"/>
                    <w:rPr>
                      <w:color w:val="auto"/>
                      <w:spacing w:val="-5"/>
                      <w:szCs w:val="21"/>
                    </w:rPr>
                  </w:pPr>
                  <w:r>
                    <w:rPr>
                      <w:color w:val="auto"/>
                      <w:spacing w:val="-5"/>
                      <w:szCs w:val="21"/>
                    </w:rPr>
                    <w:t>22</w:t>
                  </w:r>
                </w:p>
              </w:tc>
              <w:tc>
                <w:tcPr>
                  <w:tcW w:w="1264" w:type="dxa"/>
                  <w:vAlign w:val="center"/>
                </w:tcPr>
                <w:p w14:paraId="68159A3F">
                  <w:pPr>
                    <w:jc w:val="center"/>
                    <w:rPr>
                      <w:color w:val="auto"/>
                      <w:spacing w:val="-5"/>
                      <w:szCs w:val="21"/>
                    </w:rPr>
                  </w:pPr>
                  <w:r>
                    <w:rPr>
                      <w:color w:val="auto"/>
                      <w:spacing w:val="-5"/>
                      <w:szCs w:val="21"/>
                    </w:rPr>
                    <w:t>22</w:t>
                  </w:r>
                </w:p>
              </w:tc>
              <w:tc>
                <w:tcPr>
                  <w:tcW w:w="1264" w:type="dxa"/>
                  <w:vAlign w:val="center"/>
                </w:tcPr>
                <w:p w14:paraId="1FCB53A8">
                  <w:pPr>
                    <w:jc w:val="center"/>
                    <w:rPr>
                      <w:color w:val="auto"/>
                      <w:spacing w:val="-5"/>
                      <w:szCs w:val="21"/>
                    </w:rPr>
                  </w:pPr>
                  <w:r>
                    <w:rPr>
                      <w:color w:val="auto"/>
                      <w:spacing w:val="-5"/>
                      <w:szCs w:val="21"/>
                    </w:rPr>
                    <w:t>0.103</w:t>
                  </w:r>
                </w:p>
              </w:tc>
            </w:tr>
            <w:tr w14:paraId="5542A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3" w:type="dxa"/>
                  <w:vMerge w:val="continue"/>
                  <w:vAlign w:val="center"/>
                </w:tcPr>
                <w:p w14:paraId="192D1F75">
                  <w:pPr>
                    <w:jc w:val="center"/>
                    <w:rPr>
                      <w:color w:val="auto"/>
                      <w:spacing w:val="-5"/>
                      <w:szCs w:val="21"/>
                    </w:rPr>
                  </w:pPr>
                </w:p>
              </w:tc>
              <w:tc>
                <w:tcPr>
                  <w:tcW w:w="1263" w:type="dxa"/>
                  <w:vMerge w:val="continue"/>
                  <w:vAlign w:val="center"/>
                </w:tcPr>
                <w:p w14:paraId="731C9947">
                  <w:pPr>
                    <w:jc w:val="center"/>
                    <w:rPr>
                      <w:color w:val="auto"/>
                      <w:spacing w:val="-5"/>
                      <w:szCs w:val="21"/>
                    </w:rPr>
                  </w:pPr>
                </w:p>
              </w:tc>
              <w:tc>
                <w:tcPr>
                  <w:tcW w:w="1264" w:type="dxa"/>
                  <w:vMerge w:val="continue"/>
                  <w:vAlign w:val="center"/>
                </w:tcPr>
                <w:p w14:paraId="2B312777">
                  <w:pPr>
                    <w:jc w:val="center"/>
                    <w:rPr>
                      <w:color w:val="auto"/>
                      <w:spacing w:val="-5"/>
                      <w:szCs w:val="21"/>
                    </w:rPr>
                  </w:pPr>
                </w:p>
              </w:tc>
              <w:tc>
                <w:tcPr>
                  <w:tcW w:w="1264" w:type="dxa"/>
                  <w:vAlign w:val="center"/>
                </w:tcPr>
                <w:p w14:paraId="17C3BEA6">
                  <w:pPr>
                    <w:jc w:val="center"/>
                    <w:rPr>
                      <w:color w:val="auto"/>
                      <w:spacing w:val="-5"/>
                      <w:szCs w:val="21"/>
                    </w:rPr>
                  </w:pPr>
                  <w:r>
                    <w:rPr>
                      <w:color w:val="auto"/>
                      <w:spacing w:val="-5"/>
                      <w:szCs w:val="21"/>
                    </w:rPr>
                    <w:t>第3次</w:t>
                  </w:r>
                </w:p>
              </w:tc>
              <w:tc>
                <w:tcPr>
                  <w:tcW w:w="1264" w:type="dxa"/>
                  <w:vAlign w:val="center"/>
                </w:tcPr>
                <w:p w14:paraId="4B75A58B">
                  <w:pPr>
                    <w:jc w:val="center"/>
                    <w:rPr>
                      <w:color w:val="auto"/>
                      <w:spacing w:val="-5"/>
                      <w:szCs w:val="21"/>
                    </w:rPr>
                  </w:pPr>
                  <w:r>
                    <w:rPr>
                      <w:color w:val="auto"/>
                      <w:spacing w:val="-5"/>
                      <w:szCs w:val="21"/>
                    </w:rPr>
                    <w:t>23</w:t>
                  </w:r>
                </w:p>
              </w:tc>
              <w:tc>
                <w:tcPr>
                  <w:tcW w:w="1264" w:type="dxa"/>
                  <w:vAlign w:val="center"/>
                </w:tcPr>
                <w:p w14:paraId="7B5CAB05">
                  <w:pPr>
                    <w:jc w:val="center"/>
                    <w:rPr>
                      <w:color w:val="auto"/>
                      <w:spacing w:val="-5"/>
                      <w:szCs w:val="21"/>
                    </w:rPr>
                  </w:pPr>
                  <w:r>
                    <w:rPr>
                      <w:color w:val="auto"/>
                      <w:spacing w:val="-5"/>
                      <w:szCs w:val="21"/>
                    </w:rPr>
                    <w:t>23</w:t>
                  </w:r>
                </w:p>
              </w:tc>
              <w:tc>
                <w:tcPr>
                  <w:tcW w:w="1264" w:type="dxa"/>
                  <w:vAlign w:val="center"/>
                </w:tcPr>
                <w:p w14:paraId="2D19E3BE">
                  <w:pPr>
                    <w:jc w:val="center"/>
                    <w:rPr>
                      <w:color w:val="auto"/>
                      <w:spacing w:val="-5"/>
                      <w:szCs w:val="21"/>
                    </w:rPr>
                  </w:pPr>
                  <w:r>
                    <w:rPr>
                      <w:color w:val="auto"/>
                      <w:spacing w:val="-5"/>
                      <w:szCs w:val="21"/>
                    </w:rPr>
                    <w:t>0.103</w:t>
                  </w:r>
                </w:p>
              </w:tc>
            </w:tr>
            <w:tr w14:paraId="52599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3" w:type="dxa"/>
                  <w:vMerge w:val="continue"/>
                  <w:vAlign w:val="center"/>
                </w:tcPr>
                <w:p w14:paraId="79E027A6">
                  <w:pPr>
                    <w:jc w:val="center"/>
                    <w:rPr>
                      <w:color w:val="auto"/>
                      <w:spacing w:val="-5"/>
                      <w:szCs w:val="21"/>
                    </w:rPr>
                  </w:pPr>
                </w:p>
              </w:tc>
              <w:tc>
                <w:tcPr>
                  <w:tcW w:w="1263" w:type="dxa"/>
                  <w:vMerge w:val="restart"/>
                  <w:vAlign w:val="center"/>
                </w:tcPr>
                <w:p w14:paraId="275E0F41">
                  <w:pPr>
                    <w:jc w:val="center"/>
                    <w:rPr>
                      <w:color w:val="auto"/>
                      <w:spacing w:val="-5"/>
                      <w:szCs w:val="21"/>
                    </w:rPr>
                  </w:pPr>
                  <w:r>
                    <w:rPr>
                      <w:color w:val="auto"/>
                      <w:spacing w:val="-5"/>
                      <w:szCs w:val="21"/>
                    </w:rPr>
                    <w:t>氮氧化物</w:t>
                  </w:r>
                </w:p>
              </w:tc>
              <w:tc>
                <w:tcPr>
                  <w:tcW w:w="1264" w:type="dxa"/>
                  <w:vMerge w:val="restart"/>
                  <w:vAlign w:val="center"/>
                </w:tcPr>
                <w:p w14:paraId="5E7C0581">
                  <w:pPr>
                    <w:jc w:val="center"/>
                    <w:rPr>
                      <w:color w:val="auto"/>
                      <w:spacing w:val="-5"/>
                      <w:szCs w:val="21"/>
                    </w:rPr>
                  </w:pPr>
                  <w:r>
                    <w:rPr>
                      <w:color w:val="auto"/>
                      <w:spacing w:val="-5"/>
                      <w:szCs w:val="21"/>
                    </w:rPr>
                    <w:t>2020.6.23</w:t>
                  </w:r>
                </w:p>
              </w:tc>
              <w:tc>
                <w:tcPr>
                  <w:tcW w:w="1264" w:type="dxa"/>
                  <w:vAlign w:val="center"/>
                </w:tcPr>
                <w:p w14:paraId="56EC1E59">
                  <w:pPr>
                    <w:jc w:val="center"/>
                    <w:rPr>
                      <w:color w:val="auto"/>
                      <w:spacing w:val="-5"/>
                      <w:szCs w:val="21"/>
                    </w:rPr>
                  </w:pPr>
                  <w:r>
                    <w:rPr>
                      <w:color w:val="auto"/>
                      <w:spacing w:val="-5"/>
                      <w:szCs w:val="21"/>
                    </w:rPr>
                    <w:t>第1次</w:t>
                  </w:r>
                </w:p>
              </w:tc>
              <w:tc>
                <w:tcPr>
                  <w:tcW w:w="1264" w:type="dxa"/>
                  <w:vAlign w:val="center"/>
                </w:tcPr>
                <w:p w14:paraId="3B55192B">
                  <w:pPr>
                    <w:jc w:val="center"/>
                    <w:rPr>
                      <w:color w:val="auto"/>
                      <w:spacing w:val="-5"/>
                      <w:szCs w:val="21"/>
                    </w:rPr>
                  </w:pPr>
                  <w:r>
                    <w:rPr>
                      <w:color w:val="auto"/>
                      <w:spacing w:val="-5"/>
                      <w:szCs w:val="21"/>
                    </w:rPr>
                    <w:t>46</w:t>
                  </w:r>
                </w:p>
              </w:tc>
              <w:tc>
                <w:tcPr>
                  <w:tcW w:w="1264" w:type="dxa"/>
                  <w:vAlign w:val="center"/>
                </w:tcPr>
                <w:p w14:paraId="4AB3627C">
                  <w:pPr>
                    <w:jc w:val="center"/>
                    <w:rPr>
                      <w:color w:val="auto"/>
                      <w:spacing w:val="-5"/>
                      <w:szCs w:val="21"/>
                    </w:rPr>
                  </w:pPr>
                  <w:r>
                    <w:rPr>
                      <w:color w:val="auto"/>
                      <w:spacing w:val="-5"/>
                      <w:szCs w:val="21"/>
                    </w:rPr>
                    <w:t>47</w:t>
                  </w:r>
                </w:p>
              </w:tc>
              <w:tc>
                <w:tcPr>
                  <w:tcW w:w="1264" w:type="dxa"/>
                  <w:vAlign w:val="center"/>
                </w:tcPr>
                <w:p w14:paraId="5ED5FD0C">
                  <w:pPr>
                    <w:jc w:val="center"/>
                    <w:rPr>
                      <w:color w:val="auto"/>
                      <w:spacing w:val="-5"/>
                      <w:szCs w:val="21"/>
                    </w:rPr>
                  </w:pPr>
                  <w:r>
                    <w:rPr>
                      <w:color w:val="auto"/>
                      <w:spacing w:val="-5"/>
                      <w:szCs w:val="21"/>
                    </w:rPr>
                    <w:t>0.204</w:t>
                  </w:r>
                </w:p>
              </w:tc>
            </w:tr>
            <w:tr w14:paraId="07404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3" w:type="dxa"/>
                  <w:vMerge w:val="continue"/>
                  <w:vAlign w:val="center"/>
                </w:tcPr>
                <w:p w14:paraId="5158C361">
                  <w:pPr>
                    <w:jc w:val="center"/>
                    <w:rPr>
                      <w:color w:val="auto"/>
                      <w:spacing w:val="-5"/>
                      <w:szCs w:val="21"/>
                    </w:rPr>
                  </w:pPr>
                </w:p>
              </w:tc>
              <w:tc>
                <w:tcPr>
                  <w:tcW w:w="1263" w:type="dxa"/>
                  <w:vMerge w:val="continue"/>
                  <w:vAlign w:val="center"/>
                </w:tcPr>
                <w:p w14:paraId="554C3FFF">
                  <w:pPr>
                    <w:jc w:val="center"/>
                    <w:rPr>
                      <w:color w:val="auto"/>
                      <w:spacing w:val="-5"/>
                      <w:szCs w:val="21"/>
                    </w:rPr>
                  </w:pPr>
                </w:p>
              </w:tc>
              <w:tc>
                <w:tcPr>
                  <w:tcW w:w="1264" w:type="dxa"/>
                  <w:vMerge w:val="continue"/>
                  <w:vAlign w:val="center"/>
                </w:tcPr>
                <w:p w14:paraId="693FF8B8">
                  <w:pPr>
                    <w:jc w:val="center"/>
                    <w:rPr>
                      <w:color w:val="auto"/>
                      <w:spacing w:val="-5"/>
                      <w:szCs w:val="21"/>
                    </w:rPr>
                  </w:pPr>
                </w:p>
              </w:tc>
              <w:tc>
                <w:tcPr>
                  <w:tcW w:w="1264" w:type="dxa"/>
                  <w:vAlign w:val="center"/>
                </w:tcPr>
                <w:p w14:paraId="563597F0">
                  <w:pPr>
                    <w:jc w:val="center"/>
                    <w:rPr>
                      <w:color w:val="auto"/>
                      <w:spacing w:val="-5"/>
                      <w:szCs w:val="21"/>
                    </w:rPr>
                  </w:pPr>
                  <w:r>
                    <w:rPr>
                      <w:color w:val="auto"/>
                      <w:spacing w:val="-5"/>
                      <w:szCs w:val="21"/>
                    </w:rPr>
                    <w:t>第2次</w:t>
                  </w:r>
                </w:p>
              </w:tc>
              <w:tc>
                <w:tcPr>
                  <w:tcW w:w="1264" w:type="dxa"/>
                  <w:vAlign w:val="center"/>
                </w:tcPr>
                <w:p w14:paraId="6112BE02">
                  <w:pPr>
                    <w:jc w:val="center"/>
                    <w:rPr>
                      <w:color w:val="auto"/>
                      <w:spacing w:val="-5"/>
                      <w:szCs w:val="21"/>
                    </w:rPr>
                  </w:pPr>
                  <w:r>
                    <w:rPr>
                      <w:color w:val="auto"/>
                      <w:spacing w:val="-5"/>
                      <w:szCs w:val="21"/>
                    </w:rPr>
                    <w:t>48</w:t>
                  </w:r>
                </w:p>
              </w:tc>
              <w:tc>
                <w:tcPr>
                  <w:tcW w:w="1264" w:type="dxa"/>
                  <w:vAlign w:val="center"/>
                </w:tcPr>
                <w:p w14:paraId="27103B2E">
                  <w:pPr>
                    <w:jc w:val="center"/>
                    <w:rPr>
                      <w:color w:val="auto"/>
                      <w:spacing w:val="-5"/>
                      <w:szCs w:val="21"/>
                    </w:rPr>
                  </w:pPr>
                  <w:r>
                    <w:rPr>
                      <w:color w:val="auto"/>
                      <w:spacing w:val="-5"/>
                      <w:szCs w:val="21"/>
                    </w:rPr>
                    <w:t>49</w:t>
                  </w:r>
                </w:p>
              </w:tc>
              <w:tc>
                <w:tcPr>
                  <w:tcW w:w="1264" w:type="dxa"/>
                  <w:vAlign w:val="center"/>
                </w:tcPr>
                <w:p w14:paraId="34BB0F21">
                  <w:pPr>
                    <w:jc w:val="center"/>
                    <w:rPr>
                      <w:color w:val="auto"/>
                      <w:spacing w:val="-5"/>
                      <w:szCs w:val="21"/>
                    </w:rPr>
                  </w:pPr>
                  <w:r>
                    <w:rPr>
                      <w:color w:val="auto"/>
                      <w:spacing w:val="-5"/>
                      <w:szCs w:val="21"/>
                    </w:rPr>
                    <w:t>0.221</w:t>
                  </w:r>
                </w:p>
              </w:tc>
            </w:tr>
            <w:tr w14:paraId="35C80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3" w:type="dxa"/>
                  <w:vMerge w:val="continue"/>
                  <w:vAlign w:val="center"/>
                </w:tcPr>
                <w:p w14:paraId="46F379F9">
                  <w:pPr>
                    <w:jc w:val="center"/>
                    <w:rPr>
                      <w:color w:val="auto"/>
                      <w:spacing w:val="-5"/>
                      <w:szCs w:val="21"/>
                    </w:rPr>
                  </w:pPr>
                </w:p>
              </w:tc>
              <w:tc>
                <w:tcPr>
                  <w:tcW w:w="1263" w:type="dxa"/>
                  <w:vMerge w:val="continue"/>
                  <w:vAlign w:val="center"/>
                </w:tcPr>
                <w:p w14:paraId="059B1509">
                  <w:pPr>
                    <w:jc w:val="center"/>
                    <w:rPr>
                      <w:color w:val="auto"/>
                      <w:spacing w:val="-5"/>
                      <w:szCs w:val="21"/>
                    </w:rPr>
                  </w:pPr>
                </w:p>
              </w:tc>
              <w:tc>
                <w:tcPr>
                  <w:tcW w:w="1264" w:type="dxa"/>
                  <w:vMerge w:val="continue"/>
                  <w:vAlign w:val="center"/>
                </w:tcPr>
                <w:p w14:paraId="2982AA00">
                  <w:pPr>
                    <w:jc w:val="center"/>
                    <w:rPr>
                      <w:color w:val="auto"/>
                      <w:spacing w:val="-5"/>
                      <w:szCs w:val="21"/>
                    </w:rPr>
                  </w:pPr>
                </w:p>
              </w:tc>
              <w:tc>
                <w:tcPr>
                  <w:tcW w:w="1264" w:type="dxa"/>
                  <w:vAlign w:val="center"/>
                </w:tcPr>
                <w:p w14:paraId="14C09087">
                  <w:pPr>
                    <w:jc w:val="center"/>
                    <w:rPr>
                      <w:color w:val="auto"/>
                      <w:spacing w:val="-5"/>
                      <w:szCs w:val="21"/>
                    </w:rPr>
                  </w:pPr>
                  <w:r>
                    <w:rPr>
                      <w:color w:val="auto"/>
                      <w:spacing w:val="-5"/>
                      <w:szCs w:val="21"/>
                    </w:rPr>
                    <w:t>第3次</w:t>
                  </w:r>
                </w:p>
              </w:tc>
              <w:tc>
                <w:tcPr>
                  <w:tcW w:w="1264" w:type="dxa"/>
                  <w:vAlign w:val="center"/>
                </w:tcPr>
                <w:p w14:paraId="3A754C4E">
                  <w:pPr>
                    <w:jc w:val="center"/>
                    <w:rPr>
                      <w:color w:val="auto"/>
                      <w:spacing w:val="-5"/>
                      <w:szCs w:val="21"/>
                    </w:rPr>
                  </w:pPr>
                  <w:r>
                    <w:rPr>
                      <w:color w:val="auto"/>
                      <w:spacing w:val="-5"/>
                      <w:szCs w:val="21"/>
                    </w:rPr>
                    <w:t>45</w:t>
                  </w:r>
                </w:p>
              </w:tc>
              <w:tc>
                <w:tcPr>
                  <w:tcW w:w="1264" w:type="dxa"/>
                  <w:vAlign w:val="center"/>
                </w:tcPr>
                <w:p w14:paraId="40FD2E31">
                  <w:pPr>
                    <w:jc w:val="center"/>
                    <w:rPr>
                      <w:color w:val="auto"/>
                      <w:spacing w:val="-5"/>
                      <w:szCs w:val="21"/>
                    </w:rPr>
                  </w:pPr>
                  <w:r>
                    <w:rPr>
                      <w:color w:val="auto"/>
                      <w:spacing w:val="-5"/>
                      <w:szCs w:val="21"/>
                    </w:rPr>
                    <w:t>46</w:t>
                  </w:r>
                </w:p>
              </w:tc>
              <w:tc>
                <w:tcPr>
                  <w:tcW w:w="1264" w:type="dxa"/>
                  <w:vAlign w:val="center"/>
                </w:tcPr>
                <w:p w14:paraId="4BE1F02E">
                  <w:pPr>
                    <w:jc w:val="center"/>
                    <w:rPr>
                      <w:color w:val="auto"/>
                      <w:spacing w:val="-5"/>
                      <w:szCs w:val="21"/>
                    </w:rPr>
                  </w:pPr>
                  <w:r>
                    <w:rPr>
                      <w:color w:val="auto"/>
                      <w:spacing w:val="-5"/>
                      <w:szCs w:val="21"/>
                    </w:rPr>
                    <w:t>0.205</w:t>
                  </w:r>
                </w:p>
              </w:tc>
            </w:tr>
            <w:tr w14:paraId="07E89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3" w:type="dxa"/>
                  <w:vMerge w:val="continue"/>
                  <w:vAlign w:val="center"/>
                </w:tcPr>
                <w:p w14:paraId="54EEA82D">
                  <w:pPr>
                    <w:jc w:val="center"/>
                    <w:rPr>
                      <w:color w:val="auto"/>
                      <w:spacing w:val="-5"/>
                      <w:szCs w:val="21"/>
                    </w:rPr>
                  </w:pPr>
                </w:p>
              </w:tc>
              <w:tc>
                <w:tcPr>
                  <w:tcW w:w="1263" w:type="dxa"/>
                  <w:vMerge w:val="continue"/>
                  <w:vAlign w:val="center"/>
                </w:tcPr>
                <w:p w14:paraId="62B698EB">
                  <w:pPr>
                    <w:jc w:val="center"/>
                    <w:rPr>
                      <w:color w:val="auto"/>
                      <w:spacing w:val="-5"/>
                      <w:szCs w:val="21"/>
                    </w:rPr>
                  </w:pPr>
                </w:p>
              </w:tc>
              <w:tc>
                <w:tcPr>
                  <w:tcW w:w="1264" w:type="dxa"/>
                  <w:vMerge w:val="restart"/>
                  <w:vAlign w:val="center"/>
                </w:tcPr>
                <w:p w14:paraId="12154FA8">
                  <w:pPr>
                    <w:jc w:val="center"/>
                    <w:rPr>
                      <w:color w:val="auto"/>
                      <w:spacing w:val="-5"/>
                      <w:szCs w:val="21"/>
                    </w:rPr>
                  </w:pPr>
                  <w:r>
                    <w:rPr>
                      <w:color w:val="auto"/>
                      <w:spacing w:val="-5"/>
                      <w:szCs w:val="21"/>
                    </w:rPr>
                    <w:t>2020.6.24</w:t>
                  </w:r>
                </w:p>
              </w:tc>
              <w:tc>
                <w:tcPr>
                  <w:tcW w:w="1264" w:type="dxa"/>
                  <w:vAlign w:val="center"/>
                </w:tcPr>
                <w:p w14:paraId="569DA32A">
                  <w:pPr>
                    <w:jc w:val="center"/>
                    <w:rPr>
                      <w:color w:val="auto"/>
                      <w:spacing w:val="-5"/>
                      <w:szCs w:val="21"/>
                    </w:rPr>
                  </w:pPr>
                  <w:r>
                    <w:rPr>
                      <w:color w:val="auto"/>
                      <w:spacing w:val="-5"/>
                      <w:szCs w:val="21"/>
                    </w:rPr>
                    <w:t>第1次</w:t>
                  </w:r>
                </w:p>
              </w:tc>
              <w:tc>
                <w:tcPr>
                  <w:tcW w:w="1264" w:type="dxa"/>
                  <w:vAlign w:val="center"/>
                </w:tcPr>
                <w:p w14:paraId="788978DE">
                  <w:pPr>
                    <w:jc w:val="center"/>
                    <w:rPr>
                      <w:color w:val="auto"/>
                      <w:spacing w:val="-5"/>
                      <w:szCs w:val="21"/>
                    </w:rPr>
                  </w:pPr>
                  <w:r>
                    <w:rPr>
                      <w:color w:val="auto"/>
                      <w:spacing w:val="-5"/>
                      <w:szCs w:val="21"/>
                    </w:rPr>
                    <w:t>43</w:t>
                  </w:r>
                </w:p>
              </w:tc>
              <w:tc>
                <w:tcPr>
                  <w:tcW w:w="1264" w:type="dxa"/>
                  <w:vAlign w:val="center"/>
                </w:tcPr>
                <w:p w14:paraId="4CEECB18">
                  <w:pPr>
                    <w:jc w:val="center"/>
                    <w:rPr>
                      <w:color w:val="auto"/>
                      <w:spacing w:val="-5"/>
                      <w:szCs w:val="21"/>
                    </w:rPr>
                  </w:pPr>
                  <w:r>
                    <w:rPr>
                      <w:color w:val="auto"/>
                      <w:spacing w:val="-5"/>
                      <w:szCs w:val="21"/>
                    </w:rPr>
                    <w:t>44</w:t>
                  </w:r>
                </w:p>
              </w:tc>
              <w:tc>
                <w:tcPr>
                  <w:tcW w:w="1264" w:type="dxa"/>
                  <w:vAlign w:val="center"/>
                </w:tcPr>
                <w:p w14:paraId="7FF227AA">
                  <w:pPr>
                    <w:jc w:val="center"/>
                    <w:rPr>
                      <w:color w:val="auto"/>
                      <w:spacing w:val="-5"/>
                      <w:szCs w:val="21"/>
                    </w:rPr>
                  </w:pPr>
                  <w:r>
                    <w:rPr>
                      <w:color w:val="auto"/>
                      <w:spacing w:val="-5"/>
                      <w:szCs w:val="21"/>
                    </w:rPr>
                    <w:t>0.197</w:t>
                  </w:r>
                </w:p>
              </w:tc>
            </w:tr>
            <w:tr w14:paraId="23DEA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263" w:type="dxa"/>
                  <w:vMerge w:val="continue"/>
                  <w:vAlign w:val="center"/>
                </w:tcPr>
                <w:p w14:paraId="01F66FBD">
                  <w:pPr>
                    <w:jc w:val="center"/>
                    <w:rPr>
                      <w:color w:val="auto"/>
                      <w:spacing w:val="-5"/>
                      <w:szCs w:val="21"/>
                    </w:rPr>
                  </w:pPr>
                </w:p>
              </w:tc>
              <w:tc>
                <w:tcPr>
                  <w:tcW w:w="1263" w:type="dxa"/>
                  <w:vMerge w:val="continue"/>
                  <w:vAlign w:val="center"/>
                </w:tcPr>
                <w:p w14:paraId="6629505E">
                  <w:pPr>
                    <w:jc w:val="center"/>
                    <w:rPr>
                      <w:color w:val="auto"/>
                      <w:spacing w:val="-5"/>
                      <w:szCs w:val="21"/>
                    </w:rPr>
                  </w:pPr>
                </w:p>
              </w:tc>
              <w:tc>
                <w:tcPr>
                  <w:tcW w:w="1264" w:type="dxa"/>
                  <w:vMerge w:val="continue"/>
                  <w:vAlign w:val="center"/>
                </w:tcPr>
                <w:p w14:paraId="59FD1485">
                  <w:pPr>
                    <w:jc w:val="center"/>
                    <w:rPr>
                      <w:color w:val="auto"/>
                      <w:spacing w:val="-5"/>
                      <w:szCs w:val="21"/>
                    </w:rPr>
                  </w:pPr>
                </w:p>
              </w:tc>
              <w:tc>
                <w:tcPr>
                  <w:tcW w:w="1264" w:type="dxa"/>
                  <w:vAlign w:val="center"/>
                </w:tcPr>
                <w:p w14:paraId="5D091226">
                  <w:pPr>
                    <w:jc w:val="center"/>
                    <w:rPr>
                      <w:color w:val="auto"/>
                      <w:spacing w:val="-5"/>
                      <w:szCs w:val="21"/>
                    </w:rPr>
                  </w:pPr>
                  <w:r>
                    <w:rPr>
                      <w:color w:val="auto"/>
                      <w:spacing w:val="-5"/>
                      <w:szCs w:val="21"/>
                    </w:rPr>
                    <w:t>第2次</w:t>
                  </w:r>
                </w:p>
              </w:tc>
              <w:tc>
                <w:tcPr>
                  <w:tcW w:w="1264" w:type="dxa"/>
                  <w:vAlign w:val="center"/>
                </w:tcPr>
                <w:p w14:paraId="400A21DB">
                  <w:pPr>
                    <w:jc w:val="center"/>
                    <w:rPr>
                      <w:color w:val="auto"/>
                      <w:spacing w:val="-5"/>
                      <w:szCs w:val="21"/>
                    </w:rPr>
                  </w:pPr>
                  <w:r>
                    <w:rPr>
                      <w:color w:val="auto"/>
                      <w:spacing w:val="-5"/>
                      <w:szCs w:val="21"/>
                    </w:rPr>
                    <w:t>46</w:t>
                  </w:r>
                </w:p>
              </w:tc>
              <w:tc>
                <w:tcPr>
                  <w:tcW w:w="1264" w:type="dxa"/>
                  <w:vAlign w:val="center"/>
                </w:tcPr>
                <w:p w14:paraId="5FC1B788">
                  <w:pPr>
                    <w:jc w:val="center"/>
                    <w:rPr>
                      <w:color w:val="auto"/>
                      <w:spacing w:val="-5"/>
                      <w:szCs w:val="21"/>
                    </w:rPr>
                  </w:pPr>
                  <w:r>
                    <w:rPr>
                      <w:color w:val="auto"/>
                      <w:spacing w:val="-5"/>
                      <w:szCs w:val="21"/>
                    </w:rPr>
                    <w:t>47</w:t>
                  </w:r>
                </w:p>
              </w:tc>
              <w:tc>
                <w:tcPr>
                  <w:tcW w:w="1264" w:type="dxa"/>
                  <w:vAlign w:val="center"/>
                </w:tcPr>
                <w:p w14:paraId="25AAC89B">
                  <w:pPr>
                    <w:jc w:val="center"/>
                    <w:rPr>
                      <w:color w:val="auto"/>
                      <w:spacing w:val="-5"/>
                      <w:szCs w:val="21"/>
                    </w:rPr>
                  </w:pPr>
                  <w:r>
                    <w:rPr>
                      <w:color w:val="auto"/>
                      <w:spacing w:val="-5"/>
                      <w:szCs w:val="21"/>
                    </w:rPr>
                    <w:t>0.216</w:t>
                  </w:r>
                </w:p>
              </w:tc>
            </w:tr>
            <w:tr w14:paraId="4AFE6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3" w:type="dxa"/>
                  <w:vMerge w:val="continue"/>
                  <w:vAlign w:val="center"/>
                </w:tcPr>
                <w:p w14:paraId="2ECE7E8D">
                  <w:pPr>
                    <w:jc w:val="center"/>
                    <w:rPr>
                      <w:color w:val="auto"/>
                      <w:spacing w:val="-5"/>
                      <w:szCs w:val="21"/>
                    </w:rPr>
                  </w:pPr>
                </w:p>
              </w:tc>
              <w:tc>
                <w:tcPr>
                  <w:tcW w:w="1263" w:type="dxa"/>
                  <w:vMerge w:val="continue"/>
                  <w:vAlign w:val="center"/>
                </w:tcPr>
                <w:p w14:paraId="42D9C482">
                  <w:pPr>
                    <w:jc w:val="center"/>
                    <w:rPr>
                      <w:color w:val="auto"/>
                      <w:spacing w:val="-5"/>
                      <w:szCs w:val="21"/>
                    </w:rPr>
                  </w:pPr>
                </w:p>
              </w:tc>
              <w:tc>
                <w:tcPr>
                  <w:tcW w:w="1264" w:type="dxa"/>
                  <w:vMerge w:val="continue"/>
                  <w:vAlign w:val="center"/>
                </w:tcPr>
                <w:p w14:paraId="37548E89">
                  <w:pPr>
                    <w:jc w:val="center"/>
                    <w:rPr>
                      <w:color w:val="auto"/>
                      <w:spacing w:val="-5"/>
                      <w:szCs w:val="21"/>
                    </w:rPr>
                  </w:pPr>
                </w:p>
              </w:tc>
              <w:tc>
                <w:tcPr>
                  <w:tcW w:w="1264" w:type="dxa"/>
                  <w:vAlign w:val="center"/>
                </w:tcPr>
                <w:p w14:paraId="41ECF968">
                  <w:pPr>
                    <w:jc w:val="center"/>
                    <w:rPr>
                      <w:color w:val="auto"/>
                      <w:spacing w:val="-5"/>
                      <w:szCs w:val="21"/>
                    </w:rPr>
                  </w:pPr>
                  <w:r>
                    <w:rPr>
                      <w:color w:val="auto"/>
                      <w:spacing w:val="-5"/>
                      <w:szCs w:val="21"/>
                    </w:rPr>
                    <w:t>第3次</w:t>
                  </w:r>
                </w:p>
              </w:tc>
              <w:tc>
                <w:tcPr>
                  <w:tcW w:w="1264" w:type="dxa"/>
                  <w:vAlign w:val="center"/>
                </w:tcPr>
                <w:p w14:paraId="3B28EA3E">
                  <w:pPr>
                    <w:jc w:val="center"/>
                    <w:rPr>
                      <w:color w:val="auto"/>
                      <w:spacing w:val="-5"/>
                      <w:szCs w:val="21"/>
                    </w:rPr>
                  </w:pPr>
                  <w:r>
                    <w:rPr>
                      <w:color w:val="auto"/>
                      <w:spacing w:val="-5"/>
                      <w:szCs w:val="21"/>
                    </w:rPr>
                    <w:t>47</w:t>
                  </w:r>
                </w:p>
              </w:tc>
              <w:tc>
                <w:tcPr>
                  <w:tcW w:w="1264" w:type="dxa"/>
                  <w:vAlign w:val="center"/>
                </w:tcPr>
                <w:p w14:paraId="2BAF0FBC">
                  <w:pPr>
                    <w:jc w:val="center"/>
                    <w:rPr>
                      <w:color w:val="auto"/>
                      <w:spacing w:val="-5"/>
                      <w:szCs w:val="21"/>
                    </w:rPr>
                  </w:pPr>
                  <w:r>
                    <w:rPr>
                      <w:color w:val="auto"/>
                      <w:spacing w:val="-5"/>
                      <w:szCs w:val="21"/>
                    </w:rPr>
                    <w:t>48</w:t>
                  </w:r>
                </w:p>
              </w:tc>
              <w:tc>
                <w:tcPr>
                  <w:tcW w:w="1264" w:type="dxa"/>
                  <w:vAlign w:val="center"/>
                </w:tcPr>
                <w:p w14:paraId="75FB7683">
                  <w:pPr>
                    <w:jc w:val="center"/>
                    <w:rPr>
                      <w:color w:val="auto"/>
                      <w:spacing w:val="-5"/>
                      <w:szCs w:val="21"/>
                    </w:rPr>
                  </w:pPr>
                  <w:r>
                    <w:rPr>
                      <w:color w:val="auto"/>
                      <w:spacing w:val="-5"/>
                      <w:szCs w:val="21"/>
                    </w:rPr>
                    <w:t>0.211</w:t>
                  </w:r>
                </w:p>
              </w:tc>
            </w:tr>
          </w:tbl>
          <w:p w14:paraId="1D320642">
            <w:pPr>
              <w:jc w:val="center"/>
              <w:rPr>
                <w:color w:val="auto"/>
                <w:spacing w:val="-5"/>
                <w:sz w:val="24"/>
              </w:rPr>
            </w:pPr>
            <w:r>
              <w:rPr>
                <w:b/>
                <w:bCs/>
                <w:color w:val="auto"/>
                <w:spacing w:val="1"/>
                <w:sz w:val="24"/>
              </w:rPr>
              <w:t>表2-1</w:t>
            </w:r>
            <w:r>
              <w:rPr>
                <w:rFonts w:hint="eastAsia"/>
                <w:b/>
                <w:bCs/>
                <w:color w:val="auto"/>
                <w:spacing w:val="1"/>
                <w:sz w:val="24"/>
              </w:rPr>
              <w:t>3</w:t>
            </w:r>
            <w:r>
              <w:rPr>
                <w:b/>
                <w:bCs/>
                <w:color w:val="auto"/>
                <w:spacing w:val="1"/>
                <w:sz w:val="24"/>
              </w:rPr>
              <w:t xml:space="preserve">  无组织废气监测结果  单位</w:t>
            </w:r>
            <w:r>
              <w:rPr>
                <w:b/>
                <w:bCs/>
                <w:color w:val="auto"/>
                <w:sz w:val="24"/>
              </w:rPr>
              <w:t>：</w:t>
            </w:r>
            <w:r>
              <w:rPr>
                <w:rFonts w:eastAsia="Times New Roman"/>
                <w:b/>
                <w:bCs/>
                <w:color w:val="auto"/>
                <w:sz w:val="24"/>
              </w:rPr>
              <w:t>mg/m</w:t>
            </w:r>
            <w:r>
              <w:rPr>
                <w:b/>
                <w:bCs/>
                <w:color w:val="auto"/>
                <w:sz w:val="24"/>
              </w:rPr>
              <w:t>³</w:t>
            </w:r>
          </w:p>
          <w:tbl>
            <w:tblPr>
              <w:tblStyle w:val="25"/>
              <w:tblW w:w="8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3"/>
              <w:gridCol w:w="1263"/>
              <w:gridCol w:w="1264"/>
              <w:gridCol w:w="1264"/>
              <w:gridCol w:w="1264"/>
              <w:gridCol w:w="1264"/>
              <w:gridCol w:w="1264"/>
            </w:tblGrid>
            <w:tr w14:paraId="22E3E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3" w:type="dxa"/>
                  <w:vAlign w:val="center"/>
                </w:tcPr>
                <w:p w14:paraId="2326DA0F">
                  <w:pPr>
                    <w:spacing w:line="360" w:lineRule="auto"/>
                    <w:jc w:val="center"/>
                    <w:rPr>
                      <w:color w:val="auto"/>
                      <w:spacing w:val="-5"/>
                      <w:szCs w:val="21"/>
                    </w:rPr>
                  </w:pPr>
                  <w:r>
                    <w:rPr>
                      <w:color w:val="auto"/>
                      <w:spacing w:val="-5"/>
                      <w:szCs w:val="21"/>
                    </w:rPr>
                    <w:t>检测项目</w:t>
                  </w:r>
                </w:p>
              </w:tc>
              <w:tc>
                <w:tcPr>
                  <w:tcW w:w="1263" w:type="dxa"/>
                  <w:vAlign w:val="center"/>
                </w:tcPr>
                <w:p w14:paraId="24884140">
                  <w:pPr>
                    <w:spacing w:line="360" w:lineRule="auto"/>
                    <w:jc w:val="center"/>
                    <w:rPr>
                      <w:color w:val="auto"/>
                      <w:spacing w:val="-5"/>
                      <w:szCs w:val="21"/>
                    </w:rPr>
                  </w:pPr>
                  <w:r>
                    <w:rPr>
                      <w:color w:val="auto"/>
                      <w:spacing w:val="-5"/>
                      <w:szCs w:val="21"/>
                    </w:rPr>
                    <w:t>采样时间</w:t>
                  </w:r>
                </w:p>
              </w:tc>
              <w:tc>
                <w:tcPr>
                  <w:tcW w:w="1264" w:type="dxa"/>
                  <w:vAlign w:val="center"/>
                </w:tcPr>
                <w:p w14:paraId="1A3BF8E3">
                  <w:pPr>
                    <w:spacing w:line="360" w:lineRule="auto"/>
                    <w:jc w:val="center"/>
                    <w:rPr>
                      <w:color w:val="auto"/>
                      <w:spacing w:val="-5"/>
                      <w:szCs w:val="21"/>
                    </w:rPr>
                  </w:pPr>
                  <w:r>
                    <w:rPr>
                      <w:color w:val="auto"/>
                      <w:spacing w:val="-5"/>
                      <w:szCs w:val="21"/>
                    </w:rPr>
                    <w:t>采样频次</w:t>
                  </w:r>
                </w:p>
              </w:tc>
              <w:tc>
                <w:tcPr>
                  <w:tcW w:w="1264" w:type="dxa"/>
                  <w:vAlign w:val="center"/>
                </w:tcPr>
                <w:p w14:paraId="09C7DEA1">
                  <w:pPr>
                    <w:spacing w:line="360" w:lineRule="auto"/>
                    <w:jc w:val="center"/>
                    <w:rPr>
                      <w:color w:val="auto"/>
                      <w:spacing w:val="-5"/>
                      <w:szCs w:val="21"/>
                    </w:rPr>
                  </w:pPr>
                  <w:r>
                    <w:rPr>
                      <w:color w:val="auto"/>
                      <w:spacing w:val="-5"/>
                      <w:szCs w:val="21"/>
                    </w:rPr>
                    <w:t>1#上风向</w:t>
                  </w:r>
                </w:p>
              </w:tc>
              <w:tc>
                <w:tcPr>
                  <w:tcW w:w="1264" w:type="dxa"/>
                  <w:vAlign w:val="center"/>
                </w:tcPr>
                <w:p w14:paraId="53B488E0">
                  <w:pPr>
                    <w:spacing w:line="360" w:lineRule="auto"/>
                    <w:jc w:val="center"/>
                    <w:rPr>
                      <w:color w:val="auto"/>
                      <w:spacing w:val="-5"/>
                      <w:szCs w:val="21"/>
                    </w:rPr>
                  </w:pPr>
                  <w:r>
                    <w:rPr>
                      <w:color w:val="auto"/>
                      <w:spacing w:val="-5"/>
                      <w:szCs w:val="21"/>
                    </w:rPr>
                    <w:t>2#下风向</w:t>
                  </w:r>
                </w:p>
              </w:tc>
              <w:tc>
                <w:tcPr>
                  <w:tcW w:w="1264" w:type="dxa"/>
                  <w:vAlign w:val="center"/>
                </w:tcPr>
                <w:p w14:paraId="4FF3D0AA">
                  <w:pPr>
                    <w:spacing w:line="360" w:lineRule="auto"/>
                    <w:jc w:val="center"/>
                    <w:rPr>
                      <w:color w:val="auto"/>
                      <w:spacing w:val="-5"/>
                      <w:szCs w:val="21"/>
                    </w:rPr>
                  </w:pPr>
                  <w:r>
                    <w:rPr>
                      <w:color w:val="auto"/>
                      <w:spacing w:val="-5"/>
                      <w:szCs w:val="21"/>
                    </w:rPr>
                    <w:t>3#下风向</w:t>
                  </w:r>
                </w:p>
              </w:tc>
              <w:tc>
                <w:tcPr>
                  <w:tcW w:w="1264" w:type="dxa"/>
                  <w:vAlign w:val="center"/>
                </w:tcPr>
                <w:p w14:paraId="5798FB0C">
                  <w:pPr>
                    <w:spacing w:line="360" w:lineRule="auto"/>
                    <w:jc w:val="center"/>
                    <w:rPr>
                      <w:color w:val="auto"/>
                      <w:spacing w:val="-5"/>
                      <w:szCs w:val="21"/>
                    </w:rPr>
                  </w:pPr>
                  <w:r>
                    <w:rPr>
                      <w:color w:val="auto"/>
                      <w:spacing w:val="-5"/>
                      <w:szCs w:val="21"/>
                    </w:rPr>
                    <w:t>4#下风向</w:t>
                  </w:r>
                </w:p>
              </w:tc>
            </w:tr>
            <w:tr w14:paraId="1DF84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1263" w:type="dxa"/>
                  <w:vMerge w:val="restart"/>
                  <w:vAlign w:val="center"/>
                </w:tcPr>
                <w:p w14:paraId="1D25ACC8">
                  <w:pPr>
                    <w:spacing w:line="360" w:lineRule="auto"/>
                    <w:jc w:val="center"/>
                    <w:rPr>
                      <w:color w:val="auto"/>
                      <w:spacing w:val="-5"/>
                      <w:szCs w:val="21"/>
                    </w:rPr>
                  </w:pPr>
                  <w:r>
                    <w:rPr>
                      <w:color w:val="auto"/>
                      <w:spacing w:val="-5"/>
                      <w:szCs w:val="21"/>
                    </w:rPr>
                    <w:t>颗粒物</w:t>
                  </w:r>
                </w:p>
              </w:tc>
              <w:tc>
                <w:tcPr>
                  <w:tcW w:w="1263" w:type="dxa"/>
                  <w:vMerge w:val="restart"/>
                  <w:vAlign w:val="center"/>
                </w:tcPr>
                <w:p w14:paraId="4962450E">
                  <w:pPr>
                    <w:jc w:val="center"/>
                    <w:rPr>
                      <w:color w:val="auto"/>
                      <w:spacing w:val="-5"/>
                      <w:szCs w:val="21"/>
                    </w:rPr>
                  </w:pPr>
                  <w:r>
                    <w:rPr>
                      <w:color w:val="auto"/>
                      <w:spacing w:val="-5"/>
                      <w:szCs w:val="21"/>
                    </w:rPr>
                    <w:t>2020.6.23</w:t>
                  </w:r>
                </w:p>
              </w:tc>
              <w:tc>
                <w:tcPr>
                  <w:tcW w:w="1264" w:type="dxa"/>
                  <w:vAlign w:val="center"/>
                </w:tcPr>
                <w:p w14:paraId="5A00001A">
                  <w:pPr>
                    <w:spacing w:line="360" w:lineRule="auto"/>
                    <w:jc w:val="center"/>
                    <w:rPr>
                      <w:color w:val="auto"/>
                      <w:spacing w:val="-5"/>
                      <w:szCs w:val="21"/>
                    </w:rPr>
                  </w:pPr>
                  <w:r>
                    <w:rPr>
                      <w:color w:val="auto"/>
                      <w:spacing w:val="-5"/>
                      <w:szCs w:val="21"/>
                    </w:rPr>
                    <w:t>第1次</w:t>
                  </w:r>
                </w:p>
              </w:tc>
              <w:tc>
                <w:tcPr>
                  <w:tcW w:w="1264" w:type="dxa"/>
                  <w:vAlign w:val="center"/>
                </w:tcPr>
                <w:p w14:paraId="4D10D35D">
                  <w:pPr>
                    <w:spacing w:line="360" w:lineRule="auto"/>
                    <w:jc w:val="center"/>
                    <w:rPr>
                      <w:color w:val="auto"/>
                      <w:spacing w:val="-5"/>
                      <w:szCs w:val="21"/>
                    </w:rPr>
                  </w:pPr>
                  <w:r>
                    <w:rPr>
                      <w:color w:val="auto"/>
                      <w:spacing w:val="-5"/>
                      <w:szCs w:val="21"/>
                    </w:rPr>
                    <w:t>0.421</w:t>
                  </w:r>
                </w:p>
              </w:tc>
              <w:tc>
                <w:tcPr>
                  <w:tcW w:w="1264" w:type="dxa"/>
                  <w:vAlign w:val="center"/>
                </w:tcPr>
                <w:p w14:paraId="19898289">
                  <w:pPr>
                    <w:spacing w:line="360" w:lineRule="auto"/>
                    <w:jc w:val="center"/>
                    <w:rPr>
                      <w:color w:val="auto"/>
                      <w:spacing w:val="-5"/>
                      <w:szCs w:val="21"/>
                    </w:rPr>
                  </w:pPr>
                  <w:r>
                    <w:rPr>
                      <w:color w:val="auto"/>
                      <w:spacing w:val="-5"/>
                      <w:szCs w:val="21"/>
                    </w:rPr>
                    <w:t>0.476</w:t>
                  </w:r>
                </w:p>
              </w:tc>
              <w:tc>
                <w:tcPr>
                  <w:tcW w:w="1264" w:type="dxa"/>
                  <w:vAlign w:val="center"/>
                </w:tcPr>
                <w:p w14:paraId="4B617CE3">
                  <w:pPr>
                    <w:spacing w:line="360" w:lineRule="auto"/>
                    <w:jc w:val="center"/>
                    <w:rPr>
                      <w:color w:val="auto"/>
                      <w:spacing w:val="-5"/>
                      <w:szCs w:val="21"/>
                    </w:rPr>
                  </w:pPr>
                  <w:r>
                    <w:rPr>
                      <w:color w:val="auto"/>
                      <w:spacing w:val="-5"/>
                      <w:szCs w:val="21"/>
                    </w:rPr>
                    <w:t>0.549</w:t>
                  </w:r>
                </w:p>
              </w:tc>
              <w:tc>
                <w:tcPr>
                  <w:tcW w:w="1264" w:type="dxa"/>
                  <w:vAlign w:val="center"/>
                </w:tcPr>
                <w:p w14:paraId="7600F65D">
                  <w:pPr>
                    <w:spacing w:line="360" w:lineRule="auto"/>
                    <w:jc w:val="center"/>
                    <w:rPr>
                      <w:color w:val="auto"/>
                      <w:spacing w:val="-5"/>
                      <w:szCs w:val="21"/>
                    </w:rPr>
                  </w:pPr>
                  <w:r>
                    <w:rPr>
                      <w:color w:val="auto"/>
                      <w:spacing w:val="-5"/>
                      <w:szCs w:val="21"/>
                    </w:rPr>
                    <w:t>0.476</w:t>
                  </w:r>
                </w:p>
              </w:tc>
            </w:tr>
            <w:tr w14:paraId="59D45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1263" w:type="dxa"/>
                  <w:vMerge w:val="continue"/>
                  <w:vAlign w:val="center"/>
                </w:tcPr>
                <w:p w14:paraId="5A02B296">
                  <w:pPr>
                    <w:spacing w:line="360" w:lineRule="auto"/>
                    <w:jc w:val="center"/>
                    <w:rPr>
                      <w:color w:val="auto"/>
                      <w:szCs w:val="21"/>
                    </w:rPr>
                  </w:pPr>
                </w:p>
              </w:tc>
              <w:tc>
                <w:tcPr>
                  <w:tcW w:w="1263" w:type="dxa"/>
                  <w:vMerge w:val="continue"/>
                  <w:vAlign w:val="center"/>
                </w:tcPr>
                <w:p w14:paraId="348A0FA4">
                  <w:pPr>
                    <w:spacing w:line="360" w:lineRule="auto"/>
                    <w:jc w:val="center"/>
                    <w:rPr>
                      <w:color w:val="auto"/>
                      <w:szCs w:val="21"/>
                    </w:rPr>
                  </w:pPr>
                </w:p>
              </w:tc>
              <w:tc>
                <w:tcPr>
                  <w:tcW w:w="1264" w:type="dxa"/>
                  <w:vAlign w:val="center"/>
                </w:tcPr>
                <w:p w14:paraId="2F86D6AE">
                  <w:pPr>
                    <w:spacing w:line="360" w:lineRule="auto"/>
                    <w:jc w:val="center"/>
                    <w:rPr>
                      <w:color w:val="auto"/>
                      <w:spacing w:val="-5"/>
                      <w:szCs w:val="21"/>
                    </w:rPr>
                  </w:pPr>
                  <w:r>
                    <w:rPr>
                      <w:color w:val="auto"/>
                      <w:spacing w:val="-5"/>
                      <w:szCs w:val="21"/>
                    </w:rPr>
                    <w:t>第2次</w:t>
                  </w:r>
                </w:p>
              </w:tc>
              <w:tc>
                <w:tcPr>
                  <w:tcW w:w="1264" w:type="dxa"/>
                  <w:vAlign w:val="center"/>
                </w:tcPr>
                <w:p w14:paraId="62E68B5A">
                  <w:pPr>
                    <w:spacing w:line="360" w:lineRule="auto"/>
                    <w:jc w:val="center"/>
                    <w:rPr>
                      <w:color w:val="auto"/>
                      <w:spacing w:val="-5"/>
                      <w:szCs w:val="21"/>
                    </w:rPr>
                  </w:pPr>
                  <w:r>
                    <w:rPr>
                      <w:color w:val="auto"/>
                      <w:spacing w:val="-5"/>
                      <w:szCs w:val="21"/>
                    </w:rPr>
                    <w:t>0.386</w:t>
                  </w:r>
                </w:p>
              </w:tc>
              <w:tc>
                <w:tcPr>
                  <w:tcW w:w="1264" w:type="dxa"/>
                  <w:vAlign w:val="center"/>
                </w:tcPr>
                <w:p w14:paraId="417CFA19">
                  <w:pPr>
                    <w:spacing w:line="360" w:lineRule="auto"/>
                    <w:jc w:val="center"/>
                    <w:rPr>
                      <w:color w:val="auto"/>
                      <w:spacing w:val="-5"/>
                      <w:szCs w:val="21"/>
                    </w:rPr>
                  </w:pPr>
                  <w:r>
                    <w:rPr>
                      <w:color w:val="auto"/>
                      <w:spacing w:val="-5"/>
                      <w:szCs w:val="21"/>
                    </w:rPr>
                    <w:t>0.441</w:t>
                  </w:r>
                </w:p>
              </w:tc>
              <w:tc>
                <w:tcPr>
                  <w:tcW w:w="1264" w:type="dxa"/>
                  <w:vAlign w:val="center"/>
                </w:tcPr>
                <w:p w14:paraId="72937B54">
                  <w:pPr>
                    <w:spacing w:line="360" w:lineRule="auto"/>
                    <w:jc w:val="center"/>
                    <w:rPr>
                      <w:color w:val="auto"/>
                      <w:spacing w:val="-5"/>
                      <w:szCs w:val="21"/>
                    </w:rPr>
                  </w:pPr>
                  <w:r>
                    <w:rPr>
                      <w:color w:val="auto"/>
                      <w:spacing w:val="-5"/>
                      <w:szCs w:val="21"/>
                    </w:rPr>
                    <w:t>0.515</w:t>
                  </w:r>
                </w:p>
              </w:tc>
              <w:tc>
                <w:tcPr>
                  <w:tcW w:w="1264" w:type="dxa"/>
                  <w:vAlign w:val="center"/>
                </w:tcPr>
                <w:p w14:paraId="1EEF3516">
                  <w:pPr>
                    <w:spacing w:line="360" w:lineRule="auto"/>
                    <w:jc w:val="center"/>
                    <w:rPr>
                      <w:color w:val="auto"/>
                      <w:spacing w:val="-5"/>
                      <w:szCs w:val="21"/>
                    </w:rPr>
                  </w:pPr>
                  <w:r>
                    <w:rPr>
                      <w:color w:val="auto"/>
                      <w:spacing w:val="-5"/>
                      <w:szCs w:val="21"/>
                    </w:rPr>
                    <w:t>0.478</w:t>
                  </w:r>
                </w:p>
              </w:tc>
            </w:tr>
            <w:tr w14:paraId="1B051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1263" w:type="dxa"/>
                  <w:vMerge w:val="continue"/>
                  <w:vAlign w:val="center"/>
                </w:tcPr>
                <w:p w14:paraId="41662E7C">
                  <w:pPr>
                    <w:spacing w:line="360" w:lineRule="auto"/>
                    <w:jc w:val="center"/>
                    <w:rPr>
                      <w:color w:val="auto"/>
                      <w:spacing w:val="-5"/>
                      <w:szCs w:val="21"/>
                    </w:rPr>
                  </w:pPr>
                </w:p>
              </w:tc>
              <w:tc>
                <w:tcPr>
                  <w:tcW w:w="1263" w:type="dxa"/>
                  <w:vMerge w:val="continue"/>
                  <w:vAlign w:val="center"/>
                </w:tcPr>
                <w:p w14:paraId="08123513">
                  <w:pPr>
                    <w:spacing w:line="360" w:lineRule="auto"/>
                    <w:jc w:val="center"/>
                    <w:rPr>
                      <w:color w:val="auto"/>
                      <w:spacing w:val="-5"/>
                      <w:szCs w:val="21"/>
                    </w:rPr>
                  </w:pPr>
                </w:p>
              </w:tc>
              <w:tc>
                <w:tcPr>
                  <w:tcW w:w="1264" w:type="dxa"/>
                  <w:vAlign w:val="center"/>
                </w:tcPr>
                <w:p w14:paraId="3D8ACE34">
                  <w:pPr>
                    <w:spacing w:line="360" w:lineRule="auto"/>
                    <w:jc w:val="center"/>
                    <w:rPr>
                      <w:color w:val="auto"/>
                      <w:spacing w:val="-5"/>
                      <w:szCs w:val="21"/>
                    </w:rPr>
                  </w:pPr>
                  <w:r>
                    <w:rPr>
                      <w:color w:val="auto"/>
                      <w:spacing w:val="-5"/>
                      <w:szCs w:val="21"/>
                    </w:rPr>
                    <w:t>第3次</w:t>
                  </w:r>
                </w:p>
              </w:tc>
              <w:tc>
                <w:tcPr>
                  <w:tcW w:w="1264" w:type="dxa"/>
                  <w:vAlign w:val="center"/>
                </w:tcPr>
                <w:p w14:paraId="1115727E">
                  <w:pPr>
                    <w:spacing w:line="360" w:lineRule="auto"/>
                    <w:jc w:val="center"/>
                    <w:rPr>
                      <w:color w:val="auto"/>
                      <w:spacing w:val="-5"/>
                      <w:szCs w:val="21"/>
                    </w:rPr>
                  </w:pPr>
                  <w:r>
                    <w:rPr>
                      <w:color w:val="auto"/>
                      <w:spacing w:val="-5"/>
                      <w:szCs w:val="21"/>
                    </w:rPr>
                    <w:t>0.424</w:t>
                  </w:r>
                </w:p>
              </w:tc>
              <w:tc>
                <w:tcPr>
                  <w:tcW w:w="1264" w:type="dxa"/>
                  <w:vAlign w:val="center"/>
                </w:tcPr>
                <w:p w14:paraId="7ED5F7D4">
                  <w:pPr>
                    <w:spacing w:line="360" w:lineRule="auto"/>
                    <w:jc w:val="center"/>
                    <w:rPr>
                      <w:color w:val="auto"/>
                      <w:spacing w:val="-5"/>
                      <w:szCs w:val="21"/>
                    </w:rPr>
                  </w:pPr>
                  <w:r>
                    <w:rPr>
                      <w:color w:val="auto"/>
                      <w:spacing w:val="-5"/>
                      <w:szCs w:val="21"/>
                    </w:rPr>
                    <w:t>0.443</w:t>
                  </w:r>
                </w:p>
              </w:tc>
              <w:tc>
                <w:tcPr>
                  <w:tcW w:w="1264" w:type="dxa"/>
                  <w:vAlign w:val="center"/>
                </w:tcPr>
                <w:p w14:paraId="719178B9">
                  <w:pPr>
                    <w:spacing w:line="360" w:lineRule="auto"/>
                    <w:jc w:val="center"/>
                    <w:rPr>
                      <w:color w:val="auto"/>
                      <w:spacing w:val="-5"/>
                      <w:szCs w:val="21"/>
                    </w:rPr>
                  </w:pPr>
                  <w:r>
                    <w:rPr>
                      <w:color w:val="auto"/>
                      <w:spacing w:val="-5"/>
                      <w:szCs w:val="21"/>
                    </w:rPr>
                    <w:t>0.517</w:t>
                  </w:r>
                </w:p>
              </w:tc>
              <w:tc>
                <w:tcPr>
                  <w:tcW w:w="1264" w:type="dxa"/>
                  <w:vAlign w:val="center"/>
                </w:tcPr>
                <w:p w14:paraId="74D14305">
                  <w:pPr>
                    <w:spacing w:line="360" w:lineRule="auto"/>
                    <w:jc w:val="center"/>
                    <w:rPr>
                      <w:color w:val="auto"/>
                      <w:spacing w:val="-5"/>
                      <w:szCs w:val="21"/>
                    </w:rPr>
                  </w:pPr>
                  <w:r>
                    <w:rPr>
                      <w:color w:val="auto"/>
                      <w:spacing w:val="-5"/>
                      <w:szCs w:val="21"/>
                    </w:rPr>
                    <w:t>0.443</w:t>
                  </w:r>
                </w:p>
              </w:tc>
            </w:tr>
            <w:tr w14:paraId="5CC60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1263" w:type="dxa"/>
                  <w:vMerge w:val="continue"/>
                  <w:vAlign w:val="center"/>
                </w:tcPr>
                <w:p w14:paraId="2CD27241">
                  <w:pPr>
                    <w:spacing w:line="360" w:lineRule="auto"/>
                    <w:jc w:val="center"/>
                    <w:rPr>
                      <w:color w:val="auto"/>
                      <w:spacing w:val="-5"/>
                      <w:szCs w:val="21"/>
                    </w:rPr>
                  </w:pPr>
                </w:p>
              </w:tc>
              <w:tc>
                <w:tcPr>
                  <w:tcW w:w="1263" w:type="dxa"/>
                  <w:vMerge w:val="restart"/>
                  <w:vAlign w:val="center"/>
                </w:tcPr>
                <w:p w14:paraId="2075FD7C">
                  <w:pPr>
                    <w:jc w:val="center"/>
                    <w:rPr>
                      <w:color w:val="auto"/>
                      <w:spacing w:val="-5"/>
                      <w:szCs w:val="21"/>
                    </w:rPr>
                  </w:pPr>
                  <w:r>
                    <w:rPr>
                      <w:color w:val="auto"/>
                      <w:spacing w:val="-5"/>
                      <w:szCs w:val="21"/>
                    </w:rPr>
                    <w:t>2020.6.24</w:t>
                  </w:r>
                </w:p>
              </w:tc>
              <w:tc>
                <w:tcPr>
                  <w:tcW w:w="1264" w:type="dxa"/>
                  <w:vAlign w:val="center"/>
                </w:tcPr>
                <w:p w14:paraId="698A37AA">
                  <w:pPr>
                    <w:spacing w:line="360" w:lineRule="auto"/>
                    <w:jc w:val="center"/>
                    <w:rPr>
                      <w:color w:val="auto"/>
                      <w:spacing w:val="-5"/>
                      <w:szCs w:val="21"/>
                    </w:rPr>
                  </w:pPr>
                  <w:r>
                    <w:rPr>
                      <w:color w:val="auto"/>
                      <w:spacing w:val="-5"/>
                      <w:szCs w:val="21"/>
                    </w:rPr>
                    <w:t>第1次</w:t>
                  </w:r>
                </w:p>
              </w:tc>
              <w:tc>
                <w:tcPr>
                  <w:tcW w:w="1264" w:type="dxa"/>
                  <w:vAlign w:val="center"/>
                </w:tcPr>
                <w:p w14:paraId="768668BE">
                  <w:pPr>
                    <w:spacing w:line="360" w:lineRule="auto"/>
                    <w:jc w:val="center"/>
                    <w:rPr>
                      <w:color w:val="auto"/>
                      <w:spacing w:val="-5"/>
                      <w:szCs w:val="21"/>
                    </w:rPr>
                  </w:pPr>
                  <w:r>
                    <w:rPr>
                      <w:color w:val="auto"/>
                      <w:spacing w:val="-5"/>
                      <w:szCs w:val="21"/>
                    </w:rPr>
                    <w:t>0.422</w:t>
                  </w:r>
                </w:p>
              </w:tc>
              <w:tc>
                <w:tcPr>
                  <w:tcW w:w="1264" w:type="dxa"/>
                  <w:vAlign w:val="center"/>
                </w:tcPr>
                <w:p w14:paraId="1D6D481F">
                  <w:pPr>
                    <w:spacing w:line="360" w:lineRule="auto"/>
                    <w:jc w:val="center"/>
                    <w:rPr>
                      <w:color w:val="auto"/>
                      <w:spacing w:val="-5"/>
                      <w:szCs w:val="21"/>
                    </w:rPr>
                  </w:pPr>
                  <w:r>
                    <w:rPr>
                      <w:color w:val="auto"/>
                      <w:spacing w:val="-5"/>
                      <w:szCs w:val="21"/>
                    </w:rPr>
                    <w:t>0.441</w:t>
                  </w:r>
                </w:p>
              </w:tc>
              <w:tc>
                <w:tcPr>
                  <w:tcW w:w="1264" w:type="dxa"/>
                  <w:vAlign w:val="center"/>
                </w:tcPr>
                <w:p w14:paraId="047493EC">
                  <w:pPr>
                    <w:spacing w:line="360" w:lineRule="auto"/>
                    <w:jc w:val="center"/>
                    <w:rPr>
                      <w:color w:val="auto"/>
                      <w:spacing w:val="-5"/>
                      <w:szCs w:val="21"/>
                    </w:rPr>
                  </w:pPr>
                  <w:r>
                    <w:rPr>
                      <w:color w:val="auto"/>
                      <w:spacing w:val="-5"/>
                      <w:szCs w:val="21"/>
                    </w:rPr>
                    <w:t>0.569</w:t>
                  </w:r>
                </w:p>
              </w:tc>
              <w:tc>
                <w:tcPr>
                  <w:tcW w:w="1264" w:type="dxa"/>
                  <w:vAlign w:val="center"/>
                </w:tcPr>
                <w:p w14:paraId="075B833A">
                  <w:pPr>
                    <w:spacing w:line="360" w:lineRule="auto"/>
                    <w:jc w:val="center"/>
                    <w:rPr>
                      <w:color w:val="auto"/>
                      <w:spacing w:val="-5"/>
                      <w:szCs w:val="21"/>
                    </w:rPr>
                  </w:pPr>
                  <w:r>
                    <w:rPr>
                      <w:color w:val="auto"/>
                      <w:spacing w:val="-5"/>
                      <w:szCs w:val="21"/>
                    </w:rPr>
                    <w:t>0.441</w:t>
                  </w:r>
                </w:p>
              </w:tc>
            </w:tr>
            <w:tr w14:paraId="15BE7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1263" w:type="dxa"/>
                  <w:vMerge w:val="continue"/>
                  <w:vAlign w:val="center"/>
                </w:tcPr>
                <w:p w14:paraId="351E9B33">
                  <w:pPr>
                    <w:spacing w:line="360" w:lineRule="auto"/>
                    <w:jc w:val="center"/>
                    <w:rPr>
                      <w:color w:val="auto"/>
                      <w:spacing w:val="-5"/>
                      <w:szCs w:val="21"/>
                    </w:rPr>
                  </w:pPr>
                </w:p>
              </w:tc>
              <w:tc>
                <w:tcPr>
                  <w:tcW w:w="1263" w:type="dxa"/>
                  <w:vMerge w:val="continue"/>
                  <w:vAlign w:val="center"/>
                </w:tcPr>
                <w:p w14:paraId="7234D275">
                  <w:pPr>
                    <w:spacing w:line="360" w:lineRule="auto"/>
                    <w:jc w:val="center"/>
                    <w:rPr>
                      <w:color w:val="auto"/>
                      <w:spacing w:val="-5"/>
                      <w:szCs w:val="21"/>
                    </w:rPr>
                  </w:pPr>
                </w:p>
              </w:tc>
              <w:tc>
                <w:tcPr>
                  <w:tcW w:w="1264" w:type="dxa"/>
                  <w:vAlign w:val="center"/>
                </w:tcPr>
                <w:p w14:paraId="6F7AD806">
                  <w:pPr>
                    <w:spacing w:line="360" w:lineRule="auto"/>
                    <w:jc w:val="center"/>
                    <w:rPr>
                      <w:color w:val="auto"/>
                      <w:spacing w:val="-5"/>
                      <w:szCs w:val="21"/>
                    </w:rPr>
                  </w:pPr>
                  <w:r>
                    <w:rPr>
                      <w:color w:val="auto"/>
                      <w:spacing w:val="-5"/>
                      <w:szCs w:val="21"/>
                    </w:rPr>
                    <w:t>第2次</w:t>
                  </w:r>
                </w:p>
              </w:tc>
              <w:tc>
                <w:tcPr>
                  <w:tcW w:w="1264" w:type="dxa"/>
                  <w:vAlign w:val="center"/>
                </w:tcPr>
                <w:p w14:paraId="56BE5264">
                  <w:pPr>
                    <w:spacing w:line="360" w:lineRule="auto"/>
                    <w:jc w:val="center"/>
                    <w:rPr>
                      <w:color w:val="auto"/>
                      <w:spacing w:val="-5"/>
                      <w:szCs w:val="21"/>
                    </w:rPr>
                  </w:pPr>
                  <w:r>
                    <w:rPr>
                      <w:color w:val="auto"/>
                      <w:spacing w:val="-5"/>
                      <w:szCs w:val="21"/>
                    </w:rPr>
                    <w:t>0.445</w:t>
                  </w:r>
                </w:p>
              </w:tc>
              <w:tc>
                <w:tcPr>
                  <w:tcW w:w="1264" w:type="dxa"/>
                  <w:vAlign w:val="center"/>
                </w:tcPr>
                <w:p w14:paraId="5E6BBC0A">
                  <w:pPr>
                    <w:spacing w:line="360" w:lineRule="auto"/>
                    <w:jc w:val="center"/>
                    <w:rPr>
                      <w:color w:val="auto"/>
                      <w:spacing w:val="-5"/>
                      <w:szCs w:val="21"/>
                    </w:rPr>
                  </w:pPr>
                  <w:r>
                    <w:rPr>
                      <w:color w:val="auto"/>
                      <w:spacing w:val="-5"/>
                      <w:szCs w:val="21"/>
                    </w:rPr>
                    <w:t>0.463</w:t>
                  </w:r>
                </w:p>
              </w:tc>
              <w:tc>
                <w:tcPr>
                  <w:tcW w:w="1264" w:type="dxa"/>
                  <w:vAlign w:val="center"/>
                </w:tcPr>
                <w:p w14:paraId="6619B32F">
                  <w:pPr>
                    <w:spacing w:line="360" w:lineRule="auto"/>
                    <w:jc w:val="center"/>
                    <w:rPr>
                      <w:color w:val="auto"/>
                      <w:spacing w:val="-5"/>
                      <w:szCs w:val="21"/>
                    </w:rPr>
                  </w:pPr>
                  <w:r>
                    <w:rPr>
                      <w:color w:val="auto"/>
                      <w:spacing w:val="-5"/>
                      <w:szCs w:val="21"/>
                    </w:rPr>
                    <w:t>0.575</w:t>
                  </w:r>
                </w:p>
              </w:tc>
              <w:tc>
                <w:tcPr>
                  <w:tcW w:w="1264" w:type="dxa"/>
                  <w:vAlign w:val="center"/>
                </w:tcPr>
                <w:p w14:paraId="02FBECF7">
                  <w:pPr>
                    <w:spacing w:line="360" w:lineRule="auto"/>
                    <w:jc w:val="center"/>
                    <w:rPr>
                      <w:color w:val="auto"/>
                      <w:spacing w:val="-5"/>
                      <w:szCs w:val="21"/>
                    </w:rPr>
                  </w:pPr>
                  <w:r>
                    <w:rPr>
                      <w:color w:val="auto"/>
                      <w:spacing w:val="-5"/>
                      <w:szCs w:val="21"/>
                    </w:rPr>
                    <w:t>0.500</w:t>
                  </w:r>
                </w:p>
              </w:tc>
            </w:tr>
            <w:tr w14:paraId="73A91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1263" w:type="dxa"/>
                  <w:vMerge w:val="continue"/>
                  <w:vAlign w:val="center"/>
                </w:tcPr>
                <w:p w14:paraId="483C5412">
                  <w:pPr>
                    <w:spacing w:line="360" w:lineRule="auto"/>
                    <w:jc w:val="center"/>
                    <w:rPr>
                      <w:color w:val="auto"/>
                      <w:spacing w:val="-5"/>
                      <w:szCs w:val="21"/>
                    </w:rPr>
                  </w:pPr>
                </w:p>
              </w:tc>
              <w:tc>
                <w:tcPr>
                  <w:tcW w:w="1263" w:type="dxa"/>
                  <w:vMerge w:val="continue"/>
                  <w:vAlign w:val="center"/>
                </w:tcPr>
                <w:p w14:paraId="4D722103">
                  <w:pPr>
                    <w:spacing w:line="360" w:lineRule="auto"/>
                    <w:jc w:val="center"/>
                    <w:rPr>
                      <w:color w:val="auto"/>
                      <w:spacing w:val="-5"/>
                      <w:szCs w:val="21"/>
                    </w:rPr>
                  </w:pPr>
                </w:p>
              </w:tc>
              <w:tc>
                <w:tcPr>
                  <w:tcW w:w="1264" w:type="dxa"/>
                  <w:vAlign w:val="center"/>
                </w:tcPr>
                <w:p w14:paraId="2E694E34">
                  <w:pPr>
                    <w:spacing w:line="360" w:lineRule="auto"/>
                    <w:jc w:val="center"/>
                    <w:rPr>
                      <w:color w:val="auto"/>
                      <w:spacing w:val="-5"/>
                      <w:szCs w:val="21"/>
                    </w:rPr>
                  </w:pPr>
                  <w:r>
                    <w:rPr>
                      <w:color w:val="auto"/>
                      <w:spacing w:val="-5"/>
                      <w:szCs w:val="21"/>
                    </w:rPr>
                    <w:t>第3次</w:t>
                  </w:r>
                </w:p>
              </w:tc>
              <w:tc>
                <w:tcPr>
                  <w:tcW w:w="1264" w:type="dxa"/>
                  <w:vAlign w:val="center"/>
                </w:tcPr>
                <w:p w14:paraId="18E9D9C4">
                  <w:pPr>
                    <w:spacing w:line="360" w:lineRule="auto"/>
                    <w:jc w:val="center"/>
                    <w:rPr>
                      <w:color w:val="auto"/>
                      <w:spacing w:val="-5"/>
                      <w:szCs w:val="21"/>
                    </w:rPr>
                  </w:pPr>
                  <w:r>
                    <w:rPr>
                      <w:color w:val="auto"/>
                      <w:spacing w:val="-5"/>
                      <w:szCs w:val="21"/>
                    </w:rPr>
                    <w:t>0.429</w:t>
                  </w:r>
                </w:p>
              </w:tc>
              <w:tc>
                <w:tcPr>
                  <w:tcW w:w="1264" w:type="dxa"/>
                  <w:vAlign w:val="center"/>
                </w:tcPr>
                <w:p w14:paraId="5E53E282">
                  <w:pPr>
                    <w:spacing w:line="360" w:lineRule="auto"/>
                    <w:jc w:val="center"/>
                    <w:rPr>
                      <w:color w:val="auto"/>
                      <w:spacing w:val="-5"/>
                      <w:szCs w:val="21"/>
                    </w:rPr>
                  </w:pPr>
                  <w:r>
                    <w:rPr>
                      <w:color w:val="auto"/>
                      <w:spacing w:val="-5"/>
                      <w:szCs w:val="21"/>
                    </w:rPr>
                    <w:t>0.504</w:t>
                  </w:r>
                </w:p>
              </w:tc>
              <w:tc>
                <w:tcPr>
                  <w:tcW w:w="1264" w:type="dxa"/>
                  <w:vAlign w:val="center"/>
                </w:tcPr>
                <w:p w14:paraId="532578CE">
                  <w:pPr>
                    <w:spacing w:line="360" w:lineRule="auto"/>
                    <w:jc w:val="center"/>
                    <w:rPr>
                      <w:color w:val="auto"/>
                      <w:spacing w:val="-5"/>
                      <w:szCs w:val="21"/>
                    </w:rPr>
                  </w:pPr>
                  <w:r>
                    <w:rPr>
                      <w:color w:val="auto"/>
                      <w:spacing w:val="-5"/>
                      <w:szCs w:val="21"/>
                    </w:rPr>
                    <w:t>0.541</w:t>
                  </w:r>
                </w:p>
              </w:tc>
              <w:tc>
                <w:tcPr>
                  <w:tcW w:w="1264" w:type="dxa"/>
                  <w:vAlign w:val="center"/>
                </w:tcPr>
                <w:p w14:paraId="5F986009">
                  <w:pPr>
                    <w:spacing w:line="360" w:lineRule="auto"/>
                    <w:jc w:val="center"/>
                    <w:rPr>
                      <w:color w:val="auto"/>
                      <w:spacing w:val="-5"/>
                      <w:szCs w:val="21"/>
                    </w:rPr>
                  </w:pPr>
                  <w:r>
                    <w:rPr>
                      <w:color w:val="auto"/>
                      <w:spacing w:val="-5"/>
                      <w:szCs w:val="21"/>
                    </w:rPr>
                    <w:t>0.504</w:t>
                  </w:r>
                </w:p>
              </w:tc>
            </w:tr>
          </w:tbl>
          <w:p w14:paraId="3871694B">
            <w:pPr>
              <w:spacing w:line="360" w:lineRule="auto"/>
              <w:ind w:firstLine="460" w:firstLineChars="200"/>
              <w:rPr>
                <w:color w:val="auto"/>
                <w:sz w:val="24"/>
              </w:rPr>
            </w:pPr>
            <w:r>
              <w:rPr>
                <w:color w:val="auto"/>
                <w:spacing w:val="-5"/>
                <w:sz w:val="24"/>
              </w:rPr>
              <w:t>验收检测期间，根据监测结果分析可知，</w:t>
            </w:r>
            <w:r>
              <w:rPr>
                <w:color w:val="auto"/>
                <w:sz w:val="24"/>
              </w:rPr>
              <w:t>项目在生产过程中天然气锅炉燃烧颗粒物、二氧化硫排放浓度满足《锅炉大气污染物排放标准》（GB13271-2014）表3中大气污染物特别排放限值中"燃气锅炉"，氮氧化物满足《长三角地区 2019-2020 年秋冬季大气污染综合治理攻坚行动方案》的通知，原则上按照氮氧化物排放浓度不高于50毫克/立方米进行改造。无组织废气颗粒物在厂界四周浓度最大浓度为0.575mg/m</w:t>
            </w:r>
            <w:r>
              <w:rPr>
                <w:color w:val="auto"/>
                <w:sz w:val="24"/>
                <w:vertAlign w:val="superscript"/>
              </w:rPr>
              <w:t>3</w:t>
            </w:r>
            <w:r>
              <w:rPr>
                <w:color w:val="auto"/>
                <w:sz w:val="24"/>
              </w:rPr>
              <w:t>，不满足大气污染物排</w:t>
            </w:r>
            <w:r>
              <w:rPr>
                <w:color w:val="auto"/>
                <w:sz w:val="24"/>
                <w:szCs w:val="21"/>
              </w:rPr>
              <w:t>放执行的</w:t>
            </w:r>
            <w:r>
              <w:rPr>
                <w:color w:val="auto"/>
                <w:sz w:val="24"/>
              </w:rPr>
              <w:t>安徽省地标《水泥工业大气污染排放标准》（DB34/3576-2020）</w:t>
            </w:r>
            <w:r>
              <w:rPr>
                <w:color w:val="auto"/>
                <w:sz w:val="24"/>
                <w:szCs w:val="21"/>
              </w:rPr>
              <w:t>中大</w:t>
            </w:r>
            <w:r>
              <w:rPr>
                <w:color w:val="auto"/>
                <w:sz w:val="24"/>
              </w:rPr>
              <w:t>气污染物特别排放限值（无组织排放浓度限值0.5mg/</w:t>
            </w:r>
            <w:r>
              <w:rPr>
                <w:color w:val="auto"/>
                <w:sz w:val="24"/>
                <w:szCs w:val="21"/>
              </w:rPr>
              <w:t>m</w:t>
            </w:r>
            <w:r>
              <w:rPr>
                <w:color w:val="auto"/>
                <w:sz w:val="24"/>
                <w:szCs w:val="21"/>
                <w:vertAlign w:val="superscript"/>
              </w:rPr>
              <w:t>3</w:t>
            </w:r>
            <w:r>
              <w:rPr>
                <w:color w:val="auto"/>
                <w:sz w:val="24"/>
                <w:szCs w:val="21"/>
              </w:rPr>
              <w:t>）</w:t>
            </w:r>
            <w:r>
              <w:rPr>
                <w:color w:val="auto"/>
                <w:sz w:val="24"/>
              </w:rPr>
              <w:t>。</w:t>
            </w:r>
          </w:p>
          <w:p w14:paraId="71E130B1">
            <w:pPr>
              <w:spacing w:line="360" w:lineRule="auto"/>
              <w:ind w:firstLine="458" w:firstLineChars="200"/>
              <w:rPr>
                <w:b/>
                <w:bCs/>
                <w:color w:val="auto"/>
                <w:spacing w:val="-6"/>
                <w:sz w:val="24"/>
                <w:szCs w:val="32"/>
              </w:rPr>
            </w:pPr>
            <w:r>
              <w:rPr>
                <w:b/>
                <w:bCs/>
                <w:color w:val="auto"/>
                <w:spacing w:val="-6"/>
                <w:sz w:val="24"/>
                <w:szCs w:val="32"/>
              </w:rPr>
              <w:t>总量核算：项目天然气锅炉年工作时间2400h，根据验收监测数据计算项目天然气锅炉排放总量如下：</w:t>
            </w:r>
          </w:p>
          <w:p w14:paraId="6715FD52">
            <w:pPr>
              <w:keepNext/>
              <w:keepLines/>
              <w:spacing w:line="360" w:lineRule="auto"/>
              <w:ind w:firstLine="482" w:firstLineChars="200"/>
              <w:rPr>
                <w:b/>
                <w:bCs/>
                <w:color w:val="auto"/>
                <w:sz w:val="24"/>
                <w:szCs w:val="32"/>
              </w:rPr>
            </w:pPr>
            <w:r>
              <w:rPr>
                <w:b/>
                <w:bCs/>
                <w:color w:val="auto"/>
                <w:sz w:val="24"/>
                <w:szCs w:val="32"/>
              </w:rPr>
              <w:t>颗粒物：5.16×10</w:t>
            </w:r>
            <w:r>
              <w:rPr>
                <w:b/>
                <w:bCs/>
                <w:color w:val="auto"/>
                <w:sz w:val="24"/>
                <w:szCs w:val="32"/>
                <w:vertAlign w:val="superscript"/>
              </w:rPr>
              <w:t>-2</w:t>
            </w:r>
            <w:r>
              <w:rPr>
                <w:b/>
                <w:bCs/>
                <w:color w:val="auto"/>
                <w:sz w:val="24"/>
                <w:szCs w:val="32"/>
              </w:rPr>
              <w:t>kg/h×2400=0.124t/a</w:t>
            </w:r>
          </w:p>
          <w:p w14:paraId="51A418EA">
            <w:pPr>
              <w:pStyle w:val="2"/>
              <w:ind w:firstLine="422" w:firstLineChars="200"/>
              <w:rPr>
                <w:rFonts w:ascii="Times New Roman" w:hAnsi="Times New Roman"/>
                <w:color w:val="auto"/>
              </w:rPr>
            </w:pPr>
            <w:r>
              <w:rPr>
                <w:rFonts w:ascii="Times New Roman" w:hAnsi="Times New Roman"/>
                <w:color w:val="auto"/>
              </w:rPr>
              <w:t>二氧化硫：</w:t>
            </w:r>
            <w:r>
              <w:rPr>
                <w:rFonts w:ascii="Times New Roman" w:hAnsi="Times New Roman"/>
                <w:color w:val="auto"/>
                <w:sz w:val="24"/>
              </w:rPr>
              <w:t>0.106</w:t>
            </w:r>
            <w:r>
              <w:rPr>
                <w:rFonts w:ascii="Times New Roman" w:hAnsi="Times New Roman"/>
                <w:bCs/>
                <w:color w:val="auto"/>
                <w:sz w:val="24"/>
              </w:rPr>
              <w:t>kg/h×2400=0.255t/a</w:t>
            </w:r>
          </w:p>
          <w:p w14:paraId="1F5CB8F4">
            <w:pPr>
              <w:spacing w:line="360" w:lineRule="auto"/>
              <w:ind w:firstLine="458" w:firstLineChars="200"/>
              <w:rPr>
                <w:b/>
                <w:bCs/>
                <w:color w:val="auto"/>
                <w:sz w:val="24"/>
              </w:rPr>
            </w:pPr>
            <w:r>
              <w:rPr>
                <w:b/>
                <w:bCs/>
                <w:color w:val="auto"/>
                <w:spacing w:val="-6"/>
                <w:sz w:val="24"/>
                <w:szCs w:val="32"/>
              </w:rPr>
              <w:t>氮氧化物：0.221</w:t>
            </w:r>
            <w:r>
              <w:rPr>
                <w:b/>
                <w:bCs/>
                <w:color w:val="auto"/>
                <w:sz w:val="24"/>
              </w:rPr>
              <w:t>kg/h×2400=0.531t/a</w:t>
            </w:r>
          </w:p>
          <w:p w14:paraId="43302A5A">
            <w:pPr>
              <w:pStyle w:val="2"/>
              <w:ind w:firstLine="482" w:firstLineChars="200"/>
              <w:rPr>
                <w:rFonts w:ascii="Times New Roman" w:hAnsi="Times New Roman"/>
                <w:color w:val="auto"/>
              </w:rPr>
            </w:pPr>
            <w:r>
              <w:rPr>
                <w:rFonts w:ascii="Times New Roman" w:hAnsi="Times New Roman"/>
                <w:bCs/>
                <w:color w:val="auto"/>
                <w:sz w:val="24"/>
              </w:rPr>
              <w:t>现有项目根据环评批复总量文件，颗粒物许可1.6t/a，二氧化硫许可排放量9t/a，氮氧化物许可排放量15t/a。综上项目年排放量未突破许可排放量。</w:t>
            </w:r>
          </w:p>
          <w:p w14:paraId="29D5A400">
            <w:pPr>
              <w:spacing w:line="360" w:lineRule="auto"/>
              <w:ind w:firstLine="458" w:firstLineChars="200"/>
              <w:rPr>
                <w:color w:val="auto"/>
                <w:sz w:val="24"/>
                <w:szCs w:val="32"/>
              </w:rPr>
            </w:pPr>
            <w:r>
              <w:rPr>
                <w:b/>
                <w:bCs/>
                <w:color w:val="auto"/>
                <w:spacing w:val="-6"/>
                <w:sz w:val="24"/>
                <w:szCs w:val="32"/>
              </w:rPr>
              <w:t>② 噪声</w:t>
            </w:r>
          </w:p>
          <w:p w14:paraId="04015DA9">
            <w:pPr>
              <w:pStyle w:val="32"/>
              <w:tabs>
                <w:tab w:val="left" w:pos="4200"/>
              </w:tabs>
              <w:spacing w:line="360" w:lineRule="auto"/>
              <w:ind w:firstLine="462" w:firstLineChars="200"/>
              <w:rPr>
                <w:rFonts w:ascii="Times New Roman" w:hAnsi="Times New Roman" w:cs="Times New Roman"/>
                <w:b/>
                <w:bCs/>
                <w:color w:val="auto"/>
                <w:spacing w:val="-2"/>
                <w:lang w:eastAsia="zh-CN"/>
              </w:rPr>
            </w:pPr>
            <w:r>
              <w:rPr>
                <w:rFonts w:ascii="Times New Roman" w:hAnsi="Times New Roman" w:cs="Times New Roman"/>
                <w:b/>
                <w:bCs/>
                <w:color w:val="auto"/>
                <w:spacing w:val="-5"/>
                <w:lang w:eastAsia="zh-CN"/>
              </w:rPr>
              <w:t>噪声监测结果见下表</w:t>
            </w:r>
          </w:p>
          <w:p w14:paraId="277232D3">
            <w:pPr>
              <w:pStyle w:val="32"/>
              <w:jc w:val="center"/>
              <w:rPr>
                <w:rFonts w:ascii="Times New Roman" w:hAnsi="Times New Roman" w:cs="Times New Roman"/>
                <w:b/>
                <w:bCs/>
                <w:color w:val="auto"/>
                <w:spacing w:val="-2"/>
                <w:lang w:eastAsia="zh-CN"/>
              </w:rPr>
            </w:pPr>
          </w:p>
          <w:p w14:paraId="4372BEB6">
            <w:pPr>
              <w:pStyle w:val="32"/>
              <w:jc w:val="center"/>
              <w:rPr>
                <w:rFonts w:ascii="Times New Roman" w:hAnsi="Times New Roman" w:cs="Times New Roman"/>
                <w:color w:val="auto"/>
                <w:lang w:eastAsia="zh-CN"/>
              </w:rPr>
            </w:pPr>
            <w:r>
              <w:rPr>
                <w:rFonts w:ascii="Times New Roman" w:hAnsi="Times New Roman" w:cs="Times New Roman"/>
                <w:b/>
                <w:bCs/>
                <w:color w:val="auto"/>
                <w:spacing w:val="-2"/>
                <w:lang w:eastAsia="zh-CN"/>
              </w:rPr>
              <w:t>表</w:t>
            </w:r>
            <w:r>
              <w:rPr>
                <w:rFonts w:ascii="Times New Roman" w:hAnsi="Times New Roman" w:cs="Times New Roman"/>
                <w:color w:val="auto"/>
                <w:spacing w:val="-53"/>
                <w:lang w:eastAsia="zh-CN"/>
              </w:rPr>
              <w:t xml:space="preserve"> </w:t>
            </w:r>
            <w:r>
              <w:rPr>
                <w:rFonts w:ascii="Times New Roman" w:hAnsi="Times New Roman" w:eastAsia="Times New Roman" w:cs="Times New Roman"/>
                <w:b/>
                <w:bCs/>
                <w:color w:val="auto"/>
                <w:spacing w:val="-2"/>
                <w:lang w:eastAsia="zh-CN"/>
              </w:rPr>
              <w:t>2</w:t>
            </w:r>
            <w:r>
              <w:rPr>
                <w:rFonts w:ascii="Times New Roman" w:hAnsi="Times New Roman" w:cs="Times New Roman"/>
                <w:b/>
                <w:bCs/>
                <w:color w:val="auto"/>
                <w:spacing w:val="-2"/>
                <w:lang w:eastAsia="zh-CN"/>
              </w:rPr>
              <w:t>-</w:t>
            </w:r>
            <w:r>
              <w:rPr>
                <w:rFonts w:hint="eastAsia" w:ascii="Times New Roman" w:hAnsi="Times New Roman" w:cs="Times New Roman"/>
                <w:b/>
                <w:bCs/>
                <w:color w:val="auto"/>
                <w:spacing w:val="-2"/>
                <w:lang w:eastAsia="zh-CN"/>
              </w:rPr>
              <w:t>14</w:t>
            </w:r>
            <w:r>
              <w:rPr>
                <w:rFonts w:ascii="Times New Roman" w:hAnsi="Times New Roman" w:cs="Times New Roman"/>
                <w:b/>
                <w:bCs/>
                <w:color w:val="auto"/>
                <w:spacing w:val="-2"/>
                <w:lang w:eastAsia="zh-CN"/>
              </w:rPr>
              <w:t xml:space="preserve">  厂界噪声监测结果</w:t>
            </w:r>
          </w:p>
          <w:tbl>
            <w:tblPr>
              <w:tblStyle w:val="24"/>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2342"/>
              <w:gridCol w:w="2229"/>
              <w:gridCol w:w="2464"/>
            </w:tblGrid>
            <w:tr w14:paraId="44665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19" w:type="pct"/>
                  <w:vMerge w:val="restart"/>
                  <w:tcBorders>
                    <w:top w:val="single" w:color="auto" w:sz="4" w:space="0"/>
                    <w:left w:val="single" w:color="auto" w:sz="0" w:space="0"/>
                    <w:bottom w:val="single" w:color="auto" w:sz="4" w:space="0"/>
                  </w:tcBorders>
                  <w:vAlign w:val="center"/>
                </w:tcPr>
                <w:p w14:paraId="240B2D4D">
                  <w:pPr>
                    <w:spacing w:line="300" w:lineRule="exact"/>
                    <w:jc w:val="center"/>
                    <w:rPr>
                      <w:bCs/>
                      <w:color w:val="auto"/>
                      <w:szCs w:val="21"/>
                    </w:rPr>
                  </w:pPr>
                  <w:r>
                    <w:rPr>
                      <w:bCs/>
                      <w:color w:val="auto"/>
                      <w:szCs w:val="21"/>
                    </w:rPr>
                    <w:t>采样日期</w:t>
                  </w:r>
                </w:p>
              </w:tc>
              <w:tc>
                <w:tcPr>
                  <w:tcW w:w="1325" w:type="pct"/>
                  <w:vMerge w:val="restart"/>
                  <w:tcBorders>
                    <w:top w:val="single" w:color="auto" w:sz="4" w:space="0"/>
                    <w:bottom w:val="single" w:color="auto" w:sz="4" w:space="0"/>
                  </w:tcBorders>
                  <w:vAlign w:val="center"/>
                </w:tcPr>
                <w:p w14:paraId="5BD5AD00">
                  <w:pPr>
                    <w:spacing w:line="300" w:lineRule="exact"/>
                    <w:jc w:val="center"/>
                    <w:rPr>
                      <w:bCs/>
                      <w:color w:val="auto"/>
                      <w:szCs w:val="21"/>
                    </w:rPr>
                  </w:pPr>
                  <w:r>
                    <w:rPr>
                      <w:bCs/>
                      <w:color w:val="auto"/>
                      <w:szCs w:val="21"/>
                    </w:rPr>
                    <w:t>检测点位</w:t>
                  </w:r>
                </w:p>
              </w:tc>
              <w:tc>
                <w:tcPr>
                  <w:tcW w:w="1260" w:type="pct"/>
                  <w:vMerge w:val="restart"/>
                  <w:tcBorders>
                    <w:top w:val="single" w:color="auto" w:sz="4" w:space="0"/>
                    <w:bottom w:val="single" w:color="auto" w:sz="4" w:space="0"/>
                  </w:tcBorders>
                  <w:vAlign w:val="center"/>
                </w:tcPr>
                <w:p w14:paraId="2F5AC486">
                  <w:pPr>
                    <w:spacing w:line="300" w:lineRule="exact"/>
                    <w:jc w:val="center"/>
                    <w:rPr>
                      <w:bCs/>
                      <w:color w:val="auto"/>
                      <w:szCs w:val="21"/>
                    </w:rPr>
                  </w:pPr>
                  <w:r>
                    <w:rPr>
                      <w:bCs/>
                      <w:color w:val="auto"/>
                      <w:szCs w:val="21"/>
                    </w:rPr>
                    <w:t>检测项目</w:t>
                  </w:r>
                </w:p>
              </w:tc>
              <w:tc>
                <w:tcPr>
                  <w:tcW w:w="1394" w:type="pct"/>
                  <w:tcBorders>
                    <w:top w:val="single" w:color="auto" w:sz="4" w:space="0"/>
                    <w:bottom w:val="single" w:color="auto" w:sz="4" w:space="0"/>
                    <w:right w:val="single" w:color="auto" w:sz="4" w:space="0"/>
                  </w:tcBorders>
                  <w:vAlign w:val="center"/>
                </w:tcPr>
                <w:p w14:paraId="48321542">
                  <w:pPr>
                    <w:spacing w:line="300" w:lineRule="exact"/>
                    <w:jc w:val="center"/>
                    <w:rPr>
                      <w:bCs/>
                      <w:color w:val="auto"/>
                      <w:szCs w:val="21"/>
                    </w:rPr>
                  </w:pPr>
                  <w:r>
                    <w:rPr>
                      <w:bCs/>
                      <w:color w:val="auto"/>
                      <w:szCs w:val="21"/>
                    </w:rPr>
                    <w:t>检测结果dB(A)</w:t>
                  </w:r>
                </w:p>
              </w:tc>
            </w:tr>
            <w:tr w14:paraId="46849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19" w:type="pct"/>
                  <w:vMerge w:val="continue"/>
                  <w:tcBorders>
                    <w:top w:val="single" w:color="auto" w:sz="4" w:space="0"/>
                    <w:left w:val="single" w:color="auto" w:sz="4" w:space="0"/>
                    <w:bottom w:val="single" w:color="auto" w:sz="4" w:space="0"/>
                  </w:tcBorders>
                  <w:vAlign w:val="center"/>
                </w:tcPr>
                <w:p w14:paraId="2439A1A7">
                  <w:pPr>
                    <w:spacing w:line="300" w:lineRule="exact"/>
                    <w:jc w:val="center"/>
                    <w:rPr>
                      <w:bCs/>
                      <w:color w:val="auto"/>
                      <w:szCs w:val="21"/>
                    </w:rPr>
                  </w:pPr>
                </w:p>
              </w:tc>
              <w:tc>
                <w:tcPr>
                  <w:tcW w:w="1325" w:type="pct"/>
                  <w:vMerge w:val="continue"/>
                  <w:tcBorders>
                    <w:top w:val="single" w:color="auto" w:sz="4" w:space="0"/>
                    <w:bottom w:val="single" w:color="auto" w:sz="4" w:space="0"/>
                  </w:tcBorders>
                  <w:vAlign w:val="center"/>
                </w:tcPr>
                <w:p w14:paraId="51FB5C4F">
                  <w:pPr>
                    <w:spacing w:line="300" w:lineRule="exact"/>
                    <w:jc w:val="center"/>
                    <w:rPr>
                      <w:bCs/>
                      <w:color w:val="auto"/>
                      <w:szCs w:val="21"/>
                    </w:rPr>
                  </w:pPr>
                </w:p>
              </w:tc>
              <w:tc>
                <w:tcPr>
                  <w:tcW w:w="1260" w:type="pct"/>
                  <w:vMerge w:val="continue"/>
                  <w:tcBorders>
                    <w:top w:val="single" w:color="auto" w:sz="4" w:space="0"/>
                    <w:bottom w:val="single" w:color="auto" w:sz="4" w:space="0"/>
                  </w:tcBorders>
                  <w:vAlign w:val="center"/>
                </w:tcPr>
                <w:p w14:paraId="331117F8">
                  <w:pPr>
                    <w:spacing w:line="300" w:lineRule="exact"/>
                    <w:jc w:val="center"/>
                    <w:rPr>
                      <w:bCs/>
                      <w:color w:val="auto"/>
                      <w:szCs w:val="21"/>
                    </w:rPr>
                  </w:pPr>
                </w:p>
              </w:tc>
              <w:tc>
                <w:tcPr>
                  <w:tcW w:w="1394" w:type="pct"/>
                  <w:tcBorders>
                    <w:top w:val="single" w:color="auto" w:sz="4" w:space="0"/>
                    <w:right w:val="single" w:color="auto" w:sz="4" w:space="0"/>
                  </w:tcBorders>
                  <w:vAlign w:val="center"/>
                </w:tcPr>
                <w:p w14:paraId="31D153B2">
                  <w:pPr>
                    <w:spacing w:line="300" w:lineRule="exact"/>
                    <w:jc w:val="center"/>
                    <w:rPr>
                      <w:bCs/>
                      <w:color w:val="auto"/>
                      <w:szCs w:val="21"/>
                    </w:rPr>
                  </w:pPr>
                  <w:r>
                    <w:rPr>
                      <w:bCs/>
                      <w:color w:val="auto"/>
                      <w:szCs w:val="21"/>
                    </w:rPr>
                    <w:t>昼间 Leq</w:t>
                  </w:r>
                </w:p>
              </w:tc>
            </w:tr>
            <w:tr w14:paraId="4E69E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19" w:type="pct"/>
                  <w:vMerge w:val="restart"/>
                  <w:tcBorders>
                    <w:top w:val="single" w:color="auto" w:sz="4" w:space="0"/>
                    <w:left w:val="single" w:color="auto" w:sz="4" w:space="0"/>
                  </w:tcBorders>
                  <w:vAlign w:val="center"/>
                </w:tcPr>
                <w:p w14:paraId="685D7DED">
                  <w:pPr>
                    <w:spacing w:line="300" w:lineRule="exact"/>
                    <w:jc w:val="center"/>
                    <w:textAlignment w:val="center"/>
                    <w:rPr>
                      <w:color w:val="auto"/>
                      <w:szCs w:val="21"/>
                    </w:rPr>
                  </w:pPr>
                  <w:r>
                    <w:rPr>
                      <w:color w:val="auto"/>
                      <w:spacing w:val="-5"/>
                      <w:szCs w:val="21"/>
                    </w:rPr>
                    <w:t>2020.6.23</w:t>
                  </w:r>
                </w:p>
              </w:tc>
              <w:tc>
                <w:tcPr>
                  <w:tcW w:w="1325" w:type="pct"/>
                  <w:tcBorders>
                    <w:top w:val="single" w:color="auto" w:sz="4" w:space="0"/>
                    <w:bottom w:val="single" w:color="auto" w:sz="4" w:space="0"/>
                  </w:tcBorders>
                  <w:vAlign w:val="center"/>
                </w:tcPr>
                <w:p w14:paraId="65B4CFDA">
                  <w:pPr>
                    <w:autoSpaceDE w:val="0"/>
                    <w:autoSpaceDN w:val="0"/>
                    <w:spacing w:line="300" w:lineRule="exact"/>
                    <w:jc w:val="center"/>
                    <w:rPr>
                      <w:color w:val="auto"/>
                      <w:szCs w:val="21"/>
                    </w:rPr>
                  </w:pPr>
                  <w:r>
                    <w:rPr>
                      <w:color w:val="auto"/>
                      <w:szCs w:val="21"/>
                    </w:rPr>
                    <w:t>1#东厂界</w:t>
                  </w:r>
                </w:p>
              </w:tc>
              <w:tc>
                <w:tcPr>
                  <w:tcW w:w="1260" w:type="pct"/>
                  <w:tcBorders>
                    <w:top w:val="single" w:color="auto" w:sz="4" w:space="0"/>
                    <w:bottom w:val="single" w:color="auto" w:sz="4" w:space="0"/>
                  </w:tcBorders>
                  <w:vAlign w:val="center"/>
                </w:tcPr>
                <w:p w14:paraId="6496C778">
                  <w:pPr>
                    <w:spacing w:line="300" w:lineRule="exact"/>
                    <w:jc w:val="center"/>
                    <w:rPr>
                      <w:color w:val="auto"/>
                      <w:szCs w:val="21"/>
                    </w:rPr>
                  </w:pPr>
                  <w:r>
                    <w:rPr>
                      <w:color w:val="auto"/>
                      <w:szCs w:val="21"/>
                    </w:rPr>
                    <w:t>厂界噪声</w:t>
                  </w:r>
                </w:p>
              </w:tc>
              <w:tc>
                <w:tcPr>
                  <w:tcW w:w="1394" w:type="pct"/>
                  <w:tcBorders>
                    <w:top w:val="single" w:color="auto" w:sz="4" w:space="0"/>
                  </w:tcBorders>
                  <w:vAlign w:val="center"/>
                </w:tcPr>
                <w:p w14:paraId="076F284E">
                  <w:pPr>
                    <w:spacing w:line="300" w:lineRule="exact"/>
                    <w:jc w:val="center"/>
                    <w:textAlignment w:val="center"/>
                    <w:rPr>
                      <w:color w:val="auto"/>
                      <w:szCs w:val="21"/>
                    </w:rPr>
                  </w:pPr>
                  <w:r>
                    <w:rPr>
                      <w:color w:val="auto"/>
                      <w:szCs w:val="21"/>
                    </w:rPr>
                    <w:t>55.7</w:t>
                  </w:r>
                </w:p>
              </w:tc>
            </w:tr>
            <w:tr w14:paraId="79353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19" w:type="pct"/>
                  <w:vMerge w:val="continue"/>
                  <w:tcBorders>
                    <w:left w:val="single" w:color="auto" w:sz="4" w:space="0"/>
                  </w:tcBorders>
                  <w:vAlign w:val="center"/>
                </w:tcPr>
                <w:p w14:paraId="4FB9658C">
                  <w:pPr>
                    <w:spacing w:line="300" w:lineRule="exact"/>
                    <w:jc w:val="center"/>
                    <w:rPr>
                      <w:color w:val="auto"/>
                      <w:szCs w:val="21"/>
                    </w:rPr>
                  </w:pPr>
                </w:p>
              </w:tc>
              <w:tc>
                <w:tcPr>
                  <w:tcW w:w="1325" w:type="pct"/>
                  <w:tcBorders>
                    <w:top w:val="single" w:color="auto" w:sz="4" w:space="0"/>
                    <w:bottom w:val="single" w:color="auto" w:sz="4" w:space="0"/>
                  </w:tcBorders>
                  <w:vAlign w:val="center"/>
                </w:tcPr>
                <w:p w14:paraId="16797B10">
                  <w:pPr>
                    <w:autoSpaceDE w:val="0"/>
                    <w:autoSpaceDN w:val="0"/>
                    <w:spacing w:line="300" w:lineRule="exact"/>
                    <w:jc w:val="center"/>
                    <w:rPr>
                      <w:color w:val="auto"/>
                      <w:szCs w:val="21"/>
                    </w:rPr>
                  </w:pPr>
                  <w:r>
                    <w:rPr>
                      <w:color w:val="auto"/>
                      <w:szCs w:val="21"/>
                    </w:rPr>
                    <w:t>2#南厂界</w:t>
                  </w:r>
                </w:p>
              </w:tc>
              <w:tc>
                <w:tcPr>
                  <w:tcW w:w="1260" w:type="pct"/>
                  <w:tcBorders>
                    <w:top w:val="single" w:color="auto" w:sz="4" w:space="0"/>
                    <w:bottom w:val="single" w:color="auto" w:sz="4" w:space="0"/>
                  </w:tcBorders>
                  <w:vAlign w:val="center"/>
                </w:tcPr>
                <w:p w14:paraId="4D72C810">
                  <w:pPr>
                    <w:spacing w:line="300" w:lineRule="exact"/>
                    <w:jc w:val="center"/>
                    <w:rPr>
                      <w:color w:val="auto"/>
                      <w:szCs w:val="21"/>
                    </w:rPr>
                  </w:pPr>
                  <w:r>
                    <w:rPr>
                      <w:color w:val="auto"/>
                      <w:szCs w:val="21"/>
                    </w:rPr>
                    <w:t>厂界噪声</w:t>
                  </w:r>
                </w:p>
              </w:tc>
              <w:tc>
                <w:tcPr>
                  <w:tcW w:w="1394" w:type="pct"/>
                  <w:vAlign w:val="center"/>
                </w:tcPr>
                <w:p w14:paraId="4771F0F1">
                  <w:pPr>
                    <w:spacing w:line="300" w:lineRule="exact"/>
                    <w:jc w:val="center"/>
                    <w:textAlignment w:val="center"/>
                    <w:rPr>
                      <w:color w:val="auto"/>
                      <w:szCs w:val="21"/>
                    </w:rPr>
                  </w:pPr>
                  <w:r>
                    <w:rPr>
                      <w:color w:val="auto"/>
                      <w:szCs w:val="21"/>
                    </w:rPr>
                    <w:t>55.4</w:t>
                  </w:r>
                </w:p>
              </w:tc>
            </w:tr>
            <w:tr w14:paraId="4146B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19" w:type="pct"/>
                  <w:vMerge w:val="continue"/>
                  <w:tcBorders>
                    <w:left w:val="single" w:color="auto" w:sz="4" w:space="0"/>
                  </w:tcBorders>
                  <w:vAlign w:val="center"/>
                </w:tcPr>
                <w:p w14:paraId="08FE0471">
                  <w:pPr>
                    <w:spacing w:line="300" w:lineRule="exact"/>
                    <w:jc w:val="center"/>
                    <w:rPr>
                      <w:color w:val="auto"/>
                      <w:szCs w:val="21"/>
                    </w:rPr>
                  </w:pPr>
                </w:p>
              </w:tc>
              <w:tc>
                <w:tcPr>
                  <w:tcW w:w="1325" w:type="pct"/>
                  <w:tcBorders>
                    <w:top w:val="single" w:color="auto" w:sz="4" w:space="0"/>
                    <w:bottom w:val="single" w:color="auto" w:sz="4" w:space="0"/>
                  </w:tcBorders>
                  <w:vAlign w:val="center"/>
                </w:tcPr>
                <w:p w14:paraId="13FD1315">
                  <w:pPr>
                    <w:autoSpaceDE w:val="0"/>
                    <w:autoSpaceDN w:val="0"/>
                    <w:spacing w:line="300" w:lineRule="exact"/>
                    <w:jc w:val="center"/>
                    <w:rPr>
                      <w:color w:val="auto"/>
                      <w:szCs w:val="21"/>
                    </w:rPr>
                  </w:pPr>
                  <w:r>
                    <w:rPr>
                      <w:color w:val="auto"/>
                      <w:szCs w:val="21"/>
                    </w:rPr>
                    <w:t>3#西厂界</w:t>
                  </w:r>
                </w:p>
              </w:tc>
              <w:tc>
                <w:tcPr>
                  <w:tcW w:w="1260" w:type="pct"/>
                  <w:tcBorders>
                    <w:top w:val="single" w:color="auto" w:sz="4" w:space="0"/>
                    <w:bottom w:val="single" w:color="auto" w:sz="4" w:space="0"/>
                  </w:tcBorders>
                  <w:vAlign w:val="center"/>
                </w:tcPr>
                <w:p w14:paraId="6ED1D0A9">
                  <w:pPr>
                    <w:spacing w:line="300" w:lineRule="exact"/>
                    <w:jc w:val="center"/>
                    <w:rPr>
                      <w:color w:val="auto"/>
                      <w:szCs w:val="21"/>
                    </w:rPr>
                  </w:pPr>
                  <w:r>
                    <w:rPr>
                      <w:color w:val="auto"/>
                      <w:szCs w:val="21"/>
                    </w:rPr>
                    <w:t>厂界噪声</w:t>
                  </w:r>
                </w:p>
              </w:tc>
              <w:tc>
                <w:tcPr>
                  <w:tcW w:w="1394" w:type="pct"/>
                  <w:vAlign w:val="center"/>
                </w:tcPr>
                <w:p w14:paraId="023EE0E7">
                  <w:pPr>
                    <w:spacing w:line="300" w:lineRule="exact"/>
                    <w:jc w:val="center"/>
                    <w:textAlignment w:val="center"/>
                    <w:rPr>
                      <w:color w:val="auto"/>
                      <w:szCs w:val="21"/>
                    </w:rPr>
                  </w:pPr>
                  <w:r>
                    <w:rPr>
                      <w:color w:val="auto"/>
                      <w:szCs w:val="21"/>
                    </w:rPr>
                    <w:t>55.1</w:t>
                  </w:r>
                </w:p>
              </w:tc>
            </w:tr>
            <w:tr w14:paraId="155FF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19" w:type="pct"/>
                  <w:vMerge w:val="continue"/>
                  <w:tcBorders>
                    <w:left w:val="single" w:color="auto" w:sz="4" w:space="0"/>
                  </w:tcBorders>
                  <w:vAlign w:val="center"/>
                </w:tcPr>
                <w:p w14:paraId="518030D0">
                  <w:pPr>
                    <w:spacing w:line="300" w:lineRule="exact"/>
                    <w:jc w:val="center"/>
                    <w:rPr>
                      <w:color w:val="auto"/>
                      <w:szCs w:val="21"/>
                    </w:rPr>
                  </w:pPr>
                </w:p>
              </w:tc>
              <w:tc>
                <w:tcPr>
                  <w:tcW w:w="1325" w:type="pct"/>
                  <w:tcBorders>
                    <w:top w:val="single" w:color="auto" w:sz="4" w:space="0"/>
                    <w:bottom w:val="single" w:color="auto" w:sz="4" w:space="0"/>
                  </w:tcBorders>
                  <w:vAlign w:val="center"/>
                </w:tcPr>
                <w:p w14:paraId="3DDD6F2F">
                  <w:pPr>
                    <w:autoSpaceDE w:val="0"/>
                    <w:autoSpaceDN w:val="0"/>
                    <w:spacing w:line="300" w:lineRule="exact"/>
                    <w:jc w:val="center"/>
                    <w:rPr>
                      <w:color w:val="auto"/>
                      <w:szCs w:val="21"/>
                    </w:rPr>
                  </w:pPr>
                  <w:r>
                    <w:rPr>
                      <w:color w:val="auto"/>
                      <w:szCs w:val="21"/>
                    </w:rPr>
                    <w:t>4#北厂界</w:t>
                  </w:r>
                </w:p>
              </w:tc>
              <w:tc>
                <w:tcPr>
                  <w:tcW w:w="1260" w:type="pct"/>
                  <w:tcBorders>
                    <w:top w:val="single" w:color="auto" w:sz="4" w:space="0"/>
                    <w:bottom w:val="single" w:color="auto" w:sz="4" w:space="0"/>
                  </w:tcBorders>
                  <w:vAlign w:val="center"/>
                </w:tcPr>
                <w:p w14:paraId="72FF2CD2">
                  <w:pPr>
                    <w:spacing w:line="300" w:lineRule="exact"/>
                    <w:jc w:val="center"/>
                    <w:rPr>
                      <w:color w:val="auto"/>
                      <w:szCs w:val="21"/>
                    </w:rPr>
                  </w:pPr>
                  <w:r>
                    <w:rPr>
                      <w:color w:val="auto"/>
                      <w:szCs w:val="21"/>
                    </w:rPr>
                    <w:t>厂界噪声</w:t>
                  </w:r>
                </w:p>
              </w:tc>
              <w:tc>
                <w:tcPr>
                  <w:tcW w:w="1394" w:type="pct"/>
                  <w:vAlign w:val="center"/>
                </w:tcPr>
                <w:p w14:paraId="426770D2">
                  <w:pPr>
                    <w:spacing w:line="300" w:lineRule="exact"/>
                    <w:jc w:val="center"/>
                    <w:textAlignment w:val="center"/>
                    <w:rPr>
                      <w:color w:val="auto"/>
                      <w:szCs w:val="21"/>
                    </w:rPr>
                  </w:pPr>
                  <w:r>
                    <w:rPr>
                      <w:color w:val="auto"/>
                      <w:szCs w:val="21"/>
                    </w:rPr>
                    <w:t>55.8</w:t>
                  </w:r>
                </w:p>
              </w:tc>
            </w:tr>
            <w:tr w14:paraId="25DD8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19" w:type="pct"/>
                  <w:vMerge w:val="restart"/>
                  <w:tcBorders>
                    <w:left w:val="single" w:color="auto" w:sz="4" w:space="0"/>
                  </w:tcBorders>
                  <w:vAlign w:val="center"/>
                </w:tcPr>
                <w:p w14:paraId="1E9D84E8">
                  <w:pPr>
                    <w:spacing w:line="300" w:lineRule="exact"/>
                    <w:jc w:val="center"/>
                    <w:rPr>
                      <w:color w:val="auto"/>
                      <w:szCs w:val="21"/>
                    </w:rPr>
                  </w:pPr>
                  <w:r>
                    <w:rPr>
                      <w:color w:val="auto"/>
                      <w:spacing w:val="-5"/>
                      <w:szCs w:val="21"/>
                    </w:rPr>
                    <w:t>2020.6.24</w:t>
                  </w:r>
                </w:p>
              </w:tc>
              <w:tc>
                <w:tcPr>
                  <w:tcW w:w="2342" w:type="dxa"/>
                  <w:tcBorders>
                    <w:top w:val="single" w:color="auto" w:sz="4" w:space="0"/>
                    <w:bottom w:val="single" w:color="auto" w:sz="4" w:space="0"/>
                  </w:tcBorders>
                  <w:vAlign w:val="center"/>
                </w:tcPr>
                <w:p w14:paraId="1C006BE9">
                  <w:pPr>
                    <w:autoSpaceDE w:val="0"/>
                    <w:autoSpaceDN w:val="0"/>
                    <w:spacing w:line="300" w:lineRule="exact"/>
                    <w:jc w:val="center"/>
                    <w:rPr>
                      <w:color w:val="auto"/>
                      <w:szCs w:val="21"/>
                    </w:rPr>
                  </w:pPr>
                  <w:r>
                    <w:rPr>
                      <w:color w:val="auto"/>
                      <w:szCs w:val="21"/>
                    </w:rPr>
                    <w:t>1#东厂界</w:t>
                  </w:r>
                </w:p>
              </w:tc>
              <w:tc>
                <w:tcPr>
                  <w:tcW w:w="2229" w:type="dxa"/>
                  <w:tcBorders>
                    <w:top w:val="single" w:color="auto" w:sz="4" w:space="0"/>
                    <w:bottom w:val="single" w:color="auto" w:sz="4" w:space="0"/>
                  </w:tcBorders>
                  <w:vAlign w:val="center"/>
                </w:tcPr>
                <w:p w14:paraId="573882E3">
                  <w:pPr>
                    <w:spacing w:line="300" w:lineRule="exact"/>
                    <w:jc w:val="center"/>
                    <w:rPr>
                      <w:color w:val="auto"/>
                      <w:szCs w:val="21"/>
                    </w:rPr>
                  </w:pPr>
                  <w:r>
                    <w:rPr>
                      <w:color w:val="auto"/>
                      <w:szCs w:val="21"/>
                    </w:rPr>
                    <w:t>厂界噪声</w:t>
                  </w:r>
                </w:p>
              </w:tc>
              <w:tc>
                <w:tcPr>
                  <w:tcW w:w="1394" w:type="pct"/>
                  <w:vAlign w:val="center"/>
                </w:tcPr>
                <w:p w14:paraId="2E0235FA">
                  <w:pPr>
                    <w:spacing w:line="300" w:lineRule="exact"/>
                    <w:jc w:val="center"/>
                    <w:textAlignment w:val="center"/>
                    <w:rPr>
                      <w:color w:val="auto"/>
                      <w:szCs w:val="21"/>
                    </w:rPr>
                  </w:pPr>
                  <w:r>
                    <w:rPr>
                      <w:color w:val="auto"/>
                      <w:szCs w:val="21"/>
                    </w:rPr>
                    <w:t>55.5</w:t>
                  </w:r>
                </w:p>
              </w:tc>
            </w:tr>
            <w:tr w14:paraId="0A660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19" w:type="pct"/>
                  <w:vMerge w:val="continue"/>
                  <w:tcBorders>
                    <w:left w:val="single" w:color="auto" w:sz="4" w:space="0"/>
                  </w:tcBorders>
                  <w:vAlign w:val="center"/>
                </w:tcPr>
                <w:p w14:paraId="3E8904D2">
                  <w:pPr>
                    <w:spacing w:line="300" w:lineRule="exact"/>
                    <w:jc w:val="center"/>
                    <w:rPr>
                      <w:color w:val="auto"/>
                      <w:szCs w:val="21"/>
                    </w:rPr>
                  </w:pPr>
                </w:p>
              </w:tc>
              <w:tc>
                <w:tcPr>
                  <w:tcW w:w="2342" w:type="dxa"/>
                  <w:tcBorders>
                    <w:top w:val="single" w:color="auto" w:sz="4" w:space="0"/>
                    <w:bottom w:val="single" w:color="auto" w:sz="4" w:space="0"/>
                  </w:tcBorders>
                  <w:vAlign w:val="center"/>
                </w:tcPr>
                <w:p w14:paraId="298AB56C">
                  <w:pPr>
                    <w:autoSpaceDE w:val="0"/>
                    <w:autoSpaceDN w:val="0"/>
                    <w:spacing w:line="300" w:lineRule="exact"/>
                    <w:jc w:val="center"/>
                    <w:rPr>
                      <w:color w:val="auto"/>
                      <w:szCs w:val="21"/>
                    </w:rPr>
                  </w:pPr>
                  <w:r>
                    <w:rPr>
                      <w:color w:val="auto"/>
                      <w:szCs w:val="21"/>
                    </w:rPr>
                    <w:t>2#南厂界</w:t>
                  </w:r>
                </w:p>
              </w:tc>
              <w:tc>
                <w:tcPr>
                  <w:tcW w:w="2229" w:type="dxa"/>
                  <w:tcBorders>
                    <w:top w:val="single" w:color="auto" w:sz="4" w:space="0"/>
                    <w:bottom w:val="single" w:color="auto" w:sz="4" w:space="0"/>
                  </w:tcBorders>
                  <w:vAlign w:val="center"/>
                </w:tcPr>
                <w:p w14:paraId="495EAE80">
                  <w:pPr>
                    <w:spacing w:line="300" w:lineRule="exact"/>
                    <w:jc w:val="center"/>
                    <w:rPr>
                      <w:color w:val="auto"/>
                      <w:szCs w:val="21"/>
                    </w:rPr>
                  </w:pPr>
                  <w:r>
                    <w:rPr>
                      <w:color w:val="auto"/>
                      <w:szCs w:val="21"/>
                    </w:rPr>
                    <w:t>厂界噪声</w:t>
                  </w:r>
                </w:p>
              </w:tc>
              <w:tc>
                <w:tcPr>
                  <w:tcW w:w="1394" w:type="pct"/>
                  <w:vAlign w:val="center"/>
                </w:tcPr>
                <w:p w14:paraId="50593C2A">
                  <w:pPr>
                    <w:spacing w:line="300" w:lineRule="exact"/>
                    <w:jc w:val="center"/>
                    <w:textAlignment w:val="center"/>
                    <w:rPr>
                      <w:color w:val="auto"/>
                      <w:szCs w:val="21"/>
                    </w:rPr>
                  </w:pPr>
                  <w:r>
                    <w:rPr>
                      <w:color w:val="auto"/>
                      <w:szCs w:val="21"/>
                    </w:rPr>
                    <w:t>55.2</w:t>
                  </w:r>
                </w:p>
              </w:tc>
            </w:tr>
            <w:tr w14:paraId="4D0A0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19" w:type="pct"/>
                  <w:vMerge w:val="continue"/>
                  <w:tcBorders>
                    <w:left w:val="single" w:color="auto" w:sz="4" w:space="0"/>
                  </w:tcBorders>
                  <w:vAlign w:val="center"/>
                </w:tcPr>
                <w:p w14:paraId="06DBBB5B">
                  <w:pPr>
                    <w:spacing w:line="300" w:lineRule="exact"/>
                    <w:jc w:val="center"/>
                    <w:rPr>
                      <w:color w:val="auto"/>
                      <w:szCs w:val="21"/>
                    </w:rPr>
                  </w:pPr>
                </w:p>
              </w:tc>
              <w:tc>
                <w:tcPr>
                  <w:tcW w:w="2342" w:type="dxa"/>
                  <w:tcBorders>
                    <w:top w:val="single" w:color="auto" w:sz="4" w:space="0"/>
                    <w:bottom w:val="single" w:color="auto" w:sz="4" w:space="0"/>
                  </w:tcBorders>
                  <w:vAlign w:val="center"/>
                </w:tcPr>
                <w:p w14:paraId="36AF556C">
                  <w:pPr>
                    <w:autoSpaceDE w:val="0"/>
                    <w:autoSpaceDN w:val="0"/>
                    <w:spacing w:line="300" w:lineRule="exact"/>
                    <w:jc w:val="center"/>
                    <w:rPr>
                      <w:color w:val="auto"/>
                      <w:szCs w:val="21"/>
                    </w:rPr>
                  </w:pPr>
                  <w:r>
                    <w:rPr>
                      <w:color w:val="auto"/>
                      <w:szCs w:val="21"/>
                    </w:rPr>
                    <w:t>3#西厂界</w:t>
                  </w:r>
                </w:p>
              </w:tc>
              <w:tc>
                <w:tcPr>
                  <w:tcW w:w="2229" w:type="dxa"/>
                  <w:tcBorders>
                    <w:top w:val="single" w:color="auto" w:sz="4" w:space="0"/>
                    <w:bottom w:val="single" w:color="auto" w:sz="4" w:space="0"/>
                  </w:tcBorders>
                  <w:vAlign w:val="center"/>
                </w:tcPr>
                <w:p w14:paraId="7F6CCF05">
                  <w:pPr>
                    <w:spacing w:line="300" w:lineRule="exact"/>
                    <w:jc w:val="center"/>
                    <w:rPr>
                      <w:color w:val="auto"/>
                      <w:szCs w:val="21"/>
                    </w:rPr>
                  </w:pPr>
                  <w:r>
                    <w:rPr>
                      <w:color w:val="auto"/>
                      <w:szCs w:val="21"/>
                    </w:rPr>
                    <w:t>厂界噪声</w:t>
                  </w:r>
                </w:p>
              </w:tc>
              <w:tc>
                <w:tcPr>
                  <w:tcW w:w="1394" w:type="pct"/>
                  <w:vAlign w:val="center"/>
                </w:tcPr>
                <w:p w14:paraId="0C4EFB44">
                  <w:pPr>
                    <w:spacing w:line="300" w:lineRule="exact"/>
                    <w:jc w:val="center"/>
                    <w:textAlignment w:val="center"/>
                    <w:rPr>
                      <w:color w:val="auto"/>
                      <w:szCs w:val="21"/>
                    </w:rPr>
                  </w:pPr>
                  <w:r>
                    <w:rPr>
                      <w:color w:val="auto"/>
                      <w:szCs w:val="21"/>
                    </w:rPr>
                    <w:t>54.8</w:t>
                  </w:r>
                </w:p>
              </w:tc>
            </w:tr>
            <w:tr w14:paraId="6DE6A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19" w:type="pct"/>
                  <w:vMerge w:val="continue"/>
                  <w:tcBorders>
                    <w:left w:val="single" w:color="auto" w:sz="4" w:space="0"/>
                  </w:tcBorders>
                  <w:vAlign w:val="center"/>
                </w:tcPr>
                <w:p w14:paraId="153B6CA5">
                  <w:pPr>
                    <w:spacing w:line="300" w:lineRule="exact"/>
                    <w:jc w:val="center"/>
                    <w:rPr>
                      <w:color w:val="auto"/>
                      <w:szCs w:val="21"/>
                    </w:rPr>
                  </w:pPr>
                </w:p>
              </w:tc>
              <w:tc>
                <w:tcPr>
                  <w:tcW w:w="2342" w:type="dxa"/>
                  <w:tcBorders>
                    <w:top w:val="single" w:color="auto" w:sz="4" w:space="0"/>
                    <w:bottom w:val="single" w:color="auto" w:sz="4" w:space="0"/>
                  </w:tcBorders>
                  <w:vAlign w:val="center"/>
                </w:tcPr>
                <w:p w14:paraId="23C3C2E5">
                  <w:pPr>
                    <w:autoSpaceDE w:val="0"/>
                    <w:autoSpaceDN w:val="0"/>
                    <w:spacing w:line="300" w:lineRule="exact"/>
                    <w:jc w:val="center"/>
                    <w:rPr>
                      <w:color w:val="auto"/>
                      <w:szCs w:val="21"/>
                    </w:rPr>
                  </w:pPr>
                  <w:r>
                    <w:rPr>
                      <w:color w:val="auto"/>
                      <w:szCs w:val="21"/>
                    </w:rPr>
                    <w:t>4#北厂界</w:t>
                  </w:r>
                </w:p>
              </w:tc>
              <w:tc>
                <w:tcPr>
                  <w:tcW w:w="2229" w:type="dxa"/>
                  <w:tcBorders>
                    <w:top w:val="single" w:color="auto" w:sz="4" w:space="0"/>
                    <w:bottom w:val="single" w:color="auto" w:sz="4" w:space="0"/>
                  </w:tcBorders>
                  <w:vAlign w:val="center"/>
                </w:tcPr>
                <w:p w14:paraId="28189393">
                  <w:pPr>
                    <w:spacing w:line="300" w:lineRule="exact"/>
                    <w:jc w:val="center"/>
                    <w:rPr>
                      <w:color w:val="auto"/>
                      <w:szCs w:val="21"/>
                    </w:rPr>
                  </w:pPr>
                  <w:r>
                    <w:rPr>
                      <w:color w:val="auto"/>
                      <w:szCs w:val="21"/>
                    </w:rPr>
                    <w:t>厂界噪声</w:t>
                  </w:r>
                </w:p>
              </w:tc>
              <w:tc>
                <w:tcPr>
                  <w:tcW w:w="1394" w:type="pct"/>
                  <w:vAlign w:val="center"/>
                </w:tcPr>
                <w:p w14:paraId="51E233B6">
                  <w:pPr>
                    <w:spacing w:line="300" w:lineRule="exact"/>
                    <w:jc w:val="center"/>
                    <w:textAlignment w:val="center"/>
                    <w:rPr>
                      <w:color w:val="auto"/>
                      <w:szCs w:val="21"/>
                    </w:rPr>
                  </w:pPr>
                  <w:r>
                    <w:rPr>
                      <w:color w:val="auto"/>
                      <w:szCs w:val="21"/>
                    </w:rPr>
                    <w:t>55.6</w:t>
                  </w:r>
                </w:p>
              </w:tc>
            </w:tr>
            <w:tr w14:paraId="63BE9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605" w:type="pct"/>
                  <w:gridSpan w:val="3"/>
                  <w:tcBorders>
                    <w:top w:val="single" w:color="auto" w:sz="4" w:space="0"/>
                    <w:left w:val="single" w:color="auto" w:sz="4" w:space="0"/>
                    <w:bottom w:val="single" w:color="auto" w:sz="4" w:space="0"/>
                  </w:tcBorders>
                  <w:vAlign w:val="center"/>
                </w:tcPr>
                <w:p w14:paraId="44B9B583">
                  <w:pPr>
                    <w:spacing w:line="300" w:lineRule="exact"/>
                    <w:jc w:val="center"/>
                    <w:rPr>
                      <w:color w:val="auto"/>
                      <w:szCs w:val="21"/>
                    </w:rPr>
                  </w:pPr>
                  <w:r>
                    <w:rPr>
                      <w:color w:val="auto"/>
                      <w:szCs w:val="21"/>
                    </w:rPr>
                    <w:t>2类标准限值</w:t>
                  </w:r>
                </w:p>
              </w:tc>
              <w:tc>
                <w:tcPr>
                  <w:tcW w:w="1394" w:type="pct"/>
                  <w:tcBorders>
                    <w:top w:val="single" w:color="auto" w:sz="4" w:space="0"/>
                    <w:bottom w:val="single" w:color="auto" w:sz="4" w:space="0"/>
                    <w:right w:val="single" w:color="auto" w:sz="4" w:space="0"/>
                  </w:tcBorders>
                  <w:vAlign w:val="center"/>
                </w:tcPr>
                <w:p w14:paraId="23753D54">
                  <w:pPr>
                    <w:spacing w:line="300" w:lineRule="exact"/>
                    <w:jc w:val="center"/>
                    <w:rPr>
                      <w:color w:val="auto"/>
                      <w:szCs w:val="21"/>
                    </w:rPr>
                  </w:pPr>
                  <w:r>
                    <w:rPr>
                      <w:color w:val="auto"/>
                      <w:szCs w:val="21"/>
                    </w:rPr>
                    <w:t>60</w:t>
                  </w:r>
                </w:p>
              </w:tc>
            </w:tr>
            <w:tr w14:paraId="22A4F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605" w:type="pct"/>
                  <w:gridSpan w:val="3"/>
                  <w:tcBorders>
                    <w:top w:val="single" w:color="auto" w:sz="4" w:space="0"/>
                    <w:left w:val="single" w:color="auto" w:sz="4" w:space="0"/>
                    <w:bottom w:val="single" w:color="auto" w:sz="4" w:space="0"/>
                  </w:tcBorders>
                  <w:vAlign w:val="center"/>
                </w:tcPr>
                <w:p w14:paraId="21DD2BEE">
                  <w:pPr>
                    <w:spacing w:line="300" w:lineRule="exact"/>
                    <w:jc w:val="center"/>
                    <w:rPr>
                      <w:color w:val="auto"/>
                      <w:szCs w:val="21"/>
                    </w:rPr>
                  </w:pPr>
                  <w:r>
                    <w:rPr>
                      <w:color w:val="auto"/>
                      <w:szCs w:val="21"/>
                    </w:rPr>
                    <w:t>结果评价</w:t>
                  </w:r>
                </w:p>
              </w:tc>
              <w:tc>
                <w:tcPr>
                  <w:tcW w:w="1394" w:type="pct"/>
                  <w:tcBorders>
                    <w:top w:val="single" w:color="auto" w:sz="4" w:space="0"/>
                    <w:bottom w:val="single" w:color="auto" w:sz="4" w:space="0"/>
                    <w:right w:val="single" w:color="auto" w:sz="4" w:space="0"/>
                  </w:tcBorders>
                  <w:vAlign w:val="center"/>
                </w:tcPr>
                <w:p w14:paraId="3CEB1C2F">
                  <w:pPr>
                    <w:spacing w:line="300" w:lineRule="exact"/>
                    <w:jc w:val="center"/>
                    <w:rPr>
                      <w:color w:val="auto"/>
                      <w:szCs w:val="21"/>
                    </w:rPr>
                  </w:pPr>
                  <w:r>
                    <w:rPr>
                      <w:color w:val="auto"/>
                      <w:szCs w:val="21"/>
                    </w:rPr>
                    <w:t>达标</w:t>
                  </w:r>
                </w:p>
              </w:tc>
            </w:tr>
          </w:tbl>
          <w:p w14:paraId="2ED4D1B8">
            <w:pPr>
              <w:spacing w:line="360" w:lineRule="auto"/>
              <w:ind w:firstLine="512" w:firstLineChars="200"/>
              <w:rPr>
                <w:color w:val="auto"/>
                <w:sz w:val="24"/>
              </w:rPr>
            </w:pPr>
            <w:r>
              <w:rPr>
                <w:color w:val="auto"/>
                <w:spacing w:val="8"/>
                <w:sz w:val="24"/>
                <w:szCs w:val="32"/>
              </w:rPr>
              <w:t>根据监测结果分析可知，验收监测期间，该企业厂界</w:t>
            </w:r>
            <w:r>
              <w:rPr>
                <w:color w:val="auto"/>
                <w:sz w:val="24"/>
              </w:rPr>
              <w:t>昼间噪声在55.1~56.8dB(A)之间，满足GB12348-2008《工业企业厂界环境噪声排放标准》2类标准（即昼间≤60dB(A)）。</w:t>
            </w:r>
          </w:p>
          <w:p w14:paraId="357E50D8">
            <w:pPr>
              <w:pStyle w:val="31"/>
              <w:spacing w:line="360" w:lineRule="auto"/>
              <w:ind w:firstLine="482"/>
              <w:rPr>
                <w:rFonts w:eastAsia="宋体"/>
                <w:b/>
                <w:bCs/>
                <w:color w:val="auto"/>
                <w:kern w:val="2"/>
              </w:rPr>
            </w:pPr>
            <w:r>
              <w:rPr>
                <w:rFonts w:eastAsia="宋体"/>
                <w:b/>
                <w:bCs/>
                <w:color w:val="auto"/>
                <w:kern w:val="2"/>
              </w:rPr>
              <w:t>③ 固体废物</w:t>
            </w:r>
          </w:p>
          <w:p w14:paraId="49F02F82">
            <w:pPr>
              <w:pStyle w:val="31"/>
              <w:spacing w:line="360" w:lineRule="auto"/>
              <w:ind w:firstLine="480"/>
              <w:rPr>
                <w:rFonts w:eastAsia="宋体"/>
                <w:color w:val="auto"/>
                <w:kern w:val="2"/>
              </w:rPr>
            </w:pPr>
            <w:r>
              <w:rPr>
                <w:rFonts w:eastAsia="宋体"/>
                <w:color w:val="auto"/>
                <w:kern w:val="2"/>
              </w:rPr>
              <w:t>现有项目布袋除尘器收尘收集后回用于生产；废包装材料收集后外售；不合格产品收集后回用生产；废模框收集后外售；污泥收集后外售综合利用；废机油、废机油桶等危险废物暂存于危险废物暂存间定期清掏不外排。</w:t>
            </w:r>
          </w:p>
          <w:p w14:paraId="1E5B5B2E">
            <w:pPr>
              <w:pStyle w:val="32"/>
              <w:spacing w:line="360" w:lineRule="auto"/>
              <w:rPr>
                <w:rFonts w:ascii="Times New Roman" w:hAnsi="Times New Roman" w:cs="Times New Roman"/>
                <w:b/>
                <w:bCs/>
                <w:color w:val="auto"/>
                <w:spacing w:val="-4"/>
                <w:lang w:eastAsia="zh-CN"/>
              </w:rPr>
            </w:pPr>
            <w:r>
              <w:rPr>
                <w:rFonts w:ascii="Times New Roman" w:hAnsi="Times New Roman" w:cs="Times New Roman"/>
                <w:b/>
                <w:bCs/>
                <w:color w:val="auto"/>
                <w:spacing w:val="-5"/>
                <w:lang w:eastAsia="zh-CN"/>
              </w:rPr>
              <w:t>4、</w:t>
            </w:r>
            <w:r>
              <w:rPr>
                <w:rFonts w:ascii="Times New Roman" w:hAnsi="Times New Roman" w:cs="Times New Roman"/>
                <w:b/>
                <w:bCs/>
                <w:color w:val="auto"/>
                <w:spacing w:val="-4"/>
                <w:lang w:eastAsia="zh-CN"/>
              </w:rPr>
              <w:t>与该项目有关的主要环境问题及整改措施</w:t>
            </w:r>
          </w:p>
          <w:p w14:paraId="31C5BC18">
            <w:pPr>
              <w:pStyle w:val="32"/>
              <w:jc w:val="center"/>
              <w:rPr>
                <w:rFonts w:ascii="Times New Roman" w:hAnsi="Times New Roman" w:cs="Times New Roman"/>
                <w:color w:val="auto"/>
                <w:lang w:eastAsia="zh-CN"/>
              </w:rPr>
            </w:pPr>
            <w:r>
              <w:rPr>
                <w:rFonts w:ascii="Times New Roman" w:hAnsi="Times New Roman" w:cs="Times New Roman"/>
                <w:b/>
                <w:bCs/>
                <w:color w:val="auto"/>
                <w:spacing w:val="-2"/>
                <w:lang w:eastAsia="zh-CN"/>
              </w:rPr>
              <w:t>表</w:t>
            </w:r>
            <w:r>
              <w:rPr>
                <w:rFonts w:ascii="Times New Roman" w:hAnsi="Times New Roman" w:eastAsia="Times New Roman" w:cs="Times New Roman"/>
                <w:b/>
                <w:bCs/>
                <w:color w:val="auto"/>
                <w:spacing w:val="-2"/>
                <w:lang w:eastAsia="zh-CN"/>
              </w:rPr>
              <w:t>2</w:t>
            </w:r>
            <w:r>
              <w:rPr>
                <w:rFonts w:ascii="Times New Roman" w:hAnsi="Times New Roman" w:cs="Times New Roman"/>
                <w:b/>
                <w:bCs/>
                <w:color w:val="auto"/>
                <w:spacing w:val="-2"/>
                <w:lang w:eastAsia="zh-CN"/>
              </w:rPr>
              <w:t>-1</w:t>
            </w:r>
            <w:r>
              <w:rPr>
                <w:rFonts w:hint="eastAsia" w:ascii="Times New Roman" w:hAnsi="Times New Roman" w:cs="Times New Roman"/>
                <w:b/>
                <w:bCs/>
                <w:color w:val="auto"/>
                <w:spacing w:val="-2"/>
                <w:lang w:eastAsia="zh-CN"/>
              </w:rPr>
              <w:t>5</w:t>
            </w:r>
            <w:r>
              <w:rPr>
                <w:rFonts w:ascii="Times New Roman" w:hAnsi="Times New Roman" w:cs="Times New Roman"/>
                <w:b/>
                <w:bCs/>
                <w:color w:val="auto"/>
                <w:spacing w:val="-2"/>
                <w:lang w:eastAsia="zh-CN"/>
              </w:rPr>
              <w:t xml:space="preserve">  现有项目存在问题及整改措施</w:t>
            </w:r>
          </w:p>
          <w:tbl>
            <w:tblPr>
              <w:tblStyle w:val="38"/>
              <w:tblW w:w="4992"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35"/>
              <w:gridCol w:w="2615"/>
              <w:gridCol w:w="3904"/>
              <w:gridCol w:w="1883"/>
            </w:tblGrid>
            <w:tr w14:paraId="5231E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46" w:type="pct"/>
                  <w:vAlign w:val="center"/>
                </w:tcPr>
                <w:p w14:paraId="09CDAA08">
                  <w:pPr>
                    <w:pStyle w:val="32"/>
                    <w:jc w:val="center"/>
                    <w:rPr>
                      <w:rFonts w:ascii="Times New Roman" w:hAnsi="Times New Roman" w:cs="Times New Roman"/>
                      <w:color w:val="auto"/>
                      <w:sz w:val="21"/>
                      <w:szCs w:val="21"/>
                    </w:rPr>
                  </w:pPr>
                  <w:r>
                    <w:rPr>
                      <w:rFonts w:ascii="Times New Roman" w:hAnsi="Times New Roman" w:cs="Times New Roman"/>
                      <w:color w:val="auto"/>
                      <w:spacing w:val="5"/>
                      <w:sz w:val="21"/>
                      <w:szCs w:val="21"/>
                    </w:rPr>
                    <w:t>序号</w:t>
                  </w:r>
                </w:p>
              </w:tc>
              <w:tc>
                <w:tcPr>
                  <w:tcW w:w="1479" w:type="pct"/>
                  <w:vAlign w:val="center"/>
                </w:tcPr>
                <w:p w14:paraId="3200A90F">
                  <w:pPr>
                    <w:pStyle w:val="32"/>
                    <w:jc w:val="center"/>
                    <w:rPr>
                      <w:rFonts w:ascii="Times New Roman" w:hAnsi="Times New Roman" w:cs="Times New Roman"/>
                      <w:color w:val="auto"/>
                      <w:sz w:val="21"/>
                      <w:szCs w:val="21"/>
                    </w:rPr>
                  </w:pPr>
                  <w:r>
                    <w:rPr>
                      <w:rFonts w:ascii="Times New Roman" w:hAnsi="Times New Roman" w:cs="Times New Roman"/>
                      <w:color w:val="auto"/>
                      <w:spacing w:val="7"/>
                      <w:sz w:val="21"/>
                      <w:szCs w:val="21"/>
                    </w:rPr>
                    <w:t>存在问题</w:t>
                  </w:r>
                </w:p>
              </w:tc>
              <w:tc>
                <w:tcPr>
                  <w:tcW w:w="2208" w:type="pct"/>
                  <w:vAlign w:val="center"/>
                </w:tcPr>
                <w:p w14:paraId="5E62681C">
                  <w:pPr>
                    <w:pStyle w:val="32"/>
                    <w:jc w:val="center"/>
                    <w:rPr>
                      <w:rFonts w:ascii="Times New Roman" w:hAnsi="Times New Roman" w:cs="Times New Roman"/>
                      <w:color w:val="auto"/>
                      <w:sz w:val="21"/>
                      <w:szCs w:val="21"/>
                    </w:rPr>
                  </w:pPr>
                  <w:r>
                    <w:rPr>
                      <w:rFonts w:ascii="Times New Roman" w:hAnsi="Times New Roman" w:cs="Times New Roman"/>
                      <w:color w:val="auto"/>
                      <w:spacing w:val="7"/>
                      <w:sz w:val="21"/>
                      <w:szCs w:val="21"/>
                    </w:rPr>
                    <w:t>整改措施</w:t>
                  </w:r>
                </w:p>
              </w:tc>
              <w:tc>
                <w:tcPr>
                  <w:tcW w:w="1065" w:type="pct"/>
                  <w:vAlign w:val="center"/>
                </w:tcPr>
                <w:p w14:paraId="0040D4D7">
                  <w:pPr>
                    <w:pStyle w:val="32"/>
                    <w:jc w:val="center"/>
                    <w:rPr>
                      <w:rFonts w:ascii="Times New Roman" w:hAnsi="Times New Roman" w:cs="Times New Roman"/>
                      <w:color w:val="auto"/>
                      <w:spacing w:val="7"/>
                      <w:sz w:val="21"/>
                      <w:szCs w:val="21"/>
                      <w:lang w:eastAsia="zh-CN"/>
                    </w:rPr>
                  </w:pPr>
                  <w:r>
                    <w:rPr>
                      <w:rFonts w:ascii="Times New Roman" w:hAnsi="Times New Roman" w:cs="Times New Roman"/>
                      <w:color w:val="auto"/>
                      <w:spacing w:val="7"/>
                      <w:sz w:val="21"/>
                      <w:szCs w:val="21"/>
                      <w:lang w:eastAsia="zh-CN"/>
                    </w:rPr>
                    <w:t>整改期限</w:t>
                  </w:r>
                </w:p>
              </w:tc>
            </w:tr>
            <w:tr w14:paraId="2B1995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46" w:type="pct"/>
                  <w:vAlign w:val="center"/>
                </w:tcPr>
                <w:p w14:paraId="5F84C707">
                  <w:pPr>
                    <w:jc w:val="center"/>
                    <w:rPr>
                      <w:color w:val="auto"/>
                      <w:szCs w:val="21"/>
                    </w:rPr>
                  </w:pPr>
                  <w:r>
                    <w:rPr>
                      <w:color w:val="auto"/>
                      <w:szCs w:val="21"/>
                    </w:rPr>
                    <w:t>1</w:t>
                  </w:r>
                </w:p>
              </w:tc>
              <w:tc>
                <w:tcPr>
                  <w:tcW w:w="1479" w:type="pct"/>
                  <w:vAlign w:val="center"/>
                </w:tcPr>
                <w:p w14:paraId="03D43848">
                  <w:pPr>
                    <w:pStyle w:val="32"/>
                    <w:ind w:left="105" w:leftChars="50" w:right="105" w:rightChars="5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企业环境管理制度不完善，各污染防治措施均未建立健全运行台账</w:t>
                  </w:r>
                </w:p>
              </w:tc>
              <w:tc>
                <w:tcPr>
                  <w:tcW w:w="2208" w:type="pct"/>
                  <w:vAlign w:val="center"/>
                </w:tcPr>
                <w:p w14:paraId="7F7FC25F">
                  <w:pPr>
                    <w:pStyle w:val="32"/>
                    <w:ind w:left="105" w:leftChars="50" w:right="105" w:rightChars="5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进一步完善环保管理制度，将环保制度公布上墙，做好环保设施的日常管理与维护，确保污染物长期稳定达标排放完善企业管理制度，建立健全各污染防治措施运行台账，按照技术规范要求记录台账。</w:t>
                  </w:r>
                </w:p>
              </w:tc>
              <w:tc>
                <w:tcPr>
                  <w:tcW w:w="1065" w:type="pct"/>
                  <w:vAlign w:val="center"/>
                </w:tcPr>
                <w:p w14:paraId="6350BAC2">
                  <w:pPr>
                    <w:pStyle w:val="32"/>
                    <w:ind w:left="105" w:leftChars="50" w:right="105" w:rightChars="5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2026年月1日30前</w:t>
                  </w:r>
                </w:p>
              </w:tc>
            </w:tr>
            <w:tr w14:paraId="73035B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46" w:type="pct"/>
                  <w:vAlign w:val="center"/>
                </w:tcPr>
                <w:p w14:paraId="0F7F5387">
                  <w:pPr>
                    <w:jc w:val="center"/>
                    <w:rPr>
                      <w:color w:val="auto"/>
                      <w:szCs w:val="21"/>
                    </w:rPr>
                  </w:pPr>
                  <w:r>
                    <w:rPr>
                      <w:color w:val="auto"/>
                      <w:szCs w:val="21"/>
                    </w:rPr>
                    <w:t>2</w:t>
                  </w:r>
                </w:p>
              </w:tc>
              <w:tc>
                <w:tcPr>
                  <w:tcW w:w="1479" w:type="pct"/>
                  <w:vAlign w:val="center"/>
                </w:tcPr>
                <w:p w14:paraId="22B41A04">
                  <w:pPr>
                    <w:pStyle w:val="32"/>
                    <w:ind w:left="105" w:leftChars="50" w:right="105" w:rightChars="5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原料堆场封闭不完善</w:t>
                  </w:r>
                </w:p>
              </w:tc>
              <w:tc>
                <w:tcPr>
                  <w:tcW w:w="2208" w:type="pct"/>
                  <w:vAlign w:val="center"/>
                </w:tcPr>
                <w:p w14:paraId="7256D93A">
                  <w:pPr>
                    <w:pStyle w:val="32"/>
                    <w:ind w:left="105" w:leftChars="50" w:right="105" w:rightChars="5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进一步加强原料堆场的封闭情况</w:t>
                  </w:r>
                </w:p>
              </w:tc>
              <w:tc>
                <w:tcPr>
                  <w:tcW w:w="1065" w:type="pct"/>
                  <w:vAlign w:val="center"/>
                </w:tcPr>
                <w:p w14:paraId="08D874BE">
                  <w:pPr>
                    <w:pStyle w:val="32"/>
                    <w:ind w:left="105" w:leftChars="50" w:right="105" w:rightChars="5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2026年</w:t>
                  </w:r>
                  <w:r>
                    <w:rPr>
                      <w:rFonts w:hint="eastAsia" w:ascii="Times New Roman" w:hAnsi="Times New Roman" w:cs="Times New Roman"/>
                      <w:color w:val="auto"/>
                      <w:sz w:val="21"/>
                      <w:szCs w:val="21"/>
                      <w:lang w:val="en-US" w:eastAsia="zh-CN"/>
                    </w:rPr>
                    <w:t>3</w:t>
                  </w:r>
                  <w:r>
                    <w:rPr>
                      <w:rFonts w:ascii="Times New Roman" w:hAnsi="Times New Roman" w:cs="Times New Roman"/>
                      <w:color w:val="auto"/>
                      <w:sz w:val="21"/>
                      <w:szCs w:val="21"/>
                      <w:lang w:eastAsia="zh-CN"/>
                    </w:rPr>
                    <w:t>月30日前</w:t>
                  </w:r>
                </w:p>
              </w:tc>
            </w:tr>
            <w:tr w14:paraId="47DDA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46" w:type="pct"/>
                  <w:vAlign w:val="center"/>
                </w:tcPr>
                <w:p w14:paraId="62D7BD4A">
                  <w:pPr>
                    <w:jc w:val="center"/>
                    <w:rPr>
                      <w:color w:val="auto"/>
                      <w:szCs w:val="21"/>
                    </w:rPr>
                  </w:pPr>
                  <w:r>
                    <w:rPr>
                      <w:color w:val="auto"/>
                      <w:szCs w:val="21"/>
                    </w:rPr>
                    <w:t>3</w:t>
                  </w:r>
                </w:p>
              </w:tc>
              <w:tc>
                <w:tcPr>
                  <w:tcW w:w="1479" w:type="pct"/>
                  <w:vAlign w:val="center"/>
                </w:tcPr>
                <w:p w14:paraId="0985A56A">
                  <w:pPr>
                    <w:pStyle w:val="32"/>
                    <w:ind w:left="105" w:leftChars="50" w:right="105" w:rightChars="5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厂房门窗破损</w:t>
                  </w:r>
                </w:p>
              </w:tc>
              <w:tc>
                <w:tcPr>
                  <w:tcW w:w="2208" w:type="pct"/>
                  <w:vAlign w:val="center"/>
                </w:tcPr>
                <w:p w14:paraId="67278BB4">
                  <w:pPr>
                    <w:pStyle w:val="32"/>
                    <w:ind w:left="105" w:leftChars="50" w:right="105" w:rightChars="5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进一步修复厂房门窗破损处，并加强车间内喷淋降尘次数，减少扬尘的污染</w:t>
                  </w:r>
                </w:p>
              </w:tc>
              <w:tc>
                <w:tcPr>
                  <w:tcW w:w="1065" w:type="pct"/>
                  <w:vAlign w:val="center"/>
                </w:tcPr>
                <w:p w14:paraId="73275B12">
                  <w:pPr>
                    <w:pStyle w:val="32"/>
                    <w:ind w:left="105" w:leftChars="50" w:right="105" w:rightChars="5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2026年1月30日前</w:t>
                  </w:r>
                </w:p>
              </w:tc>
            </w:tr>
            <w:tr w14:paraId="55B192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46" w:type="pct"/>
                  <w:vAlign w:val="center"/>
                </w:tcPr>
                <w:p w14:paraId="1CE37B4C">
                  <w:pPr>
                    <w:jc w:val="center"/>
                    <w:rPr>
                      <w:color w:val="auto"/>
                      <w:szCs w:val="21"/>
                    </w:rPr>
                  </w:pPr>
                  <w:r>
                    <w:rPr>
                      <w:color w:val="auto"/>
                      <w:szCs w:val="21"/>
                    </w:rPr>
                    <w:t>4</w:t>
                  </w:r>
                </w:p>
              </w:tc>
              <w:tc>
                <w:tcPr>
                  <w:tcW w:w="1479" w:type="pct"/>
                  <w:vAlign w:val="center"/>
                </w:tcPr>
                <w:p w14:paraId="5DFDE6AD">
                  <w:pPr>
                    <w:pStyle w:val="32"/>
                    <w:ind w:left="105" w:leftChars="50" w:right="105" w:rightChars="5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原环评破碎、搅拌工序废气采用布袋除尘器处理后车间无组织排放，车间为密闭式车间</w:t>
                  </w:r>
                </w:p>
              </w:tc>
              <w:tc>
                <w:tcPr>
                  <w:tcW w:w="2208" w:type="pct"/>
                  <w:vAlign w:val="center"/>
                </w:tcPr>
                <w:p w14:paraId="70877368">
                  <w:pPr>
                    <w:pStyle w:val="32"/>
                    <w:ind w:left="105" w:leftChars="50" w:right="105" w:rightChars="5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针对本项目破碎、筛分工序采取布袋除尘器处理后通过15m高排气筒排放（DA002）；搅拌废气采取布袋除尘器处理后通过15m高排气筒排放（DA00</w:t>
                  </w:r>
                  <w:r>
                    <w:rPr>
                      <w:rFonts w:hint="eastAsia" w:ascii="Times New Roman" w:hAnsi="Times New Roman" w:cs="Times New Roman"/>
                      <w:color w:val="auto"/>
                      <w:sz w:val="21"/>
                      <w:szCs w:val="21"/>
                      <w:lang w:eastAsia="zh-CN"/>
                    </w:rPr>
                    <w:t>3</w:t>
                  </w:r>
                  <w:r>
                    <w:rPr>
                      <w:rFonts w:ascii="Times New Roman" w:hAnsi="Times New Roman" w:cs="Times New Roman"/>
                      <w:color w:val="auto"/>
                      <w:sz w:val="21"/>
                      <w:szCs w:val="21"/>
                      <w:lang w:eastAsia="zh-CN"/>
                    </w:rPr>
                    <w:t>）</w:t>
                  </w:r>
                </w:p>
              </w:tc>
              <w:tc>
                <w:tcPr>
                  <w:tcW w:w="1065" w:type="pct"/>
                  <w:vAlign w:val="center"/>
                </w:tcPr>
                <w:p w14:paraId="17634097">
                  <w:pPr>
                    <w:pStyle w:val="32"/>
                    <w:ind w:left="105" w:leftChars="50" w:right="105" w:rightChars="5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2026年1月30日前</w:t>
                  </w:r>
                </w:p>
              </w:tc>
            </w:tr>
          </w:tbl>
          <w:p w14:paraId="7D949352">
            <w:pPr>
              <w:pStyle w:val="32"/>
              <w:spacing w:line="360" w:lineRule="auto"/>
              <w:rPr>
                <w:rFonts w:ascii="Times New Roman" w:hAnsi="Times New Roman" w:cs="Times New Roman"/>
                <w:color w:val="auto"/>
                <w:spacing w:val="-2"/>
                <w:lang w:eastAsia="zh-CN"/>
              </w:rPr>
            </w:pPr>
          </w:p>
        </w:tc>
      </w:tr>
    </w:tbl>
    <w:p w14:paraId="28561567">
      <w:pPr>
        <w:pStyle w:val="14"/>
        <w:jc w:val="center"/>
        <w:outlineLvl w:val="0"/>
        <w:rPr>
          <w:rFonts w:ascii="Times New Roman" w:hAnsi="Times New Roman"/>
          <w:b/>
          <w:bCs/>
          <w:color w:val="auto"/>
          <w:sz w:val="30"/>
          <w:szCs w:val="30"/>
        </w:rPr>
        <w:sectPr>
          <w:pgSz w:w="11906" w:h="16838"/>
          <w:pgMar w:top="1440" w:right="1800" w:bottom="1440" w:left="1800" w:header="851" w:footer="992" w:gutter="0"/>
          <w:cols w:space="425" w:num="1"/>
          <w:docGrid w:type="lines" w:linePitch="312" w:charSpace="0"/>
        </w:sectPr>
      </w:pPr>
    </w:p>
    <w:p w14:paraId="097FDDE6">
      <w:pPr>
        <w:pStyle w:val="14"/>
        <w:jc w:val="center"/>
        <w:outlineLvl w:val="0"/>
        <w:rPr>
          <w:rFonts w:ascii="Times New Roman" w:hAnsi="Times New Roman"/>
          <w:b/>
          <w:bCs/>
          <w:color w:val="auto"/>
          <w:sz w:val="30"/>
          <w:szCs w:val="30"/>
        </w:rPr>
      </w:pPr>
      <w:r>
        <w:rPr>
          <w:rFonts w:hint="eastAsia" w:ascii="Times New Roman" w:hAnsi="Times New Roman"/>
          <w:b/>
          <w:bCs/>
          <w:color w:val="auto"/>
          <w:sz w:val="30"/>
          <w:szCs w:val="30"/>
        </w:rPr>
        <w:t>三、</w:t>
      </w:r>
      <w:r>
        <w:rPr>
          <w:rFonts w:ascii="Times New Roman" w:hAnsi="Times New Roman"/>
          <w:b/>
          <w:bCs/>
          <w:color w:val="auto"/>
          <w:sz w:val="30"/>
          <w:szCs w:val="30"/>
        </w:rPr>
        <w:t>区域环境质量现状、环境保护目标及评价标准</w:t>
      </w:r>
    </w:p>
    <w:tbl>
      <w:tblPr>
        <w:tblStyle w:val="24"/>
        <w:tblW w:w="97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69"/>
        <w:gridCol w:w="8735"/>
      </w:tblGrid>
      <w:tr w14:paraId="7719CF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969" w:type="dxa"/>
            <w:vAlign w:val="center"/>
          </w:tcPr>
          <w:p w14:paraId="09706CFE">
            <w:pPr>
              <w:jc w:val="center"/>
              <w:rPr>
                <w:color w:val="auto"/>
                <w:sz w:val="24"/>
              </w:rPr>
            </w:pPr>
            <w:r>
              <w:rPr>
                <w:color w:val="auto"/>
                <w:sz w:val="24"/>
              </w:rPr>
              <w:t>区域</w:t>
            </w:r>
          </w:p>
          <w:p w14:paraId="3911F4BC">
            <w:pPr>
              <w:jc w:val="center"/>
              <w:rPr>
                <w:color w:val="auto"/>
                <w:sz w:val="24"/>
              </w:rPr>
            </w:pPr>
            <w:r>
              <w:rPr>
                <w:color w:val="auto"/>
                <w:sz w:val="24"/>
              </w:rPr>
              <w:t>环境</w:t>
            </w:r>
          </w:p>
          <w:p w14:paraId="00E6AD70">
            <w:pPr>
              <w:jc w:val="center"/>
              <w:rPr>
                <w:color w:val="auto"/>
                <w:sz w:val="24"/>
              </w:rPr>
            </w:pPr>
            <w:r>
              <w:rPr>
                <w:color w:val="auto"/>
                <w:sz w:val="24"/>
              </w:rPr>
              <w:t>质量</w:t>
            </w:r>
          </w:p>
          <w:p w14:paraId="2C984CB3">
            <w:pPr>
              <w:jc w:val="center"/>
              <w:rPr>
                <w:color w:val="auto"/>
              </w:rPr>
            </w:pPr>
            <w:r>
              <w:rPr>
                <w:color w:val="auto"/>
                <w:sz w:val="24"/>
              </w:rPr>
              <w:t>现状</w:t>
            </w:r>
          </w:p>
        </w:tc>
        <w:tc>
          <w:tcPr>
            <w:tcW w:w="8735" w:type="dxa"/>
            <w:vAlign w:val="center"/>
          </w:tcPr>
          <w:p w14:paraId="69C32C8B">
            <w:pPr>
              <w:spacing w:line="360" w:lineRule="auto"/>
              <w:rPr>
                <w:b/>
                <w:bCs/>
                <w:color w:val="auto"/>
                <w:sz w:val="24"/>
              </w:rPr>
            </w:pPr>
            <w:r>
              <w:rPr>
                <w:b/>
                <w:bCs/>
                <w:color w:val="auto"/>
                <w:sz w:val="24"/>
              </w:rPr>
              <w:t>1、环境空气质量现状</w:t>
            </w:r>
          </w:p>
          <w:p w14:paraId="7F90BAB4">
            <w:pPr>
              <w:numPr>
                <w:ilvl w:val="0"/>
                <w:numId w:val="4"/>
              </w:numPr>
              <w:spacing w:line="360" w:lineRule="auto"/>
              <w:ind w:firstLine="480" w:firstLineChars="200"/>
              <w:rPr>
                <w:color w:val="auto"/>
                <w:sz w:val="24"/>
              </w:rPr>
            </w:pPr>
            <w:r>
              <w:rPr>
                <w:color w:val="auto"/>
                <w:sz w:val="24"/>
              </w:rPr>
              <w:t>常规</w:t>
            </w:r>
            <w:r>
              <w:rPr>
                <w:rFonts w:hint="eastAsia"/>
                <w:color w:val="auto"/>
                <w:sz w:val="24"/>
              </w:rPr>
              <w:t>污染物</w:t>
            </w:r>
          </w:p>
          <w:p w14:paraId="6E578A9E">
            <w:pPr>
              <w:pStyle w:val="41"/>
              <w:spacing w:beforeLines="0"/>
              <w:ind w:firstLine="480"/>
              <w:rPr>
                <w:rFonts w:ascii="Times New Roman" w:hAnsi="Times New Roman"/>
                <w:color w:val="auto"/>
                <w:sz w:val="24"/>
                <w:szCs w:val="32"/>
              </w:rPr>
            </w:pPr>
            <w:r>
              <w:rPr>
                <w:rFonts w:ascii="Times New Roman" w:hAnsi="Times New Roman"/>
                <w:color w:val="auto"/>
                <w:sz w:val="24"/>
                <w:szCs w:val="32"/>
              </w:rPr>
              <w:t>本项目位于宿州市，本次评价选取2024年作为评价基准年，根据国家“环境空气质量模型技术支持服务系统”中发布的2024年环境空气质量数据，项目所在区域环境空气质量现状如下，宿州市2024年SO</w:t>
            </w:r>
            <w:r>
              <w:rPr>
                <w:rFonts w:ascii="Times New Roman" w:hAnsi="Times New Roman"/>
                <w:color w:val="auto"/>
                <w:sz w:val="24"/>
                <w:szCs w:val="32"/>
                <w:vertAlign w:val="subscript"/>
              </w:rPr>
              <w:t>2</w:t>
            </w:r>
            <w:r>
              <w:rPr>
                <w:rFonts w:ascii="Times New Roman" w:hAnsi="Times New Roman"/>
                <w:color w:val="auto"/>
                <w:sz w:val="24"/>
                <w:szCs w:val="32"/>
              </w:rPr>
              <w:t>、NO</w:t>
            </w:r>
            <w:r>
              <w:rPr>
                <w:rFonts w:ascii="Times New Roman" w:hAnsi="Times New Roman"/>
                <w:color w:val="auto"/>
                <w:sz w:val="24"/>
                <w:szCs w:val="32"/>
                <w:vertAlign w:val="subscript"/>
              </w:rPr>
              <w:t>2</w:t>
            </w:r>
            <w:r>
              <w:rPr>
                <w:rFonts w:ascii="Times New Roman" w:hAnsi="Times New Roman"/>
                <w:color w:val="auto"/>
                <w:sz w:val="24"/>
                <w:szCs w:val="32"/>
              </w:rPr>
              <w:t>、PM</w:t>
            </w:r>
            <w:r>
              <w:rPr>
                <w:rFonts w:ascii="Times New Roman" w:hAnsi="Times New Roman"/>
                <w:color w:val="auto"/>
                <w:sz w:val="24"/>
                <w:szCs w:val="32"/>
                <w:vertAlign w:val="subscript"/>
              </w:rPr>
              <w:t>10</w:t>
            </w:r>
            <w:r>
              <w:rPr>
                <w:rFonts w:ascii="Times New Roman" w:hAnsi="Times New Roman"/>
                <w:color w:val="auto"/>
                <w:sz w:val="24"/>
                <w:szCs w:val="32"/>
              </w:rPr>
              <w:t>、PM</w:t>
            </w:r>
            <w:r>
              <w:rPr>
                <w:rFonts w:ascii="Times New Roman" w:hAnsi="Times New Roman"/>
                <w:color w:val="auto"/>
                <w:sz w:val="24"/>
                <w:szCs w:val="32"/>
                <w:vertAlign w:val="subscript"/>
              </w:rPr>
              <w:t>2.5</w:t>
            </w:r>
            <w:r>
              <w:rPr>
                <w:rFonts w:ascii="Times New Roman" w:hAnsi="Times New Roman"/>
                <w:color w:val="auto"/>
                <w:sz w:val="24"/>
                <w:szCs w:val="32"/>
              </w:rPr>
              <w:t>年均浓度分别为6 μg/m</w:t>
            </w:r>
            <w:r>
              <w:rPr>
                <w:rFonts w:ascii="Times New Roman" w:hAnsi="Times New Roman"/>
                <w:color w:val="auto"/>
                <w:sz w:val="24"/>
                <w:szCs w:val="32"/>
                <w:vertAlign w:val="superscript"/>
              </w:rPr>
              <w:t>3</w:t>
            </w:r>
            <w:r>
              <w:rPr>
                <w:rFonts w:ascii="Times New Roman" w:hAnsi="Times New Roman"/>
                <w:color w:val="auto"/>
                <w:sz w:val="24"/>
                <w:szCs w:val="32"/>
              </w:rPr>
              <w:t>、18 μg/m</w:t>
            </w:r>
            <w:r>
              <w:rPr>
                <w:rFonts w:ascii="Times New Roman" w:hAnsi="Times New Roman"/>
                <w:color w:val="auto"/>
                <w:sz w:val="24"/>
                <w:szCs w:val="32"/>
                <w:vertAlign w:val="superscript"/>
              </w:rPr>
              <w:t>3</w:t>
            </w:r>
            <w:r>
              <w:rPr>
                <w:rFonts w:ascii="Times New Roman" w:hAnsi="Times New Roman"/>
                <w:color w:val="auto"/>
                <w:sz w:val="24"/>
                <w:szCs w:val="32"/>
              </w:rPr>
              <w:t>、71μg/m</w:t>
            </w:r>
            <w:r>
              <w:rPr>
                <w:rFonts w:ascii="Times New Roman" w:hAnsi="Times New Roman"/>
                <w:color w:val="auto"/>
                <w:sz w:val="24"/>
                <w:szCs w:val="32"/>
                <w:vertAlign w:val="superscript"/>
              </w:rPr>
              <w:t>3</w:t>
            </w:r>
            <w:r>
              <w:rPr>
                <w:rFonts w:ascii="Times New Roman" w:hAnsi="Times New Roman"/>
                <w:color w:val="auto"/>
                <w:sz w:val="24"/>
                <w:szCs w:val="32"/>
              </w:rPr>
              <w:t>、43 μg/m</w:t>
            </w:r>
            <w:r>
              <w:rPr>
                <w:rFonts w:ascii="Times New Roman" w:hAnsi="Times New Roman"/>
                <w:color w:val="auto"/>
                <w:sz w:val="24"/>
                <w:szCs w:val="32"/>
                <w:vertAlign w:val="superscript"/>
              </w:rPr>
              <w:t>3</w:t>
            </w:r>
            <w:r>
              <w:rPr>
                <w:rFonts w:ascii="Times New Roman" w:hAnsi="Times New Roman"/>
                <w:color w:val="auto"/>
                <w:sz w:val="24"/>
                <w:szCs w:val="32"/>
              </w:rPr>
              <w:t>；CO24小时平均第95百分位数为0.9mg/m</w:t>
            </w:r>
            <w:r>
              <w:rPr>
                <w:rFonts w:ascii="Times New Roman" w:hAnsi="Times New Roman"/>
                <w:color w:val="auto"/>
                <w:sz w:val="24"/>
                <w:szCs w:val="32"/>
                <w:vertAlign w:val="superscript"/>
              </w:rPr>
              <w:t>3</w:t>
            </w:r>
            <w:r>
              <w:rPr>
                <w:rFonts w:ascii="Times New Roman" w:hAnsi="Times New Roman"/>
                <w:color w:val="auto"/>
                <w:sz w:val="24"/>
                <w:szCs w:val="32"/>
              </w:rPr>
              <w:t>，O</w:t>
            </w:r>
            <w:r>
              <w:rPr>
                <w:rFonts w:ascii="Times New Roman" w:hAnsi="Times New Roman"/>
                <w:color w:val="auto"/>
                <w:sz w:val="24"/>
                <w:szCs w:val="32"/>
                <w:vertAlign w:val="subscript"/>
              </w:rPr>
              <w:t>3</w:t>
            </w:r>
            <w:r>
              <w:rPr>
                <w:rFonts w:ascii="Times New Roman" w:hAnsi="Times New Roman"/>
                <w:color w:val="auto"/>
                <w:sz w:val="24"/>
                <w:szCs w:val="32"/>
              </w:rPr>
              <w:t>日最大8小时平均第90百分位数为170 μg/m</w:t>
            </w:r>
            <w:r>
              <w:rPr>
                <w:rFonts w:ascii="Times New Roman" w:hAnsi="Times New Roman"/>
                <w:color w:val="auto"/>
                <w:sz w:val="24"/>
                <w:szCs w:val="32"/>
                <w:vertAlign w:val="superscript"/>
              </w:rPr>
              <w:t>3</w:t>
            </w:r>
            <w:r>
              <w:rPr>
                <w:rFonts w:ascii="Times New Roman" w:hAnsi="Times New Roman"/>
                <w:color w:val="auto"/>
                <w:sz w:val="24"/>
                <w:szCs w:val="32"/>
              </w:rPr>
              <w:t>；超过《环境空气质量标准》（GB3095-2012）中二级标准限值的污染物为PM</w:t>
            </w:r>
            <w:r>
              <w:rPr>
                <w:rFonts w:ascii="Times New Roman" w:hAnsi="Times New Roman"/>
                <w:color w:val="auto"/>
                <w:sz w:val="24"/>
                <w:szCs w:val="32"/>
                <w:vertAlign w:val="subscript"/>
              </w:rPr>
              <w:t>10</w:t>
            </w:r>
            <w:r>
              <w:rPr>
                <w:rFonts w:ascii="Times New Roman" w:hAnsi="Times New Roman"/>
                <w:color w:val="auto"/>
                <w:sz w:val="24"/>
                <w:szCs w:val="32"/>
              </w:rPr>
              <w:t>、O</w:t>
            </w:r>
            <w:r>
              <w:rPr>
                <w:rFonts w:ascii="Times New Roman" w:hAnsi="Times New Roman"/>
                <w:color w:val="auto"/>
                <w:sz w:val="24"/>
                <w:szCs w:val="32"/>
                <w:vertAlign w:val="subscript"/>
              </w:rPr>
              <w:t>3</w:t>
            </w:r>
            <w:r>
              <w:rPr>
                <w:rFonts w:ascii="Times New Roman" w:hAnsi="Times New Roman"/>
                <w:color w:val="auto"/>
                <w:sz w:val="24"/>
                <w:szCs w:val="32"/>
              </w:rPr>
              <w:t>、PM</w:t>
            </w:r>
            <w:r>
              <w:rPr>
                <w:rFonts w:ascii="Times New Roman" w:hAnsi="Times New Roman"/>
                <w:color w:val="auto"/>
                <w:sz w:val="24"/>
                <w:szCs w:val="32"/>
                <w:vertAlign w:val="subscript"/>
              </w:rPr>
              <w:t>2.5</w:t>
            </w:r>
            <w:r>
              <w:rPr>
                <w:rFonts w:ascii="Times New Roman" w:hAnsi="Times New Roman"/>
                <w:color w:val="auto"/>
                <w:sz w:val="24"/>
                <w:szCs w:val="32"/>
              </w:rPr>
              <w:t>。宿州市2024年环境空气质量基础污染物监测浓度见下表：</w:t>
            </w:r>
          </w:p>
          <w:p w14:paraId="2F6DB9B9">
            <w:pPr>
              <w:jc w:val="center"/>
              <w:rPr>
                <w:b/>
                <w:color w:val="auto"/>
                <w:sz w:val="24"/>
              </w:rPr>
            </w:pPr>
            <w:r>
              <w:rPr>
                <w:b/>
                <w:color w:val="auto"/>
                <w:sz w:val="24"/>
                <w:szCs w:val="32"/>
              </w:rPr>
              <w:t>表3-1 区域空气质量现状评价表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74"/>
              <w:gridCol w:w="3144"/>
              <w:gridCol w:w="1191"/>
              <w:gridCol w:w="1066"/>
              <w:gridCol w:w="1100"/>
              <w:gridCol w:w="1034"/>
            </w:tblGrid>
            <w:tr w14:paraId="41C02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2" w:type="pct"/>
                  <w:tcBorders>
                    <w:top w:val="single" w:color="auto" w:sz="4" w:space="0"/>
                    <w:left w:val="single" w:color="auto" w:sz="4" w:space="0"/>
                    <w:bottom w:val="single" w:color="auto" w:sz="4" w:space="0"/>
                    <w:right w:val="single" w:color="auto" w:sz="4" w:space="0"/>
                  </w:tcBorders>
                  <w:vAlign w:val="center"/>
                </w:tcPr>
                <w:p w14:paraId="1F7ABE75">
                  <w:pPr>
                    <w:jc w:val="center"/>
                    <w:rPr>
                      <w:color w:val="auto"/>
                    </w:rPr>
                  </w:pPr>
                  <w:r>
                    <w:rPr>
                      <w:color w:val="auto"/>
                    </w:rPr>
                    <w:t>污染物</w:t>
                  </w:r>
                </w:p>
              </w:tc>
              <w:tc>
                <w:tcPr>
                  <w:tcW w:w="1846" w:type="pct"/>
                  <w:tcBorders>
                    <w:top w:val="single" w:color="auto" w:sz="4" w:space="0"/>
                    <w:left w:val="single" w:color="auto" w:sz="4" w:space="0"/>
                    <w:bottom w:val="single" w:color="auto" w:sz="4" w:space="0"/>
                    <w:right w:val="single" w:color="auto" w:sz="4" w:space="0"/>
                  </w:tcBorders>
                  <w:vAlign w:val="center"/>
                </w:tcPr>
                <w:p w14:paraId="42E95696">
                  <w:pPr>
                    <w:jc w:val="center"/>
                    <w:rPr>
                      <w:color w:val="auto"/>
                    </w:rPr>
                  </w:pPr>
                  <w:r>
                    <w:rPr>
                      <w:color w:val="auto"/>
                    </w:rPr>
                    <w:t>年评价指标</w:t>
                  </w:r>
                </w:p>
              </w:tc>
              <w:tc>
                <w:tcPr>
                  <w:tcW w:w="699" w:type="pct"/>
                  <w:tcBorders>
                    <w:top w:val="single" w:color="auto" w:sz="4" w:space="0"/>
                    <w:left w:val="single" w:color="auto" w:sz="4" w:space="0"/>
                    <w:bottom w:val="single" w:color="auto" w:sz="4" w:space="0"/>
                    <w:right w:val="single" w:color="auto" w:sz="4" w:space="0"/>
                  </w:tcBorders>
                  <w:vAlign w:val="center"/>
                </w:tcPr>
                <w:p w14:paraId="0CAB884B">
                  <w:pPr>
                    <w:jc w:val="center"/>
                    <w:rPr>
                      <w:color w:val="auto"/>
                      <w:szCs w:val="21"/>
                    </w:rPr>
                  </w:pPr>
                  <w:r>
                    <w:rPr>
                      <w:color w:val="auto"/>
                      <w:szCs w:val="21"/>
                    </w:rPr>
                    <w:t>现状浓度</w:t>
                  </w:r>
                </w:p>
                <w:p w14:paraId="2B9869E2">
                  <w:pPr>
                    <w:jc w:val="center"/>
                    <w:rPr>
                      <w:color w:val="auto"/>
                      <w:szCs w:val="21"/>
                    </w:rPr>
                  </w:pPr>
                  <w:r>
                    <w:rPr>
                      <w:color w:val="auto"/>
                      <w:szCs w:val="21"/>
                    </w:rPr>
                    <w:t>（μg/m</w:t>
                  </w:r>
                  <w:r>
                    <w:rPr>
                      <w:color w:val="auto"/>
                      <w:szCs w:val="21"/>
                      <w:vertAlign w:val="superscript"/>
                    </w:rPr>
                    <w:t>3</w:t>
                  </w:r>
                  <w:r>
                    <w:rPr>
                      <w:color w:val="auto"/>
                      <w:szCs w:val="21"/>
                    </w:rPr>
                    <w:t>）</w:t>
                  </w:r>
                </w:p>
              </w:tc>
              <w:tc>
                <w:tcPr>
                  <w:tcW w:w="626" w:type="pct"/>
                  <w:tcBorders>
                    <w:top w:val="single" w:color="auto" w:sz="4" w:space="0"/>
                    <w:left w:val="single" w:color="auto" w:sz="4" w:space="0"/>
                    <w:bottom w:val="single" w:color="auto" w:sz="4" w:space="0"/>
                    <w:right w:val="single" w:color="auto" w:sz="4" w:space="0"/>
                  </w:tcBorders>
                  <w:vAlign w:val="center"/>
                </w:tcPr>
                <w:p w14:paraId="1122C544">
                  <w:pPr>
                    <w:jc w:val="center"/>
                    <w:rPr>
                      <w:color w:val="auto"/>
                      <w:szCs w:val="21"/>
                    </w:rPr>
                  </w:pPr>
                  <w:r>
                    <w:rPr>
                      <w:color w:val="auto"/>
                      <w:szCs w:val="21"/>
                    </w:rPr>
                    <w:t>标准值</w:t>
                  </w:r>
                </w:p>
                <w:p w14:paraId="7DF68416">
                  <w:pPr>
                    <w:jc w:val="center"/>
                    <w:rPr>
                      <w:color w:val="auto"/>
                      <w:szCs w:val="21"/>
                    </w:rPr>
                  </w:pPr>
                  <w:r>
                    <w:rPr>
                      <w:color w:val="auto"/>
                      <w:szCs w:val="21"/>
                    </w:rPr>
                    <w:t>（μg/m</w:t>
                  </w:r>
                  <w:r>
                    <w:rPr>
                      <w:color w:val="auto"/>
                      <w:szCs w:val="21"/>
                      <w:vertAlign w:val="superscript"/>
                    </w:rPr>
                    <w:t>3</w:t>
                  </w:r>
                  <w:r>
                    <w:rPr>
                      <w:color w:val="auto"/>
                      <w:szCs w:val="21"/>
                    </w:rPr>
                    <w:t>）</w:t>
                  </w:r>
                </w:p>
              </w:tc>
              <w:tc>
                <w:tcPr>
                  <w:tcW w:w="646" w:type="pct"/>
                  <w:tcBorders>
                    <w:top w:val="single" w:color="auto" w:sz="4" w:space="0"/>
                    <w:left w:val="single" w:color="auto" w:sz="4" w:space="0"/>
                    <w:bottom w:val="single" w:color="auto" w:sz="4" w:space="0"/>
                    <w:right w:val="single" w:color="auto" w:sz="4" w:space="0"/>
                  </w:tcBorders>
                  <w:vAlign w:val="center"/>
                </w:tcPr>
                <w:p w14:paraId="75363DA5">
                  <w:pPr>
                    <w:jc w:val="center"/>
                    <w:rPr>
                      <w:color w:val="auto"/>
                    </w:rPr>
                  </w:pPr>
                  <w:r>
                    <w:rPr>
                      <w:color w:val="auto"/>
                    </w:rPr>
                    <w:t>占标率</w:t>
                  </w:r>
                </w:p>
                <w:p w14:paraId="3CE7D44F">
                  <w:pPr>
                    <w:jc w:val="center"/>
                    <w:rPr>
                      <w:color w:val="auto"/>
                    </w:rPr>
                  </w:pPr>
                  <w:r>
                    <w:rPr>
                      <w:color w:val="auto"/>
                    </w:rPr>
                    <w:t>(%)</w:t>
                  </w:r>
                </w:p>
              </w:tc>
              <w:tc>
                <w:tcPr>
                  <w:tcW w:w="607" w:type="pct"/>
                  <w:tcBorders>
                    <w:top w:val="single" w:color="auto" w:sz="4" w:space="0"/>
                    <w:left w:val="single" w:color="auto" w:sz="4" w:space="0"/>
                    <w:bottom w:val="single" w:color="auto" w:sz="4" w:space="0"/>
                    <w:right w:val="single" w:color="auto" w:sz="4" w:space="0"/>
                  </w:tcBorders>
                  <w:vAlign w:val="center"/>
                </w:tcPr>
                <w:p w14:paraId="24C8ADCC">
                  <w:pPr>
                    <w:jc w:val="center"/>
                    <w:rPr>
                      <w:color w:val="auto"/>
                    </w:rPr>
                  </w:pPr>
                  <w:r>
                    <w:rPr>
                      <w:color w:val="auto"/>
                    </w:rPr>
                    <w:t>达标情况</w:t>
                  </w:r>
                </w:p>
              </w:tc>
            </w:tr>
            <w:tr w14:paraId="55364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2" w:type="pct"/>
                  <w:tcBorders>
                    <w:top w:val="single" w:color="auto" w:sz="4" w:space="0"/>
                    <w:left w:val="single" w:color="auto" w:sz="4" w:space="0"/>
                    <w:bottom w:val="single" w:color="auto" w:sz="4" w:space="0"/>
                    <w:right w:val="single" w:color="auto" w:sz="4" w:space="0"/>
                  </w:tcBorders>
                  <w:vAlign w:val="center"/>
                </w:tcPr>
                <w:p w14:paraId="04E8F512">
                  <w:pPr>
                    <w:jc w:val="center"/>
                    <w:rPr>
                      <w:color w:val="auto"/>
                    </w:rPr>
                  </w:pPr>
                  <w:r>
                    <w:rPr>
                      <w:color w:val="auto"/>
                    </w:rPr>
                    <w:t>SO</w:t>
                  </w:r>
                  <w:r>
                    <w:rPr>
                      <w:color w:val="auto"/>
                      <w:vertAlign w:val="subscript"/>
                    </w:rPr>
                    <w:t>2</w:t>
                  </w:r>
                </w:p>
              </w:tc>
              <w:tc>
                <w:tcPr>
                  <w:tcW w:w="1846" w:type="pct"/>
                  <w:tcBorders>
                    <w:top w:val="single" w:color="auto" w:sz="4" w:space="0"/>
                    <w:left w:val="single" w:color="auto" w:sz="4" w:space="0"/>
                    <w:bottom w:val="single" w:color="auto" w:sz="4" w:space="0"/>
                    <w:right w:val="single" w:color="auto" w:sz="4" w:space="0"/>
                  </w:tcBorders>
                  <w:vAlign w:val="center"/>
                </w:tcPr>
                <w:p w14:paraId="780E600B">
                  <w:pPr>
                    <w:jc w:val="center"/>
                    <w:rPr>
                      <w:color w:val="auto"/>
                    </w:rPr>
                  </w:pPr>
                  <w:r>
                    <w:rPr>
                      <w:color w:val="auto"/>
                    </w:rPr>
                    <w:t>平均质量浓度</w:t>
                  </w:r>
                </w:p>
              </w:tc>
              <w:tc>
                <w:tcPr>
                  <w:tcW w:w="699" w:type="pct"/>
                  <w:tcBorders>
                    <w:top w:val="single" w:color="auto" w:sz="4" w:space="0"/>
                    <w:left w:val="single" w:color="auto" w:sz="4" w:space="0"/>
                    <w:bottom w:val="single" w:color="auto" w:sz="4" w:space="0"/>
                    <w:right w:val="single" w:color="auto" w:sz="4" w:space="0"/>
                  </w:tcBorders>
                  <w:vAlign w:val="center"/>
                </w:tcPr>
                <w:p w14:paraId="5A878227">
                  <w:pPr>
                    <w:jc w:val="center"/>
                    <w:rPr>
                      <w:color w:val="auto"/>
                    </w:rPr>
                  </w:pPr>
                  <w:r>
                    <w:rPr>
                      <w:color w:val="auto"/>
                    </w:rPr>
                    <w:t>6</w:t>
                  </w:r>
                </w:p>
              </w:tc>
              <w:tc>
                <w:tcPr>
                  <w:tcW w:w="626" w:type="pct"/>
                  <w:tcBorders>
                    <w:top w:val="single" w:color="auto" w:sz="4" w:space="0"/>
                    <w:left w:val="single" w:color="auto" w:sz="4" w:space="0"/>
                    <w:bottom w:val="single" w:color="auto" w:sz="4" w:space="0"/>
                    <w:right w:val="single" w:color="auto" w:sz="4" w:space="0"/>
                  </w:tcBorders>
                  <w:vAlign w:val="center"/>
                </w:tcPr>
                <w:p w14:paraId="1B98EB43">
                  <w:pPr>
                    <w:jc w:val="center"/>
                    <w:rPr>
                      <w:color w:val="auto"/>
                    </w:rPr>
                  </w:pPr>
                  <w:r>
                    <w:rPr>
                      <w:color w:val="auto"/>
                    </w:rPr>
                    <w:t>60</w:t>
                  </w:r>
                </w:p>
              </w:tc>
              <w:tc>
                <w:tcPr>
                  <w:tcW w:w="1146" w:type="dxa"/>
                  <w:tcBorders>
                    <w:top w:val="single" w:color="auto" w:sz="4" w:space="0"/>
                    <w:left w:val="single" w:color="auto" w:sz="4" w:space="0"/>
                    <w:bottom w:val="single" w:color="auto" w:sz="4" w:space="0"/>
                    <w:right w:val="single" w:color="auto" w:sz="4" w:space="0"/>
                  </w:tcBorders>
                  <w:vAlign w:val="center"/>
                </w:tcPr>
                <w:p w14:paraId="54861BB1">
                  <w:pPr>
                    <w:jc w:val="center"/>
                    <w:rPr>
                      <w:color w:val="auto"/>
                    </w:rPr>
                  </w:pPr>
                  <w:r>
                    <w:rPr>
                      <w:color w:val="auto"/>
                    </w:rPr>
                    <w:t>10</w:t>
                  </w:r>
                </w:p>
              </w:tc>
              <w:tc>
                <w:tcPr>
                  <w:tcW w:w="607" w:type="pct"/>
                  <w:tcBorders>
                    <w:top w:val="single" w:color="auto" w:sz="4" w:space="0"/>
                    <w:left w:val="single" w:color="auto" w:sz="4" w:space="0"/>
                    <w:bottom w:val="single" w:color="auto" w:sz="4" w:space="0"/>
                    <w:right w:val="single" w:color="auto" w:sz="4" w:space="0"/>
                  </w:tcBorders>
                  <w:vAlign w:val="center"/>
                </w:tcPr>
                <w:p w14:paraId="37E1318A">
                  <w:pPr>
                    <w:jc w:val="center"/>
                    <w:rPr>
                      <w:color w:val="auto"/>
                    </w:rPr>
                  </w:pPr>
                  <w:r>
                    <w:rPr>
                      <w:color w:val="auto"/>
                    </w:rPr>
                    <w:t>达标</w:t>
                  </w:r>
                </w:p>
              </w:tc>
            </w:tr>
            <w:tr w14:paraId="5D908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2"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E1960A5">
                  <w:pPr>
                    <w:jc w:val="center"/>
                    <w:rPr>
                      <w:color w:val="auto"/>
                    </w:rPr>
                  </w:pPr>
                  <w:r>
                    <w:rPr>
                      <w:color w:val="auto"/>
                    </w:rPr>
                    <w:t>NO</w:t>
                  </w:r>
                  <w:r>
                    <w:rPr>
                      <w:color w:val="auto"/>
                      <w:vertAlign w:val="subscript"/>
                    </w:rPr>
                    <w:t>2</w:t>
                  </w:r>
                </w:p>
              </w:tc>
              <w:tc>
                <w:tcPr>
                  <w:tcW w:w="1846"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E9D4DCB">
                  <w:pPr>
                    <w:jc w:val="center"/>
                    <w:rPr>
                      <w:color w:val="auto"/>
                    </w:rPr>
                  </w:pPr>
                  <w:r>
                    <w:rPr>
                      <w:color w:val="auto"/>
                    </w:rPr>
                    <w:t>平均质量浓度</w:t>
                  </w:r>
                </w:p>
              </w:tc>
              <w:tc>
                <w:tcPr>
                  <w:tcW w:w="699"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3BE32E6">
                  <w:pPr>
                    <w:jc w:val="center"/>
                    <w:rPr>
                      <w:color w:val="auto"/>
                    </w:rPr>
                  </w:pPr>
                  <w:r>
                    <w:rPr>
                      <w:color w:val="auto"/>
                    </w:rPr>
                    <w:t>18</w:t>
                  </w:r>
                </w:p>
              </w:tc>
              <w:tc>
                <w:tcPr>
                  <w:tcW w:w="626"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2B36657">
                  <w:pPr>
                    <w:jc w:val="center"/>
                    <w:rPr>
                      <w:color w:val="auto"/>
                    </w:rPr>
                  </w:pPr>
                  <w:r>
                    <w:rPr>
                      <w:color w:val="auto"/>
                    </w:rPr>
                    <w:t>40</w:t>
                  </w:r>
                </w:p>
              </w:tc>
              <w:tc>
                <w:tcPr>
                  <w:tcW w:w="114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769E7B5">
                  <w:pPr>
                    <w:jc w:val="center"/>
                    <w:rPr>
                      <w:color w:val="auto"/>
                    </w:rPr>
                  </w:pPr>
                  <w:r>
                    <w:rPr>
                      <w:color w:val="auto"/>
                    </w:rPr>
                    <w:t>45</w:t>
                  </w:r>
                </w:p>
              </w:tc>
              <w:tc>
                <w:tcPr>
                  <w:tcW w:w="607"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4EAC4E6">
                  <w:pPr>
                    <w:jc w:val="center"/>
                    <w:rPr>
                      <w:color w:val="auto"/>
                    </w:rPr>
                  </w:pPr>
                  <w:r>
                    <w:rPr>
                      <w:color w:val="auto"/>
                    </w:rPr>
                    <w:t>达标</w:t>
                  </w:r>
                </w:p>
              </w:tc>
            </w:tr>
            <w:tr w14:paraId="64437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2"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C154878">
                  <w:pPr>
                    <w:jc w:val="center"/>
                    <w:rPr>
                      <w:color w:val="auto"/>
                    </w:rPr>
                  </w:pPr>
                  <w:r>
                    <w:rPr>
                      <w:color w:val="auto"/>
                    </w:rPr>
                    <w:t>PM</w:t>
                  </w:r>
                  <w:r>
                    <w:rPr>
                      <w:color w:val="auto"/>
                      <w:vertAlign w:val="subscript"/>
                    </w:rPr>
                    <w:t>10</w:t>
                  </w:r>
                </w:p>
              </w:tc>
              <w:tc>
                <w:tcPr>
                  <w:tcW w:w="1846"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789ECCD">
                  <w:pPr>
                    <w:jc w:val="center"/>
                    <w:rPr>
                      <w:color w:val="auto"/>
                    </w:rPr>
                  </w:pPr>
                  <w:r>
                    <w:rPr>
                      <w:color w:val="auto"/>
                    </w:rPr>
                    <w:t>平均质量浓度</w:t>
                  </w:r>
                </w:p>
              </w:tc>
              <w:tc>
                <w:tcPr>
                  <w:tcW w:w="699"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14E39B4">
                  <w:pPr>
                    <w:jc w:val="center"/>
                    <w:rPr>
                      <w:color w:val="auto"/>
                    </w:rPr>
                  </w:pPr>
                  <w:r>
                    <w:rPr>
                      <w:color w:val="auto"/>
                    </w:rPr>
                    <w:t>71</w:t>
                  </w:r>
                </w:p>
              </w:tc>
              <w:tc>
                <w:tcPr>
                  <w:tcW w:w="626"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108A84C">
                  <w:pPr>
                    <w:jc w:val="center"/>
                    <w:rPr>
                      <w:color w:val="auto"/>
                    </w:rPr>
                  </w:pPr>
                  <w:r>
                    <w:rPr>
                      <w:color w:val="auto"/>
                    </w:rPr>
                    <w:t>70</w:t>
                  </w:r>
                </w:p>
              </w:tc>
              <w:tc>
                <w:tcPr>
                  <w:tcW w:w="114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42D59D5">
                  <w:pPr>
                    <w:jc w:val="center"/>
                    <w:rPr>
                      <w:color w:val="auto"/>
                    </w:rPr>
                  </w:pPr>
                  <w:r>
                    <w:rPr>
                      <w:color w:val="auto"/>
                    </w:rPr>
                    <w:t>101.4</w:t>
                  </w:r>
                </w:p>
              </w:tc>
              <w:tc>
                <w:tcPr>
                  <w:tcW w:w="607"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ADBFB45">
                  <w:pPr>
                    <w:jc w:val="center"/>
                    <w:rPr>
                      <w:color w:val="auto"/>
                    </w:rPr>
                  </w:pPr>
                  <w:r>
                    <w:rPr>
                      <w:color w:val="auto"/>
                    </w:rPr>
                    <w:t>不达标</w:t>
                  </w:r>
                </w:p>
              </w:tc>
            </w:tr>
            <w:tr w14:paraId="7B476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2"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C2FA614">
                  <w:pPr>
                    <w:jc w:val="center"/>
                    <w:rPr>
                      <w:color w:val="auto"/>
                    </w:rPr>
                  </w:pPr>
                  <w:r>
                    <w:rPr>
                      <w:color w:val="auto"/>
                    </w:rPr>
                    <w:t>PM</w:t>
                  </w:r>
                  <w:r>
                    <w:rPr>
                      <w:color w:val="auto"/>
                      <w:vertAlign w:val="subscript"/>
                    </w:rPr>
                    <w:t>2.5</w:t>
                  </w:r>
                </w:p>
              </w:tc>
              <w:tc>
                <w:tcPr>
                  <w:tcW w:w="1846"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B02FAD3">
                  <w:pPr>
                    <w:jc w:val="center"/>
                    <w:rPr>
                      <w:color w:val="auto"/>
                    </w:rPr>
                  </w:pPr>
                  <w:r>
                    <w:rPr>
                      <w:color w:val="auto"/>
                    </w:rPr>
                    <w:t>平均质量浓度</w:t>
                  </w:r>
                </w:p>
              </w:tc>
              <w:tc>
                <w:tcPr>
                  <w:tcW w:w="699"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C5D34E9">
                  <w:pPr>
                    <w:jc w:val="center"/>
                    <w:rPr>
                      <w:color w:val="auto"/>
                    </w:rPr>
                  </w:pPr>
                  <w:r>
                    <w:rPr>
                      <w:color w:val="auto"/>
                    </w:rPr>
                    <w:t>43</w:t>
                  </w:r>
                </w:p>
              </w:tc>
              <w:tc>
                <w:tcPr>
                  <w:tcW w:w="626"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EC3BAB0">
                  <w:pPr>
                    <w:jc w:val="center"/>
                    <w:rPr>
                      <w:color w:val="auto"/>
                    </w:rPr>
                  </w:pPr>
                  <w:r>
                    <w:rPr>
                      <w:color w:val="auto"/>
                    </w:rPr>
                    <w:t>35</w:t>
                  </w:r>
                </w:p>
              </w:tc>
              <w:tc>
                <w:tcPr>
                  <w:tcW w:w="114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5DDEF4B">
                  <w:pPr>
                    <w:jc w:val="center"/>
                    <w:rPr>
                      <w:color w:val="auto"/>
                    </w:rPr>
                  </w:pPr>
                  <w:r>
                    <w:rPr>
                      <w:color w:val="auto"/>
                    </w:rPr>
                    <w:t>122.9</w:t>
                  </w:r>
                </w:p>
              </w:tc>
              <w:tc>
                <w:tcPr>
                  <w:tcW w:w="607"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E31E5BE">
                  <w:pPr>
                    <w:jc w:val="center"/>
                    <w:rPr>
                      <w:color w:val="auto"/>
                    </w:rPr>
                  </w:pPr>
                  <w:r>
                    <w:rPr>
                      <w:color w:val="auto"/>
                    </w:rPr>
                    <w:t>不达标</w:t>
                  </w:r>
                </w:p>
              </w:tc>
            </w:tr>
            <w:tr w14:paraId="5E929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2"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D4D987C">
                  <w:pPr>
                    <w:jc w:val="center"/>
                    <w:rPr>
                      <w:color w:val="auto"/>
                    </w:rPr>
                  </w:pPr>
                  <w:r>
                    <w:rPr>
                      <w:color w:val="auto"/>
                    </w:rPr>
                    <w:t>CO</w:t>
                  </w:r>
                </w:p>
              </w:tc>
              <w:tc>
                <w:tcPr>
                  <w:tcW w:w="1846"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4DFD259">
                  <w:pPr>
                    <w:jc w:val="center"/>
                    <w:rPr>
                      <w:color w:val="auto"/>
                    </w:rPr>
                  </w:pPr>
                  <w:r>
                    <w:rPr>
                      <w:color w:val="auto"/>
                    </w:rPr>
                    <w:t>24小时平均第95百分位数</w:t>
                  </w:r>
                </w:p>
              </w:tc>
              <w:tc>
                <w:tcPr>
                  <w:tcW w:w="699"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9955934">
                  <w:pPr>
                    <w:jc w:val="center"/>
                    <w:rPr>
                      <w:color w:val="auto"/>
                    </w:rPr>
                  </w:pPr>
                  <w:r>
                    <w:rPr>
                      <w:color w:val="auto"/>
                    </w:rPr>
                    <w:t>900</w:t>
                  </w:r>
                </w:p>
              </w:tc>
              <w:tc>
                <w:tcPr>
                  <w:tcW w:w="626"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18BF490">
                  <w:pPr>
                    <w:jc w:val="center"/>
                    <w:rPr>
                      <w:color w:val="auto"/>
                    </w:rPr>
                  </w:pPr>
                  <w:r>
                    <w:rPr>
                      <w:color w:val="auto"/>
                    </w:rPr>
                    <w:t>4000</w:t>
                  </w:r>
                </w:p>
              </w:tc>
              <w:tc>
                <w:tcPr>
                  <w:tcW w:w="114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131F587">
                  <w:pPr>
                    <w:jc w:val="center"/>
                    <w:rPr>
                      <w:color w:val="auto"/>
                    </w:rPr>
                  </w:pPr>
                  <w:r>
                    <w:rPr>
                      <w:color w:val="auto"/>
                    </w:rPr>
                    <w:t>22.5</w:t>
                  </w:r>
                </w:p>
              </w:tc>
              <w:tc>
                <w:tcPr>
                  <w:tcW w:w="607"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4A5253E">
                  <w:pPr>
                    <w:jc w:val="center"/>
                    <w:rPr>
                      <w:color w:val="auto"/>
                    </w:rPr>
                  </w:pPr>
                  <w:r>
                    <w:rPr>
                      <w:color w:val="auto"/>
                    </w:rPr>
                    <w:t>达标</w:t>
                  </w:r>
                </w:p>
              </w:tc>
            </w:tr>
            <w:tr w14:paraId="704A3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2"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89B60E8">
                  <w:pPr>
                    <w:jc w:val="center"/>
                    <w:rPr>
                      <w:color w:val="auto"/>
                    </w:rPr>
                  </w:pPr>
                  <w:r>
                    <w:rPr>
                      <w:color w:val="auto"/>
                    </w:rPr>
                    <w:t>O</w:t>
                  </w:r>
                  <w:r>
                    <w:rPr>
                      <w:color w:val="auto"/>
                      <w:vertAlign w:val="subscript"/>
                    </w:rPr>
                    <w:t>3</w:t>
                  </w:r>
                </w:p>
              </w:tc>
              <w:tc>
                <w:tcPr>
                  <w:tcW w:w="1846"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BE17295">
                  <w:pPr>
                    <w:jc w:val="center"/>
                    <w:rPr>
                      <w:color w:val="auto"/>
                    </w:rPr>
                  </w:pPr>
                  <w:r>
                    <w:rPr>
                      <w:color w:val="auto"/>
                    </w:rPr>
                    <w:t>日最大8小时平均第90百分位数</w:t>
                  </w:r>
                </w:p>
              </w:tc>
              <w:tc>
                <w:tcPr>
                  <w:tcW w:w="699"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2F590D9">
                  <w:pPr>
                    <w:jc w:val="center"/>
                    <w:rPr>
                      <w:color w:val="auto"/>
                    </w:rPr>
                  </w:pPr>
                  <w:r>
                    <w:rPr>
                      <w:color w:val="auto"/>
                    </w:rPr>
                    <w:t>170</w:t>
                  </w:r>
                </w:p>
              </w:tc>
              <w:tc>
                <w:tcPr>
                  <w:tcW w:w="626"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1C2C30E">
                  <w:pPr>
                    <w:jc w:val="center"/>
                    <w:rPr>
                      <w:color w:val="auto"/>
                    </w:rPr>
                  </w:pPr>
                  <w:r>
                    <w:rPr>
                      <w:color w:val="auto"/>
                    </w:rPr>
                    <w:t>160</w:t>
                  </w:r>
                </w:p>
              </w:tc>
              <w:tc>
                <w:tcPr>
                  <w:tcW w:w="114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7C1AAFB">
                  <w:pPr>
                    <w:jc w:val="center"/>
                    <w:rPr>
                      <w:color w:val="auto"/>
                    </w:rPr>
                  </w:pPr>
                  <w:r>
                    <w:rPr>
                      <w:color w:val="auto"/>
                    </w:rPr>
                    <w:t>106.3</w:t>
                  </w:r>
                </w:p>
              </w:tc>
              <w:tc>
                <w:tcPr>
                  <w:tcW w:w="607"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BC9302E">
                  <w:pPr>
                    <w:jc w:val="center"/>
                    <w:rPr>
                      <w:color w:val="auto"/>
                    </w:rPr>
                  </w:pPr>
                  <w:r>
                    <w:rPr>
                      <w:color w:val="auto"/>
                    </w:rPr>
                    <w:t>不达标</w:t>
                  </w:r>
                </w:p>
              </w:tc>
            </w:tr>
          </w:tbl>
          <w:p w14:paraId="6AF0F17C">
            <w:pPr>
              <w:shd w:val="clear" w:color="auto" w:fill="FFFFFF"/>
              <w:spacing w:line="360" w:lineRule="auto"/>
              <w:ind w:firstLine="480" w:firstLineChars="200"/>
              <w:rPr>
                <w:color w:val="auto"/>
                <w:sz w:val="24"/>
              </w:rPr>
            </w:pPr>
            <w:r>
              <w:rPr>
                <w:color w:val="auto"/>
                <w:sz w:val="24"/>
              </w:rPr>
              <w:t>由上表可知，宿州市2024年环境空气中SO</w:t>
            </w:r>
            <w:r>
              <w:rPr>
                <w:color w:val="auto"/>
                <w:sz w:val="24"/>
                <w:vertAlign w:val="subscript"/>
              </w:rPr>
              <w:t>2</w:t>
            </w:r>
            <w:r>
              <w:rPr>
                <w:color w:val="auto"/>
                <w:sz w:val="24"/>
              </w:rPr>
              <w:t>年均值、NO</w:t>
            </w:r>
            <w:r>
              <w:rPr>
                <w:color w:val="auto"/>
                <w:sz w:val="24"/>
                <w:vertAlign w:val="subscript"/>
              </w:rPr>
              <w:t>2</w:t>
            </w:r>
            <w:r>
              <w:rPr>
                <w:color w:val="auto"/>
                <w:sz w:val="24"/>
              </w:rPr>
              <w:t>年均值、CO 24小时平均第95百分位数、均达到《环境空气质量标准》（GB3095-2012）中二级标准；PM</w:t>
            </w:r>
            <w:r>
              <w:rPr>
                <w:color w:val="auto"/>
                <w:sz w:val="24"/>
                <w:vertAlign w:val="subscript"/>
              </w:rPr>
              <w:t>2.5</w:t>
            </w:r>
            <w:r>
              <w:rPr>
                <w:color w:val="auto"/>
                <w:sz w:val="24"/>
              </w:rPr>
              <w:t>平均值、PM</w:t>
            </w:r>
            <w:r>
              <w:rPr>
                <w:color w:val="auto"/>
                <w:sz w:val="24"/>
                <w:vertAlign w:val="subscript"/>
              </w:rPr>
              <w:t>10</w:t>
            </w:r>
            <w:r>
              <w:rPr>
                <w:color w:val="auto"/>
                <w:sz w:val="24"/>
              </w:rPr>
              <w:t>平均值、</w:t>
            </w:r>
            <w:r>
              <w:rPr>
                <w:color w:val="auto"/>
                <w:sz w:val="24"/>
                <w:szCs w:val="32"/>
              </w:rPr>
              <w:t>O</w:t>
            </w:r>
            <w:r>
              <w:rPr>
                <w:color w:val="auto"/>
                <w:sz w:val="24"/>
                <w:szCs w:val="32"/>
                <w:vertAlign w:val="subscript"/>
              </w:rPr>
              <w:t>3</w:t>
            </w:r>
            <w:r>
              <w:rPr>
                <w:color w:val="auto"/>
                <w:sz w:val="24"/>
                <w:szCs w:val="32"/>
              </w:rPr>
              <w:t>日最大8小时平均第90百分位数值</w:t>
            </w:r>
            <w:r>
              <w:rPr>
                <w:color w:val="auto"/>
                <w:sz w:val="24"/>
              </w:rPr>
              <w:t>超过《环境空气质量标准》（GB3095-2012）中二级标准，因此判定为不达标</w:t>
            </w:r>
            <w:r>
              <w:rPr>
                <w:color w:val="auto"/>
                <w:sz w:val="24"/>
                <w:szCs w:val="32"/>
              </w:rPr>
              <w:t>区。</w:t>
            </w:r>
          </w:p>
          <w:p w14:paraId="386D10DE">
            <w:pPr>
              <w:numPr>
                <w:ilvl w:val="0"/>
                <w:numId w:val="4"/>
              </w:numPr>
              <w:spacing w:line="360" w:lineRule="auto"/>
              <w:ind w:firstLine="480" w:firstLineChars="200"/>
              <w:rPr>
                <w:color w:val="auto"/>
                <w:sz w:val="24"/>
              </w:rPr>
            </w:pPr>
            <w:r>
              <w:rPr>
                <w:color w:val="auto"/>
                <w:sz w:val="24"/>
              </w:rPr>
              <w:t>特征污染物</w:t>
            </w:r>
          </w:p>
          <w:p w14:paraId="4B2CE100">
            <w:pPr>
              <w:spacing w:line="360" w:lineRule="auto"/>
              <w:ind w:firstLine="480" w:firstLineChars="200"/>
              <w:rPr>
                <w:color w:val="auto"/>
                <w:sz w:val="24"/>
              </w:rPr>
            </w:pPr>
            <w:r>
              <w:rPr>
                <w:color w:val="auto"/>
                <w:sz w:val="24"/>
              </w:rPr>
              <w:t>本项目</w:t>
            </w:r>
            <w:r>
              <w:rPr>
                <w:rFonts w:hint="eastAsia"/>
                <w:color w:val="auto"/>
                <w:sz w:val="24"/>
              </w:rPr>
              <w:t>TSP</w:t>
            </w:r>
            <w:r>
              <w:rPr>
                <w:color w:val="auto"/>
                <w:sz w:val="24"/>
              </w:rPr>
              <w:t>引用《</w:t>
            </w:r>
            <w:r>
              <w:rPr>
                <w:rFonts w:hint="eastAsia"/>
                <w:color w:val="auto"/>
                <w:sz w:val="24"/>
              </w:rPr>
              <w:t>安徽腾云新材料科技有限公司碳纤维产品生产项目</w:t>
            </w:r>
            <w:r>
              <w:rPr>
                <w:color w:val="auto"/>
                <w:sz w:val="24"/>
              </w:rPr>
              <w:t>》</w:t>
            </w:r>
            <w:r>
              <w:rPr>
                <w:rFonts w:hint="eastAsia"/>
                <w:color w:val="auto"/>
                <w:sz w:val="24"/>
              </w:rPr>
              <w:t>环评现状检测中G2点阎店村数据。</w:t>
            </w:r>
            <w:r>
              <w:rPr>
                <w:color w:val="auto"/>
                <w:sz w:val="24"/>
              </w:rPr>
              <w:t>本项目距离</w:t>
            </w:r>
            <w:r>
              <w:rPr>
                <w:rFonts w:hint="eastAsia"/>
                <w:color w:val="auto"/>
                <w:sz w:val="24"/>
              </w:rPr>
              <w:t>阎店村为3639</w:t>
            </w:r>
            <w:r>
              <w:rPr>
                <w:color w:val="auto"/>
                <w:sz w:val="24"/>
              </w:rPr>
              <w:t>m；根据《建设项目环境影响报告表编制技术指南》（污染影响类）要求</w:t>
            </w:r>
            <w:r>
              <w:rPr>
                <w:rFonts w:hint="eastAsia"/>
                <w:color w:val="auto"/>
                <w:sz w:val="24"/>
              </w:rPr>
              <w:t>：</w:t>
            </w:r>
            <w:r>
              <w:rPr>
                <w:color w:val="auto"/>
                <w:sz w:val="24"/>
                <w:lang w:bidi="ar"/>
              </w:rPr>
              <w:t>排放国家、地方环境空气质量标准中有标准限值要求的特征污染物时，引用建设项目周边5千米范围内近3年的现有监测数据</w:t>
            </w:r>
            <w:r>
              <w:rPr>
                <w:rFonts w:hint="eastAsia"/>
                <w:color w:val="auto"/>
                <w:sz w:val="24"/>
                <w:lang w:bidi="ar"/>
              </w:rPr>
              <w:t>。</w:t>
            </w:r>
            <w:r>
              <w:rPr>
                <w:color w:val="auto"/>
                <w:sz w:val="24"/>
              </w:rPr>
              <w:t>本项目环境质量现状监测引用该项目现状监测数据是可行的。</w:t>
            </w:r>
          </w:p>
          <w:p w14:paraId="13C09A5D">
            <w:pPr>
              <w:spacing w:line="360" w:lineRule="auto"/>
              <w:ind w:firstLine="480" w:firstLineChars="200"/>
              <w:rPr>
                <w:color w:val="auto"/>
                <w:sz w:val="24"/>
              </w:rPr>
            </w:pPr>
            <w:r>
              <w:rPr>
                <w:rFonts w:hint="eastAsia"/>
                <w:color w:val="auto"/>
                <w:sz w:val="24"/>
              </w:rPr>
              <w:t>①监测点位</w:t>
            </w:r>
          </w:p>
          <w:p w14:paraId="5EEEA1B3">
            <w:pPr>
              <w:spacing w:line="360" w:lineRule="auto"/>
              <w:ind w:firstLine="480" w:firstLineChars="200"/>
              <w:rPr>
                <w:color w:val="auto"/>
                <w:sz w:val="24"/>
              </w:rPr>
            </w:pPr>
            <w:r>
              <w:rPr>
                <w:rFonts w:hint="eastAsia"/>
                <w:color w:val="auto"/>
                <w:sz w:val="24"/>
              </w:rPr>
              <w:t>大气环境质量现状监测布点详见下表。</w:t>
            </w:r>
          </w:p>
          <w:p w14:paraId="03BE278C">
            <w:pPr>
              <w:tabs>
                <w:tab w:val="left" w:pos="0"/>
              </w:tabs>
              <w:jc w:val="center"/>
              <w:rPr>
                <w:b/>
                <w:bCs/>
                <w:color w:val="auto"/>
                <w:sz w:val="24"/>
              </w:rPr>
            </w:pPr>
            <w:r>
              <w:rPr>
                <w:b/>
                <w:bCs/>
                <w:color w:val="auto"/>
                <w:sz w:val="24"/>
              </w:rPr>
              <w:t>表3-</w:t>
            </w:r>
            <w:r>
              <w:rPr>
                <w:rFonts w:hint="eastAsia"/>
                <w:b/>
                <w:bCs/>
                <w:color w:val="auto"/>
                <w:sz w:val="24"/>
              </w:rPr>
              <w:t>2</w:t>
            </w:r>
            <w:r>
              <w:rPr>
                <w:b/>
                <w:bCs/>
                <w:color w:val="auto"/>
                <w:sz w:val="24"/>
              </w:rPr>
              <w:t xml:space="preserve">  环境空气现状监测点位布设</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1"/>
              <w:gridCol w:w="3383"/>
              <w:gridCol w:w="1845"/>
              <w:gridCol w:w="2127"/>
            </w:tblGrid>
            <w:tr w14:paraId="09A9A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Align w:val="center"/>
                </w:tcPr>
                <w:p w14:paraId="30FFDF55">
                  <w:pPr>
                    <w:pStyle w:val="43"/>
                    <w:rPr>
                      <w:color w:val="auto"/>
                      <w:szCs w:val="20"/>
                    </w:rPr>
                  </w:pPr>
                  <w:r>
                    <w:rPr>
                      <w:color w:val="auto"/>
                      <w:szCs w:val="20"/>
                    </w:rPr>
                    <w:t>序号</w:t>
                  </w:r>
                </w:p>
              </w:tc>
              <w:tc>
                <w:tcPr>
                  <w:tcW w:w="1988" w:type="pct"/>
                  <w:vAlign w:val="center"/>
                </w:tcPr>
                <w:p w14:paraId="63277F91">
                  <w:pPr>
                    <w:pStyle w:val="43"/>
                    <w:rPr>
                      <w:color w:val="auto"/>
                      <w:szCs w:val="20"/>
                    </w:rPr>
                  </w:pPr>
                  <w:r>
                    <w:rPr>
                      <w:color w:val="auto"/>
                      <w:szCs w:val="20"/>
                    </w:rPr>
                    <w:t>监测点位</w:t>
                  </w:r>
                </w:p>
              </w:tc>
              <w:tc>
                <w:tcPr>
                  <w:tcW w:w="1084" w:type="pct"/>
                  <w:vAlign w:val="center"/>
                </w:tcPr>
                <w:p w14:paraId="7D55C6A6">
                  <w:pPr>
                    <w:pStyle w:val="43"/>
                    <w:rPr>
                      <w:color w:val="auto"/>
                      <w:szCs w:val="20"/>
                    </w:rPr>
                  </w:pPr>
                  <w:r>
                    <w:rPr>
                      <w:color w:val="auto"/>
                      <w:szCs w:val="20"/>
                    </w:rPr>
                    <w:t>方位</w:t>
                  </w:r>
                </w:p>
              </w:tc>
              <w:tc>
                <w:tcPr>
                  <w:tcW w:w="1250" w:type="pct"/>
                  <w:vAlign w:val="center"/>
                </w:tcPr>
                <w:p w14:paraId="5EB2BA80">
                  <w:pPr>
                    <w:pStyle w:val="43"/>
                    <w:rPr>
                      <w:color w:val="auto"/>
                      <w:szCs w:val="20"/>
                    </w:rPr>
                  </w:pPr>
                  <w:r>
                    <w:rPr>
                      <w:color w:val="auto"/>
                      <w:szCs w:val="20"/>
                    </w:rPr>
                    <w:t>距离</w:t>
                  </w:r>
                </w:p>
              </w:tc>
            </w:tr>
            <w:tr w14:paraId="35F86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Align w:val="center"/>
                </w:tcPr>
                <w:p w14:paraId="4C3C3A23">
                  <w:pPr>
                    <w:pStyle w:val="43"/>
                    <w:rPr>
                      <w:color w:val="auto"/>
                      <w:szCs w:val="20"/>
                    </w:rPr>
                  </w:pPr>
                  <w:r>
                    <w:rPr>
                      <w:color w:val="auto"/>
                      <w:szCs w:val="20"/>
                    </w:rPr>
                    <w:t>1</w:t>
                  </w:r>
                </w:p>
              </w:tc>
              <w:tc>
                <w:tcPr>
                  <w:tcW w:w="1988" w:type="pct"/>
                  <w:vAlign w:val="center"/>
                </w:tcPr>
                <w:p w14:paraId="3D8F2E00">
                  <w:pPr>
                    <w:pStyle w:val="43"/>
                    <w:rPr>
                      <w:color w:val="auto"/>
                      <w:szCs w:val="20"/>
                    </w:rPr>
                  </w:pPr>
                  <w:r>
                    <w:rPr>
                      <w:rFonts w:hint="eastAsia"/>
                      <w:color w:val="auto"/>
                      <w:szCs w:val="20"/>
                    </w:rPr>
                    <w:t>G1阎店村</w:t>
                  </w:r>
                </w:p>
              </w:tc>
              <w:tc>
                <w:tcPr>
                  <w:tcW w:w="1084" w:type="pct"/>
                  <w:vAlign w:val="center"/>
                </w:tcPr>
                <w:p w14:paraId="38E4954F">
                  <w:pPr>
                    <w:pStyle w:val="43"/>
                    <w:rPr>
                      <w:color w:val="auto"/>
                      <w:szCs w:val="20"/>
                    </w:rPr>
                  </w:pPr>
                  <w:r>
                    <w:rPr>
                      <w:rFonts w:hint="eastAsia"/>
                      <w:color w:val="auto"/>
                      <w:szCs w:val="20"/>
                    </w:rPr>
                    <w:t>西南</w:t>
                  </w:r>
                </w:p>
              </w:tc>
              <w:tc>
                <w:tcPr>
                  <w:tcW w:w="1250" w:type="pct"/>
                  <w:vAlign w:val="center"/>
                </w:tcPr>
                <w:p w14:paraId="3440D356">
                  <w:pPr>
                    <w:pStyle w:val="43"/>
                    <w:rPr>
                      <w:color w:val="auto"/>
                      <w:szCs w:val="20"/>
                    </w:rPr>
                  </w:pPr>
                  <w:r>
                    <w:rPr>
                      <w:rFonts w:hint="eastAsia"/>
                      <w:color w:val="auto"/>
                      <w:szCs w:val="20"/>
                    </w:rPr>
                    <w:t>3639</w:t>
                  </w:r>
                  <w:r>
                    <w:rPr>
                      <w:color w:val="auto"/>
                      <w:szCs w:val="20"/>
                    </w:rPr>
                    <w:t>m</w:t>
                  </w:r>
                </w:p>
              </w:tc>
            </w:tr>
          </w:tbl>
          <w:p w14:paraId="15FBE19B">
            <w:pPr>
              <w:spacing w:line="360" w:lineRule="auto"/>
              <w:jc w:val="center"/>
              <w:rPr>
                <w:color w:val="auto"/>
                <w:sz w:val="24"/>
              </w:rPr>
            </w:pPr>
            <w:r>
              <w:rPr>
                <w:rFonts w:hint="eastAsia"/>
                <w:color w:val="auto"/>
                <w:sz w:val="24"/>
              </w:rPr>
              <w:drawing>
                <wp:anchor distT="0" distB="0" distL="114300" distR="114300" simplePos="0" relativeHeight="251664384" behindDoc="0" locked="0" layoutInCell="1" allowOverlap="1">
                  <wp:simplePos x="0" y="0"/>
                  <wp:positionH relativeFrom="column">
                    <wp:posOffset>4671060</wp:posOffset>
                  </wp:positionH>
                  <wp:positionV relativeFrom="paragraph">
                    <wp:posOffset>76835</wp:posOffset>
                  </wp:positionV>
                  <wp:extent cx="617220" cy="533400"/>
                  <wp:effectExtent l="0" t="0" r="7620" b="0"/>
                  <wp:wrapNone/>
                  <wp:docPr id="22" name="图片 22" descr="ec6eba81-d77c-4222-9ebf-af35490794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c6eba81-d77c-4222-9ebf-af354907944b"/>
                          <pic:cNvPicPr>
                            <a:picLocks noChangeAspect="1"/>
                          </pic:cNvPicPr>
                        </pic:nvPicPr>
                        <pic:blipFill>
                          <a:blip r:embed="rId10"/>
                          <a:stretch>
                            <a:fillRect/>
                          </a:stretch>
                        </pic:blipFill>
                        <pic:spPr>
                          <a:xfrm>
                            <a:off x="0" y="0"/>
                            <a:ext cx="617220" cy="533400"/>
                          </a:xfrm>
                          <a:prstGeom prst="rect">
                            <a:avLst/>
                          </a:prstGeom>
                        </pic:spPr>
                      </pic:pic>
                    </a:graphicData>
                  </a:graphic>
                </wp:anchor>
              </w:drawing>
            </w:r>
            <w:r>
              <w:rPr>
                <w:color w:val="auto"/>
              </w:rPr>
              <mc:AlternateContent>
                <mc:Choice Requires="wps">
                  <w:drawing>
                    <wp:anchor distT="0" distB="0" distL="114300" distR="114300" simplePos="0" relativeHeight="251662336" behindDoc="0" locked="0" layoutInCell="1" allowOverlap="1">
                      <wp:simplePos x="0" y="0"/>
                      <wp:positionH relativeFrom="column">
                        <wp:posOffset>2286635</wp:posOffset>
                      </wp:positionH>
                      <wp:positionV relativeFrom="paragraph">
                        <wp:posOffset>1918335</wp:posOffset>
                      </wp:positionV>
                      <wp:extent cx="525780" cy="209550"/>
                      <wp:effectExtent l="23495" t="73025" r="29845" b="83185"/>
                      <wp:wrapNone/>
                      <wp:docPr id="20" name="文本框 20"/>
                      <wp:cNvGraphicFramePr/>
                      <a:graphic xmlns:a="http://schemas.openxmlformats.org/drawingml/2006/main">
                        <a:graphicData uri="http://schemas.microsoft.com/office/word/2010/wordprocessingShape">
                          <wps:wsp>
                            <wps:cNvSpPr txBox="1"/>
                            <wps:spPr>
                              <a:xfrm rot="20640000">
                                <a:off x="3334385" y="3454400"/>
                                <a:ext cx="525780" cy="2095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4E32440">
                                  <w:pPr>
                                    <w:jc w:val="center"/>
                                  </w:pPr>
                                  <w:r>
                                    <w:rPr>
                                      <w:rFonts w:hint="eastAsia"/>
                                    </w:rPr>
                                    <w:t>3639m</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80.05pt;margin-top:151.05pt;height:16.5pt;width:41.4pt;rotation:-1048576f;z-index:251662336;mso-width-relative:page;mso-height-relative:page;" fillcolor="#FFFFFF [3201]" filled="t" stroked="t" coordsize="21600,21600" o:gfxdata="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Emuw5raAAAACwEAAA8AAAAAAAAAAQAgAAAAIgAAAGRycy9kb3ducmV2LnhtbFBLAQIU&#10;ABQAAAAIAIdO4kCX85FiYwIAAMMEAAAOAAAAAAAAAAEAIAAAACkBAABkcnMvZTJvRG9jLnhtbFBL&#10;BQYAAAAABgAGAFkBAAD+BQAAAAA=&#10;">
                      <v:fill on="t" focussize="0,0"/>
                      <v:stroke weight="0.5pt" color="#000000 [3204]" joinstyle="round"/>
                      <v:imagedata o:title=""/>
                      <o:lock v:ext="edit" aspectratio="f"/>
                      <v:textbox inset="0mm,0mm,0mm,0mm">
                        <w:txbxContent>
                          <w:p w14:paraId="54E32440">
                            <w:pPr>
                              <w:jc w:val="center"/>
                            </w:pPr>
                            <w:r>
                              <w:rPr>
                                <w:rFonts w:hint="eastAsia"/>
                              </w:rPr>
                              <w:t>3639m</w:t>
                            </w:r>
                          </w:p>
                        </w:txbxContent>
                      </v:textbox>
                    </v:shape>
                  </w:pict>
                </mc:Fallback>
              </mc:AlternateContent>
            </w:r>
            <w:r>
              <w:rPr>
                <w:color w:val="auto"/>
              </w:rPr>
              <mc:AlternateContent>
                <mc:Choice Requires="wps">
                  <w:drawing>
                    <wp:anchor distT="0" distB="0" distL="114300" distR="114300" simplePos="0" relativeHeight="251661312" behindDoc="0" locked="0" layoutInCell="1" allowOverlap="1">
                      <wp:simplePos x="0" y="0"/>
                      <wp:positionH relativeFrom="column">
                        <wp:posOffset>358775</wp:posOffset>
                      </wp:positionH>
                      <wp:positionV relativeFrom="paragraph">
                        <wp:posOffset>1575435</wp:posOffset>
                      </wp:positionV>
                      <wp:extent cx="4556760" cy="1112520"/>
                      <wp:effectExtent l="1270" t="28575" r="13970" b="17145"/>
                      <wp:wrapNone/>
                      <wp:docPr id="19" name="直接箭头连接符 19"/>
                      <wp:cNvGraphicFramePr/>
                      <a:graphic xmlns:a="http://schemas.openxmlformats.org/drawingml/2006/main">
                        <a:graphicData uri="http://schemas.microsoft.com/office/word/2010/wordprocessingShape">
                          <wps:wsp>
                            <wps:cNvCnPr/>
                            <wps:spPr>
                              <a:xfrm flipV="1">
                                <a:off x="1741805" y="4300220"/>
                                <a:ext cx="4556760" cy="111252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8.25pt;margin-top:124.05pt;height:87.6pt;width:358.8pt;z-index:251661312;mso-width-relative:page;mso-height-relative:page;" filled="f" stroked="t" coordsize="21600,21600" o:gfxdata="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DLaKdgA&#10;AAAKAQAADwAAAAAAAAABACAAAAAiAAAAZHJzL2Rvd25yZXYueG1sUEsBAhQAFAAAAAgAh07iQBap&#10;DYIfAgAA/QMAAA4AAAAAAAAAAQAgAAAAJwEAAGRycy9lMm9Eb2MueG1sUEsFBgAAAAAGAAYAWQEA&#10;ALgFAAAAAA==&#10;">
                      <v:fill on="f" focussize="0,0"/>
                      <v:stroke weight="1pt" color="#FF0000 [3204]" miterlimit="8" joinstyle="miter" endarrow="open"/>
                      <v:imagedata o:title=""/>
                      <o:lock v:ext="edit" aspectratio="f"/>
                    </v:shape>
                  </w:pict>
                </mc:Fallback>
              </mc:AlternateContent>
            </w:r>
            <w:r>
              <w:rPr>
                <w:color w:val="auto"/>
              </w:rPr>
              <w:drawing>
                <wp:inline distT="0" distB="0" distL="114300" distR="114300">
                  <wp:extent cx="5147945" cy="3587750"/>
                  <wp:effectExtent l="0" t="0" r="3175" b="889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1"/>
                          <a:stretch>
                            <a:fillRect/>
                          </a:stretch>
                        </pic:blipFill>
                        <pic:spPr>
                          <a:xfrm>
                            <a:off x="0" y="0"/>
                            <a:ext cx="5147945" cy="3587750"/>
                          </a:xfrm>
                          <a:prstGeom prst="rect">
                            <a:avLst/>
                          </a:prstGeom>
                          <a:noFill/>
                          <a:ln>
                            <a:noFill/>
                          </a:ln>
                        </pic:spPr>
                      </pic:pic>
                    </a:graphicData>
                  </a:graphic>
                </wp:inline>
              </w:drawing>
            </w:r>
            <w:r>
              <w:rPr>
                <w:color w:val="auto"/>
                <w:sz w:val="28"/>
              </w:rPr>
              <w:drawing>
                <wp:anchor distT="0" distB="0" distL="114300" distR="114300" simplePos="0" relativeHeight="251663360" behindDoc="0" locked="0" layoutInCell="1" allowOverlap="1">
                  <wp:simplePos x="0" y="0"/>
                  <wp:positionH relativeFrom="column">
                    <wp:posOffset>6786245</wp:posOffset>
                  </wp:positionH>
                  <wp:positionV relativeFrom="paragraph">
                    <wp:posOffset>-164465</wp:posOffset>
                  </wp:positionV>
                  <wp:extent cx="612140" cy="530225"/>
                  <wp:effectExtent l="0" t="0" r="12700" b="3175"/>
                  <wp:wrapNone/>
                  <wp:docPr id="66" name="图片 5" descr="宿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 descr="宿州"/>
                          <pic:cNvPicPr>
                            <a:picLocks noChangeAspect="1"/>
                          </pic:cNvPicPr>
                        </pic:nvPicPr>
                        <pic:blipFill>
                          <a:blip r:embed="rId12"/>
                          <a:stretch>
                            <a:fillRect/>
                          </a:stretch>
                        </pic:blipFill>
                        <pic:spPr>
                          <a:xfrm>
                            <a:off x="0" y="0"/>
                            <a:ext cx="612140" cy="530225"/>
                          </a:xfrm>
                          <a:prstGeom prst="rect">
                            <a:avLst/>
                          </a:prstGeom>
                          <a:noFill/>
                          <a:ln>
                            <a:noFill/>
                          </a:ln>
                        </pic:spPr>
                      </pic:pic>
                    </a:graphicData>
                  </a:graphic>
                </wp:anchor>
              </w:drawing>
            </w:r>
          </w:p>
          <w:p w14:paraId="7B0AA829">
            <w:pPr>
              <w:spacing w:line="360" w:lineRule="auto"/>
              <w:ind w:firstLine="482" w:firstLineChars="200"/>
              <w:jc w:val="center"/>
              <w:rPr>
                <w:b/>
                <w:bCs/>
                <w:color w:val="auto"/>
                <w:sz w:val="24"/>
              </w:rPr>
            </w:pPr>
            <w:r>
              <w:rPr>
                <w:b/>
                <w:bCs/>
                <w:color w:val="auto"/>
                <w:sz w:val="24"/>
              </w:rPr>
              <w:t>图3-</w:t>
            </w:r>
            <w:r>
              <w:rPr>
                <w:rFonts w:hint="eastAsia"/>
                <w:b/>
                <w:bCs/>
                <w:color w:val="auto"/>
                <w:sz w:val="24"/>
              </w:rPr>
              <w:t>1</w:t>
            </w:r>
            <w:r>
              <w:rPr>
                <w:b/>
                <w:bCs/>
                <w:color w:val="auto"/>
                <w:sz w:val="24"/>
              </w:rPr>
              <w:t xml:space="preserve">  监测点位图</w:t>
            </w:r>
          </w:p>
          <w:p w14:paraId="62E21737">
            <w:pPr>
              <w:spacing w:line="360" w:lineRule="auto"/>
              <w:ind w:firstLine="480" w:firstLineChars="200"/>
              <w:rPr>
                <w:color w:val="auto"/>
                <w:sz w:val="24"/>
              </w:rPr>
            </w:pPr>
            <w:r>
              <w:rPr>
                <w:color w:val="auto"/>
                <w:sz w:val="24"/>
              </w:rPr>
              <w:t>②监测日期和监测单位</w:t>
            </w:r>
          </w:p>
          <w:p w14:paraId="16A18F98">
            <w:pPr>
              <w:widowControl/>
              <w:autoSpaceDE w:val="0"/>
              <w:autoSpaceDN w:val="0"/>
              <w:spacing w:line="360" w:lineRule="auto"/>
              <w:ind w:firstLine="480" w:firstLineChars="200"/>
              <w:textAlignment w:val="baseline"/>
              <w:rPr>
                <w:color w:val="auto"/>
                <w:sz w:val="24"/>
              </w:rPr>
            </w:pPr>
            <w:r>
              <w:rPr>
                <w:rFonts w:hint="eastAsia"/>
                <w:color w:val="auto"/>
                <w:sz w:val="24"/>
              </w:rPr>
              <w:t>安徽湖上检测科技有限公司分别于2023年3月12日-3月18日对G2阎店村进行</w:t>
            </w:r>
            <w:r>
              <w:rPr>
                <w:color w:val="auto"/>
                <w:sz w:val="24"/>
              </w:rPr>
              <w:t>大气环境质量现状进行监测。</w:t>
            </w:r>
          </w:p>
          <w:p w14:paraId="4F0E824D">
            <w:pPr>
              <w:widowControl/>
              <w:autoSpaceDE w:val="0"/>
              <w:autoSpaceDN w:val="0"/>
              <w:spacing w:line="360" w:lineRule="auto"/>
              <w:ind w:firstLine="480" w:firstLineChars="200"/>
              <w:textAlignment w:val="baseline"/>
              <w:rPr>
                <w:color w:val="auto"/>
                <w:sz w:val="24"/>
              </w:rPr>
            </w:pPr>
            <w:r>
              <w:rPr>
                <w:color w:val="auto"/>
                <w:sz w:val="24"/>
              </w:rPr>
              <w:t>③监测因子</w:t>
            </w:r>
          </w:p>
          <w:p w14:paraId="7AA993C5">
            <w:pPr>
              <w:widowControl/>
              <w:autoSpaceDE w:val="0"/>
              <w:autoSpaceDN w:val="0"/>
              <w:spacing w:line="360" w:lineRule="auto"/>
              <w:ind w:firstLine="480" w:firstLineChars="200"/>
              <w:textAlignment w:val="baseline"/>
              <w:rPr>
                <w:color w:val="auto"/>
                <w:sz w:val="24"/>
              </w:rPr>
            </w:pPr>
            <w:r>
              <w:rPr>
                <w:rFonts w:hint="eastAsia"/>
                <w:color w:val="auto"/>
                <w:sz w:val="24"/>
              </w:rPr>
              <w:t>TSP</w:t>
            </w:r>
          </w:p>
          <w:p w14:paraId="5696D790">
            <w:pPr>
              <w:widowControl/>
              <w:autoSpaceDE w:val="0"/>
              <w:autoSpaceDN w:val="0"/>
              <w:spacing w:line="360" w:lineRule="auto"/>
              <w:ind w:firstLine="480" w:firstLineChars="200"/>
              <w:textAlignment w:val="baseline"/>
              <w:rPr>
                <w:color w:val="auto"/>
                <w:sz w:val="24"/>
              </w:rPr>
            </w:pPr>
            <w:r>
              <w:rPr>
                <w:color w:val="auto"/>
                <w:sz w:val="24"/>
              </w:rPr>
              <w:t>④监测结果</w:t>
            </w:r>
          </w:p>
          <w:p w14:paraId="73D897D6">
            <w:pPr>
              <w:spacing w:line="360" w:lineRule="auto"/>
              <w:ind w:firstLine="480" w:firstLineChars="200"/>
              <w:rPr>
                <w:color w:val="auto"/>
                <w:sz w:val="24"/>
              </w:rPr>
            </w:pPr>
            <w:r>
              <w:rPr>
                <w:color w:val="auto"/>
                <w:sz w:val="24"/>
              </w:rPr>
              <w:t>监测数据如下</w:t>
            </w:r>
            <w:r>
              <w:rPr>
                <w:rFonts w:hint="eastAsia"/>
                <w:color w:val="auto"/>
                <w:sz w:val="24"/>
              </w:rPr>
              <w:t>：</w:t>
            </w:r>
          </w:p>
          <w:p w14:paraId="5745D57E">
            <w:pPr>
              <w:pStyle w:val="44"/>
              <w:rPr>
                <w:rFonts w:hint="default"/>
                <w:color w:val="auto"/>
                <w:sz w:val="24"/>
                <w:szCs w:val="32"/>
              </w:rPr>
            </w:pPr>
            <w:r>
              <w:rPr>
                <w:color w:val="auto"/>
                <w:sz w:val="24"/>
                <w:szCs w:val="32"/>
              </w:rPr>
              <w:t>表3-3  现状监测结果表（日均值）检测结果</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1"/>
              <w:gridCol w:w="3267"/>
              <w:gridCol w:w="2838"/>
            </w:tblGrid>
            <w:tr w14:paraId="35F16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1" w:type="pct"/>
                  <w:vAlign w:val="center"/>
                </w:tcPr>
                <w:p w14:paraId="2D1C1A37">
                  <w:pPr>
                    <w:widowControl/>
                    <w:autoSpaceDE w:val="0"/>
                    <w:autoSpaceDN w:val="0"/>
                    <w:jc w:val="center"/>
                    <w:textAlignment w:val="baseline"/>
                    <w:rPr>
                      <w:color w:val="auto"/>
                      <w:szCs w:val="21"/>
                    </w:rPr>
                  </w:pPr>
                  <w:r>
                    <w:rPr>
                      <w:rFonts w:hint="eastAsia"/>
                      <w:color w:val="auto"/>
                      <w:szCs w:val="21"/>
                    </w:rPr>
                    <w:t>检测项目</w:t>
                  </w:r>
                </w:p>
              </w:tc>
              <w:tc>
                <w:tcPr>
                  <w:tcW w:w="1920" w:type="pct"/>
                  <w:vAlign w:val="center"/>
                </w:tcPr>
                <w:p w14:paraId="2A2688D9">
                  <w:pPr>
                    <w:widowControl/>
                    <w:autoSpaceDE w:val="0"/>
                    <w:autoSpaceDN w:val="0"/>
                    <w:jc w:val="center"/>
                    <w:textAlignment w:val="baseline"/>
                    <w:rPr>
                      <w:color w:val="auto"/>
                      <w:szCs w:val="21"/>
                    </w:rPr>
                  </w:pPr>
                  <w:r>
                    <w:rPr>
                      <w:color w:val="auto"/>
                      <w:szCs w:val="21"/>
                    </w:rPr>
                    <w:t>采样日期</w:t>
                  </w:r>
                </w:p>
              </w:tc>
              <w:tc>
                <w:tcPr>
                  <w:tcW w:w="1667" w:type="pct"/>
                  <w:vAlign w:val="center"/>
                </w:tcPr>
                <w:p w14:paraId="235CB0A5">
                  <w:pPr>
                    <w:widowControl/>
                    <w:autoSpaceDE w:val="0"/>
                    <w:autoSpaceDN w:val="0"/>
                    <w:jc w:val="center"/>
                    <w:textAlignment w:val="baseline"/>
                    <w:rPr>
                      <w:color w:val="auto"/>
                      <w:szCs w:val="21"/>
                    </w:rPr>
                  </w:pPr>
                  <w:r>
                    <w:rPr>
                      <w:color w:val="auto"/>
                      <w:szCs w:val="21"/>
                    </w:rPr>
                    <w:t>项目所在地G1</w:t>
                  </w:r>
                  <w:r>
                    <w:rPr>
                      <w:rFonts w:hint="eastAsia"/>
                      <w:color w:val="auto"/>
                      <w:szCs w:val="21"/>
                    </w:rPr>
                    <w:t>（阎店村）</w:t>
                  </w:r>
                </w:p>
              </w:tc>
            </w:tr>
            <w:tr w14:paraId="4B9D5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1" w:type="pct"/>
                  <w:vMerge w:val="restart"/>
                  <w:vAlign w:val="center"/>
                </w:tcPr>
                <w:p w14:paraId="09CFEA12">
                  <w:pPr>
                    <w:widowControl/>
                    <w:autoSpaceDE w:val="0"/>
                    <w:autoSpaceDN w:val="0"/>
                    <w:jc w:val="center"/>
                    <w:textAlignment w:val="baseline"/>
                    <w:rPr>
                      <w:color w:val="auto"/>
                      <w:szCs w:val="21"/>
                    </w:rPr>
                  </w:pPr>
                  <w:r>
                    <w:rPr>
                      <w:color w:val="auto"/>
                      <w:szCs w:val="21"/>
                    </w:rPr>
                    <w:t>TSP（mg/m³）</w:t>
                  </w:r>
                </w:p>
              </w:tc>
              <w:tc>
                <w:tcPr>
                  <w:tcW w:w="1920" w:type="pct"/>
                  <w:vAlign w:val="center"/>
                </w:tcPr>
                <w:p w14:paraId="0853615A">
                  <w:pPr>
                    <w:widowControl/>
                    <w:autoSpaceDE w:val="0"/>
                    <w:autoSpaceDN w:val="0"/>
                    <w:jc w:val="center"/>
                    <w:textAlignment w:val="baseline"/>
                    <w:rPr>
                      <w:color w:val="auto"/>
                      <w:szCs w:val="21"/>
                    </w:rPr>
                  </w:pPr>
                  <w:r>
                    <w:rPr>
                      <w:rFonts w:hint="eastAsia"/>
                      <w:color w:val="auto"/>
                      <w:szCs w:val="21"/>
                    </w:rPr>
                    <w:t>2023.3.12</w:t>
                  </w:r>
                </w:p>
              </w:tc>
              <w:tc>
                <w:tcPr>
                  <w:tcW w:w="1667" w:type="pct"/>
                  <w:vAlign w:val="center"/>
                </w:tcPr>
                <w:p w14:paraId="01CA5EA4">
                  <w:pPr>
                    <w:widowControl/>
                    <w:autoSpaceDE w:val="0"/>
                    <w:autoSpaceDN w:val="0"/>
                    <w:jc w:val="center"/>
                    <w:textAlignment w:val="baseline"/>
                    <w:rPr>
                      <w:color w:val="auto"/>
                      <w:szCs w:val="21"/>
                    </w:rPr>
                  </w:pPr>
                  <w:r>
                    <w:rPr>
                      <w:rFonts w:hint="eastAsia"/>
                      <w:color w:val="auto"/>
                      <w:szCs w:val="21"/>
                    </w:rPr>
                    <w:t>0.177</w:t>
                  </w:r>
                </w:p>
              </w:tc>
            </w:tr>
            <w:tr w14:paraId="6ECC7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1" w:type="pct"/>
                  <w:vMerge w:val="continue"/>
                  <w:vAlign w:val="center"/>
                </w:tcPr>
                <w:p w14:paraId="6ED581A2">
                  <w:pPr>
                    <w:widowControl/>
                    <w:autoSpaceDE w:val="0"/>
                    <w:autoSpaceDN w:val="0"/>
                    <w:jc w:val="center"/>
                    <w:textAlignment w:val="baseline"/>
                    <w:rPr>
                      <w:color w:val="auto"/>
                      <w:szCs w:val="21"/>
                    </w:rPr>
                  </w:pPr>
                </w:p>
              </w:tc>
              <w:tc>
                <w:tcPr>
                  <w:tcW w:w="1920" w:type="pct"/>
                  <w:vAlign w:val="center"/>
                </w:tcPr>
                <w:p w14:paraId="0FDB0D21">
                  <w:pPr>
                    <w:widowControl/>
                    <w:autoSpaceDE w:val="0"/>
                    <w:autoSpaceDN w:val="0"/>
                    <w:jc w:val="center"/>
                    <w:textAlignment w:val="baseline"/>
                    <w:rPr>
                      <w:color w:val="auto"/>
                      <w:szCs w:val="21"/>
                    </w:rPr>
                  </w:pPr>
                  <w:r>
                    <w:rPr>
                      <w:rFonts w:hint="eastAsia"/>
                      <w:color w:val="auto"/>
                      <w:szCs w:val="21"/>
                    </w:rPr>
                    <w:t>2023.3.13</w:t>
                  </w:r>
                </w:p>
              </w:tc>
              <w:tc>
                <w:tcPr>
                  <w:tcW w:w="1667" w:type="pct"/>
                  <w:vAlign w:val="center"/>
                </w:tcPr>
                <w:p w14:paraId="61936668">
                  <w:pPr>
                    <w:widowControl/>
                    <w:autoSpaceDE w:val="0"/>
                    <w:autoSpaceDN w:val="0"/>
                    <w:jc w:val="center"/>
                    <w:textAlignment w:val="baseline"/>
                    <w:rPr>
                      <w:color w:val="auto"/>
                      <w:szCs w:val="21"/>
                    </w:rPr>
                  </w:pPr>
                  <w:r>
                    <w:rPr>
                      <w:rFonts w:hint="eastAsia"/>
                      <w:color w:val="auto"/>
                      <w:szCs w:val="21"/>
                    </w:rPr>
                    <w:t>0.138</w:t>
                  </w:r>
                </w:p>
              </w:tc>
            </w:tr>
            <w:tr w14:paraId="40A9E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1" w:type="pct"/>
                  <w:vMerge w:val="continue"/>
                  <w:vAlign w:val="center"/>
                </w:tcPr>
                <w:p w14:paraId="36386BB8">
                  <w:pPr>
                    <w:widowControl/>
                    <w:autoSpaceDE w:val="0"/>
                    <w:autoSpaceDN w:val="0"/>
                    <w:jc w:val="center"/>
                    <w:textAlignment w:val="baseline"/>
                    <w:rPr>
                      <w:color w:val="auto"/>
                      <w:szCs w:val="21"/>
                    </w:rPr>
                  </w:pPr>
                </w:p>
              </w:tc>
              <w:tc>
                <w:tcPr>
                  <w:tcW w:w="1920" w:type="pct"/>
                  <w:vAlign w:val="center"/>
                </w:tcPr>
                <w:p w14:paraId="2D89417E">
                  <w:pPr>
                    <w:widowControl/>
                    <w:autoSpaceDE w:val="0"/>
                    <w:autoSpaceDN w:val="0"/>
                    <w:jc w:val="center"/>
                    <w:textAlignment w:val="baseline"/>
                    <w:rPr>
                      <w:color w:val="auto"/>
                      <w:szCs w:val="21"/>
                    </w:rPr>
                  </w:pPr>
                  <w:r>
                    <w:rPr>
                      <w:rFonts w:hint="eastAsia"/>
                      <w:color w:val="auto"/>
                      <w:szCs w:val="21"/>
                    </w:rPr>
                    <w:t>2023.3.14</w:t>
                  </w:r>
                </w:p>
              </w:tc>
              <w:tc>
                <w:tcPr>
                  <w:tcW w:w="1667" w:type="pct"/>
                  <w:vAlign w:val="center"/>
                </w:tcPr>
                <w:p w14:paraId="05A25BD7">
                  <w:pPr>
                    <w:widowControl/>
                    <w:autoSpaceDE w:val="0"/>
                    <w:autoSpaceDN w:val="0"/>
                    <w:jc w:val="center"/>
                    <w:textAlignment w:val="baseline"/>
                    <w:rPr>
                      <w:color w:val="auto"/>
                      <w:szCs w:val="21"/>
                    </w:rPr>
                  </w:pPr>
                  <w:r>
                    <w:rPr>
                      <w:rFonts w:hint="eastAsia"/>
                      <w:color w:val="auto"/>
                      <w:szCs w:val="21"/>
                    </w:rPr>
                    <w:t>0.142</w:t>
                  </w:r>
                </w:p>
              </w:tc>
            </w:tr>
            <w:tr w14:paraId="0E9E8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1" w:type="pct"/>
                  <w:vMerge w:val="continue"/>
                  <w:vAlign w:val="center"/>
                </w:tcPr>
                <w:p w14:paraId="51AED271">
                  <w:pPr>
                    <w:widowControl/>
                    <w:autoSpaceDE w:val="0"/>
                    <w:autoSpaceDN w:val="0"/>
                    <w:jc w:val="center"/>
                    <w:textAlignment w:val="baseline"/>
                    <w:rPr>
                      <w:color w:val="auto"/>
                      <w:szCs w:val="21"/>
                    </w:rPr>
                  </w:pPr>
                </w:p>
              </w:tc>
              <w:tc>
                <w:tcPr>
                  <w:tcW w:w="1920" w:type="pct"/>
                  <w:vAlign w:val="center"/>
                </w:tcPr>
                <w:p w14:paraId="3ACC1763">
                  <w:pPr>
                    <w:widowControl/>
                    <w:autoSpaceDE w:val="0"/>
                    <w:autoSpaceDN w:val="0"/>
                    <w:jc w:val="center"/>
                    <w:textAlignment w:val="baseline"/>
                    <w:rPr>
                      <w:color w:val="auto"/>
                      <w:szCs w:val="21"/>
                    </w:rPr>
                  </w:pPr>
                  <w:r>
                    <w:rPr>
                      <w:rFonts w:hint="eastAsia"/>
                      <w:color w:val="auto"/>
                      <w:szCs w:val="21"/>
                    </w:rPr>
                    <w:t>2023.3.15</w:t>
                  </w:r>
                </w:p>
              </w:tc>
              <w:tc>
                <w:tcPr>
                  <w:tcW w:w="1667" w:type="pct"/>
                  <w:vAlign w:val="center"/>
                </w:tcPr>
                <w:p w14:paraId="42A9FEBE">
                  <w:pPr>
                    <w:widowControl/>
                    <w:autoSpaceDE w:val="0"/>
                    <w:autoSpaceDN w:val="0"/>
                    <w:jc w:val="center"/>
                    <w:textAlignment w:val="baseline"/>
                    <w:rPr>
                      <w:snapToGrid w:val="0"/>
                      <w:color w:val="auto"/>
                      <w:kern w:val="0"/>
                      <w:szCs w:val="21"/>
                      <w:lang w:bidi="ar"/>
                    </w:rPr>
                  </w:pPr>
                  <w:r>
                    <w:rPr>
                      <w:rFonts w:hint="eastAsia"/>
                      <w:snapToGrid w:val="0"/>
                      <w:color w:val="auto"/>
                      <w:kern w:val="0"/>
                      <w:szCs w:val="21"/>
                      <w:lang w:bidi="ar"/>
                    </w:rPr>
                    <w:t>0.193</w:t>
                  </w:r>
                </w:p>
              </w:tc>
            </w:tr>
            <w:tr w14:paraId="126E0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1" w:type="pct"/>
                  <w:vMerge w:val="continue"/>
                  <w:vAlign w:val="center"/>
                </w:tcPr>
                <w:p w14:paraId="72BA8637">
                  <w:pPr>
                    <w:widowControl/>
                    <w:autoSpaceDE w:val="0"/>
                    <w:autoSpaceDN w:val="0"/>
                    <w:jc w:val="center"/>
                    <w:textAlignment w:val="baseline"/>
                    <w:rPr>
                      <w:color w:val="auto"/>
                      <w:szCs w:val="21"/>
                    </w:rPr>
                  </w:pPr>
                </w:p>
              </w:tc>
              <w:tc>
                <w:tcPr>
                  <w:tcW w:w="1920" w:type="pct"/>
                  <w:vAlign w:val="center"/>
                </w:tcPr>
                <w:p w14:paraId="78BBF0FA">
                  <w:pPr>
                    <w:widowControl/>
                    <w:autoSpaceDE w:val="0"/>
                    <w:autoSpaceDN w:val="0"/>
                    <w:jc w:val="center"/>
                    <w:textAlignment w:val="baseline"/>
                    <w:rPr>
                      <w:color w:val="auto"/>
                      <w:szCs w:val="21"/>
                    </w:rPr>
                  </w:pPr>
                  <w:r>
                    <w:rPr>
                      <w:rFonts w:hint="eastAsia"/>
                      <w:color w:val="auto"/>
                      <w:szCs w:val="21"/>
                    </w:rPr>
                    <w:t>2023.3.16</w:t>
                  </w:r>
                </w:p>
              </w:tc>
              <w:tc>
                <w:tcPr>
                  <w:tcW w:w="1667" w:type="pct"/>
                  <w:vAlign w:val="center"/>
                </w:tcPr>
                <w:p w14:paraId="5D18908B">
                  <w:pPr>
                    <w:widowControl/>
                    <w:autoSpaceDE w:val="0"/>
                    <w:autoSpaceDN w:val="0"/>
                    <w:jc w:val="center"/>
                    <w:textAlignment w:val="baseline"/>
                    <w:rPr>
                      <w:snapToGrid w:val="0"/>
                      <w:color w:val="auto"/>
                      <w:kern w:val="0"/>
                      <w:szCs w:val="21"/>
                      <w:lang w:bidi="ar"/>
                    </w:rPr>
                  </w:pPr>
                  <w:r>
                    <w:rPr>
                      <w:rFonts w:hint="eastAsia"/>
                      <w:snapToGrid w:val="0"/>
                      <w:color w:val="auto"/>
                      <w:kern w:val="0"/>
                      <w:szCs w:val="21"/>
                      <w:lang w:bidi="ar"/>
                    </w:rPr>
                    <w:t>0.179</w:t>
                  </w:r>
                </w:p>
              </w:tc>
            </w:tr>
            <w:tr w14:paraId="62B56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1" w:type="pct"/>
                  <w:vMerge w:val="continue"/>
                  <w:vAlign w:val="center"/>
                </w:tcPr>
                <w:p w14:paraId="2277E742">
                  <w:pPr>
                    <w:widowControl/>
                    <w:autoSpaceDE w:val="0"/>
                    <w:autoSpaceDN w:val="0"/>
                    <w:jc w:val="center"/>
                    <w:textAlignment w:val="baseline"/>
                    <w:rPr>
                      <w:color w:val="auto"/>
                      <w:szCs w:val="21"/>
                    </w:rPr>
                  </w:pPr>
                </w:p>
              </w:tc>
              <w:tc>
                <w:tcPr>
                  <w:tcW w:w="1920" w:type="pct"/>
                  <w:vAlign w:val="center"/>
                </w:tcPr>
                <w:p w14:paraId="6CEF9BC7">
                  <w:pPr>
                    <w:widowControl/>
                    <w:autoSpaceDE w:val="0"/>
                    <w:autoSpaceDN w:val="0"/>
                    <w:jc w:val="center"/>
                    <w:textAlignment w:val="baseline"/>
                    <w:rPr>
                      <w:color w:val="auto"/>
                      <w:szCs w:val="21"/>
                    </w:rPr>
                  </w:pPr>
                  <w:r>
                    <w:rPr>
                      <w:rFonts w:hint="eastAsia"/>
                      <w:color w:val="auto"/>
                      <w:szCs w:val="21"/>
                    </w:rPr>
                    <w:t>2023.3.17</w:t>
                  </w:r>
                </w:p>
              </w:tc>
              <w:tc>
                <w:tcPr>
                  <w:tcW w:w="1667" w:type="pct"/>
                  <w:vAlign w:val="center"/>
                </w:tcPr>
                <w:p w14:paraId="3F38021A">
                  <w:pPr>
                    <w:widowControl/>
                    <w:autoSpaceDE w:val="0"/>
                    <w:autoSpaceDN w:val="0"/>
                    <w:jc w:val="center"/>
                    <w:textAlignment w:val="baseline"/>
                    <w:rPr>
                      <w:snapToGrid w:val="0"/>
                      <w:color w:val="auto"/>
                      <w:kern w:val="0"/>
                      <w:szCs w:val="21"/>
                      <w:lang w:bidi="ar"/>
                    </w:rPr>
                  </w:pPr>
                  <w:r>
                    <w:rPr>
                      <w:rFonts w:hint="eastAsia"/>
                      <w:snapToGrid w:val="0"/>
                      <w:color w:val="auto"/>
                      <w:kern w:val="0"/>
                      <w:szCs w:val="21"/>
                      <w:lang w:bidi="ar"/>
                    </w:rPr>
                    <w:t>0.146</w:t>
                  </w:r>
                </w:p>
              </w:tc>
            </w:tr>
            <w:tr w14:paraId="20DEB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1" w:type="pct"/>
                  <w:vMerge w:val="continue"/>
                  <w:vAlign w:val="center"/>
                </w:tcPr>
                <w:p w14:paraId="65234C66">
                  <w:pPr>
                    <w:widowControl/>
                    <w:autoSpaceDE w:val="0"/>
                    <w:autoSpaceDN w:val="0"/>
                    <w:jc w:val="center"/>
                    <w:textAlignment w:val="baseline"/>
                    <w:rPr>
                      <w:color w:val="auto"/>
                      <w:szCs w:val="21"/>
                    </w:rPr>
                  </w:pPr>
                </w:p>
              </w:tc>
              <w:tc>
                <w:tcPr>
                  <w:tcW w:w="1920" w:type="pct"/>
                  <w:vAlign w:val="center"/>
                </w:tcPr>
                <w:p w14:paraId="1636D620">
                  <w:pPr>
                    <w:widowControl/>
                    <w:autoSpaceDE w:val="0"/>
                    <w:autoSpaceDN w:val="0"/>
                    <w:jc w:val="center"/>
                    <w:textAlignment w:val="baseline"/>
                    <w:rPr>
                      <w:color w:val="auto"/>
                      <w:szCs w:val="21"/>
                    </w:rPr>
                  </w:pPr>
                  <w:r>
                    <w:rPr>
                      <w:rFonts w:hint="eastAsia"/>
                      <w:color w:val="auto"/>
                      <w:szCs w:val="21"/>
                    </w:rPr>
                    <w:t>2023.3.18</w:t>
                  </w:r>
                </w:p>
              </w:tc>
              <w:tc>
                <w:tcPr>
                  <w:tcW w:w="1667" w:type="pct"/>
                  <w:vAlign w:val="center"/>
                </w:tcPr>
                <w:p w14:paraId="50C140C6">
                  <w:pPr>
                    <w:widowControl/>
                    <w:autoSpaceDE w:val="0"/>
                    <w:autoSpaceDN w:val="0"/>
                    <w:jc w:val="center"/>
                    <w:textAlignment w:val="baseline"/>
                    <w:rPr>
                      <w:snapToGrid w:val="0"/>
                      <w:color w:val="auto"/>
                      <w:kern w:val="0"/>
                      <w:szCs w:val="21"/>
                      <w:lang w:bidi="ar"/>
                    </w:rPr>
                  </w:pPr>
                  <w:r>
                    <w:rPr>
                      <w:rFonts w:hint="eastAsia"/>
                      <w:snapToGrid w:val="0"/>
                      <w:color w:val="auto"/>
                      <w:kern w:val="0"/>
                      <w:szCs w:val="21"/>
                      <w:lang w:bidi="ar"/>
                    </w:rPr>
                    <w:t>0.1312</w:t>
                  </w:r>
                </w:p>
              </w:tc>
            </w:tr>
          </w:tbl>
          <w:p w14:paraId="1B89FCEF">
            <w:pPr>
              <w:spacing w:line="360" w:lineRule="auto"/>
              <w:ind w:firstLine="480" w:firstLineChars="200"/>
              <w:jc w:val="left"/>
              <w:rPr>
                <w:b/>
                <w:bCs/>
                <w:color w:val="auto"/>
                <w:sz w:val="24"/>
              </w:rPr>
            </w:pPr>
            <w:r>
              <w:rPr>
                <w:color w:val="auto"/>
                <w:sz w:val="24"/>
              </w:rPr>
              <w:t>综上所述，监测期间</w:t>
            </w:r>
            <w:r>
              <w:rPr>
                <w:rFonts w:hint="eastAsia"/>
                <w:color w:val="auto"/>
                <w:sz w:val="24"/>
              </w:rPr>
              <w:t>TSP监测结果满足《环境空气质量标准》（GB3095-2012）中二级标准要求。</w:t>
            </w:r>
          </w:p>
          <w:p w14:paraId="17B9170C">
            <w:pPr>
              <w:spacing w:line="360" w:lineRule="auto"/>
              <w:ind w:firstLine="482" w:firstLineChars="200"/>
              <w:rPr>
                <w:b/>
                <w:bCs/>
                <w:color w:val="auto"/>
                <w:sz w:val="24"/>
              </w:rPr>
            </w:pPr>
            <w:r>
              <w:rPr>
                <w:b/>
                <w:bCs/>
                <w:color w:val="auto"/>
                <w:sz w:val="24"/>
              </w:rPr>
              <w:t>2、地表水环境</w:t>
            </w:r>
          </w:p>
          <w:p w14:paraId="32B5E002">
            <w:pPr>
              <w:spacing w:line="360" w:lineRule="auto"/>
              <w:ind w:firstLine="480" w:firstLineChars="200"/>
              <w:rPr>
                <w:color w:val="auto"/>
                <w:sz w:val="24"/>
              </w:rPr>
            </w:pPr>
            <w:r>
              <w:rPr>
                <w:color w:val="auto"/>
                <w:sz w:val="24"/>
              </w:rPr>
              <w:t>依据《宿州市202</w:t>
            </w:r>
            <w:r>
              <w:rPr>
                <w:rFonts w:hint="eastAsia"/>
                <w:color w:val="auto"/>
                <w:sz w:val="24"/>
              </w:rPr>
              <w:t>4</w:t>
            </w:r>
            <w:r>
              <w:rPr>
                <w:color w:val="auto"/>
                <w:sz w:val="24"/>
              </w:rPr>
              <w:t>年环境质量状况报告》可知</w:t>
            </w:r>
            <w:r>
              <w:rPr>
                <w:rFonts w:hint="eastAsia"/>
                <w:color w:val="auto"/>
              </w:rPr>
              <w:t>，</w:t>
            </w:r>
            <w:r>
              <w:rPr>
                <w:color w:val="auto"/>
                <w:sz w:val="24"/>
              </w:rPr>
              <w:t>2024年，全市水环境质量稳中向好、稳中趋优。全市13个地表水国家考核断面中有10个水质达到Ⅲ类，水质优良比例为76.9%，较上一年同比提升7.7个百分点，超额完成省生态环境厅下达的年度力争考核目标</w:t>
            </w:r>
            <w:r>
              <w:rPr>
                <w:rFonts w:hint="eastAsia"/>
                <w:color w:val="auto"/>
                <w:sz w:val="24"/>
              </w:rPr>
              <w:t>；</w:t>
            </w:r>
            <w:r>
              <w:rPr>
                <w:color w:val="auto"/>
                <w:sz w:val="24"/>
              </w:rPr>
              <w:t>10个地表水省考核断面中有5个断面水质为Ⅲ类，水质优良比例为50%，超出省年度考核目标20个百分点</w:t>
            </w:r>
            <w:r>
              <w:rPr>
                <w:rFonts w:hint="eastAsia"/>
                <w:color w:val="auto"/>
                <w:sz w:val="24"/>
              </w:rPr>
              <w:t>，9个县级及以上集中式饮用水水源地水质达标率保持100%。</w:t>
            </w:r>
          </w:p>
          <w:p w14:paraId="065F6C7F">
            <w:pPr>
              <w:spacing w:line="360" w:lineRule="auto"/>
              <w:ind w:firstLine="480" w:firstLineChars="200"/>
              <w:rPr>
                <w:color w:val="auto"/>
                <w:sz w:val="24"/>
                <w:highlight w:val="yellow"/>
              </w:rPr>
            </w:pPr>
            <w:r>
              <w:rPr>
                <w:bCs/>
                <w:color w:val="auto"/>
                <w:sz w:val="24"/>
              </w:rPr>
              <w:t>根据宿州市2024年第二季度地表水质量状况报告，宿州市共监测13个国控地表水考核断面和17个省控地表水考核断面（点位）中沱河关咀、澥河方店闸、老濉河泗县、唐河泗县、新濉河大屈，新汴河团结闸水质均值为Ⅲ类，奎河宿州、石梁河王庄西、王引河固口闸、萧濉新河宿州市、沱河芦岭桥、浍河湖沟和废黄河铜山贾楼桥水质均值为Ⅳ类，均达到国家考核要求。市级及县级集中式饮用水水源地水质均为Ⅲ类，水质达标率100%。</w:t>
            </w:r>
          </w:p>
          <w:p w14:paraId="15D1E75B">
            <w:pPr>
              <w:spacing w:line="360" w:lineRule="auto"/>
              <w:ind w:firstLine="480" w:firstLineChars="200"/>
              <w:rPr>
                <w:color w:val="auto"/>
                <w:sz w:val="24"/>
              </w:rPr>
            </w:pPr>
            <w:r>
              <w:rPr>
                <w:bCs/>
                <w:color w:val="auto"/>
                <w:sz w:val="24"/>
              </w:rPr>
              <w:t>本项目附近的地表水体为</w:t>
            </w:r>
            <w:r>
              <w:rPr>
                <w:rFonts w:hint="eastAsia"/>
                <w:bCs/>
                <w:color w:val="auto"/>
                <w:sz w:val="24"/>
              </w:rPr>
              <w:t>沱河</w:t>
            </w:r>
            <w:r>
              <w:rPr>
                <w:bCs/>
                <w:color w:val="auto"/>
                <w:sz w:val="24"/>
              </w:rPr>
              <w:t>。</w:t>
            </w:r>
            <w:r>
              <w:rPr>
                <w:rFonts w:hint="eastAsia"/>
                <w:bCs/>
                <w:color w:val="auto"/>
                <w:sz w:val="24"/>
              </w:rPr>
              <w:t>沱河位于本项目西南侧3267m</w:t>
            </w:r>
            <w:r>
              <w:rPr>
                <w:bCs/>
                <w:color w:val="auto"/>
                <w:sz w:val="24"/>
              </w:rPr>
              <w:t>。该区域的水质能够满足《地表水环境质量标准》（GB3838-2002）中的Ⅲ类标准</w:t>
            </w:r>
            <w:r>
              <w:rPr>
                <w:rFonts w:hint="eastAsia"/>
                <w:bCs/>
                <w:color w:val="auto"/>
                <w:sz w:val="24"/>
              </w:rPr>
              <w:t>。</w:t>
            </w:r>
          </w:p>
          <w:p w14:paraId="30A54FC6">
            <w:pPr>
              <w:spacing w:line="360" w:lineRule="auto"/>
              <w:ind w:firstLine="482" w:firstLineChars="200"/>
              <w:rPr>
                <w:b/>
                <w:color w:val="auto"/>
                <w:sz w:val="24"/>
                <w:szCs w:val="22"/>
              </w:rPr>
            </w:pPr>
            <w:r>
              <w:rPr>
                <w:b/>
                <w:color w:val="auto"/>
                <w:sz w:val="24"/>
                <w:szCs w:val="22"/>
              </w:rPr>
              <w:t>3、声环境</w:t>
            </w:r>
          </w:p>
          <w:p w14:paraId="50F21DDE">
            <w:pPr>
              <w:spacing w:line="360" w:lineRule="auto"/>
              <w:ind w:firstLine="480" w:firstLineChars="200"/>
              <w:rPr>
                <w:color w:val="auto"/>
                <w:sz w:val="24"/>
              </w:rPr>
            </w:pPr>
            <w:r>
              <w:rPr>
                <w:rFonts w:hint="eastAsia"/>
                <w:color w:val="auto"/>
                <w:sz w:val="24"/>
              </w:rPr>
              <w:t>根据现场勘查，项目厂界周边50米范围存在声环境保护目标</w:t>
            </w:r>
            <w:r>
              <w:rPr>
                <w:color w:val="auto"/>
                <w:sz w:val="24"/>
              </w:rPr>
              <w:t>。</w:t>
            </w:r>
          </w:p>
          <w:p w14:paraId="508ABD29">
            <w:pPr>
              <w:pStyle w:val="2"/>
              <w:jc w:val="center"/>
              <w:rPr>
                <w:rFonts w:hint="default" w:ascii="Times New Roman" w:hAnsi="Times New Roman" w:cs="Times New Roman"/>
                <w:color w:val="auto"/>
                <w:sz w:val="24"/>
                <w:szCs w:val="32"/>
              </w:rPr>
            </w:pPr>
            <w:r>
              <w:rPr>
                <w:rFonts w:hint="default" w:ascii="Times New Roman" w:hAnsi="Times New Roman" w:cs="Times New Roman"/>
                <w:color w:val="auto"/>
                <w:sz w:val="24"/>
                <w:lang w:val="en-US" w:eastAsia="zh-CN"/>
              </w:rPr>
              <w:t>表</w:t>
            </w:r>
            <w:r>
              <w:rPr>
                <w:rFonts w:hint="default" w:ascii="Times New Roman" w:hAnsi="Times New Roman" w:cs="Times New Roman"/>
                <w:color w:val="auto"/>
                <w:sz w:val="24"/>
                <w:szCs w:val="32"/>
              </w:rPr>
              <w:t>3-</w:t>
            </w:r>
            <w:r>
              <w:rPr>
                <w:rFonts w:hint="default" w:ascii="Times New Roman" w:hAnsi="Times New Roman" w:cs="Times New Roman"/>
                <w:color w:val="auto"/>
                <w:sz w:val="24"/>
                <w:szCs w:val="32"/>
                <w:lang w:val="en-US" w:eastAsia="zh-CN"/>
              </w:rPr>
              <w:t>4</w:t>
            </w:r>
            <w:r>
              <w:rPr>
                <w:rFonts w:hint="default" w:ascii="Times New Roman" w:hAnsi="Times New Roman" w:cs="Times New Roman"/>
                <w:color w:val="auto"/>
                <w:sz w:val="24"/>
                <w:szCs w:val="32"/>
              </w:rPr>
              <w:t xml:space="preserve">  </w:t>
            </w:r>
            <w:r>
              <w:rPr>
                <w:rFonts w:hint="eastAsia" w:ascii="Times New Roman" w:hAnsi="Times New Roman" w:cs="Times New Roman"/>
                <w:color w:val="auto"/>
                <w:sz w:val="24"/>
                <w:szCs w:val="32"/>
                <w:lang w:val="en-US" w:eastAsia="zh-CN"/>
              </w:rPr>
              <w:t>噪声预测</w:t>
            </w:r>
            <w:r>
              <w:rPr>
                <w:rFonts w:hint="default" w:ascii="Times New Roman" w:hAnsi="Times New Roman" w:cs="Times New Roman"/>
                <w:color w:val="auto"/>
                <w:sz w:val="24"/>
                <w:szCs w:val="32"/>
              </w:rPr>
              <w:t>结果</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5"/>
              <w:gridCol w:w="1966"/>
              <w:gridCol w:w="2001"/>
              <w:gridCol w:w="2504"/>
            </w:tblGrid>
            <w:tr w14:paraId="18B55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pct"/>
                  <w:vMerge w:val="restart"/>
                  <w:tcMar>
                    <w:left w:w="0" w:type="dxa"/>
                    <w:right w:w="0" w:type="dxa"/>
                  </w:tcMar>
                  <w:vAlign w:val="center"/>
                </w:tcPr>
                <w:p w14:paraId="541A0E2A">
                  <w:pPr>
                    <w:adjustRightInd w:val="0"/>
                    <w:snapToGrid w:val="0"/>
                    <w:jc w:val="center"/>
                    <w:rPr>
                      <w:color w:val="auto"/>
                      <w:szCs w:val="21"/>
                    </w:rPr>
                  </w:pPr>
                  <w:r>
                    <w:rPr>
                      <w:color w:val="auto"/>
                      <w:szCs w:val="21"/>
                    </w:rPr>
                    <w:t>位点</w:t>
                  </w:r>
                </w:p>
              </w:tc>
              <w:tc>
                <w:tcPr>
                  <w:tcW w:w="1155" w:type="pct"/>
                  <w:tcMar>
                    <w:left w:w="0" w:type="dxa"/>
                    <w:right w:w="0" w:type="dxa"/>
                  </w:tcMar>
                  <w:vAlign w:val="center"/>
                </w:tcPr>
                <w:p w14:paraId="1B6133EA">
                  <w:pPr>
                    <w:adjustRightInd w:val="0"/>
                    <w:snapToGrid w:val="0"/>
                    <w:jc w:val="center"/>
                    <w:rPr>
                      <w:color w:val="auto"/>
                      <w:szCs w:val="21"/>
                    </w:rPr>
                  </w:pPr>
                  <w:r>
                    <w:rPr>
                      <w:color w:val="auto"/>
                      <w:szCs w:val="21"/>
                    </w:rPr>
                    <w:t>贡献值</w:t>
                  </w:r>
                </w:p>
              </w:tc>
              <w:tc>
                <w:tcPr>
                  <w:tcW w:w="1176" w:type="pct"/>
                  <w:tcMar>
                    <w:left w:w="0" w:type="dxa"/>
                    <w:right w:w="0" w:type="dxa"/>
                  </w:tcMar>
                  <w:vAlign w:val="center"/>
                </w:tcPr>
                <w:p w14:paraId="73EA9372">
                  <w:pPr>
                    <w:adjustRightInd w:val="0"/>
                    <w:snapToGrid w:val="0"/>
                    <w:jc w:val="center"/>
                    <w:rPr>
                      <w:color w:val="auto"/>
                      <w:szCs w:val="21"/>
                    </w:rPr>
                  </w:pPr>
                  <w:r>
                    <w:rPr>
                      <w:color w:val="auto"/>
                      <w:szCs w:val="21"/>
                    </w:rPr>
                    <w:t>标准值</w:t>
                  </w:r>
                </w:p>
              </w:tc>
              <w:tc>
                <w:tcPr>
                  <w:tcW w:w="1471" w:type="pct"/>
                  <w:vMerge w:val="restart"/>
                  <w:tcMar>
                    <w:left w:w="0" w:type="dxa"/>
                    <w:right w:w="0" w:type="dxa"/>
                  </w:tcMar>
                  <w:vAlign w:val="center"/>
                </w:tcPr>
                <w:p w14:paraId="7C00A47D">
                  <w:pPr>
                    <w:adjustRightInd w:val="0"/>
                    <w:snapToGrid w:val="0"/>
                    <w:jc w:val="center"/>
                    <w:rPr>
                      <w:color w:val="auto"/>
                      <w:szCs w:val="21"/>
                    </w:rPr>
                  </w:pPr>
                  <w:r>
                    <w:rPr>
                      <w:color w:val="auto"/>
                      <w:szCs w:val="21"/>
                    </w:rPr>
                    <w:t>评价结果</w:t>
                  </w:r>
                </w:p>
              </w:tc>
            </w:tr>
            <w:tr w14:paraId="6432A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pct"/>
                  <w:vMerge w:val="continue"/>
                  <w:tcMar>
                    <w:left w:w="0" w:type="dxa"/>
                    <w:right w:w="0" w:type="dxa"/>
                  </w:tcMar>
                  <w:vAlign w:val="center"/>
                </w:tcPr>
                <w:p w14:paraId="47EBACE0">
                  <w:pPr>
                    <w:adjustRightInd w:val="0"/>
                    <w:snapToGrid w:val="0"/>
                    <w:jc w:val="center"/>
                    <w:rPr>
                      <w:color w:val="auto"/>
                      <w:szCs w:val="21"/>
                    </w:rPr>
                  </w:pPr>
                </w:p>
              </w:tc>
              <w:tc>
                <w:tcPr>
                  <w:tcW w:w="1155" w:type="pct"/>
                  <w:tcMar>
                    <w:left w:w="0" w:type="dxa"/>
                    <w:right w:w="0" w:type="dxa"/>
                  </w:tcMar>
                  <w:vAlign w:val="center"/>
                </w:tcPr>
                <w:p w14:paraId="35082202">
                  <w:pPr>
                    <w:adjustRightInd w:val="0"/>
                    <w:snapToGrid w:val="0"/>
                    <w:jc w:val="center"/>
                    <w:rPr>
                      <w:color w:val="auto"/>
                      <w:szCs w:val="21"/>
                    </w:rPr>
                  </w:pPr>
                  <w:r>
                    <w:rPr>
                      <w:color w:val="auto"/>
                      <w:szCs w:val="21"/>
                    </w:rPr>
                    <w:t>昼间</w:t>
                  </w:r>
                </w:p>
              </w:tc>
              <w:tc>
                <w:tcPr>
                  <w:tcW w:w="1176" w:type="pct"/>
                  <w:tcMar>
                    <w:left w:w="0" w:type="dxa"/>
                    <w:right w:w="0" w:type="dxa"/>
                  </w:tcMar>
                  <w:vAlign w:val="center"/>
                </w:tcPr>
                <w:p w14:paraId="4CB31CDF">
                  <w:pPr>
                    <w:adjustRightInd w:val="0"/>
                    <w:snapToGrid w:val="0"/>
                    <w:jc w:val="center"/>
                    <w:rPr>
                      <w:color w:val="auto"/>
                      <w:szCs w:val="21"/>
                    </w:rPr>
                  </w:pPr>
                  <w:r>
                    <w:rPr>
                      <w:color w:val="auto"/>
                      <w:szCs w:val="21"/>
                    </w:rPr>
                    <w:t>昼间</w:t>
                  </w:r>
                </w:p>
              </w:tc>
              <w:tc>
                <w:tcPr>
                  <w:tcW w:w="1471" w:type="pct"/>
                  <w:vMerge w:val="continue"/>
                  <w:tcMar>
                    <w:left w:w="0" w:type="dxa"/>
                    <w:right w:w="0" w:type="dxa"/>
                  </w:tcMar>
                  <w:vAlign w:val="center"/>
                </w:tcPr>
                <w:p w14:paraId="165311E3">
                  <w:pPr>
                    <w:adjustRightInd w:val="0"/>
                    <w:snapToGrid w:val="0"/>
                    <w:jc w:val="center"/>
                    <w:rPr>
                      <w:color w:val="auto"/>
                      <w:szCs w:val="21"/>
                    </w:rPr>
                  </w:pPr>
                </w:p>
              </w:tc>
            </w:tr>
            <w:tr w14:paraId="22CA8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196" w:type="pct"/>
                  <w:tcMar>
                    <w:left w:w="0" w:type="dxa"/>
                    <w:right w:w="0" w:type="dxa"/>
                  </w:tcMar>
                  <w:vAlign w:val="center"/>
                </w:tcPr>
                <w:p w14:paraId="7CC49F28">
                  <w:pPr>
                    <w:pStyle w:val="71"/>
                    <w:adjustRightInd w:val="0"/>
                    <w:snapToGrid w:val="0"/>
                    <w:rPr>
                      <w:rFonts w:cs="Times New Roman"/>
                      <w:color w:val="auto"/>
                      <w:szCs w:val="21"/>
                    </w:rPr>
                  </w:pPr>
                  <w:r>
                    <w:rPr>
                      <w:rFonts w:cs="Times New Roman"/>
                      <w:color w:val="auto"/>
                      <w:szCs w:val="21"/>
                    </w:rPr>
                    <w:t>东厂界</w:t>
                  </w:r>
                </w:p>
              </w:tc>
              <w:tc>
                <w:tcPr>
                  <w:tcW w:w="1155" w:type="pct"/>
                  <w:tcMar>
                    <w:left w:w="0" w:type="dxa"/>
                    <w:right w:w="0" w:type="dxa"/>
                  </w:tcMar>
                  <w:vAlign w:val="center"/>
                </w:tcPr>
                <w:p w14:paraId="412B8CE5">
                  <w:pPr>
                    <w:pStyle w:val="71"/>
                    <w:adjustRightInd w:val="0"/>
                    <w:snapToGrid w:val="0"/>
                    <w:rPr>
                      <w:rFonts w:cs="Times New Roman"/>
                      <w:color w:val="auto"/>
                      <w:szCs w:val="21"/>
                      <w:highlight w:val="yellow"/>
                    </w:rPr>
                  </w:pPr>
                  <w:r>
                    <w:rPr>
                      <w:rFonts w:hint="eastAsia" w:cs="Times New Roman"/>
                      <w:color w:val="auto"/>
                      <w:szCs w:val="21"/>
                    </w:rPr>
                    <w:t>57.3</w:t>
                  </w:r>
                </w:p>
              </w:tc>
              <w:tc>
                <w:tcPr>
                  <w:tcW w:w="1176" w:type="pct"/>
                  <w:tcMar>
                    <w:left w:w="0" w:type="dxa"/>
                    <w:right w:w="0" w:type="dxa"/>
                  </w:tcMar>
                  <w:vAlign w:val="center"/>
                </w:tcPr>
                <w:p w14:paraId="1C01B29A">
                  <w:pPr>
                    <w:pStyle w:val="71"/>
                    <w:adjustRightInd w:val="0"/>
                    <w:snapToGrid w:val="0"/>
                    <w:rPr>
                      <w:rFonts w:cs="Times New Roman"/>
                      <w:color w:val="auto"/>
                      <w:szCs w:val="21"/>
                    </w:rPr>
                  </w:pPr>
                  <w:r>
                    <w:rPr>
                      <w:rFonts w:cs="Times New Roman"/>
                      <w:color w:val="auto"/>
                      <w:szCs w:val="21"/>
                    </w:rPr>
                    <w:t>6</w:t>
                  </w:r>
                  <w:r>
                    <w:rPr>
                      <w:rFonts w:hint="eastAsia" w:cs="Times New Roman"/>
                      <w:color w:val="auto"/>
                      <w:szCs w:val="21"/>
                    </w:rPr>
                    <w:t>0</w:t>
                  </w:r>
                </w:p>
              </w:tc>
              <w:tc>
                <w:tcPr>
                  <w:tcW w:w="1471" w:type="pct"/>
                  <w:tcMar>
                    <w:left w:w="0" w:type="dxa"/>
                    <w:right w:w="0" w:type="dxa"/>
                  </w:tcMar>
                  <w:vAlign w:val="center"/>
                </w:tcPr>
                <w:p w14:paraId="16271118">
                  <w:pPr>
                    <w:pStyle w:val="71"/>
                    <w:adjustRightInd w:val="0"/>
                    <w:snapToGrid w:val="0"/>
                    <w:rPr>
                      <w:rFonts w:cs="Times New Roman"/>
                      <w:color w:val="auto"/>
                      <w:szCs w:val="21"/>
                    </w:rPr>
                  </w:pPr>
                  <w:r>
                    <w:rPr>
                      <w:rFonts w:cs="Times New Roman"/>
                      <w:color w:val="auto"/>
                      <w:szCs w:val="21"/>
                    </w:rPr>
                    <w:t>达标</w:t>
                  </w:r>
                </w:p>
              </w:tc>
            </w:tr>
            <w:tr w14:paraId="40290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pct"/>
                  <w:tcMar>
                    <w:left w:w="0" w:type="dxa"/>
                    <w:right w:w="0" w:type="dxa"/>
                  </w:tcMar>
                  <w:vAlign w:val="center"/>
                </w:tcPr>
                <w:p w14:paraId="489D5994">
                  <w:pPr>
                    <w:pStyle w:val="71"/>
                    <w:adjustRightInd w:val="0"/>
                    <w:snapToGrid w:val="0"/>
                    <w:rPr>
                      <w:rFonts w:cs="Times New Roman"/>
                      <w:color w:val="auto"/>
                      <w:szCs w:val="21"/>
                    </w:rPr>
                  </w:pPr>
                  <w:r>
                    <w:rPr>
                      <w:rFonts w:cs="Times New Roman"/>
                      <w:color w:val="auto"/>
                      <w:szCs w:val="21"/>
                    </w:rPr>
                    <w:t>南厂界</w:t>
                  </w:r>
                </w:p>
              </w:tc>
              <w:tc>
                <w:tcPr>
                  <w:tcW w:w="1155" w:type="pct"/>
                  <w:tcMar>
                    <w:left w:w="0" w:type="dxa"/>
                    <w:right w:w="0" w:type="dxa"/>
                  </w:tcMar>
                  <w:vAlign w:val="center"/>
                </w:tcPr>
                <w:p w14:paraId="28723F2F">
                  <w:pPr>
                    <w:pStyle w:val="71"/>
                    <w:adjustRightInd w:val="0"/>
                    <w:snapToGrid w:val="0"/>
                    <w:rPr>
                      <w:rFonts w:cs="Times New Roman"/>
                      <w:color w:val="auto"/>
                      <w:szCs w:val="21"/>
                      <w:highlight w:val="yellow"/>
                    </w:rPr>
                  </w:pPr>
                  <w:r>
                    <w:rPr>
                      <w:rFonts w:hint="eastAsia" w:cs="Times New Roman"/>
                      <w:color w:val="auto"/>
                      <w:szCs w:val="21"/>
                    </w:rPr>
                    <w:t>52.9</w:t>
                  </w:r>
                </w:p>
              </w:tc>
              <w:tc>
                <w:tcPr>
                  <w:tcW w:w="1176" w:type="pct"/>
                  <w:tcMar>
                    <w:left w:w="0" w:type="dxa"/>
                    <w:right w:w="0" w:type="dxa"/>
                  </w:tcMar>
                  <w:vAlign w:val="center"/>
                </w:tcPr>
                <w:p w14:paraId="06AE698A">
                  <w:pPr>
                    <w:pStyle w:val="71"/>
                    <w:adjustRightInd w:val="0"/>
                    <w:snapToGrid w:val="0"/>
                    <w:rPr>
                      <w:rFonts w:cs="Times New Roman"/>
                      <w:color w:val="auto"/>
                      <w:szCs w:val="21"/>
                    </w:rPr>
                  </w:pPr>
                  <w:r>
                    <w:rPr>
                      <w:rFonts w:cs="Times New Roman"/>
                      <w:color w:val="auto"/>
                      <w:szCs w:val="21"/>
                    </w:rPr>
                    <w:t>6</w:t>
                  </w:r>
                  <w:r>
                    <w:rPr>
                      <w:rFonts w:hint="eastAsia" w:cs="Times New Roman"/>
                      <w:color w:val="auto"/>
                      <w:szCs w:val="21"/>
                    </w:rPr>
                    <w:t>0</w:t>
                  </w:r>
                </w:p>
              </w:tc>
              <w:tc>
                <w:tcPr>
                  <w:tcW w:w="1471" w:type="pct"/>
                  <w:tcMar>
                    <w:left w:w="0" w:type="dxa"/>
                    <w:right w:w="0" w:type="dxa"/>
                  </w:tcMar>
                  <w:vAlign w:val="center"/>
                </w:tcPr>
                <w:p w14:paraId="45AC2958">
                  <w:pPr>
                    <w:pStyle w:val="71"/>
                    <w:adjustRightInd w:val="0"/>
                    <w:snapToGrid w:val="0"/>
                    <w:rPr>
                      <w:rFonts w:cs="Times New Roman"/>
                      <w:color w:val="auto"/>
                      <w:szCs w:val="21"/>
                    </w:rPr>
                  </w:pPr>
                  <w:r>
                    <w:rPr>
                      <w:rFonts w:cs="Times New Roman"/>
                      <w:color w:val="auto"/>
                      <w:szCs w:val="21"/>
                    </w:rPr>
                    <w:t>达标</w:t>
                  </w:r>
                </w:p>
              </w:tc>
            </w:tr>
            <w:tr w14:paraId="18D49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pct"/>
                  <w:tcMar>
                    <w:left w:w="0" w:type="dxa"/>
                    <w:right w:w="0" w:type="dxa"/>
                  </w:tcMar>
                  <w:vAlign w:val="center"/>
                </w:tcPr>
                <w:p w14:paraId="5F85B2E3">
                  <w:pPr>
                    <w:pStyle w:val="71"/>
                    <w:adjustRightInd w:val="0"/>
                    <w:snapToGrid w:val="0"/>
                    <w:rPr>
                      <w:rFonts w:cs="Times New Roman"/>
                      <w:color w:val="auto"/>
                      <w:szCs w:val="21"/>
                    </w:rPr>
                  </w:pPr>
                  <w:r>
                    <w:rPr>
                      <w:rFonts w:cs="Times New Roman"/>
                      <w:color w:val="auto"/>
                      <w:szCs w:val="21"/>
                    </w:rPr>
                    <w:t>西厂界</w:t>
                  </w:r>
                </w:p>
              </w:tc>
              <w:tc>
                <w:tcPr>
                  <w:tcW w:w="1155" w:type="pct"/>
                  <w:tcMar>
                    <w:left w:w="0" w:type="dxa"/>
                    <w:right w:w="0" w:type="dxa"/>
                  </w:tcMar>
                  <w:vAlign w:val="center"/>
                </w:tcPr>
                <w:p w14:paraId="73140E85">
                  <w:pPr>
                    <w:pStyle w:val="71"/>
                    <w:adjustRightInd w:val="0"/>
                    <w:snapToGrid w:val="0"/>
                    <w:rPr>
                      <w:rFonts w:cs="Times New Roman"/>
                      <w:color w:val="auto"/>
                      <w:szCs w:val="21"/>
                      <w:highlight w:val="yellow"/>
                    </w:rPr>
                  </w:pPr>
                  <w:r>
                    <w:rPr>
                      <w:rFonts w:hint="eastAsia" w:cs="Times New Roman"/>
                      <w:color w:val="auto"/>
                      <w:szCs w:val="21"/>
                    </w:rPr>
                    <w:t>58.5</w:t>
                  </w:r>
                </w:p>
              </w:tc>
              <w:tc>
                <w:tcPr>
                  <w:tcW w:w="1176" w:type="pct"/>
                  <w:tcMar>
                    <w:left w:w="0" w:type="dxa"/>
                    <w:right w:w="0" w:type="dxa"/>
                  </w:tcMar>
                  <w:vAlign w:val="center"/>
                </w:tcPr>
                <w:p w14:paraId="6343A61A">
                  <w:pPr>
                    <w:pStyle w:val="71"/>
                    <w:adjustRightInd w:val="0"/>
                    <w:snapToGrid w:val="0"/>
                    <w:rPr>
                      <w:rFonts w:cs="Times New Roman"/>
                      <w:color w:val="auto"/>
                      <w:szCs w:val="21"/>
                    </w:rPr>
                  </w:pPr>
                  <w:r>
                    <w:rPr>
                      <w:rFonts w:cs="Times New Roman"/>
                      <w:color w:val="auto"/>
                      <w:szCs w:val="21"/>
                    </w:rPr>
                    <w:t>6</w:t>
                  </w:r>
                  <w:r>
                    <w:rPr>
                      <w:rFonts w:hint="eastAsia" w:cs="Times New Roman"/>
                      <w:color w:val="auto"/>
                      <w:szCs w:val="21"/>
                    </w:rPr>
                    <w:t>0</w:t>
                  </w:r>
                </w:p>
              </w:tc>
              <w:tc>
                <w:tcPr>
                  <w:tcW w:w="1471" w:type="pct"/>
                  <w:tcMar>
                    <w:left w:w="0" w:type="dxa"/>
                    <w:right w:w="0" w:type="dxa"/>
                  </w:tcMar>
                  <w:vAlign w:val="center"/>
                </w:tcPr>
                <w:p w14:paraId="67EC563E">
                  <w:pPr>
                    <w:pStyle w:val="71"/>
                    <w:adjustRightInd w:val="0"/>
                    <w:snapToGrid w:val="0"/>
                    <w:rPr>
                      <w:rFonts w:cs="Times New Roman"/>
                      <w:color w:val="auto"/>
                      <w:szCs w:val="21"/>
                    </w:rPr>
                  </w:pPr>
                  <w:r>
                    <w:rPr>
                      <w:rFonts w:cs="Times New Roman"/>
                      <w:color w:val="auto"/>
                      <w:szCs w:val="21"/>
                    </w:rPr>
                    <w:t>达标</w:t>
                  </w:r>
                </w:p>
              </w:tc>
            </w:tr>
            <w:tr w14:paraId="12FEB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pct"/>
                  <w:tcMar>
                    <w:left w:w="0" w:type="dxa"/>
                    <w:right w:w="0" w:type="dxa"/>
                  </w:tcMar>
                  <w:vAlign w:val="center"/>
                </w:tcPr>
                <w:p w14:paraId="162855FE">
                  <w:pPr>
                    <w:pStyle w:val="71"/>
                    <w:adjustRightInd w:val="0"/>
                    <w:snapToGrid w:val="0"/>
                    <w:rPr>
                      <w:rFonts w:cs="Times New Roman"/>
                      <w:color w:val="auto"/>
                      <w:szCs w:val="21"/>
                    </w:rPr>
                  </w:pPr>
                  <w:r>
                    <w:rPr>
                      <w:rFonts w:cs="Times New Roman"/>
                      <w:color w:val="auto"/>
                      <w:szCs w:val="21"/>
                    </w:rPr>
                    <w:t>北厂界</w:t>
                  </w:r>
                </w:p>
              </w:tc>
              <w:tc>
                <w:tcPr>
                  <w:tcW w:w="1155" w:type="pct"/>
                  <w:tcMar>
                    <w:left w:w="0" w:type="dxa"/>
                    <w:right w:w="0" w:type="dxa"/>
                  </w:tcMar>
                  <w:vAlign w:val="center"/>
                </w:tcPr>
                <w:p w14:paraId="1DFE3BA8">
                  <w:pPr>
                    <w:pStyle w:val="71"/>
                    <w:adjustRightInd w:val="0"/>
                    <w:snapToGrid w:val="0"/>
                    <w:rPr>
                      <w:rFonts w:cs="Times New Roman"/>
                      <w:color w:val="auto"/>
                      <w:szCs w:val="21"/>
                      <w:highlight w:val="yellow"/>
                    </w:rPr>
                  </w:pPr>
                  <w:r>
                    <w:rPr>
                      <w:rFonts w:hint="eastAsia" w:cs="Times New Roman"/>
                      <w:color w:val="auto"/>
                      <w:szCs w:val="21"/>
                    </w:rPr>
                    <w:t>57.8</w:t>
                  </w:r>
                </w:p>
              </w:tc>
              <w:tc>
                <w:tcPr>
                  <w:tcW w:w="1176" w:type="pct"/>
                  <w:tcMar>
                    <w:left w:w="0" w:type="dxa"/>
                    <w:right w:w="0" w:type="dxa"/>
                  </w:tcMar>
                  <w:vAlign w:val="center"/>
                </w:tcPr>
                <w:p w14:paraId="5D8A5899">
                  <w:pPr>
                    <w:pStyle w:val="71"/>
                    <w:adjustRightInd w:val="0"/>
                    <w:snapToGrid w:val="0"/>
                    <w:rPr>
                      <w:rFonts w:cs="Times New Roman"/>
                      <w:color w:val="auto"/>
                      <w:szCs w:val="21"/>
                    </w:rPr>
                  </w:pPr>
                  <w:r>
                    <w:rPr>
                      <w:rFonts w:cs="Times New Roman"/>
                      <w:color w:val="auto"/>
                      <w:szCs w:val="21"/>
                    </w:rPr>
                    <w:t>6</w:t>
                  </w:r>
                  <w:r>
                    <w:rPr>
                      <w:rFonts w:hint="eastAsia" w:cs="Times New Roman"/>
                      <w:color w:val="auto"/>
                      <w:szCs w:val="21"/>
                    </w:rPr>
                    <w:t>0</w:t>
                  </w:r>
                </w:p>
              </w:tc>
              <w:tc>
                <w:tcPr>
                  <w:tcW w:w="1471" w:type="pct"/>
                  <w:tcMar>
                    <w:left w:w="0" w:type="dxa"/>
                    <w:right w:w="0" w:type="dxa"/>
                  </w:tcMar>
                  <w:vAlign w:val="center"/>
                </w:tcPr>
                <w:p w14:paraId="54A65485">
                  <w:pPr>
                    <w:pStyle w:val="71"/>
                    <w:adjustRightInd w:val="0"/>
                    <w:snapToGrid w:val="0"/>
                    <w:rPr>
                      <w:rFonts w:cs="Times New Roman"/>
                      <w:color w:val="auto"/>
                      <w:szCs w:val="21"/>
                    </w:rPr>
                  </w:pPr>
                  <w:r>
                    <w:rPr>
                      <w:rFonts w:cs="Times New Roman"/>
                      <w:color w:val="auto"/>
                      <w:szCs w:val="21"/>
                    </w:rPr>
                    <w:t>达标</w:t>
                  </w:r>
                </w:p>
              </w:tc>
            </w:tr>
            <w:tr w14:paraId="606A5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pct"/>
                  <w:tcMar>
                    <w:left w:w="0" w:type="dxa"/>
                    <w:right w:w="0" w:type="dxa"/>
                  </w:tcMar>
                  <w:vAlign w:val="center"/>
                </w:tcPr>
                <w:p w14:paraId="7A3473C4">
                  <w:pPr>
                    <w:pStyle w:val="71"/>
                    <w:adjustRightInd w:val="0"/>
                    <w:snapToGrid w:val="0"/>
                    <w:rPr>
                      <w:rFonts w:hint="default" w:eastAsia="宋体" w:cs="Times New Roman"/>
                      <w:color w:val="auto"/>
                      <w:szCs w:val="21"/>
                      <w:lang w:val="en-US" w:eastAsia="zh-CN"/>
                    </w:rPr>
                  </w:pPr>
                  <w:r>
                    <w:rPr>
                      <w:rFonts w:hint="eastAsia" w:ascii="Times New Roman" w:hAnsi="Times New Roman" w:eastAsia="宋体" w:cs="Times New Roman"/>
                      <w:color w:val="auto"/>
                      <w:szCs w:val="21"/>
                      <w:lang w:val="en-US" w:eastAsia="zh-CN"/>
                    </w:rPr>
                    <w:t>朱仙庄镇零星居民点</w:t>
                  </w:r>
                </w:p>
              </w:tc>
              <w:tc>
                <w:tcPr>
                  <w:tcW w:w="1155" w:type="pct"/>
                  <w:tcMar>
                    <w:left w:w="0" w:type="dxa"/>
                    <w:right w:w="0" w:type="dxa"/>
                  </w:tcMar>
                  <w:vAlign w:val="center"/>
                </w:tcPr>
                <w:p w14:paraId="4E31D5CD">
                  <w:pPr>
                    <w:pStyle w:val="71"/>
                    <w:adjustRightInd w:val="0"/>
                    <w:snapToGrid w:val="0"/>
                    <w:rPr>
                      <w:rFonts w:hint="default" w:eastAsia="宋体" w:cs="Times New Roman"/>
                      <w:color w:val="auto"/>
                      <w:szCs w:val="21"/>
                      <w:lang w:val="en-US" w:eastAsia="zh-CN"/>
                    </w:rPr>
                  </w:pPr>
                  <w:r>
                    <w:rPr>
                      <w:rFonts w:hint="eastAsia" w:cs="Times New Roman"/>
                      <w:color w:val="auto"/>
                      <w:szCs w:val="21"/>
                      <w:lang w:val="en-US" w:eastAsia="zh-CN"/>
                    </w:rPr>
                    <w:t>53.7</w:t>
                  </w:r>
                </w:p>
              </w:tc>
              <w:tc>
                <w:tcPr>
                  <w:tcW w:w="1176" w:type="pct"/>
                  <w:tcMar>
                    <w:left w:w="0" w:type="dxa"/>
                    <w:right w:w="0" w:type="dxa"/>
                  </w:tcMar>
                  <w:vAlign w:val="center"/>
                </w:tcPr>
                <w:p w14:paraId="34CCEE33">
                  <w:pPr>
                    <w:pStyle w:val="71"/>
                    <w:adjustRightInd w:val="0"/>
                    <w:snapToGrid w:val="0"/>
                    <w:rPr>
                      <w:rFonts w:hint="default" w:eastAsia="宋体" w:cs="Times New Roman"/>
                      <w:color w:val="auto"/>
                      <w:szCs w:val="21"/>
                      <w:lang w:val="en-US" w:eastAsia="zh-CN"/>
                    </w:rPr>
                  </w:pPr>
                  <w:r>
                    <w:rPr>
                      <w:rFonts w:hint="eastAsia" w:cs="Times New Roman"/>
                      <w:color w:val="auto"/>
                      <w:szCs w:val="21"/>
                      <w:lang w:val="en-US" w:eastAsia="zh-CN"/>
                    </w:rPr>
                    <w:t>60</w:t>
                  </w:r>
                </w:p>
              </w:tc>
              <w:tc>
                <w:tcPr>
                  <w:tcW w:w="1471" w:type="pct"/>
                  <w:tcMar>
                    <w:left w:w="0" w:type="dxa"/>
                    <w:right w:w="0" w:type="dxa"/>
                  </w:tcMar>
                  <w:vAlign w:val="center"/>
                </w:tcPr>
                <w:p w14:paraId="19C209FB">
                  <w:pPr>
                    <w:pStyle w:val="71"/>
                    <w:adjustRightInd w:val="0"/>
                    <w:snapToGrid w:val="0"/>
                    <w:rPr>
                      <w:rFonts w:cs="Times New Roman"/>
                      <w:color w:val="auto"/>
                      <w:szCs w:val="21"/>
                    </w:rPr>
                  </w:pPr>
                  <w:r>
                    <w:rPr>
                      <w:rFonts w:cs="Times New Roman"/>
                      <w:color w:val="auto"/>
                      <w:szCs w:val="21"/>
                    </w:rPr>
                    <w:t>达标</w:t>
                  </w:r>
                </w:p>
              </w:tc>
            </w:tr>
          </w:tbl>
          <w:p w14:paraId="231E4ADE">
            <w:pPr>
              <w:ind w:firstLine="480" w:firstLineChars="200"/>
              <w:rPr>
                <w:rFonts w:hint="default" w:ascii="Times New Roman" w:hAnsi="Times New Roman" w:eastAsia="宋体" w:cs="Times New Roman"/>
                <w:color w:val="auto"/>
                <w:sz w:val="24"/>
                <w:szCs w:val="32"/>
                <w:lang w:val="en-US" w:eastAsia="zh-CN"/>
              </w:rPr>
            </w:pPr>
            <w:r>
              <w:rPr>
                <w:rFonts w:hint="default" w:ascii="Times New Roman" w:hAnsi="Times New Roman" w:eastAsia="宋体" w:cs="Times New Roman"/>
                <w:color w:val="auto"/>
                <w:sz w:val="24"/>
                <w:szCs w:val="32"/>
                <w:lang w:val="en-US" w:eastAsia="zh-CN"/>
              </w:rPr>
              <w:t>敏感点声环境质量执行《声环境质量标准》（GB3096-2008）中2类标准</w:t>
            </w:r>
            <w:r>
              <w:rPr>
                <w:rFonts w:hint="eastAsia" w:cs="Times New Roman"/>
                <w:color w:val="auto"/>
                <w:sz w:val="24"/>
                <w:szCs w:val="32"/>
                <w:lang w:val="en-US" w:eastAsia="zh-CN"/>
              </w:rPr>
              <w:t>。</w:t>
            </w:r>
          </w:p>
          <w:p w14:paraId="7370BDAA">
            <w:pPr>
              <w:spacing w:line="360" w:lineRule="auto"/>
              <w:ind w:firstLine="482" w:firstLineChars="200"/>
              <w:rPr>
                <w:b/>
                <w:bCs/>
                <w:color w:val="auto"/>
                <w:sz w:val="24"/>
              </w:rPr>
            </w:pPr>
            <w:r>
              <w:rPr>
                <w:b/>
                <w:bCs/>
                <w:color w:val="auto"/>
                <w:sz w:val="24"/>
              </w:rPr>
              <w:t>4、生态环境</w:t>
            </w:r>
          </w:p>
          <w:p w14:paraId="472911CD">
            <w:pPr>
              <w:spacing w:line="360" w:lineRule="auto"/>
              <w:ind w:firstLine="480" w:firstLineChars="200"/>
              <w:rPr>
                <w:color w:val="auto"/>
                <w:sz w:val="24"/>
              </w:rPr>
            </w:pPr>
            <w:r>
              <w:rPr>
                <w:color w:val="auto"/>
                <w:sz w:val="24"/>
              </w:rPr>
              <w:t>本项目位于宿州市埇桥区朱仙庄镇东三环与泗永路交叉口东侧，</w:t>
            </w:r>
            <w:r>
              <w:rPr>
                <w:rFonts w:hint="eastAsia"/>
                <w:color w:val="auto"/>
                <w:sz w:val="24"/>
              </w:rPr>
              <w:t>本项目为扩建项目，项目所在地</w:t>
            </w:r>
            <w:r>
              <w:rPr>
                <w:color w:val="auto"/>
                <w:sz w:val="24"/>
              </w:rPr>
              <w:t>属于</w:t>
            </w:r>
            <w:r>
              <w:rPr>
                <w:rFonts w:hint="eastAsia"/>
                <w:color w:val="auto"/>
                <w:sz w:val="24"/>
              </w:rPr>
              <w:t>工业用地</w:t>
            </w:r>
            <w:r>
              <w:rPr>
                <w:color w:val="auto"/>
                <w:sz w:val="24"/>
              </w:rPr>
              <w:t>，</w:t>
            </w:r>
            <w:r>
              <w:rPr>
                <w:rFonts w:hint="eastAsia"/>
                <w:color w:val="auto"/>
                <w:sz w:val="24"/>
              </w:rPr>
              <w:t>依托原有土地，不新增用地</w:t>
            </w:r>
            <w:r>
              <w:rPr>
                <w:color w:val="auto"/>
                <w:sz w:val="24"/>
              </w:rPr>
              <w:t>，</w:t>
            </w:r>
            <w:r>
              <w:rPr>
                <w:rFonts w:hint="eastAsia"/>
                <w:color w:val="auto"/>
                <w:sz w:val="24"/>
              </w:rPr>
              <w:t>项目</w:t>
            </w:r>
            <w:r>
              <w:rPr>
                <w:color w:val="auto"/>
                <w:sz w:val="24"/>
              </w:rPr>
              <w:t>不存在生态环境保护目标，可不开展生态现状调查。</w:t>
            </w:r>
          </w:p>
          <w:p w14:paraId="0D9CC6CF">
            <w:pPr>
              <w:spacing w:line="360" w:lineRule="auto"/>
              <w:ind w:firstLine="482" w:firstLineChars="200"/>
              <w:rPr>
                <w:b/>
                <w:bCs/>
                <w:color w:val="auto"/>
                <w:sz w:val="24"/>
              </w:rPr>
            </w:pPr>
            <w:r>
              <w:rPr>
                <w:b/>
                <w:bCs/>
                <w:color w:val="auto"/>
                <w:sz w:val="24"/>
              </w:rPr>
              <w:t>5、电磁辐射</w:t>
            </w:r>
          </w:p>
          <w:p w14:paraId="5283A4CD">
            <w:pPr>
              <w:spacing w:line="360" w:lineRule="auto"/>
              <w:ind w:firstLine="480" w:firstLineChars="200"/>
              <w:rPr>
                <w:color w:val="auto"/>
                <w:sz w:val="24"/>
              </w:rPr>
            </w:pPr>
            <w:r>
              <w:rPr>
                <w:bCs/>
                <w:color w:val="auto"/>
                <w:sz w:val="24"/>
              </w:rPr>
              <w:t>本项目不涉及电磁辐射类项目，不进行电磁辐射现状调查与评价。</w:t>
            </w:r>
          </w:p>
          <w:p w14:paraId="1F562FC1">
            <w:pPr>
              <w:spacing w:line="360" w:lineRule="auto"/>
              <w:ind w:firstLine="482" w:firstLineChars="200"/>
              <w:rPr>
                <w:b/>
                <w:bCs/>
                <w:color w:val="auto"/>
                <w:sz w:val="24"/>
              </w:rPr>
            </w:pPr>
            <w:r>
              <w:rPr>
                <w:b/>
                <w:bCs/>
                <w:color w:val="auto"/>
                <w:sz w:val="24"/>
              </w:rPr>
              <w:t>6、地下水、土壤环境</w:t>
            </w:r>
          </w:p>
          <w:p w14:paraId="4872CC70">
            <w:pPr>
              <w:spacing w:line="360" w:lineRule="auto"/>
              <w:ind w:firstLine="480" w:firstLineChars="200"/>
              <w:rPr>
                <w:color w:val="auto"/>
                <w:sz w:val="24"/>
              </w:rPr>
            </w:pPr>
            <w:r>
              <w:rPr>
                <w:color w:val="auto"/>
                <w:sz w:val="24"/>
              </w:rPr>
              <w:t>厂区经实施分区防渗措施后，项目对地下水及土壤环境产生影响较小，可不开展地下水、土壤环境现状调查。</w:t>
            </w:r>
          </w:p>
        </w:tc>
      </w:tr>
      <w:tr w14:paraId="3380A9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48" w:hRule="atLeast"/>
          <w:jc w:val="center"/>
        </w:trPr>
        <w:tc>
          <w:tcPr>
            <w:tcW w:w="969" w:type="dxa"/>
            <w:vAlign w:val="center"/>
          </w:tcPr>
          <w:p w14:paraId="3449F4B6">
            <w:pPr>
              <w:jc w:val="center"/>
              <w:rPr>
                <w:color w:val="auto"/>
                <w:sz w:val="24"/>
              </w:rPr>
            </w:pPr>
            <w:r>
              <w:rPr>
                <w:color w:val="auto"/>
                <w:sz w:val="24"/>
              </w:rPr>
              <w:t>环境</w:t>
            </w:r>
          </w:p>
          <w:p w14:paraId="143DC6A8">
            <w:pPr>
              <w:jc w:val="center"/>
              <w:rPr>
                <w:color w:val="auto"/>
                <w:sz w:val="24"/>
              </w:rPr>
            </w:pPr>
            <w:r>
              <w:rPr>
                <w:color w:val="auto"/>
                <w:sz w:val="24"/>
              </w:rPr>
              <w:t>保护</w:t>
            </w:r>
          </w:p>
          <w:p w14:paraId="20FADB06">
            <w:pPr>
              <w:jc w:val="center"/>
              <w:rPr>
                <w:color w:val="auto"/>
              </w:rPr>
            </w:pPr>
            <w:r>
              <w:rPr>
                <w:color w:val="auto"/>
                <w:sz w:val="24"/>
              </w:rPr>
              <w:t>目标</w:t>
            </w:r>
          </w:p>
        </w:tc>
        <w:tc>
          <w:tcPr>
            <w:tcW w:w="8735" w:type="dxa"/>
            <w:vAlign w:val="center"/>
          </w:tcPr>
          <w:p w14:paraId="52B12D4D">
            <w:pPr>
              <w:spacing w:line="360" w:lineRule="auto"/>
              <w:ind w:firstLine="482" w:firstLineChars="200"/>
              <w:rPr>
                <w:b/>
                <w:bCs/>
                <w:color w:val="auto"/>
                <w:sz w:val="24"/>
              </w:rPr>
            </w:pPr>
            <w:r>
              <w:rPr>
                <w:b/>
                <w:bCs/>
                <w:snapToGrid w:val="0"/>
                <w:color w:val="auto"/>
                <w:sz w:val="24"/>
              </w:rPr>
              <w:t>1、</w:t>
            </w:r>
            <w:r>
              <w:rPr>
                <w:b/>
                <w:bCs/>
                <w:color w:val="auto"/>
                <w:sz w:val="24"/>
              </w:rPr>
              <w:t>大气环境</w:t>
            </w:r>
          </w:p>
          <w:p w14:paraId="7223BEAF">
            <w:pPr>
              <w:jc w:val="center"/>
              <w:rPr>
                <w:b/>
                <w:bCs/>
                <w:color w:val="auto"/>
                <w:sz w:val="24"/>
              </w:rPr>
            </w:pPr>
            <w:r>
              <w:rPr>
                <w:b/>
                <w:bCs/>
                <w:color w:val="auto"/>
                <w:sz w:val="24"/>
              </w:rPr>
              <w:t>表3-</w:t>
            </w:r>
            <w:r>
              <w:rPr>
                <w:rFonts w:hint="eastAsia"/>
                <w:b/>
                <w:bCs/>
                <w:color w:val="auto"/>
                <w:sz w:val="24"/>
              </w:rPr>
              <w:t>4</w:t>
            </w:r>
            <w:r>
              <w:rPr>
                <w:b/>
                <w:bCs/>
                <w:color w:val="auto"/>
                <w:sz w:val="24"/>
              </w:rPr>
              <w:t xml:space="preserve">  大气环境保护目标一览表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1"/>
              <w:gridCol w:w="661"/>
              <w:gridCol w:w="662"/>
              <w:gridCol w:w="885"/>
              <w:gridCol w:w="1596"/>
              <w:gridCol w:w="1909"/>
              <w:gridCol w:w="941"/>
              <w:gridCol w:w="1121"/>
            </w:tblGrid>
            <w:tr w14:paraId="0E4B4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restart"/>
                  <w:vAlign w:val="center"/>
                </w:tcPr>
                <w:p w14:paraId="60572600">
                  <w:pPr>
                    <w:jc w:val="center"/>
                    <w:rPr>
                      <w:color w:val="auto"/>
                    </w:rPr>
                  </w:pPr>
                  <w:r>
                    <w:rPr>
                      <w:color w:val="auto"/>
                    </w:rPr>
                    <w:t>名称</w:t>
                  </w:r>
                </w:p>
              </w:tc>
              <w:tc>
                <w:tcPr>
                  <w:tcW w:w="778" w:type="pct"/>
                  <w:gridSpan w:val="2"/>
                  <w:vAlign w:val="center"/>
                </w:tcPr>
                <w:p w14:paraId="0A59B388">
                  <w:pPr>
                    <w:jc w:val="center"/>
                    <w:rPr>
                      <w:color w:val="auto"/>
                    </w:rPr>
                  </w:pPr>
                  <w:r>
                    <w:rPr>
                      <w:color w:val="auto"/>
                    </w:rPr>
                    <w:t>坐标/m</w:t>
                  </w:r>
                </w:p>
              </w:tc>
              <w:tc>
                <w:tcPr>
                  <w:tcW w:w="520" w:type="pct"/>
                  <w:vMerge w:val="restart"/>
                  <w:vAlign w:val="center"/>
                </w:tcPr>
                <w:p w14:paraId="2E49209B">
                  <w:pPr>
                    <w:jc w:val="center"/>
                    <w:rPr>
                      <w:color w:val="auto"/>
                    </w:rPr>
                  </w:pPr>
                  <w:r>
                    <w:rPr>
                      <w:color w:val="auto"/>
                    </w:rPr>
                    <w:t>坐标/m</w:t>
                  </w:r>
                </w:p>
              </w:tc>
              <w:tc>
                <w:tcPr>
                  <w:tcW w:w="938" w:type="pct"/>
                  <w:vMerge w:val="restart"/>
                  <w:vAlign w:val="center"/>
                </w:tcPr>
                <w:p w14:paraId="467496A0">
                  <w:pPr>
                    <w:jc w:val="center"/>
                    <w:rPr>
                      <w:color w:val="auto"/>
                    </w:rPr>
                  </w:pPr>
                  <w:r>
                    <w:rPr>
                      <w:color w:val="auto"/>
                    </w:rPr>
                    <w:t>保护对象</w:t>
                  </w:r>
                </w:p>
              </w:tc>
              <w:tc>
                <w:tcPr>
                  <w:tcW w:w="1122" w:type="pct"/>
                  <w:vMerge w:val="restart"/>
                  <w:vAlign w:val="center"/>
                </w:tcPr>
                <w:p w14:paraId="01C35A6F">
                  <w:pPr>
                    <w:jc w:val="center"/>
                    <w:rPr>
                      <w:color w:val="auto"/>
                    </w:rPr>
                  </w:pPr>
                  <w:r>
                    <w:rPr>
                      <w:color w:val="auto"/>
                    </w:rPr>
                    <w:t>环境功能区</w:t>
                  </w:r>
                </w:p>
              </w:tc>
              <w:tc>
                <w:tcPr>
                  <w:tcW w:w="553" w:type="pct"/>
                  <w:vMerge w:val="restart"/>
                  <w:vAlign w:val="center"/>
                </w:tcPr>
                <w:p w14:paraId="3E7113CA">
                  <w:pPr>
                    <w:jc w:val="left"/>
                    <w:rPr>
                      <w:color w:val="auto"/>
                    </w:rPr>
                  </w:pPr>
                  <w:r>
                    <w:rPr>
                      <w:color w:val="auto"/>
                    </w:rPr>
                    <w:t>相对厂区方位</w:t>
                  </w:r>
                </w:p>
              </w:tc>
              <w:tc>
                <w:tcPr>
                  <w:tcW w:w="656" w:type="pct"/>
                  <w:vMerge w:val="restart"/>
                  <w:vAlign w:val="center"/>
                </w:tcPr>
                <w:p w14:paraId="13110075">
                  <w:pPr>
                    <w:jc w:val="center"/>
                    <w:rPr>
                      <w:color w:val="auto"/>
                    </w:rPr>
                  </w:pPr>
                  <w:r>
                    <w:rPr>
                      <w:color w:val="auto"/>
                    </w:rPr>
                    <w:t>相对厂界距离/m</w:t>
                  </w:r>
                </w:p>
              </w:tc>
            </w:tr>
            <w:tr w14:paraId="74AFC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continue"/>
                  <w:vAlign w:val="center"/>
                </w:tcPr>
                <w:p w14:paraId="79962357">
                  <w:pPr>
                    <w:jc w:val="center"/>
                    <w:rPr>
                      <w:color w:val="auto"/>
                    </w:rPr>
                  </w:pPr>
                </w:p>
              </w:tc>
              <w:tc>
                <w:tcPr>
                  <w:tcW w:w="389" w:type="pct"/>
                  <w:vAlign w:val="center"/>
                </w:tcPr>
                <w:p w14:paraId="0FD6BF8A">
                  <w:pPr>
                    <w:jc w:val="center"/>
                    <w:rPr>
                      <w:color w:val="auto"/>
                    </w:rPr>
                  </w:pPr>
                  <w:r>
                    <w:rPr>
                      <w:color w:val="auto"/>
                    </w:rPr>
                    <w:t>x</w:t>
                  </w:r>
                </w:p>
              </w:tc>
              <w:tc>
                <w:tcPr>
                  <w:tcW w:w="389" w:type="pct"/>
                  <w:vAlign w:val="center"/>
                </w:tcPr>
                <w:p w14:paraId="3C7EB938">
                  <w:pPr>
                    <w:jc w:val="center"/>
                    <w:rPr>
                      <w:color w:val="auto"/>
                    </w:rPr>
                  </w:pPr>
                  <w:r>
                    <w:rPr>
                      <w:color w:val="auto"/>
                    </w:rPr>
                    <w:t>y</w:t>
                  </w:r>
                </w:p>
              </w:tc>
              <w:tc>
                <w:tcPr>
                  <w:tcW w:w="520" w:type="pct"/>
                  <w:vMerge w:val="continue"/>
                  <w:vAlign w:val="center"/>
                </w:tcPr>
                <w:p w14:paraId="64947A00">
                  <w:pPr>
                    <w:jc w:val="center"/>
                    <w:rPr>
                      <w:color w:val="auto"/>
                    </w:rPr>
                  </w:pPr>
                </w:p>
              </w:tc>
              <w:tc>
                <w:tcPr>
                  <w:tcW w:w="938" w:type="pct"/>
                  <w:vMerge w:val="continue"/>
                  <w:vAlign w:val="center"/>
                </w:tcPr>
                <w:p w14:paraId="2F1937FB">
                  <w:pPr>
                    <w:jc w:val="center"/>
                    <w:rPr>
                      <w:color w:val="auto"/>
                    </w:rPr>
                  </w:pPr>
                </w:p>
              </w:tc>
              <w:tc>
                <w:tcPr>
                  <w:tcW w:w="1122" w:type="pct"/>
                  <w:vMerge w:val="continue"/>
                  <w:vAlign w:val="center"/>
                </w:tcPr>
                <w:p w14:paraId="758553D3">
                  <w:pPr>
                    <w:jc w:val="center"/>
                    <w:rPr>
                      <w:color w:val="auto"/>
                    </w:rPr>
                  </w:pPr>
                </w:p>
              </w:tc>
              <w:tc>
                <w:tcPr>
                  <w:tcW w:w="553" w:type="pct"/>
                  <w:vMerge w:val="continue"/>
                  <w:vAlign w:val="center"/>
                </w:tcPr>
                <w:p w14:paraId="16EDB5F9">
                  <w:pPr>
                    <w:jc w:val="center"/>
                    <w:rPr>
                      <w:color w:val="auto"/>
                    </w:rPr>
                  </w:pPr>
                </w:p>
              </w:tc>
              <w:tc>
                <w:tcPr>
                  <w:tcW w:w="656" w:type="pct"/>
                  <w:vMerge w:val="continue"/>
                  <w:vAlign w:val="center"/>
                </w:tcPr>
                <w:p w14:paraId="386ACFB9">
                  <w:pPr>
                    <w:jc w:val="center"/>
                    <w:rPr>
                      <w:color w:val="auto"/>
                    </w:rPr>
                  </w:pPr>
                </w:p>
              </w:tc>
            </w:tr>
            <w:tr w14:paraId="667FF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Align w:val="center"/>
                </w:tcPr>
                <w:p w14:paraId="15FA2FC9">
                  <w:pPr>
                    <w:jc w:val="center"/>
                    <w:rPr>
                      <w:color w:val="auto"/>
                    </w:rPr>
                  </w:pPr>
                  <w:r>
                    <w:rPr>
                      <w:rFonts w:hint="eastAsia"/>
                      <w:color w:val="auto"/>
                    </w:rPr>
                    <w:t>阮家</w:t>
                  </w:r>
                </w:p>
              </w:tc>
              <w:tc>
                <w:tcPr>
                  <w:tcW w:w="389" w:type="pct"/>
                  <w:vAlign w:val="center"/>
                </w:tcPr>
                <w:p w14:paraId="3A07E98B">
                  <w:pPr>
                    <w:jc w:val="center"/>
                    <w:rPr>
                      <w:color w:val="auto"/>
                    </w:rPr>
                  </w:pPr>
                  <w:r>
                    <w:rPr>
                      <w:rFonts w:hint="eastAsia"/>
                      <w:color w:val="auto"/>
                    </w:rPr>
                    <w:t>103</w:t>
                  </w:r>
                </w:p>
              </w:tc>
              <w:tc>
                <w:tcPr>
                  <w:tcW w:w="389" w:type="pct"/>
                  <w:vAlign w:val="center"/>
                </w:tcPr>
                <w:p w14:paraId="5C9743D3">
                  <w:pPr>
                    <w:jc w:val="center"/>
                    <w:rPr>
                      <w:color w:val="auto"/>
                    </w:rPr>
                  </w:pPr>
                  <w:r>
                    <w:rPr>
                      <w:rFonts w:hint="eastAsia"/>
                      <w:color w:val="auto"/>
                    </w:rPr>
                    <w:t>-379</w:t>
                  </w:r>
                </w:p>
              </w:tc>
              <w:tc>
                <w:tcPr>
                  <w:tcW w:w="520" w:type="pct"/>
                  <w:vAlign w:val="center"/>
                </w:tcPr>
                <w:p w14:paraId="3211D6B0">
                  <w:pPr>
                    <w:widowControl/>
                    <w:jc w:val="center"/>
                    <w:rPr>
                      <w:color w:val="auto"/>
                    </w:rPr>
                  </w:pPr>
                  <w:r>
                    <w:rPr>
                      <w:color w:val="auto"/>
                    </w:rPr>
                    <w:t>居民点</w:t>
                  </w:r>
                </w:p>
              </w:tc>
              <w:tc>
                <w:tcPr>
                  <w:tcW w:w="938" w:type="pct"/>
                  <w:vAlign w:val="center"/>
                </w:tcPr>
                <w:p w14:paraId="7165DA07">
                  <w:pPr>
                    <w:widowControl/>
                    <w:jc w:val="center"/>
                    <w:rPr>
                      <w:color w:val="auto"/>
                    </w:rPr>
                  </w:pPr>
                  <w:r>
                    <w:rPr>
                      <w:rFonts w:hint="eastAsia"/>
                      <w:color w:val="auto"/>
                    </w:rPr>
                    <w:t>50</w:t>
                  </w:r>
                  <w:r>
                    <w:rPr>
                      <w:color w:val="auto"/>
                    </w:rPr>
                    <w:t>户/</w:t>
                  </w:r>
                  <w:r>
                    <w:rPr>
                      <w:rFonts w:hint="eastAsia"/>
                      <w:color w:val="auto"/>
                    </w:rPr>
                    <w:t>150</w:t>
                  </w:r>
                  <w:r>
                    <w:rPr>
                      <w:color w:val="auto"/>
                    </w:rPr>
                    <w:t>人</w:t>
                  </w:r>
                </w:p>
              </w:tc>
              <w:tc>
                <w:tcPr>
                  <w:tcW w:w="1122" w:type="pct"/>
                  <w:vMerge w:val="restart"/>
                  <w:vAlign w:val="center"/>
                </w:tcPr>
                <w:p w14:paraId="6B6A324E">
                  <w:pPr>
                    <w:pStyle w:val="45"/>
                    <w:widowControl/>
                    <w:spacing w:line="240" w:lineRule="auto"/>
                    <w:ind w:left="0" w:firstLine="0" w:firstLineChars="0"/>
                    <w:rPr>
                      <w:b w:val="0"/>
                      <w:color w:val="auto"/>
                    </w:rPr>
                  </w:pPr>
                  <w:r>
                    <w:rPr>
                      <w:b w:val="0"/>
                      <w:bCs/>
                      <w:color w:val="auto"/>
                    </w:rPr>
                    <w:t>《环境空气质量标准》（GB3095-2012）及其修改单中的二级标准</w:t>
                  </w:r>
                </w:p>
              </w:tc>
              <w:tc>
                <w:tcPr>
                  <w:tcW w:w="553" w:type="pct"/>
                  <w:vAlign w:val="center"/>
                </w:tcPr>
                <w:p w14:paraId="6418CC9A">
                  <w:pPr>
                    <w:widowControl/>
                    <w:jc w:val="center"/>
                    <w:rPr>
                      <w:color w:val="auto"/>
                    </w:rPr>
                  </w:pPr>
                  <w:r>
                    <w:rPr>
                      <w:rFonts w:hint="eastAsia"/>
                      <w:color w:val="auto"/>
                    </w:rPr>
                    <w:t>东南侧</w:t>
                  </w:r>
                </w:p>
              </w:tc>
              <w:tc>
                <w:tcPr>
                  <w:tcW w:w="656" w:type="pct"/>
                  <w:vAlign w:val="center"/>
                </w:tcPr>
                <w:p w14:paraId="266E09F0">
                  <w:pPr>
                    <w:widowControl/>
                    <w:jc w:val="center"/>
                    <w:rPr>
                      <w:color w:val="auto"/>
                    </w:rPr>
                  </w:pPr>
                  <w:r>
                    <w:rPr>
                      <w:rFonts w:hint="eastAsia"/>
                      <w:color w:val="auto"/>
                    </w:rPr>
                    <w:t>492</w:t>
                  </w:r>
                </w:p>
              </w:tc>
            </w:tr>
            <w:tr w14:paraId="7F064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Align w:val="center"/>
                </w:tcPr>
                <w:p w14:paraId="55F77478">
                  <w:pPr>
                    <w:jc w:val="center"/>
                    <w:rPr>
                      <w:color w:val="auto"/>
                    </w:rPr>
                  </w:pPr>
                  <w:r>
                    <w:rPr>
                      <w:rFonts w:hint="eastAsia"/>
                      <w:color w:val="auto"/>
                    </w:rPr>
                    <w:t>朱仙庄镇</w:t>
                  </w:r>
                </w:p>
              </w:tc>
              <w:tc>
                <w:tcPr>
                  <w:tcW w:w="389" w:type="pct"/>
                  <w:vAlign w:val="center"/>
                </w:tcPr>
                <w:p w14:paraId="113C14EF">
                  <w:pPr>
                    <w:jc w:val="center"/>
                    <w:rPr>
                      <w:color w:val="auto"/>
                    </w:rPr>
                  </w:pPr>
                  <w:r>
                    <w:rPr>
                      <w:rFonts w:hint="eastAsia"/>
                      <w:color w:val="auto"/>
                    </w:rPr>
                    <w:t>477</w:t>
                  </w:r>
                </w:p>
              </w:tc>
              <w:tc>
                <w:tcPr>
                  <w:tcW w:w="389" w:type="pct"/>
                  <w:vAlign w:val="center"/>
                </w:tcPr>
                <w:p w14:paraId="48FBD989">
                  <w:pPr>
                    <w:jc w:val="center"/>
                    <w:rPr>
                      <w:rStyle w:val="27"/>
                      <w:color w:val="auto"/>
                      <w:szCs w:val="20"/>
                    </w:rPr>
                  </w:pPr>
                  <w:r>
                    <w:rPr>
                      <w:rStyle w:val="27"/>
                      <w:rFonts w:hint="eastAsia"/>
                      <w:color w:val="auto"/>
                      <w:szCs w:val="20"/>
                    </w:rPr>
                    <w:t>0</w:t>
                  </w:r>
                </w:p>
              </w:tc>
              <w:tc>
                <w:tcPr>
                  <w:tcW w:w="520" w:type="pct"/>
                  <w:vAlign w:val="center"/>
                </w:tcPr>
                <w:p w14:paraId="00D525E7">
                  <w:pPr>
                    <w:widowControl/>
                    <w:jc w:val="center"/>
                    <w:rPr>
                      <w:color w:val="auto"/>
                    </w:rPr>
                  </w:pPr>
                  <w:r>
                    <w:rPr>
                      <w:color w:val="auto"/>
                    </w:rPr>
                    <w:t>居民点</w:t>
                  </w:r>
                </w:p>
              </w:tc>
              <w:tc>
                <w:tcPr>
                  <w:tcW w:w="938" w:type="pct"/>
                  <w:vAlign w:val="center"/>
                </w:tcPr>
                <w:p w14:paraId="0C1BCD30">
                  <w:pPr>
                    <w:widowControl/>
                    <w:jc w:val="center"/>
                    <w:rPr>
                      <w:color w:val="auto"/>
                    </w:rPr>
                  </w:pPr>
                  <w:r>
                    <w:rPr>
                      <w:rFonts w:hint="eastAsia"/>
                      <w:color w:val="auto"/>
                    </w:rPr>
                    <w:t>4000人</w:t>
                  </w:r>
                </w:p>
              </w:tc>
              <w:tc>
                <w:tcPr>
                  <w:tcW w:w="1122" w:type="pct"/>
                  <w:vMerge w:val="continue"/>
                  <w:vAlign w:val="center"/>
                </w:tcPr>
                <w:p w14:paraId="219B5BBE">
                  <w:pPr>
                    <w:pStyle w:val="45"/>
                    <w:widowControl/>
                    <w:spacing w:line="240" w:lineRule="auto"/>
                    <w:ind w:left="0" w:firstLine="0" w:firstLineChars="0"/>
                    <w:rPr>
                      <w:b w:val="0"/>
                      <w:bCs/>
                      <w:color w:val="auto"/>
                    </w:rPr>
                  </w:pPr>
                </w:p>
              </w:tc>
              <w:tc>
                <w:tcPr>
                  <w:tcW w:w="553" w:type="pct"/>
                  <w:vAlign w:val="center"/>
                </w:tcPr>
                <w:p w14:paraId="601B5AEE">
                  <w:pPr>
                    <w:widowControl/>
                    <w:jc w:val="center"/>
                    <w:rPr>
                      <w:color w:val="auto"/>
                    </w:rPr>
                  </w:pPr>
                  <w:r>
                    <w:rPr>
                      <w:rFonts w:hint="eastAsia"/>
                      <w:color w:val="auto"/>
                    </w:rPr>
                    <w:t>东侧</w:t>
                  </w:r>
                </w:p>
              </w:tc>
              <w:tc>
                <w:tcPr>
                  <w:tcW w:w="656" w:type="pct"/>
                  <w:vAlign w:val="center"/>
                </w:tcPr>
                <w:p w14:paraId="147C48EC">
                  <w:pPr>
                    <w:widowControl/>
                    <w:jc w:val="center"/>
                    <w:rPr>
                      <w:color w:val="auto"/>
                    </w:rPr>
                  </w:pPr>
                  <w:r>
                    <w:rPr>
                      <w:rFonts w:hint="eastAsia"/>
                      <w:color w:val="auto"/>
                    </w:rPr>
                    <w:t>477</w:t>
                  </w:r>
                </w:p>
              </w:tc>
            </w:tr>
            <w:tr w14:paraId="7DC4C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Align w:val="center"/>
                </w:tcPr>
                <w:p w14:paraId="2F3D623A">
                  <w:pPr>
                    <w:jc w:val="center"/>
                    <w:rPr>
                      <w:color w:val="auto"/>
                    </w:rPr>
                  </w:pPr>
                  <w:r>
                    <w:rPr>
                      <w:rFonts w:hint="eastAsia"/>
                      <w:color w:val="auto"/>
                    </w:rPr>
                    <w:t>大张家村</w:t>
                  </w:r>
                </w:p>
              </w:tc>
              <w:tc>
                <w:tcPr>
                  <w:tcW w:w="389" w:type="pct"/>
                  <w:vAlign w:val="center"/>
                </w:tcPr>
                <w:p w14:paraId="60EE189F">
                  <w:pPr>
                    <w:jc w:val="center"/>
                    <w:rPr>
                      <w:color w:val="auto"/>
                    </w:rPr>
                  </w:pPr>
                  <w:r>
                    <w:rPr>
                      <w:rFonts w:hint="eastAsia"/>
                      <w:color w:val="auto"/>
                    </w:rPr>
                    <w:t>0</w:t>
                  </w:r>
                </w:p>
              </w:tc>
              <w:tc>
                <w:tcPr>
                  <w:tcW w:w="389" w:type="pct"/>
                  <w:vAlign w:val="center"/>
                </w:tcPr>
                <w:p w14:paraId="29336587">
                  <w:pPr>
                    <w:jc w:val="center"/>
                    <w:rPr>
                      <w:rStyle w:val="27"/>
                      <w:color w:val="auto"/>
                      <w:szCs w:val="20"/>
                    </w:rPr>
                  </w:pPr>
                  <w:r>
                    <w:rPr>
                      <w:rStyle w:val="27"/>
                      <w:rFonts w:hint="eastAsia"/>
                      <w:color w:val="auto"/>
                      <w:szCs w:val="20"/>
                    </w:rPr>
                    <w:t>361</w:t>
                  </w:r>
                </w:p>
              </w:tc>
              <w:tc>
                <w:tcPr>
                  <w:tcW w:w="520" w:type="pct"/>
                  <w:vAlign w:val="center"/>
                </w:tcPr>
                <w:p w14:paraId="33CAB6BF">
                  <w:pPr>
                    <w:widowControl/>
                    <w:jc w:val="center"/>
                    <w:rPr>
                      <w:color w:val="auto"/>
                    </w:rPr>
                  </w:pPr>
                  <w:r>
                    <w:rPr>
                      <w:color w:val="auto"/>
                    </w:rPr>
                    <w:t>居民点</w:t>
                  </w:r>
                </w:p>
              </w:tc>
              <w:tc>
                <w:tcPr>
                  <w:tcW w:w="938" w:type="pct"/>
                  <w:vAlign w:val="center"/>
                </w:tcPr>
                <w:p w14:paraId="02D19AE7">
                  <w:pPr>
                    <w:widowControl/>
                    <w:jc w:val="center"/>
                    <w:rPr>
                      <w:color w:val="auto"/>
                    </w:rPr>
                  </w:pPr>
                  <w:r>
                    <w:rPr>
                      <w:rFonts w:hint="eastAsia"/>
                      <w:color w:val="auto"/>
                    </w:rPr>
                    <w:t>80</w:t>
                  </w:r>
                  <w:r>
                    <w:rPr>
                      <w:color w:val="auto"/>
                    </w:rPr>
                    <w:t>户/</w:t>
                  </w:r>
                  <w:r>
                    <w:rPr>
                      <w:rFonts w:hint="eastAsia"/>
                      <w:color w:val="auto"/>
                    </w:rPr>
                    <w:t>240</w:t>
                  </w:r>
                  <w:r>
                    <w:rPr>
                      <w:color w:val="auto"/>
                    </w:rPr>
                    <w:t>人</w:t>
                  </w:r>
                </w:p>
              </w:tc>
              <w:tc>
                <w:tcPr>
                  <w:tcW w:w="1122" w:type="pct"/>
                  <w:vMerge w:val="continue"/>
                  <w:vAlign w:val="center"/>
                </w:tcPr>
                <w:p w14:paraId="3E303768">
                  <w:pPr>
                    <w:pStyle w:val="45"/>
                    <w:widowControl/>
                    <w:spacing w:line="240" w:lineRule="auto"/>
                    <w:ind w:left="0" w:firstLine="0" w:firstLineChars="0"/>
                    <w:rPr>
                      <w:b w:val="0"/>
                      <w:bCs/>
                      <w:color w:val="auto"/>
                    </w:rPr>
                  </w:pPr>
                </w:p>
              </w:tc>
              <w:tc>
                <w:tcPr>
                  <w:tcW w:w="553" w:type="pct"/>
                  <w:vAlign w:val="center"/>
                </w:tcPr>
                <w:p w14:paraId="5ACA600E">
                  <w:pPr>
                    <w:widowControl/>
                    <w:jc w:val="center"/>
                    <w:rPr>
                      <w:color w:val="auto"/>
                    </w:rPr>
                  </w:pPr>
                  <w:r>
                    <w:rPr>
                      <w:rFonts w:hint="eastAsia"/>
                      <w:color w:val="auto"/>
                    </w:rPr>
                    <w:t>北侧</w:t>
                  </w:r>
                </w:p>
              </w:tc>
              <w:tc>
                <w:tcPr>
                  <w:tcW w:w="656" w:type="pct"/>
                  <w:vAlign w:val="center"/>
                </w:tcPr>
                <w:p w14:paraId="20D3F0AC">
                  <w:pPr>
                    <w:widowControl/>
                    <w:jc w:val="center"/>
                    <w:rPr>
                      <w:color w:val="auto"/>
                    </w:rPr>
                  </w:pPr>
                  <w:r>
                    <w:rPr>
                      <w:rFonts w:hint="eastAsia"/>
                      <w:color w:val="auto"/>
                    </w:rPr>
                    <w:t>361</w:t>
                  </w:r>
                </w:p>
              </w:tc>
            </w:tr>
            <w:tr w14:paraId="04DB4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Align w:val="center"/>
                </w:tcPr>
                <w:p w14:paraId="01E3588E">
                  <w:pPr>
                    <w:jc w:val="center"/>
                    <w:rPr>
                      <w:color w:val="auto"/>
                    </w:rPr>
                  </w:pPr>
                  <w:r>
                    <w:rPr>
                      <w:rFonts w:hint="eastAsia"/>
                      <w:color w:val="auto"/>
                    </w:rPr>
                    <w:t>后沈村</w:t>
                  </w:r>
                </w:p>
              </w:tc>
              <w:tc>
                <w:tcPr>
                  <w:tcW w:w="389" w:type="pct"/>
                  <w:vAlign w:val="center"/>
                </w:tcPr>
                <w:p w14:paraId="09C8E2E1">
                  <w:pPr>
                    <w:jc w:val="center"/>
                    <w:rPr>
                      <w:color w:val="auto"/>
                    </w:rPr>
                  </w:pPr>
                  <w:r>
                    <w:rPr>
                      <w:rFonts w:hint="eastAsia"/>
                      <w:color w:val="auto"/>
                    </w:rPr>
                    <w:t>-229</w:t>
                  </w:r>
                </w:p>
              </w:tc>
              <w:tc>
                <w:tcPr>
                  <w:tcW w:w="389" w:type="pct"/>
                  <w:vAlign w:val="center"/>
                </w:tcPr>
                <w:p w14:paraId="7AB49A6B">
                  <w:pPr>
                    <w:jc w:val="center"/>
                    <w:rPr>
                      <w:rStyle w:val="27"/>
                      <w:color w:val="auto"/>
                      <w:szCs w:val="20"/>
                    </w:rPr>
                  </w:pPr>
                  <w:r>
                    <w:rPr>
                      <w:rStyle w:val="27"/>
                      <w:rFonts w:hint="eastAsia"/>
                      <w:color w:val="auto"/>
                      <w:szCs w:val="20"/>
                    </w:rPr>
                    <w:t>638</w:t>
                  </w:r>
                </w:p>
              </w:tc>
              <w:tc>
                <w:tcPr>
                  <w:tcW w:w="520" w:type="pct"/>
                  <w:vAlign w:val="center"/>
                </w:tcPr>
                <w:p w14:paraId="7D94F30B">
                  <w:pPr>
                    <w:widowControl/>
                    <w:jc w:val="center"/>
                    <w:rPr>
                      <w:color w:val="auto"/>
                    </w:rPr>
                  </w:pPr>
                  <w:r>
                    <w:rPr>
                      <w:color w:val="auto"/>
                    </w:rPr>
                    <w:t>居民点</w:t>
                  </w:r>
                </w:p>
              </w:tc>
              <w:tc>
                <w:tcPr>
                  <w:tcW w:w="938" w:type="pct"/>
                  <w:vAlign w:val="center"/>
                </w:tcPr>
                <w:p w14:paraId="563CEB8D">
                  <w:pPr>
                    <w:widowControl/>
                    <w:jc w:val="center"/>
                    <w:rPr>
                      <w:color w:val="auto"/>
                    </w:rPr>
                  </w:pPr>
                  <w:r>
                    <w:rPr>
                      <w:rFonts w:hint="eastAsia"/>
                      <w:color w:val="auto"/>
                    </w:rPr>
                    <w:t>100</w:t>
                  </w:r>
                  <w:r>
                    <w:rPr>
                      <w:color w:val="auto"/>
                    </w:rPr>
                    <w:t>户/</w:t>
                  </w:r>
                  <w:r>
                    <w:rPr>
                      <w:rFonts w:hint="eastAsia"/>
                      <w:color w:val="auto"/>
                    </w:rPr>
                    <w:t>300</w:t>
                  </w:r>
                  <w:r>
                    <w:rPr>
                      <w:color w:val="auto"/>
                    </w:rPr>
                    <w:t>人</w:t>
                  </w:r>
                </w:p>
              </w:tc>
              <w:tc>
                <w:tcPr>
                  <w:tcW w:w="1122" w:type="pct"/>
                  <w:vMerge w:val="continue"/>
                  <w:vAlign w:val="center"/>
                </w:tcPr>
                <w:p w14:paraId="7A25521E">
                  <w:pPr>
                    <w:pStyle w:val="45"/>
                    <w:widowControl/>
                    <w:spacing w:line="240" w:lineRule="auto"/>
                    <w:ind w:left="0" w:firstLine="0" w:firstLineChars="0"/>
                    <w:rPr>
                      <w:b w:val="0"/>
                      <w:bCs/>
                      <w:color w:val="auto"/>
                    </w:rPr>
                  </w:pPr>
                </w:p>
              </w:tc>
              <w:tc>
                <w:tcPr>
                  <w:tcW w:w="553" w:type="pct"/>
                  <w:vAlign w:val="center"/>
                </w:tcPr>
                <w:p w14:paraId="04CC3732">
                  <w:pPr>
                    <w:widowControl/>
                    <w:jc w:val="center"/>
                    <w:rPr>
                      <w:color w:val="auto"/>
                    </w:rPr>
                  </w:pPr>
                  <w:r>
                    <w:rPr>
                      <w:rFonts w:hint="eastAsia"/>
                      <w:color w:val="auto"/>
                    </w:rPr>
                    <w:t>西北侧</w:t>
                  </w:r>
                </w:p>
              </w:tc>
              <w:tc>
                <w:tcPr>
                  <w:tcW w:w="656" w:type="pct"/>
                  <w:vAlign w:val="center"/>
                </w:tcPr>
                <w:p w14:paraId="296E3B07">
                  <w:pPr>
                    <w:widowControl/>
                    <w:jc w:val="center"/>
                    <w:rPr>
                      <w:color w:val="auto"/>
                    </w:rPr>
                  </w:pPr>
                  <w:r>
                    <w:rPr>
                      <w:rFonts w:hint="eastAsia"/>
                      <w:color w:val="auto"/>
                    </w:rPr>
                    <w:t>376</w:t>
                  </w:r>
                </w:p>
              </w:tc>
            </w:tr>
            <w:tr w14:paraId="13160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Align w:val="center"/>
                </w:tcPr>
                <w:p w14:paraId="6B7618A5">
                  <w:pPr>
                    <w:jc w:val="center"/>
                    <w:rPr>
                      <w:color w:val="auto"/>
                    </w:rPr>
                  </w:pPr>
                  <w:r>
                    <w:rPr>
                      <w:rFonts w:hint="eastAsia"/>
                      <w:color w:val="auto"/>
                    </w:rPr>
                    <w:t>金凌</w:t>
                  </w:r>
                </w:p>
              </w:tc>
              <w:tc>
                <w:tcPr>
                  <w:tcW w:w="389" w:type="pct"/>
                  <w:vAlign w:val="center"/>
                </w:tcPr>
                <w:p w14:paraId="2C9C61BC">
                  <w:pPr>
                    <w:jc w:val="center"/>
                    <w:rPr>
                      <w:color w:val="auto"/>
                    </w:rPr>
                  </w:pPr>
                  <w:r>
                    <w:rPr>
                      <w:rFonts w:hint="eastAsia"/>
                      <w:color w:val="auto"/>
                    </w:rPr>
                    <w:t>-198</w:t>
                  </w:r>
                </w:p>
              </w:tc>
              <w:tc>
                <w:tcPr>
                  <w:tcW w:w="389" w:type="pct"/>
                  <w:vAlign w:val="center"/>
                </w:tcPr>
                <w:p w14:paraId="065E4371">
                  <w:pPr>
                    <w:jc w:val="center"/>
                    <w:rPr>
                      <w:rStyle w:val="27"/>
                      <w:color w:val="auto"/>
                      <w:szCs w:val="20"/>
                    </w:rPr>
                  </w:pPr>
                  <w:r>
                    <w:rPr>
                      <w:rStyle w:val="27"/>
                      <w:rFonts w:hint="eastAsia"/>
                      <w:color w:val="auto"/>
                      <w:szCs w:val="20"/>
                    </w:rPr>
                    <w:t>-340</w:t>
                  </w:r>
                </w:p>
              </w:tc>
              <w:tc>
                <w:tcPr>
                  <w:tcW w:w="520" w:type="pct"/>
                  <w:vAlign w:val="center"/>
                </w:tcPr>
                <w:p w14:paraId="694DE6DE">
                  <w:pPr>
                    <w:widowControl/>
                    <w:jc w:val="center"/>
                    <w:rPr>
                      <w:color w:val="auto"/>
                    </w:rPr>
                  </w:pPr>
                  <w:r>
                    <w:rPr>
                      <w:color w:val="auto"/>
                    </w:rPr>
                    <w:t>居民点</w:t>
                  </w:r>
                </w:p>
              </w:tc>
              <w:tc>
                <w:tcPr>
                  <w:tcW w:w="938" w:type="pct"/>
                  <w:vAlign w:val="center"/>
                </w:tcPr>
                <w:p w14:paraId="6C9EC1EA">
                  <w:pPr>
                    <w:widowControl/>
                    <w:jc w:val="center"/>
                    <w:rPr>
                      <w:color w:val="auto"/>
                    </w:rPr>
                  </w:pPr>
                  <w:r>
                    <w:rPr>
                      <w:rFonts w:hint="eastAsia"/>
                      <w:color w:val="auto"/>
                    </w:rPr>
                    <w:t>60</w:t>
                  </w:r>
                  <w:r>
                    <w:rPr>
                      <w:color w:val="auto"/>
                    </w:rPr>
                    <w:t>户/</w:t>
                  </w:r>
                  <w:r>
                    <w:rPr>
                      <w:rFonts w:hint="eastAsia"/>
                      <w:color w:val="auto"/>
                    </w:rPr>
                    <w:t>180</w:t>
                  </w:r>
                  <w:r>
                    <w:rPr>
                      <w:color w:val="auto"/>
                    </w:rPr>
                    <w:t>人</w:t>
                  </w:r>
                </w:p>
              </w:tc>
              <w:tc>
                <w:tcPr>
                  <w:tcW w:w="1122" w:type="pct"/>
                  <w:vMerge w:val="continue"/>
                  <w:vAlign w:val="center"/>
                </w:tcPr>
                <w:p w14:paraId="21822419">
                  <w:pPr>
                    <w:pStyle w:val="45"/>
                    <w:widowControl/>
                    <w:spacing w:line="240" w:lineRule="auto"/>
                    <w:ind w:left="0" w:firstLine="0" w:firstLineChars="0"/>
                    <w:rPr>
                      <w:b w:val="0"/>
                      <w:bCs/>
                      <w:color w:val="auto"/>
                    </w:rPr>
                  </w:pPr>
                </w:p>
              </w:tc>
              <w:tc>
                <w:tcPr>
                  <w:tcW w:w="553" w:type="pct"/>
                  <w:vAlign w:val="center"/>
                </w:tcPr>
                <w:p w14:paraId="18AF90C0">
                  <w:pPr>
                    <w:widowControl/>
                    <w:jc w:val="center"/>
                    <w:rPr>
                      <w:color w:val="auto"/>
                    </w:rPr>
                  </w:pPr>
                  <w:r>
                    <w:rPr>
                      <w:rFonts w:hint="eastAsia"/>
                      <w:color w:val="auto"/>
                    </w:rPr>
                    <w:t>西南侧</w:t>
                  </w:r>
                </w:p>
              </w:tc>
              <w:tc>
                <w:tcPr>
                  <w:tcW w:w="656" w:type="pct"/>
                  <w:vAlign w:val="center"/>
                </w:tcPr>
                <w:p w14:paraId="2250DC09">
                  <w:pPr>
                    <w:widowControl/>
                    <w:jc w:val="center"/>
                    <w:rPr>
                      <w:color w:val="auto"/>
                    </w:rPr>
                  </w:pPr>
                  <w:r>
                    <w:rPr>
                      <w:rFonts w:hint="eastAsia"/>
                      <w:color w:val="auto"/>
                    </w:rPr>
                    <w:t>262</w:t>
                  </w:r>
                </w:p>
              </w:tc>
            </w:tr>
            <w:tr w14:paraId="15FB0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Align w:val="center"/>
                </w:tcPr>
                <w:p w14:paraId="4F222FF8">
                  <w:pPr>
                    <w:jc w:val="center"/>
                    <w:rPr>
                      <w:color w:val="auto"/>
                    </w:rPr>
                  </w:pPr>
                  <w:r>
                    <w:rPr>
                      <w:rFonts w:hint="eastAsia"/>
                      <w:color w:val="auto"/>
                    </w:rPr>
                    <w:t>朱仙庄镇零星居民点</w:t>
                  </w:r>
                </w:p>
              </w:tc>
              <w:tc>
                <w:tcPr>
                  <w:tcW w:w="389" w:type="pct"/>
                  <w:vAlign w:val="center"/>
                </w:tcPr>
                <w:p w14:paraId="6D971CA0">
                  <w:pPr>
                    <w:jc w:val="center"/>
                    <w:rPr>
                      <w:color w:val="auto"/>
                    </w:rPr>
                  </w:pPr>
                  <w:r>
                    <w:rPr>
                      <w:rFonts w:hint="eastAsia"/>
                      <w:color w:val="auto"/>
                    </w:rPr>
                    <w:t>0</w:t>
                  </w:r>
                </w:p>
              </w:tc>
              <w:tc>
                <w:tcPr>
                  <w:tcW w:w="389" w:type="pct"/>
                  <w:vAlign w:val="center"/>
                </w:tcPr>
                <w:p w14:paraId="593216AB">
                  <w:pPr>
                    <w:jc w:val="center"/>
                    <w:rPr>
                      <w:rStyle w:val="27"/>
                      <w:color w:val="auto"/>
                      <w:szCs w:val="20"/>
                    </w:rPr>
                  </w:pPr>
                  <w:r>
                    <w:rPr>
                      <w:rStyle w:val="27"/>
                      <w:rFonts w:hint="eastAsia"/>
                      <w:color w:val="auto"/>
                      <w:szCs w:val="20"/>
                    </w:rPr>
                    <w:t>21</w:t>
                  </w:r>
                </w:p>
              </w:tc>
              <w:tc>
                <w:tcPr>
                  <w:tcW w:w="520" w:type="pct"/>
                  <w:vAlign w:val="center"/>
                </w:tcPr>
                <w:p w14:paraId="719C715D">
                  <w:pPr>
                    <w:widowControl/>
                    <w:jc w:val="center"/>
                    <w:rPr>
                      <w:color w:val="auto"/>
                    </w:rPr>
                  </w:pPr>
                  <w:r>
                    <w:rPr>
                      <w:color w:val="auto"/>
                    </w:rPr>
                    <w:t>居民点</w:t>
                  </w:r>
                </w:p>
              </w:tc>
              <w:tc>
                <w:tcPr>
                  <w:tcW w:w="938" w:type="pct"/>
                  <w:vAlign w:val="center"/>
                </w:tcPr>
                <w:p w14:paraId="19B5F56C">
                  <w:pPr>
                    <w:widowControl/>
                    <w:jc w:val="center"/>
                    <w:rPr>
                      <w:color w:val="auto"/>
                    </w:rPr>
                  </w:pPr>
                  <w:r>
                    <w:rPr>
                      <w:rFonts w:hint="eastAsia"/>
                      <w:color w:val="auto"/>
                    </w:rPr>
                    <w:t>10户30人</w:t>
                  </w:r>
                </w:p>
              </w:tc>
              <w:tc>
                <w:tcPr>
                  <w:tcW w:w="1122" w:type="pct"/>
                  <w:vMerge w:val="continue"/>
                  <w:vAlign w:val="center"/>
                </w:tcPr>
                <w:p w14:paraId="7494F4CA">
                  <w:pPr>
                    <w:pStyle w:val="45"/>
                    <w:widowControl/>
                    <w:spacing w:line="240" w:lineRule="auto"/>
                    <w:ind w:left="0" w:firstLine="0" w:firstLineChars="0"/>
                    <w:rPr>
                      <w:b w:val="0"/>
                      <w:bCs/>
                      <w:color w:val="auto"/>
                    </w:rPr>
                  </w:pPr>
                </w:p>
              </w:tc>
              <w:tc>
                <w:tcPr>
                  <w:tcW w:w="553" w:type="pct"/>
                  <w:vAlign w:val="center"/>
                </w:tcPr>
                <w:p w14:paraId="117FF14E">
                  <w:pPr>
                    <w:widowControl/>
                    <w:jc w:val="center"/>
                    <w:rPr>
                      <w:color w:val="auto"/>
                    </w:rPr>
                  </w:pPr>
                  <w:r>
                    <w:rPr>
                      <w:rFonts w:hint="eastAsia"/>
                      <w:color w:val="auto"/>
                    </w:rPr>
                    <w:t>北侧</w:t>
                  </w:r>
                </w:p>
              </w:tc>
              <w:tc>
                <w:tcPr>
                  <w:tcW w:w="656" w:type="pct"/>
                  <w:vAlign w:val="center"/>
                </w:tcPr>
                <w:p w14:paraId="745903FE">
                  <w:pPr>
                    <w:widowControl/>
                    <w:jc w:val="center"/>
                    <w:rPr>
                      <w:color w:val="auto"/>
                    </w:rPr>
                  </w:pPr>
                  <w:r>
                    <w:rPr>
                      <w:rFonts w:hint="eastAsia"/>
                      <w:color w:val="auto"/>
                    </w:rPr>
                    <w:t>21</w:t>
                  </w:r>
                </w:p>
              </w:tc>
            </w:tr>
            <w:tr w14:paraId="1FD26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8"/>
                  <w:vAlign w:val="center"/>
                </w:tcPr>
                <w:p w14:paraId="5B0D1458">
                  <w:pPr>
                    <w:widowControl/>
                    <w:rPr>
                      <w:color w:val="auto"/>
                    </w:rPr>
                  </w:pPr>
                  <w:r>
                    <w:rPr>
                      <w:rFonts w:hint="eastAsia"/>
                      <w:color w:val="auto"/>
                    </w:rPr>
                    <w:t>以厂房中心点为坐标原</w:t>
                  </w:r>
                  <w:r>
                    <w:rPr>
                      <w:color w:val="auto"/>
                    </w:rPr>
                    <w:t>点（117°5′15.810″,33°36′50.431″</w:t>
                  </w:r>
                  <w:r>
                    <w:rPr>
                      <w:rFonts w:hint="eastAsia"/>
                      <w:color w:val="auto"/>
                    </w:rPr>
                    <w:t>）</w:t>
                  </w:r>
                </w:p>
              </w:tc>
            </w:tr>
          </w:tbl>
          <w:p w14:paraId="6538CAC1">
            <w:pPr>
              <w:spacing w:line="360" w:lineRule="auto"/>
              <w:ind w:firstLine="482" w:firstLineChars="200"/>
              <w:rPr>
                <w:b/>
                <w:bCs/>
                <w:color w:val="auto"/>
                <w:sz w:val="24"/>
              </w:rPr>
            </w:pPr>
            <w:r>
              <w:rPr>
                <w:rFonts w:hint="eastAsia"/>
                <w:b/>
                <w:bCs/>
                <w:snapToGrid w:val="0"/>
                <w:color w:val="auto"/>
                <w:sz w:val="24"/>
              </w:rPr>
              <w:t>2</w:t>
            </w:r>
            <w:r>
              <w:rPr>
                <w:b/>
                <w:bCs/>
                <w:snapToGrid w:val="0"/>
                <w:color w:val="auto"/>
                <w:sz w:val="24"/>
              </w:rPr>
              <w:t>、</w:t>
            </w:r>
            <w:r>
              <w:rPr>
                <w:b/>
                <w:bCs/>
                <w:color w:val="auto"/>
                <w:sz w:val="24"/>
              </w:rPr>
              <w:t>声环境保护目标</w:t>
            </w:r>
          </w:p>
          <w:p w14:paraId="4EC72E05">
            <w:pPr>
              <w:adjustRightInd w:val="0"/>
              <w:snapToGrid w:val="0"/>
              <w:jc w:val="center"/>
              <w:rPr>
                <w:rFonts w:cs="宋体"/>
                <w:b/>
                <w:bCs/>
                <w:color w:val="auto"/>
                <w:sz w:val="24"/>
                <w:szCs w:val="32"/>
              </w:rPr>
            </w:pPr>
            <w:r>
              <w:rPr>
                <w:rFonts w:hint="eastAsia" w:cs="宋体"/>
                <w:b/>
                <w:bCs/>
                <w:color w:val="auto"/>
                <w:sz w:val="24"/>
                <w:szCs w:val="32"/>
              </w:rPr>
              <w:t>表3-5  声环境保护目标一览表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70"/>
              <w:gridCol w:w="2420"/>
              <w:gridCol w:w="1419"/>
              <w:gridCol w:w="3197"/>
            </w:tblGrid>
            <w:tr w14:paraId="11464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64" w:type="pct"/>
                  <w:vAlign w:val="center"/>
                </w:tcPr>
                <w:p w14:paraId="4A3D62D6">
                  <w:pPr>
                    <w:jc w:val="center"/>
                    <w:rPr>
                      <w:color w:val="auto"/>
                    </w:rPr>
                  </w:pPr>
                  <w:r>
                    <w:rPr>
                      <w:color w:val="auto"/>
                    </w:rPr>
                    <w:t>环境要素</w:t>
                  </w:r>
                </w:p>
              </w:tc>
              <w:tc>
                <w:tcPr>
                  <w:tcW w:w="1422" w:type="pct"/>
                  <w:vAlign w:val="center"/>
                </w:tcPr>
                <w:p w14:paraId="30059099">
                  <w:pPr>
                    <w:jc w:val="center"/>
                    <w:rPr>
                      <w:color w:val="auto"/>
                    </w:rPr>
                  </w:pPr>
                  <w:r>
                    <w:rPr>
                      <w:color w:val="auto"/>
                    </w:rPr>
                    <w:t>环境保护对象名称</w:t>
                  </w:r>
                </w:p>
              </w:tc>
              <w:tc>
                <w:tcPr>
                  <w:tcW w:w="834" w:type="pct"/>
                  <w:vAlign w:val="center"/>
                </w:tcPr>
                <w:p w14:paraId="608903CA">
                  <w:pPr>
                    <w:jc w:val="center"/>
                    <w:rPr>
                      <w:color w:val="auto"/>
                    </w:rPr>
                  </w:pPr>
                  <w:r>
                    <w:rPr>
                      <w:color w:val="auto"/>
                    </w:rPr>
                    <w:t>方位/距离(m)</w:t>
                  </w:r>
                </w:p>
              </w:tc>
              <w:tc>
                <w:tcPr>
                  <w:tcW w:w="1879" w:type="pct"/>
                  <w:vAlign w:val="center"/>
                </w:tcPr>
                <w:p w14:paraId="03633DCB">
                  <w:pPr>
                    <w:jc w:val="center"/>
                    <w:rPr>
                      <w:color w:val="auto"/>
                    </w:rPr>
                  </w:pPr>
                  <w:r>
                    <w:rPr>
                      <w:color w:val="auto"/>
                    </w:rPr>
                    <w:t>保护目标</w:t>
                  </w:r>
                </w:p>
              </w:tc>
            </w:tr>
            <w:tr w14:paraId="435E7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64" w:type="pct"/>
                  <w:vAlign w:val="center"/>
                </w:tcPr>
                <w:p w14:paraId="5110FB96">
                  <w:pPr>
                    <w:jc w:val="center"/>
                    <w:rPr>
                      <w:color w:val="auto"/>
                    </w:rPr>
                  </w:pPr>
                  <w:r>
                    <w:rPr>
                      <w:rFonts w:hint="eastAsia"/>
                      <w:color w:val="auto"/>
                    </w:rPr>
                    <w:t>声环境</w:t>
                  </w:r>
                </w:p>
              </w:tc>
              <w:tc>
                <w:tcPr>
                  <w:tcW w:w="1422" w:type="pct"/>
                  <w:vAlign w:val="center"/>
                </w:tcPr>
                <w:p w14:paraId="13907732">
                  <w:pPr>
                    <w:jc w:val="center"/>
                    <w:rPr>
                      <w:color w:val="auto"/>
                    </w:rPr>
                  </w:pPr>
                  <w:r>
                    <w:rPr>
                      <w:rFonts w:hint="eastAsia"/>
                      <w:color w:val="auto"/>
                    </w:rPr>
                    <w:t>朱仙庄镇零星居民点</w:t>
                  </w:r>
                </w:p>
              </w:tc>
              <w:tc>
                <w:tcPr>
                  <w:tcW w:w="834" w:type="pct"/>
                  <w:vAlign w:val="center"/>
                </w:tcPr>
                <w:p w14:paraId="28397A81">
                  <w:pPr>
                    <w:jc w:val="center"/>
                    <w:rPr>
                      <w:color w:val="auto"/>
                    </w:rPr>
                  </w:pPr>
                  <w:r>
                    <w:rPr>
                      <w:rFonts w:hint="eastAsia"/>
                      <w:color w:val="auto"/>
                    </w:rPr>
                    <w:t>N21</w:t>
                  </w:r>
                </w:p>
              </w:tc>
              <w:tc>
                <w:tcPr>
                  <w:tcW w:w="1879" w:type="pct"/>
                  <w:vAlign w:val="center"/>
                </w:tcPr>
                <w:p w14:paraId="401D6953">
                  <w:pPr>
                    <w:jc w:val="center"/>
                    <w:rPr>
                      <w:color w:val="auto"/>
                    </w:rPr>
                  </w:pPr>
                  <w:r>
                    <w:rPr>
                      <w:color w:val="auto"/>
                      <w:szCs w:val="21"/>
                    </w:rPr>
                    <w:t>《</w:t>
                  </w:r>
                  <w:r>
                    <w:rPr>
                      <w:rFonts w:hint="eastAsia"/>
                      <w:color w:val="auto"/>
                      <w:szCs w:val="21"/>
                    </w:rPr>
                    <w:t>声环境</w:t>
                  </w:r>
                  <w:r>
                    <w:rPr>
                      <w:color w:val="auto"/>
                      <w:szCs w:val="21"/>
                    </w:rPr>
                    <w:t>质量标准》（GB</w:t>
                  </w:r>
                  <w:r>
                    <w:rPr>
                      <w:rFonts w:hint="eastAsia"/>
                      <w:color w:val="auto"/>
                      <w:szCs w:val="21"/>
                    </w:rPr>
                    <w:t>3096</w:t>
                  </w:r>
                  <w:r>
                    <w:rPr>
                      <w:color w:val="auto"/>
                      <w:szCs w:val="21"/>
                    </w:rPr>
                    <w:t>-20</w:t>
                  </w:r>
                  <w:r>
                    <w:rPr>
                      <w:rFonts w:hint="eastAsia"/>
                      <w:color w:val="auto"/>
                      <w:szCs w:val="21"/>
                    </w:rPr>
                    <w:t>08</w:t>
                  </w:r>
                  <w:r>
                    <w:rPr>
                      <w:color w:val="auto"/>
                      <w:szCs w:val="21"/>
                    </w:rPr>
                    <w:t>）中2类区</w:t>
                  </w:r>
                </w:p>
              </w:tc>
            </w:tr>
          </w:tbl>
          <w:p w14:paraId="197E7051">
            <w:pPr>
              <w:spacing w:line="360" w:lineRule="auto"/>
              <w:ind w:firstLine="482" w:firstLineChars="200"/>
              <w:rPr>
                <w:b/>
                <w:bCs/>
                <w:color w:val="auto"/>
                <w:sz w:val="24"/>
              </w:rPr>
            </w:pPr>
            <w:r>
              <w:rPr>
                <w:rFonts w:hint="eastAsia"/>
                <w:b/>
                <w:bCs/>
                <w:snapToGrid w:val="0"/>
                <w:color w:val="auto"/>
                <w:sz w:val="24"/>
              </w:rPr>
              <w:t>3</w:t>
            </w:r>
            <w:r>
              <w:rPr>
                <w:b/>
                <w:bCs/>
                <w:snapToGrid w:val="0"/>
                <w:color w:val="auto"/>
                <w:sz w:val="24"/>
              </w:rPr>
              <w:t>、</w:t>
            </w:r>
            <w:r>
              <w:rPr>
                <w:b/>
                <w:bCs/>
                <w:color w:val="auto"/>
                <w:sz w:val="24"/>
              </w:rPr>
              <w:t>地下水环境保护目标</w:t>
            </w:r>
          </w:p>
          <w:p w14:paraId="22A79FDB">
            <w:pPr>
              <w:spacing w:line="360" w:lineRule="auto"/>
              <w:ind w:firstLine="480" w:firstLineChars="200"/>
              <w:rPr>
                <w:b/>
                <w:bCs/>
                <w:color w:val="auto"/>
                <w:sz w:val="24"/>
              </w:rPr>
            </w:pPr>
            <w:r>
              <w:rPr>
                <w:bCs/>
                <w:color w:val="auto"/>
                <w:sz w:val="24"/>
                <w:lang w:val="zh-CN"/>
              </w:rPr>
              <w:t>经调查，厂界外500米范围内无地下水集中式饮用水水源和热水、矿泉水、 温泉等特殊地下水资源。</w:t>
            </w:r>
          </w:p>
          <w:p w14:paraId="13AC5287">
            <w:pPr>
              <w:spacing w:line="360" w:lineRule="auto"/>
              <w:ind w:firstLine="482" w:firstLineChars="200"/>
              <w:rPr>
                <w:b/>
                <w:bCs/>
                <w:color w:val="auto"/>
                <w:sz w:val="24"/>
              </w:rPr>
            </w:pPr>
            <w:r>
              <w:rPr>
                <w:rFonts w:hint="eastAsia"/>
                <w:b/>
                <w:bCs/>
                <w:snapToGrid w:val="0"/>
                <w:color w:val="auto"/>
                <w:sz w:val="24"/>
              </w:rPr>
              <w:t>4</w:t>
            </w:r>
            <w:r>
              <w:rPr>
                <w:b/>
                <w:bCs/>
                <w:snapToGrid w:val="0"/>
                <w:color w:val="auto"/>
                <w:sz w:val="24"/>
              </w:rPr>
              <w:t>、</w:t>
            </w:r>
            <w:r>
              <w:rPr>
                <w:b/>
                <w:bCs/>
                <w:color w:val="auto"/>
                <w:sz w:val="24"/>
              </w:rPr>
              <w:t>生态环境保护目标</w:t>
            </w:r>
          </w:p>
          <w:p w14:paraId="54E6C0D6">
            <w:pPr>
              <w:spacing w:line="360" w:lineRule="auto"/>
              <w:ind w:firstLine="480" w:firstLineChars="200"/>
              <w:rPr>
                <w:color w:val="auto"/>
                <w:sz w:val="24"/>
              </w:rPr>
            </w:pPr>
            <w:r>
              <w:rPr>
                <w:color w:val="auto"/>
                <w:sz w:val="24"/>
              </w:rPr>
              <w:t>本项目用地范围内无生态环境保护目标。</w:t>
            </w:r>
          </w:p>
        </w:tc>
      </w:tr>
      <w:tr w14:paraId="7C3DE2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969" w:type="dxa"/>
            <w:tcMar>
              <w:left w:w="28" w:type="dxa"/>
              <w:right w:w="28" w:type="dxa"/>
            </w:tcMar>
            <w:vAlign w:val="center"/>
          </w:tcPr>
          <w:p w14:paraId="69F88829">
            <w:pPr>
              <w:jc w:val="center"/>
              <w:rPr>
                <w:color w:val="auto"/>
                <w:sz w:val="24"/>
              </w:rPr>
            </w:pPr>
            <w:r>
              <w:rPr>
                <w:color w:val="auto"/>
                <w:sz w:val="24"/>
              </w:rPr>
              <w:t>污染</w:t>
            </w:r>
          </w:p>
          <w:p w14:paraId="7E8C84B4">
            <w:pPr>
              <w:jc w:val="center"/>
              <w:rPr>
                <w:color w:val="auto"/>
                <w:sz w:val="24"/>
              </w:rPr>
            </w:pPr>
            <w:r>
              <w:rPr>
                <w:color w:val="auto"/>
                <w:sz w:val="24"/>
              </w:rPr>
              <w:t>物排</w:t>
            </w:r>
          </w:p>
          <w:p w14:paraId="6FCBD83C">
            <w:pPr>
              <w:jc w:val="center"/>
              <w:rPr>
                <w:color w:val="auto"/>
                <w:sz w:val="24"/>
              </w:rPr>
            </w:pPr>
            <w:r>
              <w:rPr>
                <w:color w:val="auto"/>
                <w:sz w:val="24"/>
              </w:rPr>
              <w:t>放控</w:t>
            </w:r>
          </w:p>
          <w:p w14:paraId="7A3376E5">
            <w:pPr>
              <w:jc w:val="center"/>
              <w:rPr>
                <w:color w:val="auto"/>
                <w:sz w:val="24"/>
              </w:rPr>
            </w:pPr>
            <w:r>
              <w:rPr>
                <w:color w:val="auto"/>
                <w:sz w:val="24"/>
              </w:rPr>
              <w:t>制标</w:t>
            </w:r>
          </w:p>
          <w:p w14:paraId="23652E32">
            <w:pPr>
              <w:jc w:val="center"/>
              <w:rPr>
                <w:color w:val="auto"/>
              </w:rPr>
            </w:pPr>
            <w:r>
              <w:rPr>
                <w:color w:val="auto"/>
                <w:sz w:val="24"/>
              </w:rPr>
              <w:t>准</w:t>
            </w:r>
          </w:p>
        </w:tc>
        <w:tc>
          <w:tcPr>
            <w:tcW w:w="8735" w:type="dxa"/>
            <w:vAlign w:val="center"/>
          </w:tcPr>
          <w:p w14:paraId="7BAA0981">
            <w:pPr>
              <w:spacing w:line="360" w:lineRule="auto"/>
              <w:rPr>
                <w:b/>
                <w:bCs/>
                <w:color w:val="auto"/>
                <w:sz w:val="24"/>
              </w:rPr>
            </w:pPr>
            <w:r>
              <w:rPr>
                <w:b/>
                <w:bCs/>
                <w:color w:val="auto"/>
                <w:sz w:val="24"/>
              </w:rPr>
              <w:t>1、大气污染物排放标准</w:t>
            </w:r>
          </w:p>
          <w:p w14:paraId="453B95CB">
            <w:pPr>
              <w:spacing w:line="360" w:lineRule="auto"/>
              <w:ind w:firstLine="476" w:firstLineChars="200"/>
              <w:rPr>
                <w:color w:val="auto"/>
                <w:spacing w:val="-1"/>
                <w:sz w:val="24"/>
              </w:rPr>
            </w:pPr>
            <w:r>
              <w:rPr>
                <w:color w:val="auto"/>
                <w:spacing w:val="-1"/>
                <w:sz w:val="24"/>
              </w:rPr>
              <w:t>施工期大气污染物执行《施工场地颗粒物排放标准》（DB34/4811-2024）表1中排放限值。项目施工期场地颗粒物排放标准限值见下表。</w:t>
            </w:r>
          </w:p>
          <w:p w14:paraId="19EE775F">
            <w:pPr>
              <w:jc w:val="center"/>
              <w:rPr>
                <w:b/>
                <w:bCs/>
                <w:color w:val="auto"/>
                <w:sz w:val="24"/>
              </w:rPr>
            </w:pPr>
            <w:r>
              <w:rPr>
                <w:b/>
                <w:bCs/>
                <w:color w:val="auto"/>
                <w:sz w:val="24"/>
              </w:rPr>
              <w:t>表3-</w:t>
            </w:r>
            <w:r>
              <w:rPr>
                <w:rFonts w:hint="eastAsia"/>
                <w:b/>
                <w:bCs/>
                <w:color w:val="auto"/>
                <w:sz w:val="24"/>
              </w:rPr>
              <w:t xml:space="preserve">6  </w:t>
            </w:r>
            <w:r>
              <w:rPr>
                <w:b/>
                <w:bCs/>
                <w:color w:val="auto"/>
                <w:sz w:val="24"/>
              </w:rPr>
              <w:t>大气污染物颗粒物排放标准</w:t>
            </w:r>
          </w:p>
          <w:tbl>
            <w:tblPr>
              <w:tblStyle w:val="24"/>
              <w:tblW w:w="4994"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599"/>
              <w:gridCol w:w="1621"/>
              <w:gridCol w:w="2650"/>
              <w:gridCol w:w="2624"/>
            </w:tblGrid>
            <w:tr w14:paraId="0A1C0A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1795" w:type="dxa"/>
                  <w:vAlign w:val="center"/>
                </w:tcPr>
                <w:p w14:paraId="6C663D31">
                  <w:pPr>
                    <w:jc w:val="center"/>
                    <w:rPr>
                      <w:color w:val="auto"/>
                      <w:szCs w:val="21"/>
                    </w:rPr>
                  </w:pPr>
                  <w:r>
                    <w:rPr>
                      <w:rFonts w:hint="eastAsia"/>
                      <w:color w:val="auto"/>
                      <w:szCs w:val="21"/>
                    </w:rPr>
                    <w:t>控制项目</w:t>
                  </w:r>
                </w:p>
              </w:tc>
              <w:tc>
                <w:tcPr>
                  <w:tcW w:w="1797" w:type="dxa"/>
                  <w:vAlign w:val="center"/>
                </w:tcPr>
                <w:p w14:paraId="29467E28">
                  <w:pPr>
                    <w:jc w:val="center"/>
                    <w:rPr>
                      <w:color w:val="auto"/>
                      <w:szCs w:val="21"/>
                    </w:rPr>
                  </w:pPr>
                  <w:r>
                    <w:rPr>
                      <w:rFonts w:hint="eastAsia"/>
                      <w:color w:val="auto"/>
                      <w:szCs w:val="21"/>
                    </w:rPr>
                    <w:t>单位</w:t>
                  </w:r>
                </w:p>
              </w:tc>
              <w:tc>
                <w:tcPr>
                  <w:tcW w:w="3004" w:type="dxa"/>
                  <w:vAlign w:val="center"/>
                </w:tcPr>
                <w:p w14:paraId="10629A07">
                  <w:pPr>
                    <w:jc w:val="center"/>
                    <w:rPr>
                      <w:color w:val="auto"/>
                      <w:szCs w:val="21"/>
                    </w:rPr>
                  </w:pPr>
                  <w:r>
                    <w:rPr>
                      <w:rFonts w:hint="eastAsia"/>
                      <w:color w:val="auto"/>
                      <w:szCs w:val="21"/>
                    </w:rPr>
                    <w:t>监控点浓度限值</w:t>
                  </w:r>
                </w:p>
              </w:tc>
              <w:tc>
                <w:tcPr>
                  <w:tcW w:w="3006" w:type="dxa"/>
                  <w:vAlign w:val="center"/>
                </w:tcPr>
                <w:p w14:paraId="31BBBBB0">
                  <w:pPr>
                    <w:jc w:val="center"/>
                    <w:rPr>
                      <w:color w:val="auto"/>
                      <w:szCs w:val="21"/>
                    </w:rPr>
                  </w:pPr>
                  <w:r>
                    <w:rPr>
                      <w:rFonts w:hint="eastAsia"/>
                      <w:color w:val="auto"/>
                      <w:szCs w:val="21"/>
                    </w:rPr>
                    <w:t>达标判定依据</w:t>
                  </w:r>
                </w:p>
              </w:tc>
            </w:tr>
            <w:tr w14:paraId="741FB8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90" w:hRule="atLeast"/>
                <w:jc w:val="center"/>
              </w:trPr>
              <w:tc>
                <w:tcPr>
                  <w:tcW w:w="1795" w:type="dxa"/>
                  <w:vMerge w:val="restart"/>
                  <w:vAlign w:val="center"/>
                </w:tcPr>
                <w:p w14:paraId="70D75FB1">
                  <w:pPr>
                    <w:jc w:val="center"/>
                    <w:rPr>
                      <w:color w:val="auto"/>
                      <w:szCs w:val="21"/>
                    </w:rPr>
                  </w:pPr>
                  <w:r>
                    <w:rPr>
                      <w:rFonts w:hint="eastAsia"/>
                      <w:color w:val="auto"/>
                      <w:szCs w:val="21"/>
                    </w:rPr>
                    <w:t>TSP</w:t>
                  </w:r>
                </w:p>
              </w:tc>
              <w:tc>
                <w:tcPr>
                  <w:tcW w:w="1797" w:type="dxa"/>
                  <w:vMerge w:val="restart"/>
                  <w:vAlign w:val="center"/>
                </w:tcPr>
                <w:p w14:paraId="117F07DC">
                  <w:pPr>
                    <w:jc w:val="center"/>
                    <w:rPr>
                      <w:color w:val="auto"/>
                      <w:szCs w:val="21"/>
                    </w:rPr>
                  </w:pPr>
                  <w:r>
                    <w:rPr>
                      <w:color w:val="auto"/>
                      <w:szCs w:val="21"/>
                    </w:rPr>
                    <w:t>μg</w:t>
                  </w:r>
                  <w:r>
                    <w:rPr>
                      <w:rFonts w:hint="eastAsia"/>
                      <w:color w:val="auto"/>
                      <w:szCs w:val="21"/>
                    </w:rPr>
                    <w:t>/</w:t>
                  </w:r>
                  <w:r>
                    <w:rPr>
                      <w:color w:val="auto"/>
                      <w:szCs w:val="21"/>
                    </w:rPr>
                    <w:t>m</w:t>
                  </w:r>
                  <w:r>
                    <w:rPr>
                      <w:color w:val="auto"/>
                      <w:szCs w:val="21"/>
                      <w:vertAlign w:val="superscript"/>
                    </w:rPr>
                    <w:t>3</w:t>
                  </w:r>
                </w:p>
              </w:tc>
              <w:tc>
                <w:tcPr>
                  <w:tcW w:w="3004" w:type="dxa"/>
                  <w:vAlign w:val="center"/>
                </w:tcPr>
                <w:p w14:paraId="515D2E74">
                  <w:pPr>
                    <w:jc w:val="center"/>
                    <w:rPr>
                      <w:color w:val="auto"/>
                      <w:szCs w:val="21"/>
                    </w:rPr>
                  </w:pPr>
                  <w:r>
                    <w:rPr>
                      <w:rFonts w:hint="eastAsia"/>
                      <w:color w:val="auto"/>
                      <w:szCs w:val="21"/>
                    </w:rPr>
                    <w:t>1000</w:t>
                  </w:r>
                </w:p>
              </w:tc>
              <w:tc>
                <w:tcPr>
                  <w:tcW w:w="3006" w:type="dxa"/>
                  <w:vAlign w:val="center"/>
                </w:tcPr>
                <w:p w14:paraId="7ECC066E">
                  <w:pPr>
                    <w:jc w:val="center"/>
                    <w:rPr>
                      <w:color w:val="auto"/>
                      <w:szCs w:val="21"/>
                    </w:rPr>
                  </w:pPr>
                  <w:r>
                    <w:rPr>
                      <w:color w:val="auto"/>
                      <w:szCs w:val="21"/>
                    </w:rPr>
                    <w:t>超标次数≤1次/日</w:t>
                  </w:r>
                </w:p>
              </w:tc>
            </w:tr>
            <w:tr w14:paraId="371515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1795" w:type="dxa"/>
                  <w:vMerge w:val="continue"/>
                  <w:vAlign w:val="center"/>
                </w:tcPr>
                <w:p w14:paraId="7FF7C62C">
                  <w:pPr>
                    <w:jc w:val="center"/>
                    <w:rPr>
                      <w:color w:val="auto"/>
                      <w:szCs w:val="21"/>
                    </w:rPr>
                  </w:pPr>
                </w:p>
              </w:tc>
              <w:tc>
                <w:tcPr>
                  <w:tcW w:w="1797" w:type="dxa"/>
                  <w:vMerge w:val="continue"/>
                  <w:vAlign w:val="center"/>
                </w:tcPr>
                <w:p w14:paraId="5F7A74CD">
                  <w:pPr>
                    <w:jc w:val="center"/>
                    <w:rPr>
                      <w:color w:val="auto"/>
                      <w:szCs w:val="21"/>
                    </w:rPr>
                  </w:pPr>
                </w:p>
              </w:tc>
              <w:tc>
                <w:tcPr>
                  <w:tcW w:w="3004" w:type="dxa"/>
                  <w:vAlign w:val="center"/>
                </w:tcPr>
                <w:p w14:paraId="77DFCF2F">
                  <w:pPr>
                    <w:jc w:val="center"/>
                    <w:rPr>
                      <w:color w:val="auto"/>
                      <w:szCs w:val="21"/>
                    </w:rPr>
                  </w:pPr>
                  <w:r>
                    <w:rPr>
                      <w:rFonts w:hint="eastAsia"/>
                      <w:color w:val="auto"/>
                      <w:szCs w:val="21"/>
                    </w:rPr>
                    <w:t>500</w:t>
                  </w:r>
                </w:p>
              </w:tc>
              <w:tc>
                <w:tcPr>
                  <w:tcW w:w="3006" w:type="dxa"/>
                  <w:vAlign w:val="center"/>
                </w:tcPr>
                <w:p w14:paraId="601C41CC">
                  <w:pPr>
                    <w:jc w:val="center"/>
                    <w:rPr>
                      <w:color w:val="auto"/>
                      <w:szCs w:val="21"/>
                    </w:rPr>
                  </w:pPr>
                  <w:r>
                    <w:rPr>
                      <w:color w:val="auto"/>
                      <w:szCs w:val="21"/>
                    </w:rPr>
                    <w:t>超标次数≤6次/日</w:t>
                  </w:r>
                </w:p>
              </w:tc>
            </w:tr>
          </w:tbl>
          <w:p w14:paraId="3EE80E39">
            <w:pPr>
              <w:pStyle w:val="32"/>
              <w:spacing w:line="360" w:lineRule="auto"/>
              <w:ind w:firstLine="480" w:firstLineChars="200"/>
              <w:rPr>
                <w:rFonts w:hint="eastAsia"/>
                <w:b/>
                <w:bCs/>
                <w:color w:val="auto"/>
                <w:spacing w:val="-1"/>
                <w:lang w:eastAsia="zh-CN"/>
              </w:rPr>
            </w:pPr>
            <w:r>
              <w:rPr>
                <w:rFonts w:hint="eastAsia"/>
                <w:color w:val="auto"/>
                <w:lang w:eastAsia="zh-CN"/>
              </w:rPr>
              <w:t>项目运营期</w:t>
            </w:r>
            <w:r>
              <w:rPr>
                <w:color w:val="auto"/>
                <w:lang w:eastAsia="zh-CN"/>
              </w:rPr>
              <w:t>产生</w:t>
            </w:r>
            <w:r>
              <w:rPr>
                <w:rFonts w:hint="eastAsia"/>
                <w:color w:val="auto"/>
                <w:lang w:eastAsia="zh-CN"/>
              </w:rPr>
              <w:t>的颗粒物</w:t>
            </w:r>
            <w:r>
              <w:rPr>
                <w:color w:val="auto"/>
                <w:spacing w:val="1"/>
                <w:lang w:eastAsia="zh-CN"/>
              </w:rPr>
              <w:t>执行</w:t>
            </w:r>
            <w:r>
              <w:rPr>
                <w:rFonts w:hint="eastAsia" w:ascii="Times New Roman" w:hAnsi="Times New Roman" w:cs="Times New Roman"/>
                <w:color w:val="auto"/>
                <w:lang w:eastAsia="zh-CN"/>
              </w:rPr>
              <w:t>安徽省地方标准《砖瓦工业大气污染物排放标准》DB34/4362-2023</w:t>
            </w:r>
            <w:r>
              <w:rPr>
                <w:rFonts w:ascii="Times New Roman" w:hAnsi="Times New Roman" w:cs="Times New Roman"/>
                <w:color w:val="auto"/>
                <w:lang w:eastAsia="zh-CN"/>
              </w:rPr>
              <w:t>中</w:t>
            </w:r>
            <w:r>
              <w:rPr>
                <w:rFonts w:ascii="Times New Roman" w:hAnsi="Times New Roman" w:cs="Times New Roman"/>
                <w:color w:val="auto"/>
                <w:spacing w:val="-1"/>
                <w:lang w:eastAsia="zh-CN"/>
              </w:rPr>
              <w:t>表</w:t>
            </w:r>
            <w:r>
              <w:rPr>
                <w:rFonts w:hint="eastAsia" w:ascii="Times New Roman" w:hAnsi="Times New Roman" w:cs="Times New Roman"/>
                <w:color w:val="auto"/>
                <w:spacing w:val="-1"/>
                <w:lang w:eastAsia="zh-CN"/>
              </w:rPr>
              <w:t>2中排放标准限值，详</w:t>
            </w:r>
            <w:r>
              <w:rPr>
                <w:rFonts w:ascii="Times New Roman" w:hAnsi="Times New Roman" w:cs="Times New Roman"/>
                <w:color w:val="auto"/>
                <w:spacing w:val="-1"/>
                <w:lang w:eastAsia="zh-CN"/>
              </w:rPr>
              <w:t>见下表。</w:t>
            </w:r>
          </w:p>
          <w:p w14:paraId="6776784C">
            <w:pPr>
              <w:pStyle w:val="32"/>
              <w:jc w:val="center"/>
              <w:rPr>
                <w:rFonts w:hint="eastAsia"/>
                <w:color w:val="auto"/>
                <w:lang w:eastAsia="zh-CN"/>
              </w:rPr>
            </w:pPr>
            <w:r>
              <w:rPr>
                <w:b/>
                <w:bCs/>
                <w:color w:val="auto"/>
                <w:spacing w:val="-1"/>
                <w:lang w:eastAsia="zh-CN"/>
              </w:rPr>
              <w:t>表</w:t>
            </w:r>
            <w:r>
              <w:rPr>
                <w:color w:val="auto"/>
                <w:spacing w:val="-56"/>
                <w:lang w:eastAsia="zh-CN"/>
              </w:rPr>
              <w:t xml:space="preserve"> </w:t>
            </w:r>
            <w:r>
              <w:rPr>
                <w:rFonts w:ascii="Times New Roman" w:hAnsi="Times New Roman" w:eastAsia="Times New Roman" w:cs="Times New Roman"/>
                <w:b/>
                <w:bCs/>
                <w:color w:val="auto"/>
                <w:spacing w:val="-1"/>
                <w:lang w:eastAsia="zh-CN"/>
              </w:rPr>
              <w:t>3</w:t>
            </w:r>
            <w:r>
              <w:rPr>
                <w:rFonts w:hint="eastAsia" w:ascii="Times New Roman" w:hAnsi="Times New Roman" w:cs="Times New Roman"/>
                <w:b/>
                <w:bCs/>
                <w:color w:val="auto"/>
                <w:spacing w:val="-1"/>
                <w:lang w:eastAsia="zh-CN"/>
              </w:rPr>
              <w:t>-7</w:t>
            </w:r>
            <w:r>
              <w:rPr>
                <w:rFonts w:ascii="Times New Roman" w:hAnsi="Times New Roman" w:eastAsia="Times New Roman" w:cs="Times New Roman"/>
                <w:b/>
                <w:bCs/>
                <w:color w:val="auto"/>
                <w:lang w:eastAsia="zh-CN"/>
              </w:rPr>
              <w:t xml:space="preserve">  </w:t>
            </w:r>
            <w:r>
              <w:rPr>
                <w:b/>
                <w:snapToGrid w:val="0"/>
                <w:color w:val="auto"/>
                <w:kern w:val="0"/>
                <w:lang w:eastAsia="zh-CN"/>
              </w:rPr>
              <w:t>项目大气污染物排放标准</w:t>
            </w:r>
          </w:p>
          <w:tbl>
            <w:tblPr>
              <w:tblStyle w:val="38"/>
              <w:tblW w:w="499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24"/>
              <w:gridCol w:w="1376"/>
              <w:gridCol w:w="1483"/>
              <w:gridCol w:w="1483"/>
              <w:gridCol w:w="1682"/>
              <w:gridCol w:w="1061"/>
            </w:tblGrid>
            <w:tr w14:paraId="58443B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837" w:type="pct"/>
                  <w:vMerge w:val="restart"/>
                  <w:tcBorders>
                    <w:bottom w:val="nil"/>
                  </w:tcBorders>
                  <w:vAlign w:val="center"/>
                </w:tcPr>
                <w:p w14:paraId="46F1E269">
                  <w:pPr>
                    <w:pStyle w:val="32"/>
                    <w:jc w:val="center"/>
                    <w:rPr>
                      <w:rFonts w:ascii="Times New Roman" w:hAnsi="Times New Roman" w:cs="Times New Roman"/>
                      <w:color w:val="auto"/>
                      <w:sz w:val="21"/>
                      <w:szCs w:val="21"/>
                    </w:rPr>
                  </w:pPr>
                  <w:r>
                    <w:rPr>
                      <w:rFonts w:ascii="Times New Roman" w:hAnsi="Times New Roman" w:cs="Times New Roman"/>
                      <w:color w:val="auto"/>
                      <w:spacing w:val="5"/>
                      <w:sz w:val="21"/>
                      <w:szCs w:val="21"/>
                    </w:rPr>
                    <w:t>污染物</w:t>
                  </w:r>
                </w:p>
              </w:tc>
              <w:tc>
                <w:tcPr>
                  <w:tcW w:w="808" w:type="pct"/>
                  <w:vMerge w:val="restart"/>
                  <w:tcBorders>
                    <w:bottom w:val="nil"/>
                  </w:tcBorders>
                  <w:vAlign w:val="center"/>
                </w:tcPr>
                <w:p w14:paraId="4887B813">
                  <w:pPr>
                    <w:pStyle w:val="32"/>
                    <w:jc w:val="center"/>
                    <w:rPr>
                      <w:rFonts w:ascii="Times New Roman" w:hAnsi="Times New Roman" w:cs="Times New Roman"/>
                      <w:color w:val="auto"/>
                      <w:sz w:val="21"/>
                      <w:szCs w:val="21"/>
                      <w:lang w:eastAsia="zh-CN"/>
                    </w:rPr>
                  </w:pPr>
                  <w:r>
                    <w:rPr>
                      <w:rFonts w:ascii="Times New Roman" w:hAnsi="Times New Roman" w:cs="Times New Roman"/>
                      <w:color w:val="auto"/>
                      <w:spacing w:val="6"/>
                      <w:sz w:val="21"/>
                      <w:szCs w:val="21"/>
                      <w:lang w:eastAsia="zh-CN"/>
                    </w:rPr>
                    <w:t>最高允许排</w:t>
                  </w:r>
                  <w:r>
                    <w:rPr>
                      <w:rFonts w:ascii="Times New Roman" w:hAnsi="Times New Roman" w:cs="Times New Roman"/>
                      <w:color w:val="auto"/>
                      <w:spacing w:val="5"/>
                      <w:sz w:val="21"/>
                      <w:szCs w:val="21"/>
                      <w:lang w:eastAsia="zh-CN"/>
                    </w:rPr>
                    <w:t>放浓度</w:t>
                  </w:r>
                  <w:r>
                    <w:rPr>
                      <w:rFonts w:ascii="Times New Roman" w:hAnsi="Times New Roman" w:cs="Times New Roman"/>
                      <w:color w:val="auto"/>
                      <w:sz w:val="21"/>
                      <w:szCs w:val="21"/>
                      <w:lang w:eastAsia="zh-CN"/>
                    </w:rPr>
                    <w:t>mg</w:t>
                  </w:r>
                  <w:r>
                    <w:rPr>
                      <w:rFonts w:ascii="Times New Roman" w:hAnsi="Times New Roman" w:cs="Times New Roman"/>
                      <w:color w:val="auto"/>
                      <w:spacing w:val="6"/>
                      <w:sz w:val="21"/>
                      <w:szCs w:val="21"/>
                      <w:lang w:eastAsia="zh-CN"/>
                    </w:rPr>
                    <w:t>/m</w:t>
                  </w:r>
                  <w:r>
                    <w:rPr>
                      <w:rFonts w:hint="eastAsia" w:ascii="Times New Roman" w:hAnsi="Times New Roman" w:cs="Times New Roman"/>
                      <w:color w:val="auto"/>
                      <w:spacing w:val="6"/>
                      <w:sz w:val="21"/>
                      <w:szCs w:val="21"/>
                      <w:lang w:eastAsia="zh-CN"/>
                    </w:rPr>
                    <w:t>³</w:t>
                  </w:r>
                </w:p>
              </w:tc>
              <w:tc>
                <w:tcPr>
                  <w:tcW w:w="871" w:type="pct"/>
                  <w:vMerge w:val="restart"/>
                  <w:tcBorders>
                    <w:bottom w:val="nil"/>
                  </w:tcBorders>
                  <w:vAlign w:val="center"/>
                </w:tcPr>
                <w:p w14:paraId="19AD9A41">
                  <w:pPr>
                    <w:pStyle w:val="32"/>
                    <w:jc w:val="center"/>
                    <w:rPr>
                      <w:rFonts w:ascii="Times New Roman" w:hAnsi="Times New Roman" w:cs="Times New Roman"/>
                      <w:color w:val="auto"/>
                      <w:sz w:val="21"/>
                      <w:szCs w:val="21"/>
                    </w:rPr>
                  </w:pPr>
                  <w:r>
                    <w:rPr>
                      <w:rFonts w:ascii="Times New Roman" w:hAnsi="Times New Roman" w:cs="Times New Roman"/>
                      <w:color w:val="auto"/>
                      <w:spacing w:val="6"/>
                      <w:sz w:val="21"/>
                      <w:szCs w:val="21"/>
                    </w:rPr>
                    <w:t>排气筒高度</w:t>
                  </w:r>
                  <w:r>
                    <w:rPr>
                      <w:rFonts w:ascii="Times New Roman" w:hAnsi="Times New Roman" w:cs="Times New Roman"/>
                      <w:color w:val="auto"/>
                      <w:sz w:val="21"/>
                      <w:szCs w:val="21"/>
                    </w:rPr>
                    <w:t>m</w:t>
                  </w:r>
                </w:p>
              </w:tc>
              <w:tc>
                <w:tcPr>
                  <w:tcW w:w="871" w:type="pct"/>
                  <w:vMerge w:val="restart"/>
                  <w:tcBorders>
                    <w:bottom w:val="nil"/>
                  </w:tcBorders>
                  <w:vAlign w:val="center"/>
                </w:tcPr>
                <w:p w14:paraId="340371ED">
                  <w:pPr>
                    <w:pStyle w:val="32"/>
                    <w:jc w:val="center"/>
                    <w:rPr>
                      <w:rFonts w:ascii="Times New Roman" w:hAnsi="Times New Roman" w:cs="Times New Roman"/>
                      <w:color w:val="auto"/>
                      <w:sz w:val="21"/>
                      <w:szCs w:val="21"/>
                    </w:rPr>
                  </w:pPr>
                  <w:r>
                    <w:rPr>
                      <w:rFonts w:ascii="Times New Roman" w:hAnsi="Times New Roman" w:cs="Times New Roman"/>
                      <w:color w:val="auto"/>
                      <w:spacing w:val="6"/>
                      <w:sz w:val="21"/>
                      <w:szCs w:val="21"/>
                    </w:rPr>
                    <w:t>最高允许排</w:t>
                  </w:r>
                  <w:r>
                    <w:rPr>
                      <w:rFonts w:ascii="Times New Roman" w:hAnsi="Times New Roman" w:cs="Times New Roman"/>
                      <w:color w:val="auto"/>
                      <w:spacing w:val="-4"/>
                      <w:sz w:val="21"/>
                      <w:szCs w:val="21"/>
                    </w:rPr>
                    <w:t>放速率，kg/h</w:t>
                  </w:r>
                </w:p>
              </w:tc>
              <w:tc>
                <w:tcPr>
                  <w:tcW w:w="1611" w:type="pct"/>
                  <w:gridSpan w:val="2"/>
                  <w:vAlign w:val="center"/>
                </w:tcPr>
                <w:p w14:paraId="0336616D">
                  <w:pPr>
                    <w:pStyle w:val="32"/>
                    <w:jc w:val="center"/>
                    <w:rPr>
                      <w:rFonts w:ascii="Times New Roman" w:hAnsi="Times New Roman" w:cs="Times New Roman"/>
                      <w:color w:val="auto"/>
                      <w:sz w:val="21"/>
                      <w:szCs w:val="21"/>
                      <w:lang w:eastAsia="zh-CN"/>
                    </w:rPr>
                  </w:pPr>
                  <w:r>
                    <w:rPr>
                      <w:rFonts w:ascii="Times New Roman" w:hAnsi="Times New Roman" w:cs="Times New Roman"/>
                      <w:color w:val="auto"/>
                      <w:spacing w:val="7"/>
                      <w:sz w:val="21"/>
                      <w:szCs w:val="21"/>
                      <w:lang w:eastAsia="zh-CN"/>
                    </w:rPr>
                    <w:t>无组织排放监控浓度限值</w:t>
                  </w:r>
                </w:p>
              </w:tc>
            </w:tr>
            <w:tr w14:paraId="577AC1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837" w:type="pct"/>
                  <w:vMerge w:val="continue"/>
                  <w:tcBorders>
                    <w:top w:val="nil"/>
                  </w:tcBorders>
                  <w:vAlign w:val="center"/>
                </w:tcPr>
                <w:p w14:paraId="4CA32B33">
                  <w:pPr>
                    <w:jc w:val="center"/>
                    <w:rPr>
                      <w:color w:val="auto"/>
                      <w:szCs w:val="21"/>
                    </w:rPr>
                  </w:pPr>
                </w:p>
              </w:tc>
              <w:tc>
                <w:tcPr>
                  <w:tcW w:w="808" w:type="pct"/>
                  <w:vMerge w:val="continue"/>
                  <w:tcBorders>
                    <w:top w:val="nil"/>
                  </w:tcBorders>
                  <w:vAlign w:val="center"/>
                </w:tcPr>
                <w:p w14:paraId="2ABD1F8A">
                  <w:pPr>
                    <w:jc w:val="center"/>
                    <w:rPr>
                      <w:color w:val="auto"/>
                      <w:szCs w:val="21"/>
                    </w:rPr>
                  </w:pPr>
                </w:p>
              </w:tc>
              <w:tc>
                <w:tcPr>
                  <w:tcW w:w="871" w:type="pct"/>
                  <w:vMerge w:val="continue"/>
                  <w:tcBorders>
                    <w:top w:val="nil"/>
                  </w:tcBorders>
                  <w:vAlign w:val="center"/>
                </w:tcPr>
                <w:p w14:paraId="346FCD12">
                  <w:pPr>
                    <w:jc w:val="center"/>
                    <w:rPr>
                      <w:color w:val="auto"/>
                      <w:szCs w:val="21"/>
                    </w:rPr>
                  </w:pPr>
                </w:p>
              </w:tc>
              <w:tc>
                <w:tcPr>
                  <w:tcW w:w="871" w:type="pct"/>
                  <w:vMerge w:val="continue"/>
                  <w:tcBorders>
                    <w:top w:val="nil"/>
                  </w:tcBorders>
                  <w:vAlign w:val="center"/>
                </w:tcPr>
                <w:p w14:paraId="401B0082">
                  <w:pPr>
                    <w:jc w:val="center"/>
                    <w:rPr>
                      <w:color w:val="auto"/>
                      <w:szCs w:val="21"/>
                    </w:rPr>
                  </w:pPr>
                </w:p>
              </w:tc>
              <w:tc>
                <w:tcPr>
                  <w:tcW w:w="988" w:type="pct"/>
                  <w:vAlign w:val="center"/>
                </w:tcPr>
                <w:p w14:paraId="66EF5450">
                  <w:pPr>
                    <w:pStyle w:val="32"/>
                    <w:jc w:val="center"/>
                    <w:rPr>
                      <w:rFonts w:ascii="Times New Roman" w:hAnsi="Times New Roman" w:cs="Times New Roman"/>
                      <w:color w:val="auto"/>
                      <w:sz w:val="21"/>
                      <w:szCs w:val="21"/>
                    </w:rPr>
                  </w:pPr>
                  <w:r>
                    <w:rPr>
                      <w:rFonts w:ascii="Times New Roman" w:hAnsi="Times New Roman" w:cs="Times New Roman"/>
                      <w:color w:val="auto"/>
                      <w:spacing w:val="5"/>
                      <w:sz w:val="21"/>
                      <w:szCs w:val="21"/>
                    </w:rPr>
                    <w:t>监控点</w:t>
                  </w:r>
                </w:p>
              </w:tc>
              <w:tc>
                <w:tcPr>
                  <w:tcW w:w="622" w:type="pct"/>
                  <w:vAlign w:val="center"/>
                </w:tcPr>
                <w:p w14:paraId="06828025">
                  <w:pPr>
                    <w:pStyle w:val="32"/>
                    <w:jc w:val="center"/>
                    <w:rPr>
                      <w:rFonts w:ascii="Times New Roman" w:hAnsi="Times New Roman" w:cs="Times New Roman"/>
                      <w:color w:val="auto"/>
                      <w:sz w:val="21"/>
                      <w:szCs w:val="21"/>
                      <w:lang w:eastAsia="zh-CN"/>
                    </w:rPr>
                  </w:pPr>
                  <w:r>
                    <w:rPr>
                      <w:rFonts w:ascii="Times New Roman" w:hAnsi="Times New Roman" w:cs="Times New Roman"/>
                      <w:color w:val="auto"/>
                      <w:spacing w:val="-3"/>
                      <w:sz w:val="21"/>
                      <w:szCs w:val="21"/>
                    </w:rPr>
                    <w:t>浓度</w:t>
                  </w:r>
                  <w:r>
                    <w:rPr>
                      <w:rFonts w:ascii="Times New Roman" w:hAnsi="Times New Roman" w:cs="Times New Roman"/>
                      <w:color w:val="auto"/>
                      <w:sz w:val="21"/>
                      <w:szCs w:val="21"/>
                    </w:rPr>
                    <w:t>mg</w:t>
                  </w:r>
                  <w:r>
                    <w:rPr>
                      <w:rFonts w:ascii="Times New Roman" w:hAnsi="Times New Roman" w:cs="Times New Roman"/>
                      <w:color w:val="auto"/>
                      <w:spacing w:val="6"/>
                      <w:sz w:val="21"/>
                      <w:szCs w:val="21"/>
                    </w:rPr>
                    <w:t>/m</w:t>
                  </w:r>
                  <w:r>
                    <w:rPr>
                      <w:rFonts w:hint="eastAsia" w:ascii="Times New Roman" w:hAnsi="Times New Roman" w:cs="Times New Roman"/>
                      <w:color w:val="auto"/>
                      <w:spacing w:val="6"/>
                      <w:sz w:val="21"/>
                      <w:szCs w:val="21"/>
                      <w:lang w:eastAsia="zh-CN"/>
                    </w:rPr>
                    <w:t>³</w:t>
                  </w:r>
                </w:p>
              </w:tc>
            </w:tr>
            <w:tr w14:paraId="6261F9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837" w:type="pct"/>
                  <w:vAlign w:val="center"/>
                </w:tcPr>
                <w:p w14:paraId="1B570AE8">
                  <w:pPr>
                    <w:pStyle w:val="32"/>
                    <w:jc w:val="center"/>
                    <w:rPr>
                      <w:rFonts w:ascii="Times New Roman" w:hAnsi="Times New Roman" w:cs="Times New Roman"/>
                      <w:color w:val="auto"/>
                      <w:sz w:val="21"/>
                      <w:szCs w:val="21"/>
                    </w:rPr>
                  </w:pPr>
                  <w:r>
                    <w:rPr>
                      <w:rFonts w:ascii="Times New Roman" w:hAnsi="Times New Roman" w:cs="Times New Roman"/>
                      <w:color w:val="auto"/>
                      <w:spacing w:val="7"/>
                      <w:sz w:val="21"/>
                      <w:szCs w:val="21"/>
                    </w:rPr>
                    <w:t>颗粒物</w:t>
                  </w:r>
                </w:p>
              </w:tc>
              <w:tc>
                <w:tcPr>
                  <w:tcW w:w="808" w:type="pct"/>
                  <w:vAlign w:val="center"/>
                </w:tcPr>
                <w:p w14:paraId="754A2EE2">
                  <w:pPr>
                    <w:jc w:val="center"/>
                    <w:rPr>
                      <w:color w:val="auto"/>
                      <w:szCs w:val="21"/>
                    </w:rPr>
                  </w:pPr>
                  <w:r>
                    <w:rPr>
                      <w:rFonts w:hint="eastAsia"/>
                      <w:color w:val="auto"/>
                      <w:spacing w:val="-3"/>
                      <w:szCs w:val="21"/>
                    </w:rPr>
                    <w:t>10</w:t>
                  </w:r>
                </w:p>
              </w:tc>
              <w:tc>
                <w:tcPr>
                  <w:tcW w:w="871" w:type="pct"/>
                  <w:vAlign w:val="center"/>
                </w:tcPr>
                <w:p w14:paraId="39F594AE">
                  <w:pPr>
                    <w:jc w:val="center"/>
                    <w:rPr>
                      <w:color w:val="auto"/>
                      <w:szCs w:val="21"/>
                    </w:rPr>
                  </w:pPr>
                  <w:r>
                    <w:rPr>
                      <w:color w:val="auto"/>
                      <w:spacing w:val="-8"/>
                      <w:szCs w:val="21"/>
                    </w:rPr>
                    <w:t>15</w:t>
                  </w:r>
                </w:p>
              </w:tc>
              <w:tc>
                <w:tcPr>
                  <w:tcW w:w="871" w:type="pct"/>
                  <w:vAlign w:val="center"/>
                </w:tcPr>
                <w:p w14:paraId="1D55A55D">
                  <w:pPr>
                    <w:jc w:val="center"/>
                    <w:rPr>
                      <w:color w:val="auto"/>
                      <w:szCs w:val="21"/>
                    </w:rPr>
                  </w:pPr>
                  <w:r>
                    <w:rPr>
                      <w:rFonts w:hint="eastAsia"/>
                      <w:color w:val="auto"/>
                      <w:szCs w:val="21"/>
                    </w:rPr>
                    <w:t>/</w:t>
                  </w:r>
                </w:p>
              </w:tc>
              <w:tc>
                <w:tcPr>
                  <w:tcW w:w="988" w:type="pct"/>
                  <w:vAlign w:val="center"/>
                </w:tcPr>
                <w:p w14:paraId="79B5A591">
                  <w:pPr>
                    <w:pStyle w:val="32"/>
                    <w:jc w:val="center"/>
                    <w:rPr>
                      <w:rFonts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周界外浓度最高点</w:t>
                  </w:r>
                </w:p>
              </w:tc>
              <w:tc>
                <w:tcPr>
                  <w:tcW w:w="622" w:type="pct"/>
                  <w:vAlign w:val="center"/>
                </w:tcPr>
                <w:p w14:paraId="489DA223">
                  <w:pPr>
                    <w:jc w:val="center"/>
                    <w:rPr>
                      <w:color w:val="auto"/>
                      <w:szCs w:val="21"/>
                    </w:rPr>
                  </w:pPr>
                  <w:r>
                    <w:rPr>
                      <w:rFonts w:hint="eastAsia"/>
                      <w:color w:val="auto"/>
                      <w:szCs w:val="21"/>
                    </w:rPr>
                    <w:t>1.0</w:t>
                  </w:r>
                </w:p>
              </w:tc>
            </w:tr>
          </w:tbl>
          <w:p w14:paraId="63A5B79E">
            <w:pPr>
              <w:spacing w:line="360" w:lineRule="auto"/>
              <w:rPr>
                <w:b/>
                <w:bCs/>
                <w:color w:val="auto"/>
                <w:sz w:val="24"/>
              </w:rPr>
            </w:pPr>
            <w:r>
              <w:rPr>
                <w:b/>
                <w:bCs/>
                <w:color w:val="auto"/>
                <w:sz w:val="24"/>
              </w:rPr>
              <w:t>2、水污染物排放标准</w:t>
            </w:r>
          </w:p>
          <w:p w14:paraId="67820E86">
            <w:pPr>
              <w:pStyle w:val="32"/>
              <w:spacing w:line="360" w:lineRule="auto"/>
              <w:ind w:firstLine="460" w:firstLineChars="200"/>
              <w:rPr>
                <w:rFonts w:ascii="Times New Roman" w:hAnsi="Times New Roman" w:cs="Times New Roman"/>
                <w:b/>
                <w:bCs/>
                <w:color w:val="auto"/>
                <w:lang w:eastAsia="zh-CN"/>
              </w:rPr>
            </w:pPr>
            <w:r>
              <w:rPr>
                <w:color w:val="auto"/>
                <w:spacing w:val="-5"/>
                <w:lang w:eastAsia="zh-CN"/>
              </w:rPr>
              <w:t>项目主要产生的废水为生产废水经沉淀</w:t>
            </w:r>
            <w:r>
              <w:rPr>
                <w:rFonts w:hint="eastAsia"/>
                <w:color w:val="auto"/>
                <w:spacing w:val="-5"/>
                <w:lang w:eastAsia="zh-CN"/>
              </w:rPr>
              <w:t>池沉淀后</w:t>
            </w:r>
            <w:r>
              <w:rPr>
                <w:color w:val="auto"/>
                <w:spacing w:val="-5"/>
                <w:lang w:eastAsia="zh-CN"/>
              </w:rPr>
              <w:t>循环使用，不外排；</w:t>
            </w:r>
            <w:r>
              <w:rPr>
                <w:color w:val="auto"/>
                <w:spacing w:val="1"/>
                <w:lang w:eastAsia="zh-CN"/>
              </w:rPr>
              <w:t>车辆清洗废水经</w:t>
            </w:r>
            <w:r>
              <w:rPr>
                <w:rFonts w:hint="eastAsia"/>
                <w:color w:val="auto"/>
                <w:spacing w:val="1"/>
                <w:lang w:eastAsia="zh-CN"/>
              </w:rPr>
              <w:t>车辆冲洗平台沉淀池</w:t>
            </w:r>
            <w:r>
              <w:rPr>
                <w:color w:val="auto"/>
                <w:spacing w:val="1"/>
                <w:lang w:eastAsia="zh-CN"/>
              </w:rPr>
              <w:t>沉淀后回用，不外排；雾化喷淋降尘用水、厂区</w:t>
            </w:r>
            <w:r>
              <w:rPr>
                <w:color w:val="auto"/>
                <w:spacing w:val="-1"/>
                <w:lang w:eastAsia="zh-CN"/>
              </w:rPr>
              <w:t>道路抑尘用水全部损耗。</w:t>
            </w:r>
            <w:r>
              <w:rPr>
                <w:rFonts w:hint="eastAsia"/>
                <w:color w:val="auto"/>
                <w:spacing w:val="-1"/>
                <w:lang w:eastAsia="zh-CN"/>
              </w:rPr>
              <w:t>生活污水经化粪池处理后定期清掏，不外排。</w:t>
            </w:r>
          </w:p>
          <w:p w14:paraId="03741AA0">
            <w:pPr>
              <w:spacing w:line="360" w:lineRule="auto"/>
              <w:rPr>
                <w:b/>
                <w:bCs/>
                <w:color w:val="auto"/>
                <w:sz w:val="24"/>
              </w:rPr>
            </w:pPr>
            <w:r>
              <w:rPr>
                <w:b/>
                <w:bCs/>
                <w:color w:val="auto"/>
                <w:sz w:val="24"/>
              </w:rPr>
              <w:t>3、噪声排放执行标准</w:t>
            </w:r>
          </w:p>
          <w:p w14:paraId="182E2DD7">
            <w:pPr>
              <w:spacing w:line="360" w:lineRule="auto"/>
              <w:ind w:firstLine="480" w:firstLineChars="200"/>
              <w:rPr>
                <w:color w:val="auto"/>
                <w:sz w:val="24"/>
              </w:rPr>
            </w:pPr>
            <w:r>
              <w:rPr>
                <w:color w:val="auto"/>
                <w:sz w:val="24"/>
              </w:rPr>
              <w:t>本项目施工期噪声排放执行《建筑施工噪声排放标准》（GB12523-20</w:t>
            </w:r>
            <w:r>
              <w:rPr>
                <w:rFonts w:hint="eastAsia"/>
                <w:color w:val="auto"/>
                <w:sz w:val="24"/>
              </w:rPr>
              <w:t>25</w:t>
            </w:r>
            <w:r>
              <w:rPr>
                <w:color w:val="auto"/>
                <w:sz w:val="24"/>
              </w:rPr>
              <w:t>）表1中限值要求。</w:t>
            </w:r>
          </w:p>
          <w:p w14:paraId="3EA1500C">
            <w:pPr>
              <w:jc w:val="center"/>
              <w:rPr>
                <w:b/>
                <w:bCs/>
                <w:color w:val="auto"/>
                <w:sz w:val="24"/>
              </w:rPr>
            </w:pPr>
            <w:r>
              <w:rPr>
                <w:b/>
                <w:bCs/>
                <w:color w:val="auto"/>
                <w:sz w:val="24"/>
              </w:rPr>
              <w:t>表3-</w:t>
            </w:r>
            <w:r>
              <w:rPr>
                <w:rFonts w:hint="eastAsia"/>
                <w:b/>
                <w:bCs/>
                <w:color w:val="auto"/>
                <w:sz w:val="24"/>
              </w:rPr>
              <w:t xml:space="preserve">8  </w:t>
            </w:r>
            <w:r>
              <w:rPr>
                <w:b/>
                <w:bCs/>
                <w:color w:val="auto"/>
                <w:sz w:val="24"/>
              </w:rPr>
              <w:t>施工期场界环境噪声排放限值 单位：dB（A）</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3"/>
              <w:gridCol w:w="4254"/>
            </w:tblGrid>
            <w:tr w14:paraId="0852E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500" w:type="pct"/>
                  <w:vAlign w:val="center"/>
                </w:tcPr>
                <w:p w14:paraId="4D88A603">
                  <w:pPr>
                    <w:jc w:val="center"/>
                    <w:rPr>
                      <w:color w:val="auto"/>
                    </w:rPr>
                  </w:pPr>
                  <w:r>
                    <w:rPr>
                      <w:color w:val="auto"/>
                    </w:rPr>
                    <w:t>昼间</w:t>
                  </w:r>
                </w:p>
              </w:tc>
              <w:tc>
                <w:tcPr>
                  <w:tcW w:w="2500" w:type="pct"/>
                  <w:vAlign w:val="center"/>
                </w:tcPr>
                <w:p w14:paraId="0E55B023">
                  <w:pPr>
                    <w:jc w:val="center"/>
                    <w:rPr>
                      <w:color w:val="auto"/>
                    </w:rPr>
                  </w:pPr>
                  <w:r>
                    <w:rPr>
                      <w:color w:val="auto"/>
                    </w:rPr>
                    <w:t>夜间</w:t>
                  </w:r>
                </w:p>
              </w:tc>
            </w:tr>
            <w:tr w14:paraId="3E1BA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0" w:type="pct"/>
                  <w:vAlign w:val="center"/>
                </w:tcPr>
                <w:p w14:paraId="6FD5F6CC">
                  <w:pPr>
                    <w:jc w:val="center"/>
                    <w:rPr>
                      <w:color w:val="auto"/>
                    </w:rPr>
                  </w:pPr>
                  <w:r>
                    <w:rPr>
                      <w:color w:val="auto"/>
                    </w:rPr>
                    <w:t>70</w:t>
                  </w:r>
                </w:p>
              </w:tc>
              <w:tc>
                <w:tcPr>
                  <w:tcW w:w="2500" w:type="pct"/>
                  <w:vAlign w:val="center"/>
                </w:tcPr>
                <w:p w14:paraId="7E69DBA1">
                  <w:pPr>
                    <w:jc w:val="center"/>
                    <w:rPr>
                      <w:color w:val="auto"/>
                    </w:rPr>
                  </w:pPr>
                  <w:r>
                    <w:rPr>
                      <w:color w:val="auto"/>
                    </w:rPr>
                    <w:t>55</w:t>
                  </w:r>
                </w:p>
              </w:tc>
            </w:tr>
          </w:tbl>
          <w:p w14:paraId="453601CF">
            <w:pPr>
              <w:spacing w:line="360" w:lineRule="auto"/>
              <w:ind w:firstLine="480" w:firstLineChars="200"/>
              <w:rPr>
                <w:b/>
                <w:bCs/>
                <w:color w:val="auto"/>
                <w:sz w:val="24"/>
                <w:lang w:bidi="ar"/>
              </w:rPr>
            </w:pPr>
            <w:r>
              <w:rPr>
                <w:color w:val="auto"/>
                <w:sz w:val="24"/>
                <w:lang w:bidi="ar"/>
              </w:rPr>
              <w:t>项目运营期厂界噪声排放执行《工业企业厂界环境噪声排放标准》（GB12348-2008）</w:t>
            </w:r>
            <w:r>
              <w:rPr>
                <w:rFonts w:hint="eastAsia"/>
                <w:color w:val="auto"/>
                <w:sz w:val="24"/>
                <w:lang w:bidi="ar"/>
              </w:rPr>
              <w:t>2</w:t>
            </w:r>
            <w:r>
              <w:rPr>
                <w:color w:val="auto"/>
                <w:sz w:val="24"/>
                <w:lang w:bidi="ar"/>
              </w:rPr>
              <w:t>类标准。</w:t>
            </w:r>
          </w:p>
          <w:p w14:paraId="43F03EF6">
            <w:pPr>
              <w:jc w:val="center"/>
              <w:rPr>
                <w:b/>
                <w:bCs/>
                <w:color w:val="auto"/>
                <w:sz w:val="24"/>
              </w:rPr>
            </w:pPr>
            <w:r>
              <w:rPr>
                <w:b/>
                <w:bCs/>
                <w:color w:val="auto"/>
                <w:sz w:val="24"/>
                <w:lang w:bidi="ar"/>
              </w:rPr>
              <w:t>表3-</w:t>
            </w:r>
            <w:r>
              <w:rPr>
                <w:rFonts w:hint="eastAsia"/>
                <w:b/>
                <w:bCs/>
                <w:color w:val="auto"/>
                <w:sz w:val="24"/>
                <w:lang w:bidi="ar"/>
              </w:rPr>
              <w:t xml:space="preserve">9 </w:t>
            </w:r>
            <w:r>
              <w:rPr>
                <w:b/>
                <w:bCs/>
                <w:color w:val="auto"/>
                <w:sz w:val="24"/>
                <w:lang w:bidi="ar"/>
              </w:rPr>
              <w:t xml:space="preserve"> </w:t>
            </w:r>
            <w:r>
              <w:rPr>
                <w:b/>
                <w:bCs/>
                <w:color w:val="auto"/>
                <w:sz w:val="24"/>
              </w:rPr>
              <w:t>工业企业厂界环境噪声排放标准 单位：dB（A）</w:t>
            </w:r>
          </w:p>
          <w:tbl>
            <w:tblPr>
              <w:tblStyle w:val="2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
              <w:gridCol w:w="3254"/>
              <w:gridCol w:w="2126"/>
              <w:gridCol w:w="2131"/>
            </w:tblGrid>
            <w:tr w14:paraId="385E2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5" w:type="pct"/>
                  <w:vMerge w:val="restart"/>
                  <w:vAlign w:val="center"/>
                </w:tcPr>
                <w:p w14:paraId="72AC3842">
                  <w:pPr>
                    <w:jc w:val="center"/>
                    <w:rPr>
                      <w:color w:val="auto"/>
                    </w:rPr>
                  </w:pPr>
                  <w:r>
                    <w:rPr>
                      <w:color w:val="auto"/>
                    </w:rPr>
                    <w:t>阶段</w:t>
                  </w:r>
                </w:p>
              </w:tc>
              <w:tc>
                <w:tcPr>
                  <w:tcW w:w="1912" w:type="pct"/>
                  <w:vMerge w:val="restart"/>
                  <w:vAlign w:val="center"/>
                </w:tcPr>
                <w:p w14:paraId="53F73476">
                  <w:pPr>
                    <w:jc w:val="center"/>
                    <w:rPr>
                      <w:color w:val="auto"/>
                    </w:rPr>
                  </w:pPr>
                  <w:r>
                    <w:rPr>
                      <w:color w:val="auto"/>
                    </w:rPr>
                    <w:t>执行标准及级别</w:t>
                  </w:r>
                </w:p>
              </w:tc>
              <w:tc>
                <w:tcPr>
                  <w:tcW w:w="2501" w:type="pct"/>
                  <w:gridSpan w:val="2"/>
                  <w:vAlign w:val="center"/>
                </w:tcPr>
                <w:p w14:paraId="4DA46FB4">
                  <w:pPr>
                    <w:jc w:val="center"/>
                    <w:rPr>
                      <w:color w:val="auto"/>
                    </w:rPr>
                  </w:pPr>
                  <w:r>
                    <w:rPr>
                      <w:color w:val="auto"/>
                    </w:rPr>
                    <w:t>等效声级Leq</w:t>
                  </w:r>
                </w:p>
              </w:tc>
            </w:tr>
            <w:tr w14:paraId="4A7BB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5" w:type="pct"/>
                  <w:vMerge w:val="continue"/>
                  <w:vAlign w:val="center"/>
                </w:tcPr>
                <w:p w14:paraId="0F3B139E">
                  <w:pPr>
                    <w:jc w:val="center"/>
                    <w:rPr>
                      <w:color w:val="auto"/>
                    </w:rPr>
                  </w:pPr>
                </w:p>
              </w:tc>
              <w:tc>
                <w:tcPr>
                  <w:tcW w:w="1912" w:type="pct"/>
                  <w:vMerge w:val="continue"/>
                  <w:vAlign w:val="center"/>
                </w:tcPr>
                <w:p w14:paraId="686C4B3E">
                  <w:pPr>
                    <w:jc w:val="center"/>
                    <w:rPr>
                      <w:color w:val="auto"/>
                    </w:rPr>
                  </w:pPr>
                </w:p>
              </w:tc>
              <w:tc>
                <w:tcPr>
                  <w:tcW w:w="1249" w:type="pct"/>
                  <w:vAlign w:val="center"/>
                </w:tcPr>
                <w:p w14:paraId="1D8F883B">
                  <w:pPr>
                    <w:jc w:val="center"/>
                    <w:rPr>
                      <w:color w:val="auto"/>
                    </w:rPr>
                  </w:pPr>
                  <w:r>
                    <w:rPr>
                      <w:color w:val="auto"/>
                    </w:rPr>
                    <w:t>昼间</w:t>
                  </w:r>
                </w:p>
              </w:tc>
              <w:tc>
                <w:tcPr>
                  <w:tcW w:w="1252" w:type="pct"/>
                  <w:vAlign w:val="center"/>
                </w:tcPr>
                <w:p w14:paraId="2669F8D5">
                  <w:pPr>
                    <w:jc w:val="center"/>
                    <w:rPr>
                      <w:color w:val="auto"/>
                    </w:rPr>
                  </w:pPr>
                  <w:r>
                    <w:rPr>
                      <w:color w:val="auto"/>
                    </w:rPr>
                    <w:t>夜间</w:t>
                  </w:r>
                </w:p>
              </w:tc>
            </w:tr>
            <w:tr w14:paraId="5BFD7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5" w:type="pct"/>
                  <w:vAlign w:val="center"/>
                </w:tcPr>
                <w:p w14:paraId="07EBF82E">
                  <w:pPr>
                    <w:jc w:val="center"/>
                    <w:rPr>
                      <w:color w:val="auto"/>
                    </w:rPr>
                  </w:pPr>
                  <w:r>
                    <w:rPr>
                      <w:color w:val="auto"/>
                    </w:rPr>
                    <w:t>运营期</w:t>
                  </w:r>
                </w:p>
              </w:tc>
              <w:tc>
                <w:tcPr>
                  <w:tcW w:w="1912" w:type="pct"/>
                  <w:vAlign w:val="center"/>
                </w:tcPr>
                <w:p w14:paraId="029CC22C">
                  <w:pPr>
                    <w:jc w:val="center"/>
                    <w:rPr>
                      <w:color w:val="auto"/>
                    </w:rPr>
                  </w:pPr>
                  <w:r>
                    <w:rPr>
                      <w:rFonts w:hint="eastAsia"/>
                      <w:color w:val="auto"/>
                      <w:lang w:bidi="ar"/>
                    </w:rPr>
                    <w:t>《</w:t>
                  </w:r>
                  <w:r>
                    <w:rPr>
                      <w:color w:val="auto"/>
                      <w:lang w:bidi="ar"/>
                    </w:rPr>
                    <w:t>工业企业厂界环境噪声排放标准</w:t>
                  </w:r>
                  <w:r>
                    <w:rPr>
                      <w:rFonts w:hint="eastAsia"/>
                      <w:color w:val="auto"/>
                      <w:lang w:bidi="ar"/>
                    </w:rPr>
                    <w:t>》</w:t>
                  </w:r>
                  <w:r>
                    <w:rPr>
                      <w:color w:val="auto"/>
                      <w:lang w:bidi="ar"/>
                    </w:rPr>
                    <w:t>（GB12348-2008）</w:t>
                  </w:r>
                  <w:r>
                    <w:rPr>
                      <w:rFonts w:hint="eastAsia"/>
                      <w:color w:val="auto"/>
                      <w:lang w:bidi="ar"/>
                    </w:rPr>
                    <w:t>2</w:t>
                  </w:r>
                  <w:r>
                    <w:rPr>
                      <w:color w:val="auto"/>
                      <w:lang w:bidi="ar"/>
                    </w:rPr>
                    <w:t>类标准</w:t>
                  </w:r>
                </w:p>
              </w:tc>
              <w:tc>
                <w:tcPr>
                  <w:tcW w:w="1249" w:type="pct"/>
                  <w:vAlign w:val="center"/>
                </w:tcPr>
                <w:p w14:paraId="52D1D412">
                  <w:pPr>
                    <w:jc w:val="center"/>
                    <w:rPr>
                      <w:color w:val="auto"/>
                    </w:rPr>
                  </w:pPr>
                  <w:r>
                    <w:rPr>
                      <w:color w:val="auto"/>
                    </w:rPr>
                    <w:t>6</w:t>
                  </w:r>
                  <w:r>
                    <w:rPr>
                      <w:rFonts w:hint="eastAsia"/>
                      <w:color w:val="auto"/>
                    </w:rPr>
                    <w:t>0</w:t>
                  </w:r>
                </w:p>
              </w:tc>
              <w:tc>
                <w:tcPr>
                  <w:tcW w:w="1252" w:type="pct"/>
                  <w:vAlign w:val="center"/>
                </w:tcPr>
                <w:p w14:paraId="56C19852">
                  <w:pPr>
                    <w:jc w:val="center"/>
                    <w:rPr>
                      <w:color w:val="auto"/>
                    </w:rPr>
                  </w:pPr>
                  <w:r>
                    <w:rPr>
                      <w:color w:val="auto"/>
                    </w:rPr>
                    <w:t>5</w:t>
                  </w:r>
                  <w:r>
                    <w:rPr>
                      <w:rFonts w:hint="eastAsia"/>
                      <w:color w:val="auto"/>
                    </w:rPr>
                    <w:t>0</w:t>
                  </w:r>
                </w:p>
              </w:tc>
            </w:tr>
          </w:tbl>
          <w:p w14:paraId="255FD6BE">
            <w:pPr>
              <w:spacing w:line="360" w:lineRule="auto"/>
              <w:rPr>
                <w:b/>
                <w:bCs/>
                <w:color w:val="auto"/>
                <w:sz w:val="24"/>
              </w:rPr>
            </w:pPr>
            <w:r>
              <w:rPr>
                <w:b/>
                <w:bCs/>
                <w:color w:val="auto"/>
                <w:sz w:val="24"/>
              </w:rPr>
              <w:t>4、固体废物标准</w:t>
            </w:r>
          </w:p>
          <w:p w14:paraId="68BE076B">
            <w:pPr>
              <w:pStyle w:val="8"/>
              <w:spacing w:line="360" w:lineRule="auto"/>
              <w:ind w:firstLine="480" w:firstLineChars="200"/>
              <w:rPr>
                <w:color w:val="auto"/>
                <w:szCs w:val="32"/>
              </w:rPr>
            </w:pPr>
            <w:r>
              <w:rPr>
                <w:color w:val="auto"/>
                <w:szCs w:val="32"/>
              </w:rPr>
              <w:t>一般工业固体废物和危险固废的暂存及污染控制分别按《一般工业固体废物贮存和填埋污染控制标准》（GB18599-2020）、《危险废物贮存污染控制标准》（GB18597-2023）中相关要求执行。</w:t>
            </w:r>
          </w:p>
          <w:p w14:paraId="5D2F9040">
            <w:pPr>
              <w:pStyle w:val="8"/>
              <w:spacing w:line="360" w:lineRule="auto"/>
              <w:rPr>
                <w:color w:val="auto"/>
                <w:szCs w:val="32"/>
              </w:rPr>
            </w:pPr>
          </w:p>
          <w:p w14:paraId="04BDD52C">
            <w:pPr>
              <w:pStyle w:val="8"/>
              <w:spacing w:line="360" w:lineRule="auto"/>
              <w:rPr>
                <w:color w:val="auto"/>
                <w:szCs w:val="32"/>
              </w:rPr>
            </w:pPr>
          </w:p>
          <w:p w14:paraId="01A7BE5F">
            <w:pPr>
              <w:pStyle w:val="8"/>
              <w:spacing w:line="360" w:lineRule="auto"/>
              <w:rPr>
                <w:color w:val="auto"/>
                <w:szCs w:val="32"/>
              </w:rPr>
            </w:pPr>
          </w:p>
          <w:p w14:paraId="1B3EFDA2">
            <w:pPr>
              <w:pStyle w:val="8"/>
              <w:spacing w:line="360" w:lineRule="auto"/>
              <w:rPr>
                <w:color w:val="auto"/>
                <w:szCs w:val="32"/>
              </w:rPr>
            </w:pPr>
          </w:p>
          <w:p w14:paraId="5A94EF64">
            <w:pPr>
              <w:pStyle w:val="8"/>
              <w:spacing w:line="360" w:lineRule="auto"/>
              <w:rPr>
                <w:color w:val="auto"/>
                <w:szCs w:val="32"/>
              </w:rPr>
            </w:pPr>
          </w:p>
          <w:p w14:paraId="1EB0B5DF">
            <w:pPr>
              <w:pStyle w:val="8"/>
              <w:spacing w:line="360" w:lineRule="auto"/>
              <w:rPr>
                <w:color w:val="auto"/>
                <w:szCs w:val="32"/>
              </w:rPr>
            </w:pPr>
          </w:p>
        </w:tc>
      </w:tr>
      <w:tr w14:paraId="2E633F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63" w:hRule="atLeast"/>
          <w:jc w:val="center"/>
        </w:trPr>
        <w:tc>
          <w:tcPr>
            <w:tcW w:w="969" w:type="dxa"/>
            <w:vAlign w:val="center"/>
          </w:tcPr>
          <w:p w14:paraId="6D23AB09">
            <w:pPr>
              <w:jc w:val="center"/>
              <w:rPr>
                <w:color w:val="auto"/>
                <w:sz w:val="24"/>
              </w:rPr>
            </w:pPr>
            <w:r>
              <w:rPr>
                <w:color w:val="auto"/>
                <w:sz w:val="24"/>
              </w:rPr>
              <w:t>总量</w:t>
            </w:r>
          </w:p>
          <w:p w14:paraId="0C6570D5">
            <w:pPr>
              <w:jc w:val="center"/>
              <w:rPr>
                <w:color w:val="auto"/>
                <w:sz w:val="24"/>
              </w:rPr>
            </w:pPr>
            <w:r>
              <w:rPr>
                <w:color w:val="auto"/>
                <w:sz w:val="24"/>
              </w:rPr>
              <w:t>控制</w:t>
            </w:r>
          </w:p>
          <w:p w14:paraId="2AA658E6">
            <w:pPr>
              <w:jc w:val="center"/>
              <w:rPr>
                <w:color w:val="auto"/>
              </w:rPr>
            </w:pPr>
            <w:r>
              <w:rPr>
                <w:color w:val="auto"/>
                <w:sz w:val="24"/>
              </w:rPr>
              <w:t>指标</w:t>
            </w:r>
          </w:p>
        </w:tc>
        <w:tc>
          <w:tcPr>
            <w:tcW w:w="8735" w:type="dxa"/>
            <w:vAlign w:val="center"/>
          </w:tcPr>
          <w:p w14:paraId="4AAD27E7">
            <w:pPr>
              <w:pStyle w:val="28"/>
              <w:numPr>
                <w:ilvl w:val="1"/>
                <w:numId w:val="0"/>
              </w:numPr>
              <w:autoSpaceDE/>
              <w:autoSpaceDN/>
              <w:spacing w:line="360" w:lineRule="auto"/>
              <w:ind w:firstLine="480" w:firstLineChars="200"/>
              <w:rPr>
                <w:rFonts w:cs="Times New Roman"/>
                <w:color w:val="auto"/>
                <w:lang w:val="en-US"/>
              </w:rPr>
            </w:pPr>
            <w:r>
              <w:rPr>
                <w:rFonts w:hint="eastAsia" w:cs="Times New Roman"/>
                <w:color w:val="auto"/>
                <w:lang w:val="en-US"/>
              </w:rPr>
              <w:t>自2017年04月起，新增大气主要污染物排放的建设项目环境影响评价文件审批前必须取得的总量指标从两项增加为四项。在二氧化硫(SO</w:t>
            </w:r>
            <w:r>
              <w:rPr>
                <w:rFonts w:hint="eastAsia" w:cs="Times New Roman"/>
                <w:color w:val="auto"/>
                <w:vertAlign w:val="subscript"/>
                <w:lang w:val="en-US"/>
              </w:rPr>
              <w:t>2</w:t>
            </w:r>
            <w:r>
              <w:rPr>
                <w:rFonts w:hint="eastAsia" w:cs="Times New Roman"/>
                <w:color w:val="auto"/>
                <w:lang w:val="en-US"/>
              </w:rPr>
              <w:t>)氮氧化物(NO</w:t>
            </w:r>
            <w:r>
              <w:rPr>
                <w:rFonts w:hint="eastAsia" w:cs="Times New Roman"/>
                <w:color w:val="auto"/>
                <w:vertAlign w:val="subscript"/>
                <w:lang w:val="en-US"/>
              </w:rPr>
              <w:t>x</w:t>
            </w:r>
            <w:r>
              <w:rPr>
                <w:rFonts w:hint="eastAsia" w:cs="Times New Roman"/>
                <w:color w:val="auto"/>
                <w:lang w:val="en-US"/>
              </w:rPr>
              <w:t>)的基础上增加烟(粉)尘、挥发性有机物(VOCs)两项指标。</w:t>
            </w:r>
          </w:p>
          <w:p w14:paraId="343A6220">
            <w:pPr>
              <w:pStyle w:val="28"/>
              <w:numPr>
                <w:ilvl w:val="1"/>
                <w:numId w:val="0"/>
              </w:numPr>
              <w:autoSpaceDE/>
              <w:autoSpaceDN/>
              <w:spacing w:line="360" w:lineRule="auto"/>
              <w:ind w:firstLine="480" w:firstLineChars="200"/>
              <w:jc w:val="both"/>
              <w:rPr>
                <w:rFonts w:hint="default"/>
                <w:b/>
                <w:bCs/>
                <w:color w:val="auto"/>
                <w:lang w:val="en-US" w:bidi="ar"/>
              </w:rPr>
            </w:pPr>
            <w:r>
              <w:rPr>
                <w:rFonts w:ascii="Times New Roman" w:hAnsi="Times New Roman" w:eastAsia="宋体" w:cs="Times New Roman"/>
                <w:color w:val="auto"/>
                <w:sz w:val="24"/>
                <w:lang w:eastAsia="zh-CN"/>
              </w:rPr>
              <w:t>根据计算本项目污染物排放总量为</w:t>
            </w:r>
            <w:r>
              <w:rPr>
                <w:rFonts w:hint="eastAsia" w:ascii="Times New Roman" w:hAnsi="Times New Roman" w:eastAsia="宋体" w:cs="Times New Roman"/>
                <w:color w:val="auto"/>
                <w:sz w:val="24"/>
                <w:lang w:eastAsia="zh-CN"/>
              </w:rPr>
              <w:t>颗粒物</w:t>
            </w:r>
            <w:r>
              <w:rPr>
                <w:rFonts w:hint="eastAsia" w:ascii="Times New Roman" w:hAnsi="Times New Roman" w:eastAsia="宋体" w:cs="Times New Roman"/>
                <w:color w:val="auto"/>
                <w:sz w:val="24"/>
                <w:lang w:val="en-US" w:eastAsia="zh-CN"/>
              </w:rPr>
              <w:t>0.926t/a。</w:t>
            </w:r>
          </w:p>
          <w:p w14:paraId="79B7C4BC">
            <w:pPr>
              <w:keepNext w:val="0"/>
              <w:keepLines w:val="0"/>
              <w:pageBreakBefore w:val="0"/>
              <w:widowControl/>
              <w:kinsoku w:val="0"/>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w:t>
            </w:r>
            <w:r>
              <w:rPr>
                <w:rFonts w:hint="eastAsia" w:ascii="Times New Roman" w:hAnsi="Times New Roman" w:eastAsia="宋体" w:cs="Times New Roman"/>
                <w:b/>
                <w:color w:val="auto"/>
                <w:sz w:val="24"/>
                <w:szCs w:val="24"/>
                <w:lang w:val="en-US" w:eastAsia="zh-CN"/>
              </w:rPr>
              <w:t>3-11</w:t>
            </w:r>
            <w:r>
              <w:rPr>
                <w:rFonts w:hint="default" w:ascii="Times New Roman" w:hAnsi="Times New Roman" w:eastAsia="宋体" w:cs="Times New Roman"/>
                <w:b/>
                <w:color w:val="auto"/>
                <w:sz w:val="24"/>
                <w:szCs w:val="24"/>
              </w:rPr>
              <w:t xml:space="preserve"> </w:t>
            </w:r>
            <w:r>
              <w:rPr>
                <w:rFonts w:hint="eastAsia" w:ascii="Times New Roman" w:hAnsi="Times New Roman" w:eastAsia="宋体" w:cs="Times New Roman"/>
                <w:b/>
                <w:color w:val="auto"/>
                <w:sz w:val="24"/>
                <w:szCs w:val="24"/>
                <w:lang w:val="en-US" w:eastAsia="zh-CN"/>
              </w:rPr>
              <w:t xml:space="preserve"> </w:t>
            </w:r>
            <w:r>
              <w:rPr>
                <w:rFonts w:hint="default" w:ascii="Times New Roman" w:hAnsi="Times New Roman" w:eastAsia="宋体" w:cs="Times New Roman"/>
                <w:b/>
                <w:color w:val="auto"/>
                <w:sz w:val="24"/>
                <w:szCs w:val="24"/>
                <w:lang w:eastAsia="zh-CN"/>
              </w:rPr>
              <w:t>本次</w:t>
            </w:r>
            <w:r>
              <w:rPr>
                <w:rFonts w:hint="eastAsia" w:ascii="Times New Roman" w:hAnsi="Times New Roman" w:eastAsia="宋体" w:cs="Times New Roman"/>
                <w:b/>
                <w:color w:val="auto"/>
                <w:sz w:val="24"/>
                <w:szCs w:val="24"/>
                <w:lang w:val="en-US" w:eastAsia="zh-CN"/>
              </w:rPr>
              <w:t>扩建</w:t>
            </w:r>
            <w:r>
              <w:rPr>
                <w:rFonts w:hint="default" w:ascii="Times New Roman" w:hAnsi="Times New Roman" w:eastAsia="宋体" w:cs="Times New Roman"/>
                <w:b/>
                <w:color w:val="auto"/>
                <w:sz w:val="24"/>
                <w:szCs w:val="24"/>
              </w:rPr>
              <w:t>项目主要污染物排放总量计算</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3"/>
              <w:gridCol w:w="2110"/>
              <w:gridCol w:w="1702"/>
              <w:gridCol w:w="1702"/>
              <w:gridCol w:w="1702"/>
            </w:tblGrid>
            <w:tr w14:paraId="07774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296" w:type="dxa"/>
                  <w:noWrap w:val="0"/>
                  <w:vAlign w:val="center"/>
                </w:tcPr>
                <w:p w14:paraId="73BC470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种类</w:t>
                  </w:r>
                </w:p>
              </w:tc>
              <w:tc>
                <w:tcPr>
                  <w:tcW w:w="2115" w:type="dxa"/>
                  <w:noWrap w:val="0"/>
                  <w:vAlign w:val="center"/>
                </w:tcPr>
                <w:p w14:paraId="199ACD0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污染因子</w:t>
                  </w:r>
                </w:p>
              </w:tc>
              <w:tc>
                <w:tcPr>
                  <w:tcW w:w="1704" w:type="dxa"/>
                  <w:noWrap w:val="0"/>
                  <w:vAlign w:val="center"/>
                </w:tcPr>
                <w:p w14:paraId="591D293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产生量</w:t>
                  </w:r>
                </w:p>
                <w:p w14:paraId="681D690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（t/a）</w:t>
                  </w:r>
                </w:p>
              </w:tc>
              <w:tc>
                <w:tcPr>
                  <w:tcW w:w="1704" w:type="dxa"/>
                  <w:noWrap w:val="0"/>
                  <w:vAlign w:val="center"/>
                </w:tcPr>
                <w:p w14:paraId="62162D1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削减量</w:t>
                  </w:r>
                </w:p>
                <w:p w14:paraId="50DB1D3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（t/a）</w:t>
                  </w:r>
                </w:p>
              </w:tc>
              <w:tc>
                <w:tcPr>
                  <w:tcW w:w="1704" w:type="dxa"/>
                  <w:noWrap w:val="0"/>
                  <w:vAlign w:val="center"/>
                </w:tcPr>
                <w:p w14:paraId="49ED7A9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排放量</w:t>
                  </w:r>
                </w:p>
                <w:p w14:paraId="41DE046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（t/a）</w:t>
                  </w:r>
                </w:p>
              </w:tc>
            </w:tr>
            <w:tr w14:paraId="54AB2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jc w:val="center"/>
              </w:trPr>
              <w:tc>
                <w:tcPr>
                  <w:tcW w:w="1296" w:type="dxa"/>
                  <w:noWrap w:val="0"/>
                  <w:vAlign w:val="center"/>
                </w:tcPr>
                <w:p w14:paraId="2107425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2115" w:type="dxa"/>
                  <w:noWrap w:val="0"/>
                  <w:vAlign w:val="center"/>
                </w:tcPr>
                <w:p w14:paraId="2F39075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烟(粉)尘</w:t>
                  </w:r>
                </w:p>
              </w:tc>
              <w:tc>
                <w:tcPr>
                  <w:tcW w:w="1704" w:type="dxa"/>
                  <w:noWrap w:val="0"/>
                  <w:vAlign w:val="center"/>
                </w:tcPr>
                <w:p w14:paraId="460635DF">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191.373</w:t>
                  </w:r>
                </w:p>
              </w:tc>
              <w:tc>
                <w:tcPr>
                  <w:tcW w:w="1704" w:type="dxa"/>
                  <w:noWrap w:val="0"/>
                  <w:vAlign w:val="center"/>
                </w:tcPr>
                <w:p w14:paraId="31FE9A94">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190.447</w:t>
                  </w:r>
                </w:p>
              </w:tc>
              <w:tc>
                <w:tcPr>
                  <w:tcW w:w="1704" w:type="dxa"/>
                  <w:noWrap w:val="0"/>
                  <w:vAlign w:val="center"/>
                </w:tcPr>
                <w:p w14:paraId="2B72FC28">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0.926</w:t>
                  </w:r>
                </w:p>
              </w:tc>
            </w:tr>
          </w:tbl>
          <w:p w14:paraId="58C077CD">
            <w:pPr>
              <w:keepNext w:val="0"/>
              <w:keepLines w:val="0"/>
              <w:pageBreakBefore w:val="0"/>
              <w:widowControl/>
              <w:kinsoku w:val="0"/>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rPr>
              <w:t>表</w:t>
            </w:r>
            <w:r>
              <w:rPr>
                <w:rFonts w:hint="eastAsia" w:ascii="Times New Roman" w:hAnsi="Times New Roman" w:eastAsia="宋体" w:cs="Times New Roman"/>
                <w:b/>
                <w:color w:val="auto"/>
                <w:sz w:val="24"/>
                <w:szCs w:val="24"/>
                <w:lang w:val="en-US" w:eastAsia="zh-CN"/>
              </w:rPr>
              <w:t>3-12</w:t>
            </w:r>
            <w:r>
              <w:rPr>
                <w:rFonts w:hint="default" w:ascii="Times New Roman" w:hAnsi="Times New Roman" w:eastAsia="宋体" w:cs="Times New Roman"/>
                <w:b/>
                <w:color w:val="auto"/>
                <w:sz w:val="24"/>
                <w:szCs w:val="24"/>
              </w:rPr>
              <w:t xml:space="preserve"> </w:t>
            </w:r>
            <w:r>
              <w:rPr>
                <w:rFonts w:hint="eastAsia" w:ascii="Times New Roman" w:hAnsi="Times New Roman" w:eastAsia="宋体" w:cs="Times New Roman"/>
                <w:b/>
                <w:color w:val="auto"/>
                <w:sz w:val="24"/>
                <w:szCs w:val="24"/>
                <w:lang w:val="en-US" w:eastAsia="zh-CN"/>
              </w:rPr>
              <w:t xml:space="preserve"> 供热系统及仓储技术改造</w:t>
            </w:r>
            <w:r>
              <w:rPr>
                <w:rFonts w:hint="default" w:ascii="Times New Roman" w:hAnsi="Times New Roman" w:eastAsia="宋体" w:cs="Times New Roman"/>
                <w:b/>
                <w:bCs/>
                <w:color w:val="auto"/>
                <w:sz w:val="24"/>
                <w:szCs w:val="24"/>
                <w:highlight w:val="none"/>
                <w:lang w:val="en-US" w:eastAsia="zh-CN"/>
              </w:rPr>
              <w:t>项目</w:t>
            </w:r>
            <w:r>
              <w:rPr>
                <w:rFonts w:hint="default" w:ascii="Times New Roman" w:hAnsi="Times New Roman" w:eastAsia="宋体" w:cs="Times New Roman"/>
                <w:b/>
                <w:bCs/>
                <w:color w:val="auto"/>
                <w:sz w:val="24"/>
                <w:szCs w:val="24"/>
              </w:rPr>
              <w:t>总量指标情况</w:t>
            </w:r>
            <w:r>
              <w:rPr>
                <w:rFonts w:hint="default" w:ascii="Times New Roman" w:hAnsi="Times New Roman" w:eastAsia="宋体" w:cs="Times New Roman"/>
                <w:b/>
                <w:bCs/>
                <w:color w:val="auto"/>
                <w:sz w:val="24"/>
                <w:szCs w:val="24"/>
                <w:lang w:eastAsia="zh-CN"/>
              </w:rPr>
              <w:t>（烟尘）</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3"/>
              <w:gridCol w:w="2001"/>
              <w:gridCol w:w="1749"/>
              <w:gridCol w:w="1749"/>
              <w:gridCol w:w="1754"/>
            </w:tblGrid>
            <w:tr w14:paraId="57C46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36" w:type="pct"/>
                  <w:noWrap w:val="0"/>
                  <w:vAlign w:val="center"/>
                </w:tcPr>
                <w:p w14:paraId="4527404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种类</w:t>
                  </w:r>
                </w:p>
              </w:tc>
              <w:tc>
                <w:tcPr>
                  <w:tcW w:w="1176" w:type="pct"/>
                  <w:noWrap w:val="0"/>
                  <w:vAlign w:val="center"/>
                </w:tcPr>
                <w:p w14:paraId="4E80601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污染因子</w:t>
                  </w:r>
                </w:p>
              </w:tc>
              <w:tc>
                <w:tcPr>
                  <w:tcW w:w="1028" w:type="pct"/>
                  <w:noWrap w:val="0"/>
                  <w:vAlign w:val="center"/>
                </w:tcPr>
                <w:p w14:paraId="7C5A00DC">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原环评计算量</w:t>
                  </w:r>
                  <w:r>
                    <w:rPr>
                      <w:rFonts w:hint="default" w:ascii="Times New Roman" w:hAnsi="Times New Roman" w:eastAsia="宋体" w:cs="Times New Roman"/>
                      <w:color w:val="auto"/>
                      <w:sz w:val="21"/>
                      <w:szCs w:val="21"/>
                    </w:rPr>
                    <w:t>（t/a）</w:t>
                  </w:r>
                </w:p>
              </w:tc>
              <w:tc>
                <w:tcPr>
                  <w:tcW w:w="1028" w:type="pct"/>
                  <w:noWrap w:val="0"/>
                  <w:vAlign w:val="center"/>
                </w:tcPr>
                <w:p w14:paraId="01383695">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消减量</w:t>
                  </w:r>
                </w:p>
                <w:p w14:paraId="25E9805B">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（t/a）</w:t>
                  </w:r>
                </w:p>
              </w:tc>
              <w:tc>
                <w:tcPr>
                  <w:tcW w:w="1030" w:type="pct"/>
                  <w:noWrap w:val="0"/>
                  <w:vAlign w:val="center"/>
                </w:tcPr>
                <w:p w14:paraId="17CE004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余量</w:t>
                  </w:r>
                </w:p>
                <w:p w14:paraId="66DB118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（t/a）</w:t>
                  </w:r>
                </w:p>
              </w:tc>
            </w:tr>
            <w:tr w14:paraId="7A3E8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36" w:type="pct"/>
                  <w:noWrap w:val="0"/>
                  <w:vAlign w:val="center"/>
                </w:tcPr>
                <w:p w14:paraId="5BF9A74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1176" w:type="pct"/>
                  <w:noWrap w:val="0"/>
                  <w:vAlign w:val="center"/>
                </w:tcPr>
                <w:p w14:paraId="4880548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烟(粉)尘</w:t>
                  </w:r>
                </w:p>
              </w:tc>
              <w:tc>
                <w:tcPr>
                  <w:tcW w:w="1028" w:type="pct"/>
                  <w:noWrap w:val="0"/>
                  <w:vAlign w:val="center"/>
                </w:tcPr>
                <w:p w14:paraId="4C8C1499">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w:t>
                  </w:r>
                </w:p>
              </w:tc>
              <w:tc>
                <w:tcPr>
                  <w:tcW w:w="1028" w:type="pct"/>
                  <w:noWrap w:val="0"/>
                  <w:vAlign w:val="center"/>
                </w:tcPr>
                <w:p w14:paraId="60E16030">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w:t>
                  </w:r>
                </w:p>
              </w:tc>
              <w:tc>
                <w:tcPr>
                  <w:tcW w:w="1030" w:type="pct"/>
                  <w:noWrap w:val="0"/>
                  <w:vAlign w:val="center"/>
                </w:tcPr>
                <w:p w14:paraId="32CDA057">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w:t>
                  </w:r>
                </w:p>
              </w:tc>
            </w:tr>
          </w:tbl>
          <w:p w14:paraId="4525A6B3">
            <w:pPr>
              <w:pStyle w:val="28"/>
              <w:numPr>
                <w:ilvl w:val="1"/>
                <w:numId w:val="0"/>
              </w:numPr>
              <w:autoSpaceDE/>
              <w:autoSpaceDN/>
              <w:spacing w:line="360" w:lineRule="auto"/>
              <w:ind w:firstLine="482" w:firstLineChars="200"/>
              <w:jc w:val="center"/>
              <w:rPr>
                <w:rFonts w:hint="eastAsia" w:cs="Times New Roman"/>
                <w:color w:val="auto"/>
                <w:lang w:val="en-US"/>
              </w:rPr>
            </w:pPr>
            <w:r>
              <w:rPr>
                <w:b/>
                <w:bCs/>
                <w:color w:val="auto"/>
                <w:lang w:bidi="ar"/>
              </w:rPr>
              <w:t>表3-</w:t>
            </w:r>
            <w:r>
              <w:rPr>
                <w:rFonts w:hint="eastAsia"/>
                <w:b/>
                <w:bCs/>
                <w:color w:val="auto"/>
                <w:lang w:val="en-US" w:bidi="ar"/>
              </w:rPr>
              <w:t>1</w:t>
            </w:r>
            <w:r>
              <w:rPr>
                <w:rFonts w:hint="eastAsia"/>
                <w:b/>
                <w:bCs/>
                <w:color w:val="auto"/>
                <w:lang w:val="en-US" w:eastAsia="zh-CN" w:bidi="ar"/>
              </w:rPr>
              <w:t>3</w:t>
            </w:r>
            <w:r>
              <w:rPr>
                <w:b/>
                <w:bCs/>
                <w:color w:val="auto"/>
                <w:lang w:bidi="ar"/>
              </w:rPr>
              <w:t xml:space="preserve"> </w:t>
            </w:r>
            <w:r>
              <w:rPr>
                <w:rFonts w:hint="eastAsia"/>
                <w:b/>
                <w:bCs/>
                <w:color w:val="auto"/>
                <w:lang w:val="en-US" w:eastAsia="zh-CN" w:bidi="ar"/>
              </w:rPr>
              <w:t>本项目</w:t>
            </w:r>
            <w:r>
              <w:rPr>
                <w:rFonts w:hint="eastAsia"/>
                <w:b/>
                <w:bCs/>
                <w:color w:val="auto"/>
                <w:lang w:val="en-US" w:bidi="ar"/>
              </w:rPr>
              <w:t>大气污染物年排放量核算表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3"/>
              <w:gridCol w:w="2110"/>
              <w:gridCol w:w="1701"/>
              <w:gridCol w:w="1702"/>
              <w:gridCol w:w="1703"/>
            </w:tblGrid>
            <w:tr w14:paraId="1119A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293" w:type="dxa"/>
                  <w:noWrap w:val="0"/>
                  <w:vAlign w:val="center"/>
                </w:tcPr>
                <w:p w14:paraId="50EC325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种类</w:t>
                  </w:r>
                </w:p>
              </w:tc>
              <w:tc>
                <w:tcPr>
                  <w:tcW w:w="2110" w:type="dxa"/>
                  <w:noWrap w:val="0"/>
                  <w:vAlign w:val="center"/>
                </w:tcPr>
                <w:p w14:paraId="5BDD000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污染因子</w:t>
                  </w:r>
                </w:p>
              </w:tc>
              <w:tc>
                <w:tcPr>
                  <w:tcW w:w="1701" w:type="dxa"/>
                  <w:noWrap w:val="0"/>
                  <w:vAlign w:val="center"/>
                </w:tcPr>
                <w:p w14:paraId="5A168C1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排放量</w:t>
                  </w:r>
                </w:p>
                <w:p w14:paraId="0140798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（t/a）</w:t>
                  </w:r>
                </w:p>
              </w:tc>
              <w:tc>
                <w:tcPr>
                  <w:tcW w:w="1702" w:type="dxa"/>
                  <w:noWrap w:val="0"/>
                  <w:vAlign w:val="center"/>
                </w:tcPr>
                <w:p w14:paraId="0C8CEF9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指标余量</w:t>
                  </w:r>
                </w:p>
                <w:p w14:paraId="2D6FCFD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（t/a）</w:t>
                  </w:r>
                </w:p>
              </w:tc>
              <w:tc>
                <w:tcPr>
                  <w:tcW w:w="1703" w:type="dxa"/>
                  <w:noWrap w:val="0"/>
                  <w:vAlign w:val="center"/>
                </w:tcPr>
                <w:p w14:paraId="2EF8C76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申请量（t/a）</w:t>
                  </w:r>
                </w:p>
              </w:tc>
            </w:tr>
            <w:tr w14:paraId="3F473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293" w:type="dxa"/>
                  <w:noWrap w:val="0"/>
                  <w:vAlign w:val="center"/>
                </w:tcPr>
                <w:p w14:paraId="0456FEB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2110" w:type="dxa"/>
                  <w:noWrap w:val="0"/>
                  <w:vAlign w:val="center"/>
                </w:tcPr>
                <w:p w14:paraId="2AAF543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烟(粉)尘</w:t>
                  </w:r>
                </w:p>
              </w:tc>
              <w:tc>
                <w:tcPr>
                  <w:tcW w:w="1701" w:type="dxa"/>
                  <w:noWrap w:val="0"/>
                  <w:vAlign w:val="center"/>
                </w:tcPr>
                <w:p w14:paraId="08A9DEAB">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0.926</w:t>
                  </w:r>
                </w:p>
              </w:tc>
              <w:tc>
                <w:tcPr>
                  <w:tcW w:w="1702" w:type="dxa"/>
                  <w:noWrap w:val="0"/>
                  <w:vAlign w:val="center"/>
                </w:tcPr>
                <w:p w14:paraId="0B2A116D">
                  <w:pPr>
                    <w:pStyle w:val="73"/>
                    <w:adjustRightInd/>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w:t>
                  </w:r>
                </w:p>
              </w:tc>
              <w:tc>
                <w:tcPr>
                  <w:tcW w:w="1703" w:type="dxa"/>
                  <w:noWrap w:val="0"/>
                  <w:vAlign w:val="center"/>
                </w:tcPr>
                <w:p w14:paraId="4804C7DF">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w:t>
                  </w:r>
                </w:p>
              </w:tc>
            </w:tr>
          </w:tbl>
          <w:p w14:paraId="5F85817A">
            <w:pPr>
              <w:pStyle w:val="28"/>
              <w:numPr>
                <w:ilvl w:val="1"/>
                <w:numId w:val="0"/>
              </w:numPr>
              <w:autoSpaceDE/>
              <w:autoSpaceDN/>
              <w:spacing w:line="360" w:lineRule="auto"/>
              <w:ind w:firstLine="480" w:firstLineChars="200"/>
              <w:rPr>
                <w:rFonts w:cs="Times New Roman"/>
                <w:color w:val="auto"/>
                <w:lang w:val="en-US"/>
              </w:rPr>
            </w:pPr>
            <w:r>
              <w:rPr>
                <w:rFonts w:hint="eastAsia" w:cs="Times New Roman"/>
                <w:color w:val="auto"/>
                <w:lang w:val="en-US" w:eastAsia="zh-CN"/>
              </w:rPr>
              <w:t>综上，</w:t>
            </w:r>
            <w:r>
              <w:rPr>
                <w:rFonts w:hint="eastAsia" w:cs="Times New Roman"/>
                <w:color w:val="auto"/>
                <w:lang w:val="en-US"/>
              </w:rPr>
              <w:t>根据上表分析，本项目颗粒物排放量未超出原环评申请许可排放量，可不申请总量。</w:t>
            </w:r>
          </w:p>
          <w:p w14:paraId="1FC52167">
            <w:pPr>
              <w:pStyle w:val="30"/>
              <w:rPr>
                <w:color w:val="auto"/>
              </w:rPr>
            </w:pPr>
          </w:p>
          <w:p w14:paraId="689F3E76">
            <w:pPr>
              <w:pStyle w:val="30"/>
              <w:rPr>
                <w:color w:val="auto"/>
              </w:rPr>
            </w:pPr>
          </w:p>
          <w:p w14:paraId="402C3119">
            <w:pPr>
              <w:pStyle w:val="30"/>
              <w:rPr>
                <w:color w:val="auto"/>
              </w:rPr>
            </w:pPr>
          </w:p>
          <w:p w14:paraId="7A646C10">
            <w:pPr>
              <w:pStyle w:val="30"/>
              <w:rPr>
                <w:color w:val="auto"/>
              </w:rPr>
            </w:pPr>
          </w:p>
          <w:p w14:paraId="799295CC">
            <w:pPr>
              <w:pStyle w:val="30"/>
              <w:rPr>
                <w:color w:val="auto"/>
              </w:rPr>
            </w:pPr>
          </w:p>
          <w:p w14:paraId="0789BA35">
            <w:pPr>
              <w:pStyle w:val="30"/>
              <w:rPr>
                <w:color w:val="auto"/>
              </w:rPr>
            </w:pPr>
          </w:p>
          <w:p w14:paraId="49B949E9">
            <w:pPr>
              <w:pStyle w:val="30"/>
              <w:rPr>
                <w:color w:val="auto"/>
              </w:rPr>
            </w:pPr>
          </w:p>
          <w:p w14:paraId="6455547F">
            <w:pPr>
              <w:pStyle w:val="30"/>
              <w:rPr>
                <w:color w:val="auto"/>
              </w:rPr>
            </w:pPr>
          </w:p>
          <w:p w14:paraId="389778B5">
            <w:pPr>
              <w:pStyle w:val="30"/>
              <w:rPr>
                <w:color w:val="auto"/>
              </w:rPr>
            </w:pPr>
          </w:p>
          <w:p w14:paraId="62E43C9F">
            <w:pPr>
              <w:pStyle w:val="30"/>
              <w:ind w:left="0" w:leftChars="0" w:firstLine="0" w:firstLineChars="0"/>
              <w:rPr>
                <w:color w:val="auto"/>
              </w:rPr>
            </w:pPr>
          </w:p>
        </w:tc>
      </w:tr>
    </w:tbl>
    <w:p w14:paraId="307B3E45">
      <w:pPr>
        <w:pStyle w:val="21"/>
        <w:kinsoku w:val="0"/>
        <w:autoSpaceDE w:val="0"/>
        <w:autoSpaceDN w:val="0"/>
        <w:spacing w:before="0" w:beforeAutospacing="0" w:after="0" w:afterAutospacing="0" w:line="360" w:lineRule="auto"/>
        <w:jc w:val="center"/>
        <w:textAlignment w:val="baseline"/>
        <w:outlineLvl w:val="0"/>
        <w:rPr>
          <w:rFonts w:hint="eastAsia" w:cs="宋体"/>
          <w:b/>
          <w:bCs/>
          <w:color w:val="auto"/>
          <w:sz w:val="30"/>
          <w:szCs w:val="30"/>
        </w:rPr>
        <w:sectPr>
          <w:pgSz w:w="11906" w:h="16838"/>
          <w:pgMar w:top="1383" w:right="1800" w:bottom="1383" w:left="1800" w:header="851" w:footer="992" w:gutter="0"/>
          <w:cols w:space="425" w:num="1"/>
          <w:docGrid w:type="lines" w:linePitch="312" w:charSpace="0"/>
        </w:sectPr>
      </w:pPr>
    </w:p>
    <w:p w14:paraId="0310BB41">
      <w:pPr>
        <w:pStyle w:val="21"/>
        <w:kinsoku w:val="0"/>
        <w:autoSpaceDE w:val="0"/>
        <w:autoSpaceDN w:val="0"/>
        <w:spacing w:before="0" w:beforeAutospacing="0" w:after="0" w:afterAutospacing="0" w:line="360" w:lineRule="auto"/>
        <w:jc w:val="center"/>
        <w:textAlignment w:val="baseline"/>
        <w:outlineLvl w:val="0"/>
        <w:rPr>
          <w:rFonts w:ascii="Times New Roman" w:hAnsi="Times New Roman"/>
          <w:b/>
          <w:bCs/>
          <w:color w:val="auto"/>
          <w:sz w:val="30"/>
          <w:szCs w:val="30"/>
        </w:rPr>
      </w:pPr>
      <w:r>
        <w:rPr>
          <w:rFonts w:hint="eastAsia" w:cs="宋体"/>
          <w:b/>
          <w:bCs/>
          <w:color w:val="auto"/>
          <w:sz w:val="30"/>
          <w:szCs w:val="30"/>
        </w:rPr>
        <w:t>四、主要环境影响和保护措施</w:t>
      </w:r>
    </w:p>
    <w:tbl>
      <w:tblPr>
        <w:tblStyle w:val="24"/>
        <w:tblW w:w="570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14"/>
        <w:gridCol w:w="9120"/>
      </w:tblGrid>
      <w:tr w14:paraId="5A7FDB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9" w:hRule="atLeast"/>
          <w:jc w:val="center"/>
        </w:trPr>
        <w:tc>
          <w:tcPr>
            <w:tcW w:w="267" w:type="pct"/>
            <w:tcMar>
              <w:left w:w="28" w:type="dxa"/>
              <w:right w:w="28" w:type="dxa"/>
            </w:tcMar>
            <w:vAlign w:val="center"/>
          </w:tcPr>
          <w:p w14:paraId="33EC6C74">
            <w:pPr>
              <w:widowControl/>
              <w:adjustRightInd w:val="0"/>
              <w:snapToGrid w:val="0"/>
              <w:jc w:val="center"/>
              <w:rPr>
                <w:color w:val="auto"/>
              </w:rPr>
            </w:pPr>
            <w:r>
              <w:rPr>
                <w:color w:val="auto"/>
              </w:rPr>
              <w:t>施工</w:t>
            </w:r>
          </w:p>
          <w:p w14:paraId="10096EB2">
            <w:pPr>
              <w:widowControl/>
              <w:adjustRightInd w:val="0"/>
              <w:snapToGrid w:val="0"/>
              <w:jc w:val="center"/>
              <w:rPr>
                <w:color w:val="auto"/>
              </w:rPr>
            </w:pPr>
            <w:r>
              <w:rPr>
                <w:color w:val="auto"/>
              </w:rPr>
              <w:t>期环</w:t>
            </w:r>
          </w:p>
          <w:p w14:paraId="54E850E5">
            <w:pPr>
              <w:widowControl/>
              <w:adjustRightInd w:val="0"/>
              <w:snapToGrid w:val="0"/>
              <w:jc w:val="center"/>
              <w:rPr>
                <w:color w:val="auto"/>
              </w:rPr>
            </w:pPr>
            <w:r>
              <w:rPr>
                <w:color w:val="auto"/>
              </w:rPr>
              <w:t>境保</w:t>
            </w:r>
          </w:p>
          <w:p w14:paraId="6F743DCD">
            <w:pPr>
              <w:widowControl/>
              <w:adjustRightInd w:val="0"/>
              <w:snapToGrid w:val="0"/>
              <w:jc w:val="center"/>
              <w:rPr>
                <w:color w:val="auto"/>
              </w:rPr>
            </w:pPr>
            <w:r>
              <w:rPr>
                <w:color w:val="auto"/>
              </w:rPr>
              <w:t>护措</w:t>
            </w:r>
          </w:p>
          <w:p w14:paraId="5973CECB">
            <w:pPr>
              <w:widowControl/>
              <w:adjustRightInd w:val="0"/>
              <w:snapToGrid w:val="0"/>
              <w:jc w:val="center"/>
              <w:rPr>
                <w:bCs/>
                <w:color w:val="auto"/>
              </w:rPr>
            </w:pPr>
            <w:r>
              <w:rPr>
                <w:color w:val="auto"/>
              </w:rPr>
              <w:t>施</w:t>
            </w:r>
          </w:p>
        </w:tc>
        <w:tc>
          <w:tcPr>
            <w:tcW w:w="4732" w:type="pct"/>
            <w:vAlign w:val="center"/>
          </w:tcPr>
          <w:p w14:paraId="4AD11C2F">
            <w:pPr>
              <w:spacing w:line="360" w:lineRule="auto"/>
              <w:ind w:firstLine="482" w:firstLineChars="200"/>
              <w:rPr>
                <w:b/>
                <w:color w:val="auto"/>
                <w:sz w:val="24"/>
              </w:rPr>
            </w:pPr>
            <w:r>
              <w:rPr>
                <w:rFonts w:hint="eastAsia"/>
                <w:b/>
                <w:color w:val="auto"/>
                <w:sz w:val="24"/>
              </w:rPr>
              <w:t>施</w:t>
            </w:r>
            <w:r>
              <w:rPr>
                <w:b/>
                <w:color w:val="auto"/>
                <w:sz w:val="24"/>
              </w:rPr>
              <w:t>工期环境影响分析简要如下</w:t>
            </w:r>
            <w:r>
              <w:rPr>
                <w:rFonts w:hint="eastAsia"/>
                <w:b/>
                <w:color w:val="auto"/>
                <w:sz w:val="24"/>
              </w:rPr>
              <w:t>：</w:t>
            </w:r>
          </w:p>
          <w:p w14:paraId="53331A21">
            <w:pPr>
              <w:spacing w:line="360" w:lineRule="auto"/>
              <w:ind w:firstLine="482"/>
              <w:rPr>
                <w:b/>
                <w:color w:val="auto"/>
                <w:sz w:val="24"/>
              </w:rPr>
            </w:pPr>
            <w:r>
              <w:rPr>
                <w:b/>
                <w:color w:val="auto"/>
                <w:sz w:val="24"/>
              </w:rPr>
              <w:t>1、施工废水</w:t>
            </w:r>
          </w:p>
          <w:p w14:paraId="6A7E42C5">
            <w:pPr>
              <w:spacing w:line="360" w:lineRule="auto"/>
              <w:ind w:firstLine="480"/>
              <w:rPr>
                <w:color w:val="auto"/>
                <w:sz w:val="24"/>
              </w:rPr>
            </w:pPr>
            <w:r>
              <w:rPr>
                <w:color w:val="auto"/>
                <w:sz w:val="24"/>
              </w:rPr>
              <w:t>施工用水主要包括工程、生活用水。工程用水主要为泥浆水、设备冲洗水，处理不当会污染环境，必须经沉淀池处理后回用，以免对环境造成污染，堵塞污水管道。生活用水主要源自施工人员的生活污水。</w:t>
            </w:r>
          </w:p>
          <w:p w14:paraId="08D47728">
            <w:pPr>
              <w:spacing w:line="360" w:lineRule="auto"/>
              <w:ind w:firstLine="482"/>
              <w:rPr>
                <w:b/>
                <w:bCs/>
                <w:color w:val="auto"/>
                <w:sz w:val="24"/>
              </w:rPr>
            </w:pPr>
            <w:r>
              <w:rPr>
                <w:b/>
                <w:bCs/>
                <w:color w:val="auto"/>
                <w:sz w:val="24"/>
              </w:rPr>
              <w:t>环境保护措施：</w:t>
            </w:r>
          </w:p>
          <w:p w14:paraId="59EBE91C">
            <w:pPr>
              <w:spacing w:line="360" w:lineRule="auto"/>
              <w:ind w:firstLine="480"/>
              <w:rPr>
                <w:color w:val="auto"/>
                <w:sz w:val="24"/>
              </w:rPr>
            </w:pPr>
            <w:r>
              <w:rPr>
                <w:color w:val="auto"/>
                <w:sz w:val="24"/>
              </w:rPr>
              <w:t>项目施工期主要修建临时沉淀池，含SS、微量机油的雨水以及进出施工场地的车辆清洗废水排入沉淀池进行沉淀澄清处理后回用场地洒水降尘；施工人员不在工地上食住，因此，施工人员的生活污水主要为冲洗污水。冲洗污水通过排入沉淀池，经沉淀处理后回用于施工场地的洒水降尘。</w:t>
            </w:r>
          </w:p>
          <w:p w14:paraId="4A5ABE1F">
            <w:pPr>
              <w:spacing w:line="360" w:lineRule="auto"/>
              <w:ind w:firstLine="480"/>
              <w:rPr>
                <w:color w:val="auto"/>
                <w:sz w:val="24"/>
              </w:rPr>
            </w:pPr>
            <w:r>
              <w:rPr>
                <w:color w:val="auto"/>
                <w:sz w:val="24"/>
              </w:rPr>
              <w:t>建设单位落实以上污水防治措施之后，可将施工期污水产生的环境影响降至最低。</w:t>
            </w:r>
          </w:p>
          <w:p w14:paraId="163C9B22">
            <w:pPr>
              <w:spacing w:line="360" w:lineRule="auto"/>
              <w:ind w:firstLine="482"/>
              <w:rPr>
                <w:b/>
                <w:bCs/>
                <w:color w:val="auto"/>
                <w:sz w:val="24"/>
              </w:rPr>
            </w:pPr>
            <w:r>
              <w:rPr>
                <w:b/>
                <w:bCs/>
                <w:color w:val="auto"/>
                <w:sz w:val="24"/>
              </w:rPr>
              <w:t>2、施工废气</w:t>
            </w:r>
          </w:p>
          <w:p w14:paraId="2E182219">
            <w:pPr>
              <w:spacing w:line="360" w:lineRule="auto"/>
              <w:ind w:firstLine="482"/>
              <w:rPr>
                <w:b/>
                <w:bCs/>
                <w:color w:val="auto"/>
                <w:sz w:val="24"/>
              </w:rPr>
            </w:pPr>
            <w:r>
              <w:rPr>
                <w:b/>
                <w:bCs/>
                <w:color w:val="auto"/>
                <w:sz w:val="24"/>
              </w:rPr>
              <w:t>（1）施工期扬尘影响预测分析</w:t>
            </w:r>
          </w:p>
          <w:p w14:paraId="6EE0DC24">
            <w:pPr>
              <w:spacing w:line="360" w:lineRule="auto"/>
              <w:ind w:firstLine="480"/>
              <w:rPr>
                <w:color w:val="auto"/>
                <w:sz w:val="24"/>
              </w:rPr>
            </w:pPr>
            <w:r>
              <w:rPr>
                <w:color w:val="auto"/>
                <w:sz w:val="24"/>
              </w:rPr>
              <w:t>在同样路面清洁情况下，车速越快，扬尘量越大；而在同样车速情况下，路面清洁度越差，则扬尘量越大。根据类比调查，一般情况下，施工场地、施工道路在自然风作用下产生的扬尘所影响的范围在100m以内。</w:t>
            </w:r>
          </w:p>
          <w:p w14:paraId="436A40B9">
            <w:pPr>
              <w:spacing w:line="360" w:lineRule="auto"/>
              <w:ind w:firstLine="480"/>
              <w:rPr>
                <w:color w:val="auto"/>
                <w:sz w:val="24"/>
              </w:rPr>
            </w:pPr>
            <w:r>
              <w:rPr>
                <w:color w:val="auto"/>
                <w:sz w:val="24"/>
              </w:rPr>
              <w:t>抑制扬尘的一个简洁有效的措施是洒水。根据施工场地洒水抑尘的试验结果，如果在施工期内对车辆行驶的路面实施洒水抑尘，每天洒水4~5次，可使扬尘减少70%左右，可有效地控制施工扬尘，并可将TSP污染距离缩小到20~50m范围。</w:t>
            </w:r>
          </w:p>
          <w:p w14:paraId="5E41C58F">
            <w:pPr>
              <w:spacing w:line="360" w:lineRule="auto"/>
              <w:ind w:firstLine="480"/>
              <w:rPr>
                <w:color w:val="auto"/>
                <w:sz w:val="24"/>
              </w:rPr>
            </w:pPr>
            <w:r>
              <w:rPr>
                <w:color w:val="auto"/>
                <w:sz w:val="24"/>
              </w:rPr>
              <w:t>项目实施过程中对该区域的大气环境会产生一定影响，但项目周边区域100m内均无居民点，建设单位在采取洒水降尘等防治措施后，能够有效降低施工扬尘对周边环境的影响程度。</w:t>
            </w:r>
          </w:p>
          <w:p w14:paraId="1C44DC50">
            <w:pPr>
              <w:spacing w:line="360" w:lineRule="auto"/>
              <w:ind w:firstLine="480"/>
              <w:rPr>
                <w:b/>
                <w:bCs/>
                <w:color w:val="auto"/>
                <w:sz w:val="24"/>
              </w:rPr>
            </w:pPr>
            <w:r>
              <w:rPr>
                <w:color w:val="auto"/>
                <w:sz w:val="24"/>
              </w:rPr>
              <w:t>根据安徽省大气办关于印发《安徽省2021年应对气候变化和大气污染防治重点工作任务》的通知（皖大气办[2021]3号）</w:t>
            </w:r>
            <w:r>
              <w:rPr>
                <w:rFonts w:hint="eastAsia"/>
                <w:color w:val="auto"/>
                <w:sz w:val="24"/>
              </w:rPr>
              <w:t>文件</w:t>
            </w:r>
            <w:r>
              <w:rPr>
                <w:color w:val="auto"/>
                <w:sz w:val="24"/>
              </w:rPr>
              <w:t>要求，企业应严格施工扬尘监管，施工工地要做到工地封闭围挡、易扬尘物料堆放覆盖、出入车辆冲洗、路面硬化、土方开挖湿法作业、渣土车辆密闭运输“六个百分之百”要求。</w:t>
            </w:r>
          </w:p>
          <w:p w14:paraId="18C4A8FB">
            <w:pPr>
              <w:jc w:val="center"/>
              <w:rPr>
                <w:b/>
                <w:bCs/>
                <w:color w:val="auto"/>
                <w:sz w:val="24"/>
              </w:rPr>
            </w:pPr>
            <w:r>
              <w:rPr>
                <w:b/>
                <w:bCs/>
                <w:color w:val="auto"/>
                <w:sz w:val="24"/>
              </w:rPr>
              <w:t>表4-1  “六个百分之百”要求</w:t>
            </w:r>
          </w:p>
          <w:tbl>
            <w:tblPr>
              <w:tblStyle w:val="24"/>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39"/>
              <w:gridCol w:w="1179"/>
              <w:gridCol w:w="7274"/>
            </w:tblGrid>
            <w:tr w14:paraId="0D8A1B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910" w:type="pct"/>
                  <w:gridSpan w:val="2"/>
                  <w:vAlign w:val="center"/>
                </w:tcPr>
                <w:p w14:paraId="4B935656">
                  <w:pPr>
                    <w:jc w:val="center"/>
                    <w:rPr>
                      <w:color w:val="auto"/>
                      <w:szCs w:val="21"/>
                    </w:rPr>
                  </w:pPr>
                  <w:r>
                    <w:rPr>
                      <w:color w:val="auto"/>
                      <w:szCs w:val="21"/>
                    </w:rPr>
                    <w:t>工作标准</w:t>
                  </w:r>
                </w:p>
              </w:tc>
              <w:tc>
                <w:tcPr>
                  <w:tcW w:w="4089" w:type="pct"/>
                  <w:vAlign w:val="center"/>
                </w:tcPr>
                <w:p w14:paraId="6E640113">
                  <w:pPr>
                    <w:jc w:val="center"/>
                    <w:rPr>
                      <w:color w:val="auto"/>
                      <w:szCs w:val="21"/>
                    </w:rPr>
                  </w:pPr>
                  <w:r>
                    <w:rPr>
                      <w:color w:val="auto"/>
                      <w:szCs w:val="21"/>
                    </w:rPr>
                    <w:t>工作要求</w:t>
                  </w:r>
                </w:p>
              </w:tc>
            </w:tr>
            <w:tr w14:paraId="20225C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247" w:type="pct"/>
                  <w:vMerge w:val="restart"/>
                  <w:vAlign w:val="center"/>
                </w:tcPr>
                <w:p w14:paraId="065F48C5">
                  <w:pPr>
                    <w:jc w:val="center"/>
                    <w:rPr>
                      <w:color w:val="auto"/>
                      <w:szCs w:val="21"/>
                    </w:rPr>
                  </w:pPr>
                  <w:r>
                    <w:rPr>
                      <w:color w:val="auto"/>
                      <w:szCs w:val="21"/>
                    </w:rPr>
                    <w:t>六个百分之百</w:t>
                  </w:r>
                </w:p>
              </w:tc>
              <w:tc>
                <w:tcPr>
                  <w:tcW w:w="662" w:type="pct"/>
                  <w:vAlign w:val="center"/>
                </w:tcPr>
                <w:p w14:paraId="10775AFA">
                  <w:pPr>
                    <w:jc w:val="center"/>
                    <w:rPr>
                      <w:color w:val="auto"/>
                      <w:szCs w:val="21"/>
                    </w:rPr>
                  </w:pPr>
                  <w:r>
                    <w:rPr>
                      <w:color w:val="auto"/>
                      <w:szCs w:val="21"/>
                    </w:rPr>
                    <w:t>施工工地周边100%围挡</w:t>
                  </w:r>
                </w:p>
              </w:tc>
              <w:tc>
                <w:tcPr>
                  <w:tcW w:w="4089" w:type="pct"/>
                  <w:vAlign w:val="center"/>
                </w:tcPr>
                <w:p w14:paraId="4DE9DF25">
                  <w:pPr>
                    <w:jc w:val="center"/>
                    <w:rPr>
                      <w:color w:val="auto"/>
                      <w:szCs w:val="21"/>
                    </w:rPr>
                  </w:pPr>
                  <w:r>
                    <w:rPr>
                      <w:color w:val="auto"/>
                      <w:szCs w:val="21"/>
                    </w:rPr>
                    <w:t>施工现场应设置稳固、整齐、美观并符合安全标准要求的连续封闭式围挡；围挡底部应设置30厘米防溢座，防止泥浆外漏；房屋建筑工程施工期在30天以上的，必须设置不低于5米的围挡。市政道路、桥梁、各类管线敷设工程在城市主要干道、景观地区、繁华区域及车站广场施工的，其边界应设置不低于2米的定型化、工具化、坚固安全的连续封闭式围挡，围挡之间以及围挡与防溢座之间无缝隙。</w:t>
                  </w:r>
                </w:p>
              </w:tc>
            </w:tr>
            <w:tr w14:paraId="1337D1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247" w:type="pct"/>
                  <w:vMerge w:val="continue"/>
                  <w:tcBorders>
                    <w:top w:val="nil"/>
                  </w:tcBorders>
                  <w:vAlign w:val="center"/>
                </w:tcPr>
                <w:p w14:paraId="613E5864">
                  <w:pPr>
                    <w:jc w:val="center"/>
                    <w:rPr>
                      <w:color w:val="auto"/>
                      <w:szCs w:val="21"/>
                    </w:rPr>
                  </w:pPr>
                </w:p>
              </w:tc>
              <w:tc>
                <w:tcPr>
                  <w:tcW w:w="662" w:type="pct"/>
                  <w:vAlign w:val="center"/>
                </w:tcPr>
                <w:p w14:paraId="2FD1D0CA">
                  <w:pPr>
                    <w:jc w:val="center"/>
                    <w:rPr>
                      <w:color w:val="auto"/>
                      <w:szCs w:val="21"/>
                    </w:rPr>
                  </w:pPr>
                  <w:r>
                    <w:rPr>
                      <w:color w:val="auto"/>
                      <w:szCs w:val="21"/>
                    </w:rPr>
                    <w:t>物料堆放</w:t>
                  </w:r>
                </w:p>
                <w:p w14:paraId="1F43B4C5">
                  <w:pPr>
                    <w:jc w:val="center"/>
                    <w:rPr>
                      <w:color w:val="auto"/>
                      <w:szCs w:val="21"/>
                    </w:rPr>
                  </w:pPr>
                  <w:r>
                    <w:rPr>
                      <w:color w:val="auto"/>
                      <w:szCs w:val="21"/>
                    </w:rPr>
                    <w:t>100%覆盖</w:t>
                  </w:r>
                </w:p>
              </w:tc>
              <w:tc>
                <w:tcPr>
                  <w:tcW w:w="4089" w:type="pct"/>
                  <w:vAlign w:val="center"/>
                </w:tcPr>
                <w:p w14:paraId="037AA5D0">
                  <w:pPr>
                    <w:jc w:val="center"/>
                    <w:rPr>
                      <w:color w:val="auto"/>
                      <w:szCs w:val="21"/>
                    </w:rPr>
                  </w:pPr>
                  <w:r>
                    <w:rPr>
                      <w:color w:val="auto"/>
                      <w:szCs w:val="21"/>
                    </w:rPr>
                    <w:t>施工现场建筑材料、构配件、施工设备等应按施工现场平面布置图确定的位置放置，对渣土、水泥等易产生扬尘的建筑材料，应严密遮盖或存</w:t>
                  </w:r>
                  <w:r>
                    <w:rPr>
                      <w:rFonts w:hint="eastAsia"/>
                      <w:color w:val="auto"/>
                      <w:szCs w:val="21"/>
                    </w:rPr>
                    <w:t>放在</w:t>
                  </w:r>
                  <w:r>
                    <w:rPr>
                      <w:color w:val="auto"/>
                      <w:szCs w:val="21"/>
                    </w:rPr>
                    <w:t>库房内；专门设置集中堆放建筑垃圾、渣土的场地；不能按时完成清运的，应及时覆盖。</w:t>
                  </w:r>
                </w:p>
              </w:tc>
            </w:tr>
            <w:tr w14:paraId="3D9820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247" w:type="pct"/>
                  <w:vMerge w:val="continue"/>
                  <w:tcBorders>
                    <w:top w:val="nil"/>
                  </w:tcBorders>
                  <w:vAlign w:val="center"/>
                </w:tcPr>
                <w:p w14:paraId="5F6E5EB7">
                  <w:pPr>
                    <w:jc w:val="center"/>
                    <w:rPr>
                      <w:color w:val="auto"/>
                      <w:szCs w:val="21"/>
                    </w:rPr>
                  </w:pPr>
                </w:p>
              </w:tc>
              <w:tc>
                <w:tcPr>
                  <w:tcW w:w="662" w:type="pct"/>
                  <w:vAlign w:val="center"/>
                </w:tcPr>
                <w:p w14:paraId="28348C8A">
                  <w:pPr>
                    <w:jc w:val="center"/>
                    <w:rPr>
                      <w:color w:val="auto"/>
                      <w:szCs w:val="21"/>
                    </w:rPr>
                  </w:pPr>
                  <w:r>
                    <w:rPr>
                      <w:color w:val="auto"/>
                      <w:szCs w:val="21"/>
                    </w:rPr>
                    <w:t>出入车辆</w:t>
                  </w:r>
                </w:p>
                <w:p w14:paraId="03005FDB">
                  <w:pPr>
                    <w:jc w:val="center"/>
                    <w:rPr>
                      <w:color w:val="auto"/>
                      <w:szCs w:val="21"/>
                    </w:rPr>
                  </w:pPr>
                  <w:r>
                    <w:rPr>
                      <w:color w:val="auto"/>
                      <w:szCs w:val="21"/>
                    </w:rPr>
                    <w:t>100%冲洗</w:t>
                  </w:r>
                </w:p>
              </w:tc>
              <w:tc>
                <w:tcPr>
                  <w:tcW w:w="4089" w:type="pct"/>
                  <w:vAlign w:val="center"/>
                </w:tcPr>
                <w:p w14:paraId="406A003E">
                  <w:pPr>
                    <w:jc w:val="center"/>
                    <w:rPr>
                      <w:color w:val="auto"/>
                      <w:szCs w:val="21"/>
                    </w:rPr>
                  </w:pPr>
                  <w:r>
                    <w:rPr>
                      <w:color w:val="auto"/>
                      <w:szCs w:val="21"/>
                    </w:rPr>
                    <w:t>施工现场的出入口均应设置车辆冲洗台，四周设置排水沟，上盖钢策，设置两级沉淀池，排水沟与沉淀池相连，沉淀池大小应满足冲洗要求；配备高压冲洗设备或设置自动冲洗台；应配备保洁员负责车辆、进出道路的冲洗、清扫和保洁工作；运输车出场前应冲洗干净确保车轮、车身不带泥；应建立车辆冲洗台账；不具备设置冲洗台条件的，在工地出入口采取铺设麻袋、安排保洁人员及时清理等措施。</w:t>
                  </w:r>
                </w:p>
              </w:tc>
            </w:tr>
            <w:tr w14:paraId="278301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247" w:type="pct"/>
                  <w:vMerge w:val="continue"/>
                  <w:tcBorders>
                    <w:top w:val="nil"/>
                  </w:tcBorders>
                  <w:vAlign w:val="center"/>
                </w:tcPr>
                <w:p w14:paraId="101F9351">
                  <w:pPr>
                    <w:jc w:val="center"/>
                    <w:rPr>
                      <w:color w:val="auto"/>
                      <w:szCs w:val="21"/>
                    </w:rPr>
                  </w:pPr>
                </w:p>
              </w:tc>
              <w:tc>
                <w:tcPr>
                  <w:tcW w:w="662" w:type="pct"/>
                  <w:vAlign w:val="center"/>
                </w:tcPr>
                <w:p w14:paraId="26634EFD">
                  <w:pPr>
                    <w:jc w:val="center"/>
                    <w:rPr>
                      <w:color w:val="auto"/>
                      <w:szCs w:val="21"/>
                    </w:rPr>
                  </w:pPr>
                  <w:r>
                    <w:rPr>
                      <w:color w:val="auto"/>
                      <w:szCs w:val="21"/>
                    </w:rPr>
                    <w:t>施工现场地面100%硬化</w:t>
                  </w:r>
                </w:p>
              </w:tc>
              <w:tc>
                <w:tcPr>
                  <w:tcW w:w="4089" w:type="pct"/>
                  <w:vAlign w:val="center"/>
                </w:tcPr>
                <w:p w14:paraId="4AD9FB1A">
                  <w:pPr>
                    <w:jc w:val="center"/>
                    <w:rPr>
                      <w:color w:val="auto"/>
                      <w:szCs w:val="21"/>
                    </w:rPr>
                  </w:pPr>
                  <w:r>
                    <w:rPr>
                      <w:color w:val="auto"/>
                      <w:szCs w:val="21"/>
                    </w:rPr>
                    <w:t>施工现场出入口、操作场地、材料堆场、生活区、场内道路等应采取铺设钢板、水泥混凝土、沥青混凝土或焦渣、细石或其他功能相当的材料进行硬化，并辅以洒水、喷洒抑尘剂等其他有效的防尘措施，保证不扬尘、不泥泞；场地硬化的强度、厚度、宽度应满足安全通行卫生保洁的需要。</w:t>
                  </w:r>
                </w:p>
              </w:tc>
            </w:tr>
            <w:tr w14:paraId="6CA48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247" w:type="pct"/>
                  <w:vMerge w:val="continue"/>
                  <w:tcBorders>
                    <w:top w:val="nil"/>
                  </w:tcBorders>
                  <w:vAlign w:val="center"/>
                </w:tcPr>
                <w:p w14:paraId="67D65757">
                  <w:pPr>
                    <w:jc w:val="center"/>
                    <w:rPr>
                      <w:color w:val="auto"/>
                      <w:szCs w:val="21"/>
                    </w:rPr>
                  </w:pPr>
                </w:p>
              </w:tc>
              <w:tc>
                <w:tcPr>
                  <w:tcW w:w="662" w:type="pct"/>
                  <w:vAlign w:val="center"/>
                </w:tcPr>
                <w:p w14:paraId="24E1996C">
                  <w:pPr>
                    <w:jc w:val="center"/>
                    <w:rPr>
                      <w:color w:val="auto"/>
                      <w:szCs w:val="21"/>
                    </w:rPr>
                  </w:pPr>
                  <w:r>
                    <w:rPr>
                      <w:color w:val="auto"/>
                      <w:szCs w:val="21"/>
                    </w:rPr>
                    <w:t>拆迁工地</w:t>
                  </w:r>
                </w:p>
                <w:p w14:paraId="7DC77E86">
                  <w:pPr>
                    <w:jc w:val="center"/>
                    <w:rPr>
                      <w:color w:val="auto"/>
                      <w:szCs w:val="21"/>
                    </w:rPr>
                  </w:pPr>
                  <w:r>
                    <w:rPr>
                      <w:color w:val="auto"/>
                      <w:szCs w:val="21"/>
                    </w:rPr>
                    <w:t>100%湿法作业</w:t>
                  </w:r>
                </w:p>
              </w:tc>
              <w:tc>
                <w:tcPr>
                  <w:tcW w:w="4089" w:type="pct"/>
                  <w:vAlign w:val="center"/>
                </w:tcPr>
                <w:p w14:paraId="694DE705">
                  <w:pPr>
                    <w:jc w:val="center"/>
                    <w:rPr>
                      <w:color w:val="auto"/>
                      <w:szCs w:val="21"/>
                    </w:rPr>
                  </w:pPr>
                  <w:r>
                    <w:rPr>
                      <w:color w:val="auto"/>
                      <w:szCs w:val="21"/>
                    </w:rPr>
                    <w:t>旧建筑物拆除施工应严格落实文明施工和作业标准，配备洒水、喷雾等防尘设备和设施，施工时要采取湿法作业，进行洒水、喷雾抑尘，拆除的垃圾必须随拆随清运。</w:t>
                  </w:r>
                </w:p>
              </w:tc>
            </w:tr>
            <w:tr w14:paraId="06239E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3" w:hRule="atLeast"/>
                <w:jc w:val="center"/>
              </w:trPr>
              <w:tc>
                <w:tcPr>
                  <w:tcW w:w="247" w:type="pct"/>
                  <w:vMerge w:val="continue"/>
                  <w:tcBorders>
                    <w:top w:val="nil"/>
                  </w:tcBorders>
                  <w:vAlign w:val="center"/>
                </w:tcPr>
                <w:p w14:paraId="7FBE2479">
                  <w:pPr>
                    <w:jc w:val="center"/>
                    <w:rPr>
                      <w:color w:val="auto"/>
                      <w:szCs w:val="21"/>
                    </w:rPr>
                  </w:pPr>
                </w:p>
              </w:tc>
              <w:tc>
                <w:tcPr>
                  <w:tcW w:w="662" w:type="pct"/>
                  <w:vAlign w:val="center"/>
                </w:tcPr>
                <w:p w14:paraId="3C8A3CC1">
                  <w:pPr>
                    <w:jc w:val="center"/>
                    <w:rPr>
                      <w:color w:val="auto"/>
                      <w:szCs w:val="21"/>
                    </w:rPr>
                  </w:pPr>
                  <w:r>
                    <w:rPr>
                      <w:color w:val="auto"/>
                      <w:szCs w:val="21"/>
                    </w:rPr>
                    <w:t>渣土车辆100%密闭运输</w:t>
                  </w:r>
                </w:p>
              </w:tc>
              <w:tc>
                <w:tcPr>
                  <w:tcW w:w="4089" w:type="pct"/>
                  <w:vAlign w:val="center"/>
                </w:tcPr>
                <w:p w14:paraId="1E498943">
                  <w:pPr>
                    <w:jc w:val="center"/>
                    <w:rPr>
                      <w:color w:val="auto"/>
                      <w:szCs w:val="21"/>
                    </w:rPr>
                  </w:pPr>
                  <w:r>
                    <w:rPr>
                      <w:color w:val="auto"/>
                      <w:szCs w:val="21"/>
                    </w:rPr>
                    <w:t>进出工地车辆应采取密闭车斗，并保证物料不遗撒外漏。若无密闭车斗，物料、垃圾、渣土的装载与车厢持平，不得超高；车斗应用纱布盖严、捆实，车厢左右侧各三竖道，车后十字交叉并收紧，保证物料、垃圾、渣土等不露出、不遗撒。车辆运输不得超过车辆荷载，不得私自加装、改装车辆槽帮。渣土运输车辆必须安装GPS装置，时速不得超过60公里。</w:t>
                  </w:r>
                </w:p>
              </w:tc>
            </w:tr>
            <w:tr w14:paraId="0BBC0C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247" w:type="pct"/>
                  <w:vAlign w:val="center"/>
                </w:tcPr>
                <w:p w14:paraId="1F7D4E23">
                  <w:pPr>
                    <w:jc w:val="center"/>
                    <w:rPr>
                      <w:color w:val="auto"/>
                      <w:szCs w:val="21"/>
                    </w:rPr>
                  </w:pPr>
                  <w:r>
                    <w:rPr>
                      <w:color w:val="auto"/>
                      <w:szCs w:val="21"/>
                    </w:rPr>
                    <w:t>备注</w:t>
                  </w:r>
                </w:p>
              </w:tc>
              <w:tc>
                <w:tcPr>
                  <w:tcW w:w="4752" w:type="pct"/>
                  <w:gridSpan w:val="2"/>
                  <w:vAlign w:val="center"/>
                </w:tcPr>
                <w:p w14:paraId="252B5DD9">
                  <w:pPr>
                    <w:jc w:val="center"/>
                    <w:rPr>
                      <w:color w:val="auto"/>
                      <w:szCs w:val="21"/>
                    </w:rPr>
                  </w:pPr>
                  <w:r>
                    <w:rPr>
                      <w:color w:val="auto"/>
                      <w:szCs w:val="21"/>
                    </w:rPr>
                    <w:t>施工现场主要出入口应设置整齐明显的“八牌一图”（工程概况牌、管理人员名单及监督电话牌、消防保卫牌、安全生产牌、文明施工牌、卫生须知牌、环保标志牌、施工扬尘管控监督牌和现场平面布置图）</w:t>
                  </w:r>
                </w:p>
              </w:tc>
            </w:tr>
          </w:tbl>
          <w:p w14:paraId="4828F2BF">
            <w:pPr>
              <w:spacing w:line="360" w:lineRule="auto"/>
              <w:ind w:firstLine="361" w:firstLineChars="150"/>
              <w:rPr>
                <w:b/>
                <w:bCs/>
                <w:color w:val="auto"/>
                <w:sz w:val="24"/>
              </w:rPr>
            </w:pPr>
            <w:r>
              <w:rPr>
                <w:b/>
                <w:bCs/>
                <w:color w:val="auto"/>
                <w:sz w:val="24"/>
              </w:rPr>
              <w:t>（2）施工机械燃油废气影响分析</w:t>
            </w:r>
          </w:p>
          <w:p w14:paraId="65F57728">
            <w:pPr>
              <w:spacing w:line="360" w:lineRule="auto"/>
              <w:ind w:firstLine="480"/>
              <w:rPr>
                <w:color w:val="auto"/>
                <w:sz w:val="24"/>
              </w:rPr>
            </w:pPr>
            <w:r>
              <w:rPr>
                <w:color w:val="auto"/>
                <w:sz w:val="24"/>
              </w:rPr>
              <w:t>施工燃油机械和运输车辆运作过程中将产生含NOx、SO</w:t>
            </w:r>
            <w:r>
              <w:rPr>
                <w:color w:val="auto"/>
                <w:sz w:val="24"/>
                <w:vertAlign w:val="subscript"/>
              </w:rPr>
              <w:t>2</w:t>
            </w:r>
            <w:r>
              <w:rPr>
                <w:color w:val="auto"/>
                <w:sz w:val="24"/>
              </w:rPr>
              <w:t>、CO等废气。由于此类燃油废气系无组织流动性排放，其源强低且较为分散，又属于间歇性排放，持续时间短，经稀释扩散和植被吸附后不会对周边空气环境产生明显不利影响。</w:t>
            </w:r>
          </w:p>
          <w:p w14:paraId="14E91758">
            <w:pPr>
              <w:spacing w:line="360" w:lineRule="auto"/>
              <w:ind w:firstLine="482"/>
              <w:rPr>
                <w:b/>
                <w:bCs/>
                <w:color w:val="auto"/>
                <w:sz w:val="24"/>
              </w:rPr>
            </w:pPr>
            <w:r>
              <w:rPr>
                <w:b/>
                <w:bCs/>
                <w:color w:val="auto"/>
                <w:sz w:val="24"/>
              </w:rPr>
              <w:t>3、施工噪声</w:t>
            </w:r>
          </w:p>
          <w:p w14:paraId="4D314E54">
            <w:pPr>
              <w:spacing w:line="360" w:lineRule="auto"/>
              <w:ind w:firstLine="480"/>
              <w:rPr>
                <w:color w:val="auto"/>
                <w:sz w:val="24"/>
              </w:rPr>
            </w:pPr>
            <w:r>
              <w:rPr>
                <w:color w:val="auto"/>
                <w:sz w:val="24"/>
              </w:rPr>
              <w:t>根据目前的机械制造水平，它既不可避免，又不能从根本上采取噪声控制措施予以消除，只能通过加强对施工产噪设备的管理，以减轻施工噪声对施工场地周围环境的噪声影响。</w:t>
            </w:r>
          </w:p>
          <w:p w14:paraId="7796D1AA">
            <w:pPr>
              <w:spacing w:line="360" w:lineRule="auto"/>
              <w:ind w:firstLine="480"/>
              <w:rPr>
                <w:color w:val="auto"/>
                <w:sz w:val="24"/>
              </w:rPr>
            </w:pPr>
            <w:r>
              <w:rPr>
                <w:color w:val="auto"/>
                <w:sz w:val="24"/>
              </w:rPr>
              <w:t>施工期具体噪声防治措施如下：</w:t>
            </w:r>
          </w:p>
          <w:p w14:paraId="6FF66F33">
            <w:pPr>
              <w:spacing w:line="360" w:lineRule="auto"/>
              <w:ind w:firstLine="480"/>
              <w:rPr>
                <w:color w:val="auto"/>
                <w:sz w:val="24"/>
              </w:rPr>
            </w:pPr>
            <w:r>
              <w:rPr>
                <w:color w:val="auto"/>
                <w:sz w:val="24"/>
              </w:rPr>
              <w:t>①合理布设高噪声设备；</w:t>
            </w:r>
          </w:p>
          <w:p w14:paraId="5C14EEE3">
            <w:pPr>
              <w:spacing w:line="360" w:lineRule="auto"/>
              <w:ind w:firstLine="480"/>
              <w:rPr>
                <w:color w:val="auto"/>
                <w:sz w:val="24"/>
              </w:rPr>
            </w:pPr>
            <w:r>
              <w:rPr>
                <w:color w:val="auto"/>
                <w:sz w:val="24"/>
              </w:rPr>
              <w:t>②在施工过程中，施工单位应尽量采用低噪声的施工机械，减少同时作业的高噪施工机械数量，尽可能减轻声源叠加影响。</w:t>
            </w:r>
          </w:p>
          <w:p w14:paraId="2A1D61F1">
            <w:pPr>
              <w:spacing w:line="360" w:lineRule="auto"/>
              <w:ind w:firstLine="480"/>
              <w:rPr>
                <w:color w:val="auto"/>
                <w:sz w:val="24"/>
              </w:rPr>
            </w:pPr>
            <w:r>
              <w:rPr>
                <w:color w:val="auto"/>
                <w:sz w:val="24"/>
              </w:rPr>
              <w:t>③施工单位应合理安排施工作业时间，施工尽量安排在白天进行，避免在午间12</w:t>
            </w:r>
            <w:r>
              <w:rPr>
                <w:rFonts w:hint="eastAsia"/>
                <w:color w:val="auto"/>
                <w:sz w:val="24"/>
              </w:rPr>
              <w:t>:</w:t>
            </w:r>
            <w:r>
              <w:rPr>
                <w:color w:val="auto"/>
                <w:sz w:val="24"/>
              </w:rPr>
              <w:t>00-14</w:t>
            </w:r>
            <w:r>
              <w:rPr>
                <w:rFonts w:hint="eastAsia"/>
                <w:color w:val="auto"/>
                <w:sz w:val="24"/>
              </w:rPr>
              <w:t>:</w:t>
            </w:r>
            <w:r>
              <w:rPr>
                <w:color w:val="auto"/>
                <w:sz w:val="24"/>
              </w:rPr>
              <w:t>00和夜间特别是晚上22</w:t>
            </w:r>
            <w:r>
              <w:rPr>
                <w:rFonts w:hint="eastAsia"/>
                <w:color w:val="auto"/>
                <w:sz w:val="24"/>
              </w:rPr>
              <w:t>:</w:t>
            </w:r>
            <w:r>
              <w:rPr>
                <w:color w:val="auto"/>
                <w:sz w:val="24"/>
              </w:rPr>
              <w:t>00-6</w:t>
            </w:r>
            <w:r>
              <w:rPr>
                <w:rFonts w:hint="eastAsia"/>
                <w:color w:val="auto"/>
                <w:sz w:val="24"/>
              </w:rPr>
              <w:t>:</w:t>
            </w:r>
            <w:r>
              <w:rPr>
                <w:color w:val="auto"/>
                <w:sz w:val="24"/>
              </w:rPr>
              <w:t>00进行产生环境噪声污染的建筑施工作业。</w:t>
            </w:r>
          </w:p>
          <w:p w14:paraId="44432E78">
            <w:pPr>
              <w:spacing w:line="360" w:lineRule="auto"/>
              <w:ind w:firstLine="480"/>
              <w:rPr>
                <w:color w:val="auto"/>
                <w:sz w:val="24"/>
              </w:rPr>
            </w:pPr>
            <w:r>
              <w:rPr>
                <w:color w:val="auto"/>
                <w:sz w:val="24"/>
              </w:rPr>
              <w:t>④施工中应加强对施工机械的维护保养，避免因设备性能差而增大机械噪声的现象产生；加强对运输车辆的管理，车辆进入施工现场尽量避免鸣笛。</w:t>
            </w:r>
          </w:p>
          <w:p w14:paraId="605A9C37">
            <w:pPr>
              <w:spacing w:line="360" w:lineRule="auto"/>
              <w:ind w:firstLine="480"/>
              <w:rPr>
                <w:color w:val="auto"/>
                <w:sz w:val="24"/>
              </w:rPr>
            </w:pPr>
            <w:r>
              <w:rPr>
                <w:color w:val="auto"/>
                <w:sz w:val="24"/>
              </w:rPr>
              <w:t>⑤禁止夜间施工，如因建筑工程工艺要求或特殊需要必须连续作业而进行夜间施工的，施工单位必须提前7日持建管部门的证明向当地环境保护主管部门申报施工日期和时间，并在周围居民点张贴告示，经环境保护主管部门批准备案后方可进行夜间施工。</w:t>
            </w:r>
          </w:p>
          <w:p w14:paraId="0F27D608">
            <w:pPr>
              <w:spacing w:line="360" w:lineRule="auto"/>
              <w:ind w:firstLine="361" w:firstLineChars="150"/>
              <w:rPr>
                <w:b/>
                <w:color w:val="auto"/>
                <w:sz w:val="24"/>
              </w:rPr>
            </w:pPr>
            <w:r>
              <w:rPr>
                <w:b/>
                <w:color w:val="auto"/>
                <w:sz w:val="24"/>
              </w:rPr>
              <w:t>4、固体废物</w:t>
            </w:r>
          </w:p>
          <w:p w14:paraId="064AA18A">
            <w:pPr>
              <w:spacing w:line="360" w:lineRule="auto"/>
              <w:ind w:firstLine="480"/>
              <w:rPr>
                <w:color w:val="auto"/>
                <w:sz w:val="24"/>
              </w:rPr>
            </w:pPr>
            <w:r>
              <w:rPr>
                <w:color w:val="auto"/>
                <w:sz w:val="24"/>
              </w:rPr>
              <w:t>主要为废钢板、废钢筋、废木材等下角料和施工人员生活垃圾等。</w:t>
            </w:r>
          </w:p>
          <w:p w14:paraId="7823DA2F">
            <w:pPr>
              <w:spacing w:line="360" w:lineRule="auto"/>
              <w:ind w:firstLine="361" w:firstLineChars="150"/>
              <w:rPr>
                <w:b/>
                <w:color w:val="auto"/>
                <w:sz w:val="24"/>
              </w:rPr>
            </w:pPr>
            <w:r>
              <w:rPr>
                <w:b/>
                <w:color w:val="auto"/>
                <w:sz w:val="24"/>
              </w:rPr>
              <w:t>环境保护措施：</w:t>
            </w:r>
          </w:p>
          <w:p w14:paraId="12763FFA">
            <w:pPr>
              <w:spacing w:line="360" w:lineRule="auto"/>
              <w:ind w:firstLine="480"/>
              <w:rPr>
                <w:color w:val="auto"/>
                <w:sz w:val="24"/>
              </w:rPr>
            </w:pPr>
            <w:r>
              <w:rPr>
                <w:color w:val="auto"/>
                <w:sz w:val="24"/>
              </w:rPr>
              <w:t>（1）建筑垃圾和生活垃圾妥善收集，严禁将生活垃圾与建筑垃圾混装混运。生活垃圾及时交由环卫部门清运，严禁随意丢弃影响环境；</w:t>
            </w:r>
          </w:p>
          <w:p w14:paraId="5D8119E2">
            <w:pPr>
              <w:spacing w:line="360" w:lineRule="auto"/>
              <w:ind w:firstLine="480"/>
              <w:rPr>
                <w:color w:val="auto"/>
                <w:sz w:val="24"/>
              </w:rPr>
            </w:pPr>
            <w:r>
              <w:rPr>
                <w:color w:val="auto"/>
                <w:sz w:val="24"/>
              </w:rPr>
              <w:t>（2）建筑垃圾中可回收利用的应回收利用，其他用封闭式废土运输车及时运至城市管理局指定的建筑垃圾消纳场进行有效处置，不能随意抛弃、转移和扩散。</w:t>
            </w:r>
          </w:p>
          <w:p w14:paraId="3CCAD88E">
            <w:pPr>
              <w:spacing w:line="360" w:lineRule="auto"/>
              <w:ind w:firstLine="480"/>
              <w:rPr>
                <w:bCs/>
                <w:color w:val="auto"/>
                <w:sz w:val="24"/>
              </w:rPr>
            </w:pPr>
            <w:r>
              <w:rPr>
                <w:color w:val="auto"/>
                <w:sz w:val="24"/>
              </w:rPr>
              <w:t>建设单位落实以上建议，可保证将固体废物对环境的影响降至最低。</w:t>
            </w:r>
          </w:p>
          <w:p w14:paraId="4CE2972D">
            <w:pPr>
              <w:spacing w:line="360" w:lineRule="auto"/>
              <w:ind w:firstLine="470"/>
              <w:rPr>
                <w:b/>
                <w:bCs/>
                <w:color w:val="auto"/>
                <w:sz w:val="24"/>
                <w:shd w:val="clear" w:color="auto" w:fill="FFFFFF"/>
              </w:rPr>
            </w:pPr>
            <w:r>
              <w:rPr>
                <w:b/>
                <w:bCs/>
                <w:color w:val="auto"/>
                <w:sz w:val="24"/>
                <w:shd w:val="clear" w:color="auto" w:fill="FFFFFF"/>
              </w:rPr>
              <w:t>5、生态环境</w:t>
            </w:r>
          </w:p>
          <w:p w14:paraId="2BCE8027">
            <w:pPr>
              <w:spacing w:line="360" w:lineRule="auto"/>
              <w:ind w:firstLine="480"/>
              <w:rPr>
                <w:color w:val="auto"/>
                <w:sz w:val="24"/>
              </w:rPr>
            </w:pPr>
            <w:r>
              <w:rPr>
                <w:color w:val="auto"/>
                <w:sz w:val="24"/>
              </w:rPr>
              <w:t>项目建设过程中会产生少量水土流失对周边的生态环境产生短暂的影响。为减轻项目施工期对周边生态环境的影响，雨季不可动土施工，以避免造成严重水土流失。由于施工期较短，随着施工期的结束，周边的生态环境会得到恢复。</w:t>
            </w:r>
          </w:p>
          <w:p w14:paraId="2C1713BD">
            <w:pPr>
              <w:spacing w:line="360" w:lineRule="auto"/>
              <w:ind w:firstLine="480"/>
              <w:rPr>
                <w:color w:val="auto"/>
                <w:sz w:val="24"/>
              </w:rPr>
            </w:pPr>
            <w:r>
              <w:rPr>
                <w:color w:val="auto"/>
                <w:sz w:val="24"/>
              </w:rPr>
              <w:t>生态保护措施有：</w:t>
            </w:r>
          </w:p>
          <w:p w14:paraId="0C5CFCA6">
            <w:pPr>
              <w:spacing w:line="360" w:lineRule="auto"/>
              <w:ind w:firstLine="480"/>
              <w:rPr>
                <w:color w:val="auto"/>
                <w:sz w:val="24"/>
              </w:rPr>
            </w:pPr>
            <w:r>
              <w:rPr>
                <w:color w:val="auto"/>
                <w:sz w:val="24"/>
              </w:rPr>
              <w:t>（1）强化施工管理，增强施工人员的环境保护意识，严格控制施工人员和施工机械的活动范围，严禁随意扩大扰动范围，杜绝因对施工人员的流动管理不善及作业方式不合理而产生对地表植被和土地资源的人为影响和破坏，最大限度地降低工程开挖造成的水土流失。</w:t>
            </w:r>
          </w:p>
          <w:p w14:paraId="66552E9D">
            <w:pPr>
              <w:spacing w:line="360" w:lineRule="auto"/>
              <w:ind w:firstLine="480"/>
              <w:rPr>
                <w:color w:val="auto"/>
                <w:sz w:val="24"/>
              </w:rPr>
            </w:pPr>
            <w:r>
              <w:rPr>
                <w:color w:val="auto"/>
                <w:sz w:val="24"/>
              </w:rPr>
              <w:t>（2）合理安排施工时间及工序，基础或缆沟开挖应避开大风天气及雨季，并尽快进行土方回填，弃土须及时处置，将土壤受风、水蚀影响降至最低程度。</w:t>
            </w:r>
          </w:p>
          <w:p w14:paraId="6CEA33B8">
            <w:pPr>
              <w:spacing w:line="360" w:lineRule="auto"/>
              <w:ind w:firstLine="480"/>
              <w:rPr>
                <w:color w:val="auto"/>
                <w:sz w:val="24"/>
              </w:rPr>
            </w:pPr>
            <w:r>
              <w:rPr>
                <w:color w:val="auto"/>
                <w:sz w:val="24"/>
              </w:rPr>
              <w:t>（3）在工程设计中应考虑根据因地制宜，适地适树的原则配合适宜的绿化工程建设。在所有能够绿化的地方均加以绿化，种植树木和草坪，不使泥土裸露，达到防治项目区水土流失和改善周边生态环境的目的。</w:t>
            </w:r>
          </w:p>
          <w:p w14:paraId="6FCF0F41">
            <w:pPr>
              <w:spacing w:line="360" w:lineRule="auto"/>
              <w:ind w:firstLine="480"/>
              <w:rPr>
                <w:color w:val="auto"/>
                <w:sz w:val="24"/>
              </w:rPr>
            </w:pPr>
            <w:r>
              <w:rPr>
                <w:color w:val="auto"/>
                <w:sz w:val="24"/>
              </w:rPr>
              <w:t>（4）工程结束后立即拆除工棚等临时性建筑物，平整土地，清除建筑杂物，及时进行绿化，绿化树种应采用当地树种，乔、灌、草搭配的立体绿化，最大限度地减小对生态及周围景观环境的影响，以恢复、保护原有生境。</w:t>
            </w:r>
          </w:p>
          <w:p w14:paraId="758922BA">
            <w:pPr>
              <w:spacing w:line="360" w:lineRule="auto"/>
              <w:ind w:firstLine="480"/>
              <w:rPr>
                <w:color w:val="auto"/>
                <w:sz w:val="24"/>
              </w:rPr>
            </w:pPr>
            <w:r>
              <w:rPr>
                <w:color w:val="auto"/>
                <w:sz w:val="24"/>
              </w:rPr>
              <w:t>（5）对施工场地定期清扫、冲洗，保持施工场地的干净、整洁；合理安排不同工序布局，保持场地内井然有序。</w:t>
            </w:r>
          </w:p>
          <w:p w14:paraId="29062BFD">
            <w:pPr>
              <w:spacing w:line="360" w:lineRule="auto"/>
              <w:ind w:firstLine="480"/>
              <w:rPr>
                <w:color w:val="auto"/>
                <w:sz w:val="24"/>
              </w:rPr>
            </w:pPr>
            <w:r>
              <w:rPr>
                <w:color w:val="auto"/>
                <w:sz w:val="24"/>
              </w:rPr>
              <w:t>（6）在施工场地及建筑物四周进行围挡，减小对评价区景观影响，同时也可降低施工产生的扬尘、噪声对外环境的影响。</w:t>
            </w:r>
          </w:p>
          <w:p w14:paraId="6CD24A78">
            <w:pPr>
              <w:pStyle w:val="9"/>
              <w:spacing w:line="360" w:lineRule="auto"/>
              <w:ind w:firstLine="480"/>
              <w:rPr>
                <w:color w:val="auto"/>
              </w:rPr>
            </w:pPr>
            <w:r>
              <w:rPr>
                <w:color w:val="auto"/>
                <w:sz w:val="24"/>
              </w:rPr>
              <w:t>综上所述，由于施工期对环境的影响属于局部、短期、可恢复性的，经过上述相应防治措施后，施工期对环境的影响在可接受的影响范围内。随着施工期的结束，施工期对环境的影响逐渐消失。</w:t>
            </w:r>
          </w:p>
        </w:tc>
      </w:tr>
      <w:tr w14:paraId="28C215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63" w:hRule="atLeast"/>
          <w:jc w:val="center"/>
        </w:trPr>
        <w:tc>
          <w:tcPr>
            <w:tcW w:w="267" w:type="pct"/>
            <w:tcMar>
              <w:left w:w="28" w:type="dxa"/>
              <w:right w:w="28" w:type="dxa"/>
            </w:tcMar>
            <w:vAlign w:val="center"/>
          </w:tcPr>
          <w:p w14:paraId="760DD132">
            <w:pPr>
              <w:pStyle w:val="32"/>
              <w:spacing w:before="78" w:line="235" w:lineRule="auto"/>
              <w:ind w:left="60" w:right="60"/>
              <w:jc w:val="center"/>
              <w:rPr>
                <w:rFonts w:hint="eastAsia"/>
                <w:color w:val="auto"/>
                <w:lang w:eastAsia="zh-CN"/>
              </w:rPr>
            </w:pPr>
            <w:r>
              <w:rPr>
                <w:color w:val="auto"/>
                <w:lang w:eastAsia="zh-CN"/>
              </w:rPr>
              <w:t>运营期 环境影 响和保 护措施</w:t>
            </w:r>
          </w:p>
        </w:tc>
        <w:tc>
          <w:tcPr>
            <w:tcW w:w="4732" w:type="pct"/>
          </w:tcPr>
          <w:p w14:paraId="0B1F6766">
            <w:pPr>
              <w:pStyle w:val="32"/>
              <w:spacing w:before="39" w:line="220" w:lineRule="auto"/>
              <w:rPr>
                <w:rFonts w:hint="eastAsia"/>
                <w:color w:val="auto"/>
                <w:lang w:eastAsia="zh-CN"/>
              </w:rPr>
            </w:pPr>
            <w:r>
              <w:rPr>
                <w:rFonts w:ascii="Times New Roman" w:hAnsi="Times New Roman" w:eastAsia="Times New Roman" w:cs="Times New Roman"/>
                <w:b/>
                <w:bCs/>
                <w:color w:val="auto"/>
                <w:lang w:eastAsia="zh-CN"/>
              </w:rPr>
              <w:t xml:space="preserve">1 </w:t>
            </w:r>
            <w:r>
              <w:rPr>
                <w:b/>
                <w:bCs/>
                <w:color w:val="auto"/>
                <w:lang w:eastAsia="zh-CN"/>
              </w:rPr>
              <w:t>、废气</w:t>
            </w:r>
          </w:p>
          <w:p w14:paraId="4ECE6DD3">
            <w:pPr>
              <w:pStyle w:val="32"/>
              <w:spacing w:line="360" w:lineRule="auto"/>
              <w:ind w:firstLine="481"/>
              <w:rPr>
                <w:rFonts w:hint="eastAsia"/>
                <w:color w:val="auto"/>
                <w:lang w:eastAsia="zh-CN"/>
              </w:rPr>
            </w:pPr>
            <w:r>
              <w:rPr>
                <w:color w:val="auto"/>
                <w:lang w:eastAsia="zh-CN"/>
              </w:rPr>
              <w:t>本项目</w:t>
            </w:r>
            <w:r>
              <w:rPr>
                <w:rFonts w:hint="eastAsia"/>
                <w:color w:val="auto"/>
                <w:lang w:eastAsia="zh-CN"/>
              </w:rPr>
              <w:t>投料过程采用泵送即密闭</w:t>
            </w:r>
            <w:r>
              <w:rPr>
                <w:rFonts w:hint="eastAsia"/>
                <w:color w:val="auto"/>
              </w:rPr>
              <w:t>封闭皮带输送方式完成</w:t>
            </w:r>
            <w:r>
              <w:rPr>
                <w:rFonts w:hint="eastAsia"/>
                <w:color w:val="auto"/>
                <w:lang w:eastAsia="zh-CN"/>
              </w:rPr>
              <w:t>，项目废气主要来自粉煤灰筛分粉尘、石粉破碎粉尘以及搅拌过程产生的粉尘</w:t>
            </w:r>
            <w:r>
              <w:rPr>
                <w:color w:val="auto"/>
                <w:lang w:eastAsia="zh-CN"/>
              </w:rPr>
              <w:t>。</w:t>
            </w:r>
          </w:p>
          <w:p w14:paraId="60581337">
            <w:pPr>
              <w:pStyle w:val="32"/>
              <w:spacing w:line="360" w:lineRule="auto"/>
              <w:rPr>
                <w:rFonts w:hint="eastAsia"/>
                <w:color w:val="auto"/>
                <w:lang w:eastAsia="zh-CN"/>
              </w:rPr>
            </w:pPr>
            <w:r>
              <w:rPr>
                <w:rFonts w:hint="eastAsia" w:ascii="Times New Roman" w:hAnsi="Times New Roman" w:cs="Times New Roman"/>
                <w:color w:val="auto"/>
                <w:lang w:eastAsia="zh-CN"/>
              </w:rPr>
              <w:t>（</w:t>
            </w:r>
            <w:r>
              <w:rPr>
                <w:rFonts w:ascii="Times New Roman" w:hAnsi="Times New Roman" w:eastAsia="Times New Roman" w:cs="Times New Roman"/>
                <w:color w:val="auto"/>
                <w:lang w:eastAsia="zh-CN"/>
              </w:rPr>
              <w:t>1</w:t>
            </w:r>
            <w:r>
              <w:rPr>
                <w:color w:val="auto"/>
                <w:lang w:eastAsia="zh-CN"/>
              </w:rPr>
              <w:t>）有组织废气</w:t>
            </w:r>
          </w:p>
          <w:p w14:paraId="2DE5FD79">
            <w:pPr>
              <w:pStyle w:val="32"/>
              <w:spacing w:line="360" w:lineRule="auto"/>
              <w:ind w:firstLine="479"/>
              <w:rPr>
                <w:rFonts w:ascii="Times New Roman" w:hAnsi="Times New Roman" w:cs="Times New Roman"/>
                <w:color w:val="auto"/>
                <w:lang w:eastAsia="zh-CN"/>
              </w:rPr>
            </w:pPr>
            <w:r>
              <w:rPr>
                <w:rFonts w:ascii="Times New Roman" w:hAnsi="Times New Roman" w:cs="Times New Roman"/>
                <w:color w:val="auto"/>
                <w:lang w:eastAsia="zh-CN"/>
              </w:rPr>
              <w:t>①</w:t>
            </w:r>
            <w:r>
              <w:rPr>
                <w:rFonts w:hint="eastAsia" w:ascii="Times New Roman" w:hAnsi="Times New Roman" w:cs="Times New Roman"/>
                <w:color w:val="auto"/>
                <w:lang w:eastAsia="zh-CN"/>
              </w:rPr>
              <w:t>筛分粉尘</w:t>
            </w:r>
          </w:p>
          <w:p w14:paraId="6B39D249">
            <w:pPr>
              <w:pStyle w:val="28"/>
              <w:spacing w:line="360" w:lineRule="auto"/>
              <w:ind w:firstLineChars="200"/>
              <w:jc w:val="left"/>
              <w:rPr>
                <w:rFonts w:cs="Times New Roman"/>
                <w:color w:val="auto"/>
                <w:spacing w:val="-2"/>
                <w:lang w:val="en-US"/>
              </w:rPr>
            </w:pPr>
            <w:r>
              <w:rPr>
                <w:rFonts w:hint="eastAsia"/>
                <w:color w:val="auto"/>
                <w:lang w:val="en-US"/>
              </w:rPr>
              <w:t>项目筛分工段会产生一定量的粉尘，</w:t>
            </w:r>
            <w:r>
              <w:rPr>
                <w:rFonts w:hint="eastAsia" w:ascii="Times New Roman" w:hAnsi="Times New Roman" w:eastAsia="宋体" w:cs="Times New Roman"/>
                <w:color w:val="auto"/>
                <w:spacing w:val="-2"/>
                <w:lang w:val="en-US" w:eastAsia="zh-CN"/>
              </w:rPr>
              <w:t>根据</w:t>
            </w:r>
            <w:r>
              <w:rPr>
                <w:rFonts w:hint="eastAsia" w:cs="Times New Roman"/>
                <w:color w:val="auto"/>
                <w:spacing w:val="-2"/>
                <w:lang w:val="en-US"/>
              </w:rPr>
              <w:t>《排放源统计调查产排污核算方法和系数手册》中171-303《砖瓦、石材建筑制造行业系数手册中》3031粘土砖瓦及建筑砌块砖制造中破碎、筛分、成型、干燥等颗粒物产污系数为1.23千克/万块标砖，项目年产40万立方米加气混凝土砌块砖，已知标准砖尺寸为240mm</w:t>
            </w:r>
            <w:r>
              <w:rPr>
                <w:rFonts w:cs="Times New Roman"/>
                <w:color w:val="auto"/>
                <w:spacing w:val="-2"/>
                <w:lang w:val="en-US"/>
              </w:rPr>
              <w:t>×</w:t>
            </w:r>
            <w:r>
              <w:rPr>
                <w:rFonts w:hint="eastAsia" w:cs="Times New Roman"/>
                <w:color w:val="auto"/>
                <w:spacing w:val="-2"/>
                <w:lang w:val="en-US"/>
              </w:rPr>
              <w:t>115mm</w:t>
            </w:r>
            <w:r>
              <w:rPr>
                <w:rFonts w:cs="Times New Roman"/>
                <w:color w:val="auto"/>
                <w:spacing w:val="-2"/>
                <w:lang w:val="en-US"/>
              </w:rPr>
              <w:t>×</w:t>
            </w:r>
            <w:r>
              <w:rPr>
                <w:rFonts w:hint="eastAsia" w:cs="Times New Roman"/>
                <w:color w:val="auto"/>
                <w:spacing w:val="-2"/>
                <w:lang w:val="en-US"/>
              </w:rPr>
              <w:t>53mm，折合标准砖约2.73亿块，经计算项目筛分颗粒物产生量为33.579t/a。</w:t>
            </w:r>
          </w:p>
          <w:p w14:paraId="244537BA">
            <w:pPr>
              <w:pStyle w:val="28"/>
              <w:spacing w:line="360" w:lineRule="auto"/>
              <w:ind w:firstLine="472" w:firstLineChars="200"/>
              <w:jc w:val="left"/>
              <w:rPr>
                <w:color w:val="auto"/>
                <w:lang w:val="en-US"/>
              </w:rPr>
            </w:pPr>
            <w:r>
              <w:rPr>
                <w:rFonts w:hint="eastAsia" w:cs="Times New Roman"/>
                <w:color w:val="auto"/>
                <w:spacing w:val="-2"/>
                <w:lang w:val="en-US"/>
              </w:rPr>
              <w:t>项目筛分废气经集气罩+软帘收集后通过高效布袋除尘器处理后通过15m高排气筒排放，收集效率以95%计，处理效率以99.5%计，则筛分粉尘有组织排放量为0.168t/a，无组织排放量为1.679t/a。</w:t>
            </w:r>
          </w:p>
          <w:p w14:paraId="0E77A221">
            <w:pPr>
              <w:pStyle w:val="51"/>
              <w:spacing w:before="0" w:line="360" w:lineRule="auto"/>
              <w:ind w:firstLine="480"/>
              <w:rPr>
                <w:rFonts w:ascii="Times New Roman" w:hAnsi="Times New Roman"/>
                <w:bCs/>
                <w:color w:val="auto"/>
              </w:rPr>
            </w:pPr>
            <w:r>
              <w:rPr>
                <w:rFonts w:ascii="Times New Roman" w:hAnsi="Times New Roman"/>
                <w:color w:val="auto"/>
              </w:rPr>
              <w:t>②</w:t>
            </w:r>
            <w:r>
              <w:rPr>
                <w:rFonts w:ascii="Times New Roman" w:hAnsi="Times New Roman"/>
                <w:bCs/>
                <w:color w:val="auto"/>
              </w:rPr>
              <w:t>破碎粉尘</w:t>
            </w:r>
          </w:p>
          <w:p w14:paraId="1E939160">
            <w:pPr>
              <w:pStyle w:val="28"/>
              <w:spacing w:line="360" w:lineRule="auto"/>
              <w:ind w:firstLineChars="200"/>
              <w:jc w:val="left"/>
              <w:rPr>
                <w:rFonts w:cs="Times New Roman"/>
                <w:color w:val="auto"/>
                <w:spacing w:val="-2"/>
                <w:lang w:val="en-US"/>
              </w:rPr>
            </w:pPr>
            <w:r>
              <w:rPr>
                <w:rFonts w:hint="eastAsia" w:cs="Times New Roman"/>
                <w:color w:val="auto"/>
                <w:lang w:val="en-US"/>
              </w:rPr>
              <w:t>项目破碎工段会产生一定量的粉尘，根据</w:t>
            </w:r>
            <w:r>
              <w:rPr>
                <w:rFonts w:hint="eastAsia" w:cs="Times New Roman"/>
                <w:color w:val="auto"/>
                <w:spacing w:val="-2"/>
                <w:lang w:val="en-US"/>
              </w:rPr>
              <w:t>《排放源统计调查产排污核算方法和系数手册》中171-303《砖瓦、石材建筑制造行业系数手册中》3031粘土砖瓦及建筑砌块砖制造中破碎、筛分、成型、干燥等颗粒物产污系数为1.23千克/万块标砖，项目年产40万立方米加气混凝土砌块砖，已知标准砖尺寸为240mm</w:t>
            </w:r>
            <w:r>
              <w:rPr>
                <w:rFonts w:cs="Times New Roman"/>
                <w:color w:val="auto"/>
                <w:spacing w:val="-2"/>
                <w:lang w:val="en-US"/>
              </w:rPr>
              <w:t>×</w:t>
            </w:r>
            <w:r>
              <w:rPr>
                <w:rFonts w:hint="eastAsia" w:cs="Times New Roman"/>
                <w:color w:val="auto"/>
                <w:spacing w:val="-2"/>
                <w:lang w:val="en-US"/>
              </w:rPr>
              <w:t>115mm</w:t>
            </w:r>
            <w:r>
              <w:rPr>
                <w:rFonts w:cs="Times New Roman"/>
                <w:color w:val="auto"/>
                <w:spacing w:val="-2"/>
                <w:lang w:val="en-US"/>
              </w:rPr>
              <w:t>×</w:t>
            </w:r>
            <w:r>
              <w:rPr>
                <w:rFonts w:hint="eastAsia" w:cs="Times New Roman"/>
                <w:color w:val="auto"/>
                <w:spacing w:val="-2"/>
                <w:lang w:val="en-US"/>
              </w:rPr>
              <w:t>53mm，折合标准砖约2.73亿块，经计算项目筛分颗粒物产生量为33.579t/a。</w:t>
            </w:r>
          </w:p>
          <w:p w14:paraId="1E3CCAFF">
            <w:pPr>
              <w:pStyle w:val="28"/>
              <w:spacing w:line="360" w:lineRule="auto"/>
              <w:ind w:firstLine="472" w:firstLineChars="200"/>
              <w:jc w:val="left"/>
              <w:rPr>
                <w:color w:val="auto"/>
                <w:lang w:val="en-US"/>
              </w:rPr>
            </w:pPr>
            <w:r>
              <w:rPr>
                <w:rFonts w:hint="eastAsia" w:cs="Times New Roman"/>
                <w:color w:val="auto"/>
                <w:spacing w:val="-2"/>
                <w:lang w:val="en-US"/>
              </w:rPr>
              <w:t>项目破碎废气经集气罩+软帘收集后通过高效布袋除尘器处理后通过15m高排气筒排放，收集效率以95%计，处理效率以99.5%计，则筛分粉尘有组织排放量为0.168t/a，无组织排放量为1.679t/a。</w:t>
            </w:r>
          </w:p>
          <w:p w14:paraId="1D44582E">
            <w:pPr>
              <w:pStyle w:val="32"/>
              <w:spacing w:line="360" w:lineRule="auto"/>
              <w:rPr>
                <w:rFonts w:hint="eastAsia"/>
                <w:color w:val="auto"/>
                <w:lang w:eastAsia="zh-CN"/>
              </w:rPr>
            </w:pPr>
            <w:r>
              <w:rPr>
                <w:b/>
                <w:bCs/>
                <w:color w:val="auto"/>
                <w:lang w:eastAsia="zh-CN"/>
              </w:rPr>
              <w:t>破碎、筛分工序集气罩风量的确定：</w:t>
            </w:r>
          </w:p>
          <w:p w14:paraId="61F79162">
            <w:pPr>
              <w:pStyle w:val="32"/>
              <w:spacing w:line="360" w:lineRule="auto"/>
              <w:ind w:firstLine="480" w:firstLineChars="200"/>
              <w:rPr>
                <w:rFonts w:hint="eastAsia"/>
                <w:color w:val="auto"/>
                <w:lang w:eastAsia="zh-CN"/>
              </w:rPr>
            </w:pPr>
            <w:r>
              <w:rPr>
                <w:rFonts w:ascii="Times New Roman" w:hAnsi="Times New Roman" w:cs="Times New Roman"/>
                <w:color w:val="auto"/>
                <w:lang w:eastAsia="zh-CN"/>
              </w:rPr>
              <w:t>破碎、筛分废气经集气罩</w:t>
            </w:r>
            <w:r>
              <w:rPr>
                <w:rFonts w:hint="eastAsia" w:ascii="Times New Roman" w:hAnsi="Times New Roman" w:cs="Times New Roman"/>
                <w:color w:val="auto"/>
                <w:lang w:eastAsia="zh-CN"/>
              </w:rPr>
              <w:t>+软帘</w:t>
            </w:r>
            <w:r>
              <w:rPr>
                <w:rFonts w:ascii="Times New Roman" w:hAnsi="Times New Roman" w:cs="Times New Roman"/>
                <w:color w:val="auto"/>
                <w:lang w:eastAsia="zh-CN"/>
              </w:rPr>
              <w:t>收集后通过高效袋式除尘器处理后</w:t>
            </w:r>
            <w:r>
              <w:rPr>
                <w:rFonts w:hint="eastAsia" w:ascii="Times New Roman" w:hAnsi="Times New Roman" w:cs="Times New Roman"/>
                <w:color w:val="auto"/>
                <w:lang w:eastAsia="zh-CN"/>
              </w:rPr>
              <w:t>通过</w:t>
            </w:r>
            <w:r>
              <w:rPr>
                <w:rFonts w:ascii="Times New Roman" w:hAnsi="Times New Roman" w:cs="Times New Roman"/>
                <w:color w:val="auto"/>
                <w:lang w:eastAsia="zh-CN"/>
              </w:rPr>
              <w:t>一根15m高排气筒（</w:t>
            </w:r>
            <w:r>
              <w:rPr>
                <w:rFonts w:ascii="Times New Roman" w:hAnsi="Times New Roman" w:eastAsia="Times New Roman" w:cs="Times New Roman"/>
                <w:color w:val="auto"/>
                <w:lang w:eastAsia="zh-CN"/>
              </w:rPr>
              <w:t>DA00</w:t>
            </w:r>
            <w:r>
              <w:rPr>
                <w:rFonts w:hint="eastAsia" w:ascii="Times New Roman" w:hAnsi="Times New Roman" w:eastAsia="Times New Roman" w:cs="Times New Roman"/>
                <w:color w:val="auto"/>
                <w:lang w:eastAsia="zh-CN"/>
              </w:rPr>
              <w:t>2</w:t>
            </w:r>
            <w:r>
              <w:rPr>
                <w:rFonts w:ascii="Times New Roman" w:hAnsi="Times New Roman" w:cs="Times New Roman"/>
                <w:color w:val="auto"/>
                <w:lang w:eastAsia="zh-CN"/>
              </w:rPr>
              <w:t>）排放。建</w:t>
            </w:r>
            <w:r>
              <w:rPr>
                <w:color w:val="auto"/>
                <w:lang w:eastAsia="zh-CN"/>
              </w:rPr>
              <w:t>设单位针对</w:t>
            </w:r>
            <w:r>
              <w:rPr>
                <w:rFonts w:hint="eastAsia"/>
                <w:color w:val="auto"/>
                <w:lang w:eastAsia="zh-CN"/>
              </w:rPr>
              <w:t>颚式破碎机、球磨机、滚筒筛</w:t>
            </w:r>
            <w:r>
              <w:rPr>
                <w:color w:val="auto"/>
                <w:lang w:eastAsia="zh-CN"/>
              </w:rPr>
              <w:t>设计合适规格尺寸的集气罩（本项目共设置</w:t>
            </w:r>
            <w:r>
              <w:rPr>
                <w:rFonts w:ascii="Times New Roman" w:hAnsi="Times New Roman" w:eastAsia="Times New Roman" w:cs="Times New Roman"/>
                <w:color w:val="auto"/>
                <w:lang w:eastAsia="zh-CN"/>
              </w:rPr>
              <w:t>3</w:t>
            </w:r>
            <w:r>
              <w:rPr>
                <w:color w:val="auto"/>
                <w:lang w:eastAsia="zh-CN"/>
              </w:rPr>
              <w:t>个集气罩。破碎、筛分工序：上部集气罩，参数为</w:t>
            </w:r>
            <w:r>
              <w:rPr>
                <w:rFonts w:hint="eastAsia"/>
                <w:color w:val="auto"/>
                <w:lang w:eastAsia="zh-CN"/>
              </w:rPr>
              <w:t>：</w:t>
            </w:r>
            <w:r>
              <w:rPr>
                <w:color w:val="auto"/>
                <w:lang w:eastAsia="zh-CN"/>
              </w:rPr>
              <w:t>长</w:t>
            </w:r>
            <w:r>
              <w:rPr>
                <w:rFonts w:ascii="Times New Roman" w:hAnsi="Times New Roman" w:eastAsia="Times New Roman" w:cs="Times New Roman"/>
                <w:color w:val="auto"/>
                <w:lang w:eastAsia="zh-CN"/>
              </w:rPr>
              <w:t>×</w:t>
            </w:r>
            <w:r>
              <w:rPr>
                <w:color w:val="auto"/>
                <w:lang w:eastAsia="zh-CN"/>
              </w:rPr>
              <w:t xml:space="preserve">宽 </w:t>
            </w:r>
            <w:r>
              <w:rPr>
                <w:rFonts w:ascii="Times New Roman" w:hAnsi="Times New Roman" w:eastAsia="Times New Roman" w:cs="Times New Roman"/>
                <w:color w:val="auto"/>
                <w:lang w:eastAsia="zh-CN"/>
              </w:rPr>
              <w:t>2</w:t>
            </w:r>
            <w:r>
              <w:rPr>
                <w:rFonts w:hint="eastAsia" w:ascii="Times New Roman" w:hAnsi="Times New Roman" w:cs="Times New Roman"/>
                <w:color w:val="auto"/>
                <w:lang w:eastAsia="zh-CN"/>
              </w:rPr>
              <w:t>.5</w:t>
            </w:r>
            <w:r>
              <w:rPr>
                <w:rFonts w:ascii="Times New Roman" w:hAnsi="Times New Roman" w:eastAsia="Times New Roman" w:cs="Times New Roman"/>
                <w:color w:val="auto"/>
                <w:lang w:eastAsia="zh-CN"/>
              </w:rPr>
              <w:t>m×2</w:t>
            </w:r>
            <w:r>
              <w:rPr>
                <w:rFonts w:hint="eastAsia" w:ascii="Times New Roman" w:hAnsi="Times New Roman" w:cs="Times New Roman"/>
                <w:color w:val="auto"/>
                <w:lang w:eastAsia="zh-CN"/>
              </w:rPr>
              <w:t>.5</w:t>
            </w:r>
            <w:r>
              <w:rPr>
                <w:rFonts w:ascii="Times New Roman" w:hAnsi="Times New Roman" w:eastAsia="Times New Roman" w:cs="Times New Roman"/>
                <w:color w:val="auto"/>
                <w:lang w:eastAsia="zh-CN"/>
              </w:rPr>
              <w:t xml:space="preserve">m </w:t>
            </w:r>
            <w:r>
              <w:rPr>
                <w:color w:val="auto"/>
                <w:lang w:eastAsia="zh-CN"/>
              </w:rPr>
              <w:t>，</w:t>
            </w:r>
            <w:r>
              <w:rPr>
                <w:rFonts w:ascii="Times New Roman" w:hAnsi="Times New Roman" w:eastAsia="Times New Roman" w:cs="Times New Roman"/>
                <w:color w:val="auto"/>
                <w:lang w:eastAsia="zh-CN"/>
              </w:rPr>
              <w:t>3</w:t>
            </w:r>
            <w:r>
              <w:rPr>
                <w:color w:val="auto"/>
                <w:lang w:eastAsia="zh-CN"/>
              </w:rPr>
              <w:t>个。</w:t>
            </w:r>
          </w:p>
          <w:p w14:paraId="7191510A">
            <w:pPr>
              <w:spacing w:line="360" w:lineRule="auto"/>
              <w:ind w:firstLine="480" w:firstLineChars="200"/>
              <w:rPr>
                <w:color w:val="auto"/>
                <w:sz w:val="24"/>
              </w:rPr>
            </w:pPr>
            <w:r>
              <w:rPr>
                <w:color w:val="auto"/>
                <w:sz w:val="24"/>
              </w:rPr>
              <w:t>根据《环境工程设计手册》（修订版），单个集气罩集气风量计算公式：</w:t>
            </w:r>
          </w:p>
          <w:p w14:paraId="6EDED0CF">
            <w:pPr>
              <w:spacing w:line="360" w:lineRule="auto"/>
              <w:jc w:val="center"/>
              <w:rPr>
                <w:color w:val="auto"/>
                <w:sz w:val="24"/>
              </w:rPr>
            </w:pPr>
            <w:r>
              <w:rPr>
                <w:color w:val="auto"/>
                <w:sz w:val="24"/>
              </w:rPr>
              <w:t>L=kPHVx</w:t>
            </w:r>
          </w:p>
          <w:p w14:paraId="74FD8FDB">
            <w:pPr>
              <w:spacing w:line="360" w:lineRule="auto"/>
              <w:ind w:firstLine="480" w:firstLineChars="200"/>
              <w:rPr>
                <w:color w:val="auto"/>
                <w:sz w:val="24"/>
              </w:rPr>
            </w:pPr>
            <w:r>
              <w:rPr>
                <w:color w:val="auto"/>
                <w:sz w:val="24"/>
              </w:rPr>
              <w:t>式中：L——为集气罩集气风量，单位为m</w:t>
            </w:r>
            <w:r>
              <w:rPr>
                <w:color w:val="auto"/>
                <w:sz w:val="24"/>
                <w:vertAlign w:val="superscript"/>
              </w:rPr>
              <w:t>3</w:t>
            </w:r>
            <w:r>
              <w:rPr>
                <w:color w:val="auto"/>
                <w:sz w:val="24"/>
              </w:rPr>
              <w:t>/h；</w:t>
            </w:r>
          </w:p>
          <w:p w14:paraId="3E84ABBC">
            <w:pPr>
              <w:spacing w:line="360" w:lineRule="auto"/>
              <w:ind w:firstLine="480" w:firstLineChars="200"/>
              <w:rPr>
                <w:color w:val="auto"/>
                <w:sz w:val="24"/>
              </w:rPr>
            </w:pPr>
            <w:r>
              <w:rPr>
                <w:color w:val="auto"/>
                <w:sz w:val="24"/>
              </w:rPr>
              <w:t xml:space="preserve">      K——为安全系数1.4；</w:t>
            </w:r>
          </w:p>
          <w:p w14:paraId="02BD29C9">
            <w:pPr>
              <w:spacing w:line="360" w:lineRule="auto"/>
              <w:ind w:firstLine="1200" w:firstLineChars="500"/>
              <w:rPr>
                <w:color w:val="auto"/>
                <w:sz w:val="24"/>
              </w:rPr>
            </w:pPr>
            <w:r>
              <w:rPr>
                <w:color w:val="auto"/>
                <w:sz w:val="24"/>
              </w:rPr>
              <w:t>P——排风罩口敞开面的周长，单位为</w:t>
            </w:r>
            <w:r>
              <w:rPr>
                <w:rFonts w:hint="eastAsia"/>
                <w:color w:val="auto"/>
                <w:sz w:val="24"/>
              </w:rPr>
              <w:t>10</w:t>
            </w:r>
            <w:r>
              <w:rPr>
                <w:color w:val="auto"/>
                <w:sz w:val="24"/>
              </w:rPr>
              <w:t>m；</w:t>
            </w:r>
          </w:p>
          <w:p w14:paraId="2DF8B95F">
            <w:pPr>
              <w:spacing w:line="360" w:lineRule="auto"/>
              <w:ind w:firstLine="480" w:firstLineChars="200"/>
              <w:rPr>
                <w:color w:val="auto"/>
                <w:sz w:val="24"/>
              </w:rPr>
            </w:pPr>
            <w:r>
              <w:rPr>
                <w:color w:val="auto"/>
                <w:sz w:val="24"/>
              </w:rPr>
              <w:t xml:space="preserve">      H——为罩口至污染源的距离，单位为m，本次取0.</w:t>
            </w:r>
            <w:r>
              <w:rPr>
                <w:rFonts w:hint="eastAsia"/>
                <w:color w:val="auto"/>
                <w:sz w:val="24"/>
              </w:rPr>
              <w:t>5</w:t>
            </w:r>
            <w:r>
              <w:rPr>
                <w:color w:val="auto"/>
                <w:sz w:val="24"/>
              </w:rPr>
              <w:t>m；</w:t>
            </w:r>
          </w:p>
          <w:p w14:paraId="39EC3194">
            <w:pPr>
              <w:spacing w:line="360" w:lineRule="auto"/>
              <w:ind w:firstLine="480" w:firstLineChars="200"/>
              <w:rPr>
                <w:color w:val="auto"/>
                <w:sz w:val="24"/>
              </w:rPr>
            </w:pPr>
            <w:r>
              <w:rPr>
                <w:color w:val="auto"/>
                <w:sz w:val="24"/>
              </w:rPr>
              <w:t xml:space="preserve">      Vx：污染源气体流速，一般在0.5m/s~1.5m/s，按照《环境工程设计手册》中的有关公式，烟尘废气收集系统或设备的控制风速要在0.6m/s以上，本次评价取均值1.</w:t>
            </w:r>
            <w:r>
              <w:rPr>
                <w:rFonts w:hint="eastAsia"/>
                <w:color w:val="auto"/>
                <w:sz w:val="24"/>
              </w:rPr>
              <w:t>2</w:t>
            </w:r>
            <w:r>
              <w:rPr>
                <w:color w:val="auto"/>
                <w:sz w:val="24"/>
              </w:rPr>
              <w:t>m/s。</w:t>
            </w:r>
          </w:p>
          <w:p w14:paraId="3536D0DC">
            <w:pPr>
              <w:spacing w:line="360" w:lineRule="auto"/>
              <w:ind w:firstLine="480" w:firstLineChars="200"/>
              <w:jc w:val="left"/>
              <w:rPr>
                <w:bCs/>
                <w:color w:val="auto"/>
              </w:rPr>
            </w:pPr>
            <w:r>
              <w:rPr>
                <w:color w:val="auto"/>
                <w:sz w:val="24"/>
              </w:rPr>
              <w:t>计算得单个集气罩风量为</w:t>
            </w:r>
            <w:r>
              <w:rPr>
                <w:rFonts w:hint="eastAsia"/>
                <w:color w:val="auto"/>
                <w:sz w:val="24"/>
              </w:rPr>
              <w:t>30240</w:t>
            </w:r>
            <w:r>
              <w:rPr>
                <w:color w:val="auto"/>
                <w:sz w:val="24"/>
              </w:rPr>
              <w:t>m</w:t>
            </w:r>
            <w:r>
              <w:rPr>
                <w:color w:val="auto"/>
                <w:sz w:val="24"/>
                <w:vertAlign w:val="superscript"/>
              </w:rPr>
              <w:t>3</w:t>
            </w:r>
            <w:r>
              <w:rPr>
                <w:color w:val="auto"/>
                <w:sz w:val="24"/>
              </w:rPr>
              <w:t>/h，本项目共有</w:t>
            </w:r>
            <w:r>
              <w:rPr>
                <w:rFonts w:hint="eastAsia"/>
                <w:color w:val="auto"/>
                <w:sz w:val="24"/>
              </w:rPr>
              <w:t>3个集气罩</w:t>
            </w:r>
            <w:r>
              <w:rPr>
                <w:color w:val="auto"/>
                <w:sz w:val="24"/>
              </w:rPr>
              <w:t>。考虑风阻，总风机风量为</w:t>
            </w:r>
            <w:r>
              <w:rPr>
                <w:rFonts w:hint="eastAsia"/>
                <w:color w:val="auto"/>
                <w:sz w:val="24"/>
              </w:rPr>
              <w:t>93000</w:t>
            </w:r>
            <w:r>
              <w:rPr>
                <w:color w:val="auto"/>
                <w:sz w:val="24"/>
              </w:rPr>
              <w:t>m</w:t>
            </w:r>
            <w:r>
              <w:rPr>
                <w:color w:val="auto"/>
                <w:sz w:val="24"/>
                <w:vertAlign w:val="superscript"/>
              </w:rPr>
              <w:t>3</w:t>
            </w:r>
            <w:r>
              <w:rPr>
                <w:color w:val="auto"/>
                <w:sz w:val="24"/>
              </w:rPr>
              <w:t>/h。</w:t>
            </w:r>
            <w:r>
              <w:rPr>
                <w:rFonts w:hint="eastAsia"/>
                <w:color w:val="auto"/>
                <w:sz w:val="24"/>
              </w:rPr>
              <w:t>项目破碎、筛分工序年工作时间2400h。</w:t>
            </w:r>
          </w:p>
          <w:p w14:paraId="12F75673">
            <w:pPr>
              <w:pStyle w:val="51"/>
              <w:spacing w:before="0" w:line="360" w:lineRule="auto"/>
              <w:ind w:firstLine="480"/>
              <w:rPr>
                <w:rFonts w:ascii="Times New Roman" w:hAnsi="Times New Roman"/>
                <w:bCs/>
                <w:color w:val="auto"/>
              </w:rPr>
            </w:pPr>
            <w:r>
              <w:rPr>
                <w:rFonts w:hint="eastAsia" w:ascii="Times New Roman" w:hAnsi="Times New Roman"/>
                <w:bCs/>
                <w:color w:val="auto"/>
              </w:rPr>
              <w:t>③搅拌粉尘</w:t>
            </w:r>
          </w:p>
          <w:p w14:paraId="35BC3B0A">
            <w:pPr>
              <w:pStyle w:val="28"/>
              <w:spacing w:line="360" w:lineRule="auto"/>
              <w:ind w:firstLine="472" w:firstLineChars="200"/>
              <w:jc w:val="left"/>
              <w:rPr>
                <w:rFonts w:cs="Times New Roman"/>
                <w:color w:val="auto"/>
                <w:spacing w:val="-2"/>
                <w:lang w:val="en-US"/>
              </w:rPr>
            </w:pPr>
            <w:r>
              <w:rPr>
                <w:rFonts w:hint="eastAsia" w:cs="Times New Roman"/>
                <w:color w:val="auto"/>
                <w:spacing w:val="-2"/>
                <w:lang w:val="en-US"/>
              </w:rPr>
              <w:t>项目搅拌工段会产生一定量的粉尘，搅拌工序粉尘参照《排放源统计调查产排污核算方法和系数手册》中168-3021、3022、3029水泥制品制造行业系数手册中物料混合搅拌颗粒物产污系数为0.13千克/吨-产品，项目年产40万立方米加气混凝土砌块砖，折合标准砖约2.73亿块，单块标砖约重3.5kg/块，则项目加气混凝土砌块砖重约955500t，经计算搅拌粉尘产生了为124.215t/a。</w:t>
            </w:r>
          </w:p>
          <w:p w14:paraId="1131D07E">
            <w:pPr>
              <w:pStyle w:val="28"/>
              <w:spacing w:line="360" w:lineRule="auto"/>
              <w:ind w:firstLine="472" w:firstLineChars="200"/>
              <w:jc w:val="left"/>
              <w:rPr>
                <w:b/>
                <w:bCs/>
                <w:color w:val="auto"/>
                <w:lang w:val="en-US"/>
              </w:rPr>
            </w:pPr>
            <w:r>
              <w:rPr>
                <w:rFonts w:hint="eastAsia" w:cs="Times New Roman"/>
                <w:color w:val="auto"/>
                <w:spacing w:val="-2"/>
                <w:lang w:val="en-US"/>
              </w:rPr>
              <w:t>项目搅拌废气经集气罩+软帘装置收集后通过高效布袋除尘器处理后通过15m高排气筒排放，收集效率以90%计，处理效率以99.5%计，则搅拌粉尘有组织排放量为0.59t/a，无组织排放量为6.21t/a。</w:t>
            </w:r>
          </w:p>
          <w:p w14:paraId="3F182DCB">
            <w:pPr>
              <w:pStyle w:val="32"/>
              <w:spacing w:line="360" w:lineRule="auto"/>
              <w:ind w:firstLine="482" w:firstLineChars="200"/>
              <w:rPr>
                <w:rFonts w:hint="eastAsia"/>
                <w:color w:val="auto"/>
                <w:lang w:eastAsia="zh-CN"/>
              </w:rPr>
            </w:pPr>
            <w:r>
              <w:rPr>
                <w:rFonts w:hint="eastAsia"/>
                <w:b/>
                <w:bCs/>
                <w:color w:val="auto"/>
                <w:lang w:eastAsia="zh-CN"/>
              </w:rPr>
              <w:t>搅拌</w:t>
            </w:r>
            <w:r>
              <w:rPr>
                <w:b/>
                <w:bCs/>
                <w:color w:val="auto"/>
                <w:lang w:eastAsia="zh-CN"/>
              </w:rPr>
              <w:t>工序集气罩风量的确定：</w:t>
            </w:r>
          </w:p>
          <w:p w14:paraId="1DA18B2E">
            <w:pPr>
              <w:pStyle w:val="32"/>
              <w:spacing w:line="360" w:lineRule="auto"/>
              <w:ind w:firstLine="480" w:firstLineChars="200"/>
              <w:rPr>
                <w:rFonts w:hint="eastAsia"/>
                <w:color w:val="auto"/>
                <w:lang w:eastAsia="zh-CN"/>
              </w:rPr>
            </w:pPr>
            <w:r>
              <w:rPr>
                <w:rFonts w:hint="eastAsia" w:ascii="Times New Roman" w:hAnsi="Times New Roman" w:cs="Times New Roman"/>
                <w:color w:val="auto"/>
                <w:lang w:eastAsia="zh-CN"/>
              </w:rPr>
              <w:t>搅拌工序</w:t>
            </w:r>
            <w:r>
              <w:rPr>
                <w:rFonts w:ascii="Times New Roman" w:hAnsi="Times New Roman" w:cs="Times New Roman"/>
                <w:color w:val="auto"/>
                <w:lang w:eastAsia="zh-CN"/>
              </w:rPr>
              <w:t>废气经集气罩</w:t>
            </w:r>
            <w:r>
              <w:rPr>
                <w:rFonts w:hint="eastAsia" w:ascii="Times New Roman" w:hAnsi="Times New Roman" w:cs="Times New Roman"/>
                <w:color w:val="auto"/>
                <w:lang w:eastAsia="zh-CN"/>
              </w:rPr>
              <w:t>+软帘</w:t>
            </w:r>
            <w:r>
              <w:rPr>
                <w:rFonts w:ascii="Times New Roman" w:hAnsi="Times New Roman" w:cs="Times New Roman"/>
                <w:color w:val="auto"/>
                <w:lang w:eastAsia="zh-CN"/>
              </w:rPr>
              <w:t>收集后通过高效袋式除尘器处理后</w:t>
            </w:r>
            <w:r>
              <w:rPr>
                <w:rFonts w:hint="eastAsia" w:ascii="Times New Roman" w:hAnsi="Times New Roman" w:cs="Times New Roman"/>
                <w:color w:val="auto"/>
                <w:lang w:eastAsia="zh-CN"/>
              </w:rPr>
              <w:t>通过</w:t>
            </w:r>
            <w:r>
              <w:rPr>
                <w:rFonts w:ascii="Times New Roman" w:hAnsi="Times New Roman" w:cs="Times New Roman"/>
                <w:color w:val="auto"/>
                <w:lang w:eastAsia="zh-CN"/>
              </w:rPr>
              <w:t>一根15m高排气筒（</w:t>
            </w:r>
            <w:r>
              <w:rPr>
                <w:rFonts w:ascii="Times New Roman" w:hAnsi="Times New Roman" w:eastAsia="Times New Roman" w:cs="Times New Roman"/>
                <w:color w:val="auto"/>
                <w:lang w:eastAsia="zh-CN"/>
              </w:rPr>
              <w:t>DA00</w:t>
            </w:r>
            <w:r>
              <w:rPr>
                <w:rFonts w:hint="eastAsia" w:ascii="Times New Roman" w:hAnsi="Times New Roman" w:eastAsia="Times New Roman" w:cs="Times New Roman"/>
                <w:color w:val="auto"/>
                <w:lang w:eastAsia="zh-CN"/>
              </w:rPr>
              <w:t>3</w:t>
            </w:r>
            <w:r>
              <w:rPr>
                <w:rFonts w:ascii="Times New Roman" w:hAnsi="Times New Roman" w:cs="Times New Roman"/>
                <w:color w:val="auto"/>
                <w:lang w:eastAsia="zh-CN"/>
              </w:rPr>
              <w:t>）排放。建设单位针对浇筑搅拌机、铝粉搅拌机设计合适规格尺寸的集气罩（本项目共设置2个集气罩。破碎、筛分工序：上部集气罩，参数为：长</w:t>
            </w:r>
            <w:r>
              <w:rPr>
                <w:rFonts w:ascii="Times New Roman" w:hAnsi="Times New Roman" w:eastAsia="Times New Roman" w:cs="Times New Roman"/>
                <w:color w:val="auto"/>
                <w:lang w:eastAsia="zh-CN"/>
              </w:rPr>
              <w:t>×</w:t>
            </w:r>
            <w:r>
              <w:rPr>
                <w:rFonts w:ascii="Times New Roman" w:hAnsi="Times New Roman" w:cs="Times New Roman"/>
                <w:color w:val="auto"/>
                <w:lang w:eastAsia="zh-CN"/>
              </w:rPr>
              <w:t xml:space="preserve">宽 </w:t>
            </w:r>
            <w:r>
              <w:rPr>
                <w:rFonts w:ascii="Times New Roman" w:hAnsi="Times New Roman" w:eastAsia="Times New Roman" w:cs="Times New Roman"/>
                <w:color w:val="auto"/>
                <w:lang w:eastAsia="zh-CN"/>
              </w:rPr>
              <w:t xml:space="preserve">2m×2m </w:t>
            </w:r>
            <w:r>
              <w:rPr>
                <w:rFonts w:ascii="Times New Roman" w:hAnsi="Times New Roman" w:cs="Times New Roman"/>
                <w:color w:val="auto"/>
                <w:lang w:eastAsia="zh-CN"/>
              </w:rPr>
              <w:t>，2个。</w:t>
            </w:r>
          </w:p>
          <w:p w14:paraId="596533A8">
            <w:pPr>
              <w:spacing w:line="360" w:lineRule="auto"/>
              <w:ind w:firstLine="480" w:firstLineChars="200"/>
              <w:rPr>
                <w:color w:val="auto"/>
                <w:sz w:val="24"/>
              </w:rPr>
            </w:pPr>
            <w:r>
              <w:rPr>
                <w:color w:val="auto"/>
                <w:sz w:val="24"/>
              </w:rPr>
              <w:t>根据《环境工程设计手册》（修订版），单个集气罩集气风量计算公式：</w:t>
            </w:r>
          </w:p>
          <w:p w14:paraId="1A7BACF8">
            <w:pPr>
              <w:spacing w:line="360" w:lineRule="auto"/>
              <w:jc w:val="center"/>
              <w:rPr>
                <w:color w:val="auto"/>
                <w:sz w:val="24"/>
              </w:rPr>
            </w:pPr>
            <w:r>
              <w:rPr>
                <w:color w:val="auto"/>
                <w:sz w:val="24"/>
              </w:rPr>
              <w:t>L=kPHVx</w:t>
            </w:r>
          </w:p>
          <w:p w14:paraId="15A76004">
            <w:pPr>
              <w:spacing w:line="360" w:lineRule="auto"/>
              <w:ind w:firstLine="480" w:firstLineChars="200"/>
              <w:rPr>
                <w:color w:val="auto"/>
                <w:sz w:val="24"/>
              </w:rPr>
            </w:pPr>
            <w:r>
              <w:rPr>
                <w:color w:val="auto"/>
                <w:sz w:val="24"/>
              </w:rPr>
              <w:t>式中：L——为集气罩集气风量，单位为m</w:t>
            </w:r>
            <w:r>
              <w:rPr>
                <w:color w:val="auto"/>
                <w:sz w:val="24"/>
                <w:vertAlign w:val="superscript"/>
              </w:rPr>
              <w:t>3</w:t>
            </w:r>
            <w:r>
              <w:rPr>
                <w:color w:val="auto"/>
                <w:sz w:val="24"/>
              </w:rPr>
              <w:t>/h；</w:t>
            </w:r>
          </w:p>
          <w:p w14:paraId="511B3C97">
            <w:pPr>
              <w:spacing w:line="360" w:lineRule="auto"/>
              <w:ind w:firstLine="480" w:firstLineChars="200"/>
              <w:rPr>
                <w:color w:val="auto"/>
                <w:sz w:val="24"/>
              </w:rPr>
            </w:pPr>
            <w:r>
              <w:rPr>
                <w:color w:val="auto"/>
                <w:sz w:val="24"/>
              </w:rPr>
              <w:t xml:space="preserve">      K——为安全系数1.4；</w:t>
            </w:r>
          </w:p>
          <w:p w14:paraId="1CF03D1B">
            <w:pPr>
              <w:spacing w:line="360" w:lineRule="auto"/>
              <w:ind w:firstLine="1200" w:firstLineChars="500"/>
              <w:rPr>
                <w:color w:val="auto"/>
                <w:sz w:val="24"/>
              </w:rPr>
            </w:pPr>
            <w:r>
              <w:rPr>
                <w:color w:val="auto"/>
                <w:sz w:val="24"/>
              </w:rPr>
              <w:t>P——排风罩口敞开面的周长，单位为</w:t>
            </w:r>
            <w:r>
              <w:rPr>
                <w:rFonts w:hint="eastAsia"/>
                <w:color w:val="auto"/>
                <w:sz w:val="24"/>
              </w:rPr>
              <w:t>8</w:t>
            </w:r>
            <w:r>
              <w:rPr>
                <w:color w:val="auto"/>
                <w:sz w:val="24"/>
              </w:rPr>
              <w:t>m；</w:t>
            </w:r>
          </w:p>
          <w:p w14:paraId="4764FCE4">
            <w:pPr>
              <w:spacing w:line="360" w:lineRule="auto"/>
              <w:ind w:firstLine="480" w:firstLineChars="200"/>
              <w:rPr>
                <w:color w:val="auto"/>
                <w:sz w:val="24"/>
              </w:rPr>
            </w:pPr>
            <w:r>
              <w:rPr>
                <w:color w:val="auto"/>
                <w:sz w:val="24"/>
              </w:rPr>
              <w:t xml:space="preserve">      H——为罩口至污染源的距离，单位为m，本次取0.</w:t>
            </w:r>
            <w:r>
              <w:rPr>
                <w:rFonts w:hint="eastAsia"/>
                <w:color w:val="auto"/>
                <w:sz w:val="24"/>
              </w:rPr>
              <w:t>3</w:t>
            </w:r>
            <w:r>
              <w:rPr>
                <w:color w:val="auto"/>
                <w:sz w:val="24"/>
              </w:rPr>
              <w:t>m；</w:t>
            </w:r>
          </w:p>
          <w:p w14:paraId="084686A1">
            <w:pPr>
              <w:spacing w:line="360" w:lineRule="auto"/>
              <w:ind w:firstLine="480" w:firstLineChars="200"/>
              <w:rPr>
                <w:color w:val="auto"/>
                <w:sz w:val="24"/>
              </w:rPr>
            </w:pPr>
            <w:r>
              <w:rPr>
                <w:color w:val="auto"/>
                <w:sz w:val="24"/>
              </w:rPr>
              <w:t xml:space="preserve">      Vx：污染源气体流速，一般在0.5m/s~1.5m/s，按照《环境工程设计手册》中的有关公式，烟尘废气收集系统或设备的控制风速要在0.6m/s以上，本次评价取均值1.</w:t>
            </w:r>
            <w:r>
              <w:rPr>
                <w:rFonts w:hint="eastAsia"/>
                <w:color w:val="auto"/>
                <w:sz w:val="24"/>
              </w:rPr>
              <w:t>2</w:t>
            </w:r>
            <w:r>
              <w:rPr>
                <w:color w:val="auto"/>
                <w:sz w:val="24"/>
              </w:rPr>
              <w:t>m/s。</w:t>
            </w:r>
          </w:p>
          <w:p w14:paraId="14A79320">
            <w:pPr>
              <w:pStyle w:val="32"/>
              <w:spacing w:line="360" w:lineRule="auto"/>
              <w:ind w:firstLine="480" w:firstLineChars="200"/>
              <w:rPr>
                <w:rFonts w:ascii="Times New Roman" w:hAnsi="Times New Roman" w:cs="Times New Roman"/>
                <w:color w:val="auto"/>
                <w:lang w:eastAsia="zh-CN"/>
              </w:rPr>
            </w:pPr>
            <w:r>
              <w:rPr>
                <w:rFonts w:ascii="Times New Roman" w:hAnsi="Times New Roman" w:cs="Times New Roman"/>
                <w:color w:val="auto"/>
              </w:rPr>
              <w:t>计算得单个集气罩风量为</w:t>
            </w:r>
            <w:r>
              <w:rPr>
                <w:rFonts w:ascii="Times New Roman" w:hAnsi="Times New Roman" w:cs="Times New Roman"/>
                <w:color w:val="auto"/>
                <w:lang w:eastAsia="zh-CN"/>
              </w:rPr>
              <w:t>14515</w:t>
            </w:r>
            <w:r>
              <w:rPr>
                <w:rFonts w:ascii="Times New Roman" w:hAnsi="Times New Roman" w:cs="Times New Roman"/>
                <w:color w:val="auto"/>
              </w:rPr>
              <w:t>m</w:t>
            </w:r>
            <w:r>
              <w:rPr>
                <w:rFonts w:ascii="Times New Roman" w:hAnsi="Times New Roman" w:cs="Times New Roman"/>
                <w:color w:val="auto"/>
                <w:vertAlign w:val="superscript"/>
              </w:rPr>
              <w:t>3</w:t>
            </w:r>
            <w:r>
              <w:rPr>
                <w:rFonts w:ascii="Times New Roman" w:hAnsi="Times New Roman" w:cs="Times New Roman"/>
                <w:color w:val="auto"/>
              </w:rPr>
              <w:t>/h，本项目共有</w:t>
            </w:r>
            <w:r>
              <w:rPr>
                <w:rFonts w:ascii="Times New Roman" w:hAnsi="Times New Roman" w:cs="Times New Roman"/>
                <w:color w:val="auto"/>
                <w:lang w:eastAsia="zh-CN"/>
              </w:rPr>
              <w:t>2</w:t>
            </w:r>
            <w:r>
              <w:rPr>
                <w:rFonts w:ascii="Times New Roman" w:hAnsi="Times New Roman" w:cs="Times New Roman"/>
                <w:color w:val="auto"/>
              </w:rPr>
              <w:t>个集气罩。考虑风阻，总风机风量为</w:t>
            </w:r>
            <w:r>
              <w:rPr>
                <w:rFonts w:ascii="Times New Roman" w:hAnsi="Times New Roman" w:cs="Times New Roman"/>
                <w:color w:val="auto"/>
                <w:lang w:eastAsia="zh-CN"/>
              </w:rPr>
              <w:t>31000</w:t>
            </w:r>
            <w:r>
              <w:rPr>
                <w:rFonts w:ascii="Times New Roman" w:hAnsi="Times New Roman" w:cs="Times New Roman"/>
                <w:color w:val="auto"/>
              </w:rPr>
              <w:t>m</w:t>
            </w:r>
            <w:r>
              <w:rPr>
                <w:rFonts w:ascii="Times New Roman" w:hAnsi="Times New Roman" w:cs="Times New Roman"/>
                <w:color w:val="auto"/>
                <w:vertAlign w:val="superscript"/>
              </w:rPr>
              <w:t>3</w:t>
            </w:r>
            <w:r>
              <w:rPr>
                <w:rFonts w:ascii="Times New Roman" w:hAnsi="Times New Roman" w:cs="Times New Roman"/>
                <w:color w:val="auto"/>
              </w:rPr>
              <w:t>/h。</w:t>
            </w:r>
            <w:r>
              <w:rPr>
                <w:rFonts w:ascii="Times New Roman" w:hAnsi="Times New Roman" w:cs="Times New Roman"/>
                <w:color w:val="auto"/>
                <w:lang w:eastAsia="zh-CN"/>
              </w:rPr>
              <w:t>项目</w:t>
            </w:r>
            <w:r>
              <w:rPr>
                <w:rFonts w:hint="eastAsia" w:ascii="Times New Roman" w:hAnsi="Times New Roman" w:cs="Times New Roman"/>
                <w:color w:val="auto"/>
                <w:lang w:eastAsia="zh-CN"/>
              </w:rPr>
              <w:t>搅拌</w:t>
            </w:r>
            <w:r>
              <w:rPr>
                <w:rFonts w:ascii="Times New Roman" w:hAnsi="Times New Roman" w:cs="Times New Roman"/>
                <w:color w:val="auto"/>
                <w:lang w:eastAsia="zh-CN"/>
              </w:rPr>
              <w:t>工序年工作时间2400h。</w:t>
            </w:r>
          </w:p>
          <w:p w14:paraId="7BC3F4C9">
            <w:pPr>
              <w:spacing w:line="360" w:lineRule="auto"/>
              <w:ind w:firstLine="480" w:firstLineChars="200"/>
              <w:jc w:val="left"/>
              <w:rPr>
                <w:b/>
                <w:bCs/>
                <w:color w:val="auto"/>
                <w:sz w:val="24"/>
              </w:rPr>
            </w:pPr>
            <w:r>
              <w:rPr>
                <w:color w:val="auto"/>
                <w:sz w:val="24"/>
              </w:rPr>
              <w:t>项目无组织颗粒物产生量约</w:t>
            </w:r>
            <w:r>
              <w:rPr>
                <w:rFonts w:hint="eastAsia"/>
                <w:color w:val="auto"/>
                <w:sz w:val="24"/>
              </w:rPr>
              <w:t>9.568t/a，</w:t>
            </w:r>
            <w:r>
              <w:rPr>
                <w:color w:val="auto"/>
                <w:sz w:val="24"/>
              </w:rPr>
              <w:t>本项目在框架结构的封闭厂房内作业，正常生产时厂房完全密闭，颗粒物外逸量小。</w:t>
            </w:r>
            <w:r>
              <w:rPr>
                <w:rFonts w:hint="eastAsia"/>
                <w:color w:val="auto"/>
                <w:sz w:val="24"/>
              </w:rPr>
              <w:t>项目在生产过程中采取喷淋降尘，</w:t>
            </w:r>
            <w:r>
              <w:rPr>
                <w:color w:val="auto"/>
                <w:sz w:val="24"/>
              </w:rPr>
              <w:t>颗粒物约9</w:t>
            </w:r>
            <w:r>
              <w:rPr>
                <w:rFonts w:hint="eastAsia"/>
                <w:color w:val="auto"/>
                <w:sz w:val="24"/>
              </w:rPr>
              <w:t>8</w:t>
            </w:r>
            <w:r>
              <w:rPr>
                <w:color w:val="auto"/>
                <w:sz w:val="24"/>
              </w:rPr>
              <w:t>%在车间内沉降，</w:t>
            </w:r>
            <w:r>
              <w:rPr>
                <w:color w:val="auto"/>
                <w:sz w:val="24"/>
                <w:shd w:val="clear" w:color="auto" w:fill="FFFFFF"/>
              </w:rPr>
              <w:t>则项目无组织颗粒</w:t>
            </w:r>
            <w:r>
              <w:rPr>
                <w:color w:val="auto"/>
                <w:sz w:val="24"/>
              </w:rPr>
              <w:t>物排放量减少至</w:t>
            </w:r>
            <w:r>
              <w:rPr>
                <w:rFonts w:hint="eastAsia"/>
                <w:color w:val="auto"/>
                <w:sz w:val="24"/>
              </w:rPr>
              <w:t>0.192</w:t>
            </w:r>
            <w:r>
              <w:rPr>
                <w:color w:val="auto"/>
                <w:sz w:val="24"/>
              </w:rPr>
              <w:t>t/a，对大气环境影响不大。同时要求企业为员工佩戴口罩等劳保用品，降低颗粒物对员工的影响。</w:t>
            </w:r>
          </w:p>
          <w:p w14:paraId="2792ABC5">
            <w:pPr>
              <w:pStyle w:val="32"/>
              <w:spacing w:line="360" w:lineRule="auto"/>
              <w:ind w:firstLine="480" w:firstLineChars="200"/>
              <w:rPr>
                <w:rFonts w:ascii="Times New Roman" w:hAnsi="Times New Roman" w:cs="Times New Roman"/>
                <w:color w:val="auto"/>
                <w:lang w:eastAsia="zh-CN"/>
              </w:rPr>
            </w:pPr>
            <w:r>
              <w:rPr>
                <w:rFonts w:hint="eastAsia" w:ascii="Times New Roman" w:hAnsi="Times New Roman" w:cs="Times New Roman"/>
                <w:color w:val="auto"/>
                <w:lang w:eastAsia="zh-CN"/>
              </w:rPr>
              <w:t>④水泥筒仓粉尘</w:t>
            </w:r>
          </w:p>
          <w:p w14:paraId="40D47C02">
            <w:pPr>
              <w:pStyle w:val="51"/>
              <w:spacing w:before="0" w:line="360" w:lineRule="auto"/>
              <w:ind w:firstLine="440"/>
              <w:rPr>
                <w:rFonts w:ascii="Times New Roman" w:hAnsi="Times New Roman"/>
                <w:color w:val="auto"/>
              </w:rPr>
            </w:pPr>
            <w:r>
              <w:rPr>
                <w:rFonts w:ascii="Times New Roman" w:hAnsi="Times New Roman"/>
                <w:bCs/>
                <w:color w:val="auto"/>
                <w:spacing w:val="-10"/>
                <w:szCs w:val="21"/>
              </w:rPr>
              <w:t>参考《排放源统计调查产排污核算方法和系数手册》中3021水泥制品制造行业系数表中产污系数</w:t>
            </w:r>
            <w:r>
              <w:rPr>
                <w:rFonts w:hint="eastAsia" w:ascii="Times New Roman" w:hAnsi="Times New Roman"/>
                <w:bCs/>
                <w:color w:val="auto"/>
                <w:spacing w:val="-10"/>
                <w:szCs w:val="21"/>
              </w:rPr>
              <w:t>0.19千克/吨-产品</w:t>
            </w:r>
            <w:r>
              <w:rPr>
                <w:rFonts w:ascii="Times New Roman" w:hAnsi="Times New Roman"/>
                <w:bCs/>
                <w:color w:val="auto"/>
                <w:spacing w:val="-10"/>
                <w:szCs w:val="21"/>
              </w:rPr>
              <w:t>，</w:t>
            </w:r>
            <w:r>
              <w:rPr>
                <w:rFonts w:ascii="Times New Roman" w:hAnsi="Times New Roman"/>
                <w:color w:val="auto"/>
              </w:rPr>
              <w:t>本项目水泥使用量为</w:t>
            </w:r>
            <w:r>
              <w:rPr>
                <w:rFonts w:hint="eastAsia" w:ascii="Times New Roman" w:hAnsi="Times New Roman"/>
                <w:color w:val="auto"/>
              </w:rPr>
              <w:t>20000</w:t>
            </w:r>
            <w:r>
              <w:rPr>
                <w:rFonts w:ascii="Times New Roman" w:hAnsi="Times New Roman"/>
                <w:color w:val="auto"/>
              </w:rPr>
              <w:t>t/a，项目水泥出入库过程中产生粉尘产生量为</w:t>
            </w:r>
            <w:r>
              <w:rPr>
                <w:rFonts w:hint="eastAsia" w:ascii="Times New Roman" w:hAnsi="Times New Roman"/>
                <w:color w:val="auto"/>
              </w:rPr>
              <w:t>2.8</w:t>
            </w:r>
            <w:r>
              <w:rPr>
                <w:rFonts w:ascii="Times New Roman" w:hAnsi="Times New Roman"/>
                <w:color w:val="auto"/>
              </w:rPr>
              <w:t>t/a。呼吸粉尘由</w:t>
            </w:r>
            <w:r>
              <w:rPr>
                <w:rFonts w:ascii="Times New Roman" w:hAnsi="Times New Roman"/>
                <w:color w:val="auto"/>
                <w:lang w:bidi="ar"/>
              </w:rPr>
              <w:t>筒仓自带的布袋除尘器处理后再由仓顶排气孔排放，收集效率100%，布袋除尘器的</w:t>
            </w:r>
            <w:r>
              <w:rPr>
                <w:rFonts w:ascii="Times New Roman" w:hAnsi="Times New Roman"/>
                <w:color w:val="auto"/>
              </w:rPr>
              <w:t>除尘效率为9</w:t>
            </w:r>
            <w:r>
              <w:rPr>
                <w:rFonts w:hint="eastAsia" w:ascii="Times New Roman" w:hAnsi="Times New Roman"/>
                <w:color w:val="auto"/>
              </w:rPr>
              <w:t>9</w:t>
            </w:r>
            <w:r>
              <w:rPr>
                <w:rFonts w:ascii="Times New Roman" w:hAnsi="Times New Roman"/>
                <w:color w:val="auto"/>
              </w:rPr>
              <w:t>%。排放量为</w:t>
            </w:r>
            <w:r>
              <w:rPr>
                <w:rFonts w:hint="eastAsia" w:ascii="Times New Roman" w:hAnsi="Times New Roman"/>
                <w:color w:val="auto"/>
              </w:rPr>
              <w:t>0.038</w:t>
            </w:r>
            <w:r>
              <w:rPr>
                <w:rFonts w:ascii="Times New Roman" w:hAnsi="Times New Roman"/>
                <w:color w:val="auto"/>
              </w:rPr>
              <w:t>t/a。</w:t>
            </w:r>
          </w:p>
          <w:p w14:paraId="32A63198">
            <w:pPr>
              <w:pStyle w:val="51"/>
              <w:spacing w:before="0" w:line="360" w:lineRule="auto"/>
              <w:ind w:firstLine="480"/>
              <w:rPr>
                <w:rFonts w:ascii="Times New Roman" w:hAnsi="Times New Roman"/>
                <w:color w:val="auto"/>
              </w:rPr>
            </w:pPr>
            <w:r>
              <w:rPr>
                <w:rFonts w:hint="eastAsia" w:ascii="Times New Roman" w:hAnsi="Times New Roman"/>
                <w:color w:val="auto"/>
              </w:rPr>
              <w:t>⑤粉煤灰筒仓粉尘</w:t>
            </w:r>
          </w:p>
          <w:p w14:paraId="2CC95808">
            <w:pPr>
              <w:pStyle w:val="51"/>
              <w:spacing w:before="0" w:line="360" w:lineRule="auto"/>
              <w:ind w:firstLine="440"/>
              <w:rPr>
                <w:rFonts w:ascii="Times New Roman" w:hAnsi="Times New Roman"/>
                <w:color w:val="auto"/>
              </w:rPr>
            </w:pPr>
            <w:r>
              <w:rPr>
                <w:rFonts w:ascii="Times New Roman" w:hAnsi="Times New Roman"/>
                <w:bCs/>
                <w:color w:val="auto"/>
                <w:spacing w:val="-10"/>
                <w:szCs w:val="21"/>
              </w:rPr>
              <w:t>参考《排放源统计调查产排污核算方法和系数手册》中3021水泥制品制造行业系数表中产污系数</w:t>
            </w:r>
            <w:r>
              <w:rPr>
                <w:rFonts w:hint="eastAsia" w:ascii="Times New Roman" w:hAnsi="Times New Roman"/>
                <w:bCs/>
                <w:color w:val="auto"/>
                <w:spacing w:val="-10"/>
                <w:szCs w:val="21"/>
              </w:rPr>
              <w:t>0.19千克/吨-产品</w:t>
            </w:r>
            <w:r>
              <w:rPr>
                <w:rFonts w:ascii="Times New Roman" w:hAnsi="Times New Roman"/>
                <w:bCs/>
                <w:color w:val="auto"/>
                <w:spacing w:val="-10"/>
                <w:szCs w:val="21"/>
              </w:rPr>
              <w:t>，</w:t>
            </w:r>
            <w:r>
              <w:rPr>
                <w:rFonts w:ascii="Times New Roman" w:hAnsi="Times New Roman"/>
                <w:color w:val="auto"/>
              </w:rPr>
              <w:t>本项目</w:t>
            </w:r>
            <w:r>
              <w:rPr>
                <w:rFonts w:hint="eastAsia" w:ascii="Times New Roman" w:hAnsi="Times New Roman"/>
                <w:color w:val="auto"/>
              </w:rPr>
              <w:t>粉煤灰</w:t>
            </w:r>
            <w:r>
              <w:rPr>
                <w:rFonts w:ascii="Times New Roman" w:hAnsi="Times New Roman"/>
                <w:color w:val="auto"/>
              </w:rPr>
              <w:t>使用量为</w:t>
            </w:r>
            <w:r>
              <w:rPr>
                <w:rFonts w:hint="eastAsia" w:ascii="Times New Roman" w:hAnsi="Times New Roman"/>
                <w:color w:val="auto"/>
              </w:rPr>
              <w:t>179000</w:t>
            </w:r>
            <w:r>
              <w:rPr>
                <w:rFonts w:ascii="Times New Roman" w:hAnsi="Times New Roman"/>
                <w:color w:val="auto"/>
              </w:rPr>
              <w:t>t/a，项目</w:t>
            </w:r>
            <w:r>
              <w:rPr>
                <w:rFonts w:hint="eastAsia" w:ascii="Times New Roman" w:hAnsi="Times New Roman"/>
                <w:color w:val="auto"/>
              </w:rPr>
              <w:t>粉煤灰</w:t>
            </w:r>
            <w:r>
              <w:rPr>
                <w:rFonts w:ascii="Times New Roman" w:hAnsi="Times New Roman"/>
                <w:color w:val="auto"/>
              </w:rPr>
              <w:t>出入库过程中产生粉尘产生量为</w:t>
            </w:r>
            <w:r>
              <w:rPr>
                <w:rFonts w:hint="eastAsia" w:ascii="Times New Roman" w:hAnsi="Times New Roman"/>
                <w:color w:val="auto"/>
              </w:rPr>
              <w:t>34</w:t>
            </w:r>
            <w:r>
              <w:rPr>
                <w:rFonts w:ascii="Times New Roman" w:hAnsi="Times New Roman"/>
                <w:color w:val="auto"/>
              </w:rPr>
              <w:t>t/a。呼吸粉尘由</w:t>
            </w:r>
            <w:r>
              <w:rPr>
                <w:rFonts w:ascii="Times New Roman" w:hAnsi="Times New Roman"/>
                <w:color w:val="auto"/>
                <w:lang w:bidi="ar"/>
              </w:rPr>
              <w:t>筒仓自带的布袋除尘器处理后再由仓顶排气孔排放，收集效率100%，布袋除尘器的</w:t>
            </w:r>
            <w:r>
              <w:rPr>
                <w:rFonts w:ascii="Times New Roman" w:hAnsi="Times New Roman"/>
                <w:color w:val="auto"/>
              </w:rPr>
              <w:t>除尘效率为9</w:t>
            </w:r>
            <w:r>
              <w:rPr>
                <w:rFonts w:hint="eastAsia" w:ascii="Times New Roman" w:hAnsi="Times New Roman"/>
                <w:color w:val="auto"/>
              </w:rPr>
              <w:t>9</w:t>
            </w:r>
            <w:r>
              <w:rPr>
                <w:rFonts w:ascii="Times New Roman" w:hAnsi="Times New Roman"/>
                <w:color w:val="auto"/>
              </w:rPr>
              <w:t>%。排放量为</w:t>
            </w:r>
            <w:r>
              <w:rPr>
                <w:rFonts w:hint="eastAsia" w:ascii="Times New Roman" w:hAnsi="Times New Roman"/>
                <w:color w:val="auto"/>
              </w:rPr>
              <w:t>0.34</w:t>
            </w:r>
            <w:r>
              <w:rPr>
                <w:rFonts w:ascii="Times New Roman" w:hAnsi="Times New Roman"/>
                <w:color w:val="auto"/>
              </w:rPr>
              <w:t>t/a。</w:t>
            </w:r>
          </w:p>
          <w:p w14:paraId="4342ED25">
            <w:pPr>
              <w:pStyle w:val="51"/>
              <w:spacing w:before="0" w:line="360" w:lineRule="auto"/>
              <w:ind w:firstLine="480"/>
              <w:rPr>
                <w:rFonts w:ascii="Times New Roman" w:hAnsi="Times New Roman"/>
                <w:color w:val="auto"/>
              </w:rPr>
            </w:pPr>
            <w:r>
              <w:rPr>
                <w:rFonts w:hint="eastAsia" w:ascii="Times New Roman" w:hAnsi="Times New Roman"/>
                <w:color w:val="auto"/>
              </w:rPr>
              <w:t>⑥石灰筒仓粉尘</w:t>
            </w:r>
          </w:p>
          <w:p w14:paraId="79906DCB">
            <w:pPr>
              <w:pStyle w:val="51"/>
              <w:spacing w:before="0" w:line="360" w:lineRule="auto"/>
              <w:ind w:firstLine="440"/>
              <w:rPr>
                <w:rFonts w:ascii="Times New Roman" w:hAnsi="Times New Roman"/>
                <w:color w:val="auto"/>
              </w:rPr>
            </w:pPr>
            <w:r>
              <w:rPr>
                <w:rFonts w:ascii="Times New Roman" w:hAnsi="Times New Roman"/>
                <w:bCs/>
                <w:color w:val="auto"/>
                <w:spacing w:val="-10"/>
                <w:szCs w:val="21"/>
              </w:rPr>
              <w:t>参考《排放源统计调查产排污核算方法和系数手册》中3021水泥制品制造行业系数表中产污系数</w:t>
            </w:r>
            <w:r>
              <w:rPr>
                <w:rFonts w:hint="eastAsia" w:ascii="Times New Roman" w:hAnsi="Times New Roman"/>
                <w:bCs/>
                <w:color w:val="auto"/>
                <w:spacing w:val="-10"/>
                <w:szCs w:val="21"/>
              </w:rPr>
              <w:t>0.19千克/吨-产品</w:t>
            </w:r>
            <w:r>
              <w:rPr>
                <w:rFonts w:ascii="Times New Roman" w:hAnsi="Times New Roman"/>
                <w:bCs/>
                <w:color w:val="auto"/>
                <w:spacing w:val="-10"/>
                <w:szCs w:val="21"/>
              </w:rPr>
              <w:t>，</w:t>
            </w:r>
            <w:r>
              <w:rPr>
                <w:rFonts w:ascii="Times New Roman" w:hAnsi="Times New Roman"/>
                <w:color w:val="auto"/>
              </w:rPr>
              <w:t>本项目</w:t>
            </w:r>
            <w:r>
              <w:rPr>
                <w:rFonts w:hint="eastAsia" w:ascii="Times New Roman" w:hAnsi="Times New Roman"/>
                <w:color w:val="auto"/>
              </w:rPr>
              <w:t>石灰</w:t>
            </w:r>
            <w:r>
              <w:rPr>
                <w:rFonts w:ascii="Times New Roman" w:hAnsi="Times New Roman"/>
                <w:color w:val="auto"/>
              </w:rPr>
              <w:t>使用量为</w:t>
            </w:r>
            <w:r>
              <w:rPr>
                <w:rFonts w:hint="eastAsia" w:ascii="Times New Roman" w:hAnsi="Times New Roman"/>
                <w:color w:val="auto"/>
              </w:rPr>
              <w:t>39000</w:t>
            </w:r>
            <w:r>
              <w:rPr>
                <w:rFonts w:ascii="Times New Roman" w:hAnsi="Times New Roman"/>
                <w:color w:val="auto"/>
              </w:rPr>
              <w:t>t/a，</w:t>
            </w:r>
            <w:r>
              <w:rPr>
                <w:rFonts w:hint="eastAsia" w:ascii="Times New Roman" w:hAnsi="Times New Roman"/>
                <w:color w:val="auto"/>
              </w:rPr>
              <w:t>项目石灰</w:t>
            </w:r>
            <w:r>
              <w:rPr>
                <w:rFonts w:ascii="Times New Roman" w:hAnsi="Times New Roman"/>
                <w:color w:val="auto"/>
              </w:rPr>
              <w:t>出入库过程中产生粉尘产生量为</w:t>
            </w:r>
            <w:r>
              <w:rPr>
                <w:rFonts w:hint="eastAsia" w:ascii="Times New Roman" w:hAnsi="Times New Roman"/>
                <w:color w:val="auto"/>
              </w:rPr>
              <w:t>7.41</w:t>
            </w:r>
            <w:r>
              <w:rPr>
                <w:rFonts w:ascii="Times New Roman" w:hAnsi="Times New Roman"/>
                <w:color w:val="auto"/>
              </w:rPr>
              <w:t>t/a。呼吸粉尘由</w:t>
            </w:r>
            <w:r>
              <w:rPr>
                <w:rFonts w:ascii="Times New Roman" w:hAnsi="Times New Roman"/>
                <w:color w:val="auto"/>
                <w:lang w:bidi="ar"/>
              </w:rPr>
              <w:t>筒仓自带的布袋除尘器处理后再由仓顶排气孔排放，收集效率100%，布袋除尘器的</w:t>
            </w:r>
            <w:r>
              <w:rPr>
                <w:rFonts w:ascii="Times New Roman" w:hAnsi="Times New Roman"/>
                <w:color w:val="auto"/>
              </w:rPr>
              <w:t>除尘效率为9</w:t>
            </w:r>
            <w:r>
              <w:rPr>
                <w:rFonts w:hint="eastAsia" w:ascii="Times New Roman" w:hAnsi="Times New Roman"/>
                <w:color w:val="auto"/>
              </w:rPr>
              <w:t>9</w:t>
            </w:r>
            <w:r>
              <w:rPr>
                <w:rFonts w:ascii="Times New Roman" w:hAnsi="Times New Roman"/>
                <w:color w:val="auto"/>
              </w:rPr>
              <w:t>%。排放量为</w:t>
            </w:r>
            <w:r>
              <w:rPr>
                <w:rFonts w:hint="eastAsia" w:ascii="Times New Roman" w:hAnsi="Times New Roman"/>
                <w:color w:val="auto"/>
              </w:rPr>
              <w:t>0.074</w:t>
            </w:r>
            <w:r>
              <w:rPr>
                <w:rFonts w:ascii="Times New Roman" w:hAnsi="Times New Roman"/>
                <w:color w:val="auto"/>
              </w:rPr>
              <w:t>t/a。</w:t>
            </w:r>
          </w:p>
          <w:p w14:paraId="34D0FE48">
            <w:pPr>
              <w:pStyle w:val="32"/>
              <w:spacing w:line="360" w:lineRule="auto"/>
              <w:ind w:firstLine="480" w:firstLineChars="200"/>
              <w:rPr>
                <w:rFonts w:ascii="Times New Roman" w:hAnsi="Times New Roman" w:cs="Times New Roman"/>
                <w:color w:val="auto"/>
                <w:lang w:eastAsia="zh-CN"/>
              </w:rPr>
            </w:pPr>
            <w:r>
              <w:rPr>
                <w:rFonts w:ascii="Times New Roman" w:hAnsi="Times New Roman" w:cs="Times New Roman"/>
                <w:color w:val="auto"/>
                <w:lang w:eastAsia="zh-CN"/>
              </w:rPr>
              <w:t>（2）无组织废气</w:t>
            </w:r>
          </w:p>
          <w:p w14:paraId="50B7DB9C">
            <w:pPr>
              <w:pStyle w:val="4"/>
              <w:spacing w:line="360" w:lineRule="auto"/>
              <w:ind w:firstLine="482" w:firstLineChars="200"/>
              <w:rPr>
                <w:rFonts w:hint="eastAsia"/>
                <w:color w:val="auto"/>
              </w:rPr>
            </w:pPr>
            <w:r>
              <w:rPr>
                <w:rFonts w:hint="eastAsia"/>
                <w:color w:val="auto"/>
              </w:rPr>
              <w:t>①</w:t>
            </w:r>
            <w:r>
              <w:rPr>
                <w:rFonts w:ascii="Times New Roman" w:hAnsi="Times New Roman"/>
                <w:color w:val="auto"/>
              </w:rPr>
              <w:t>原料</w:t>
            </w:r>
            <w:r>
              <w:rPr>
                <w:rFonts w:hint="eastAsia" w:ascii="Times New Roman" w:hAnsi="Times New Roman"/>
                <w:color w:val="auto"/>
              </w:rPr>
              <w:t>装卸和堆存产生</w:t>
            </w:r>
            <w:r>
              <w:rPr>
                <w:rFonts w:ascii="Times New Roman" w:hAnsi="Times New Roman"/>
                <w:color w:val="auto"/>
              </w:rPr>
              <w:t>的粉尘</w:t>
            </w:r>
          </w:p>
          <w:p w14:paraId="3870C624">
            <w:pPr>
              <w:pStyle w:val="4"/>
              <w:spacing w:line="360" w:lineRule="auto"/>
              <w:ind w:firstLine="480" w:firstLineChars="200"/>
              <w:rPr>
                <w:rFonts w:ascii="Times New Roman" w:hAnsi="Times New Roman"/>
                <w:b w:val="0"/>
                <w:bCs w:val="0"/>
                <w:color w:val="auto"/>
              </w:rPr>
            </w:pPr>
            <w:r>
              <w:rPr>
                <w:rFonts w:hint="eastAsia" w:ascii="Times New Roman" w:hAnsi="Times New Roman"/>
                <w:b w:val="0"/>
                <w:bCs w:val="0"/>
                <w:color w:val="auto"/>
              </w:rPr>
              <w:t>参照《排放源统计调查产排污核算方法和系数手册》（生态环境部公告2021年24号文）附表2工业源固体物料堆场颗粒物核算系数手册，工业企业固体物料堆存颗粒物包括装卸扬尘和风蚀扬尘。</w:t>
            </w:r>
          </w:p>
          <w:p w14:paraId="596E1E15">
            <w:pPr>
              <w:pStyle w:val="4"/>
              <w:spacing w:line="360" w:lineRule="auto"/>
              <w:ind w:firstLine="480" w:firstLineChars="200"/>
              <w:rPr>
                <w:rFonts w:ascii="Times New Roman" w:hAnsi="Times New Roman"/>
                <w:b w:val="0"/>
                <w:bCs w:val="0"/>
                <w:color w:val="auto"/>
              </w:rPr>
            </w:pPr>
            <w:r>
              <w:rPr>
                <w:rFonts w:hint="eastAsia" w:ascii="Times New Roman" w:hAnsi="Times New Roman"/>
                <w:b w:val="0"/>
                <w:bCs w:val="0"/>
                <w:color w:val="auto"/>
              </w:rPr>
              <w:t>颗粒物产生量核算公式如下：</w:t>
            </w:r>
          </w:p>
          <w:p w14:paraId="7084DEA6">
            <w:pPr>
              <w:pStyle w:val="4"/>
              <w:spacing w:line="360" w:lineRule="auto"/>
              <w:ind w:firstLine="480" w:firstLineChars="200"/>
              <w:rPr>
                <w:rFonts w:ascii="Times New Roman" w:hAnsi="Times New Roman"/>
                <w:b w:val="0"/>
                <w:bCs w:val="0"/>
                <w:color w:val="auto"/>
              </w:rPr>
            </w:pPr>
            <w:r>
              <w:rPr>
                <w:rFonts w:hint="eastAsia" w:ascii="Times New Roman" w:hAnsi="Times New Roman"/>
                <w:b w:val="0"/>
                <w:bCs w:val="0"/>
                <w:color w:val="auto"/>
              </w:rPr>
              <w:t>P={NC×D×(a/b)+2×Ef×S}×10</w:t>
            </w:r>
            <w:r>
              <w:rPr>
                <w:rFonts w:hint="eastAsia" w:ascii="Times New Roman" w:hAnsi="Times New Roman"/>
                <w:b w:val="0"/>
                <w:bCs w:val="0"/>
                <w:color w:val="auto"/>
                <w:vertAlign w:val="superscript"/>
              </w:rPr>
              <w:t>−3</w:t>
            </w:r>
          </w:p>
          <w:p w14:paraId="345E6A09">
            <w:pPr>
              <w:pStyle w:val="4"/>
              <w:spacing w:line="360" w:lineRule="auto"/>
              <w:ind w:firstLine="480" w:firstLineChars="200"/>
              <w:rPr>
                <w:rFonts w:ascii="Times New Roman" w:hAnsi="Times New Roman"/>
                <w:b w:val="0"/>
                <w:bCs w:val="0"/>
                <w:color w:val="auto"/>
              </w:rPr>
            </w:pPr>
            <w:r>
              <w:rPr>
                <w:rFonts w:hint="eastAsia" w:ascii="Times New Roman" w:hAnsi="Times New Roman"/>
                <w:b w:val="0"/>
                <w:bCs w:val="0"/>
                <w:color w:val="auto"/>
              </w:rPr>
              <w:t>式中：P指颗粒物产生量（单位：吨）；</w:t>
            </w:r>
          </w:p>
          <w:p w14:paraId="2516AC1E">
            <w:pPr>
              <w:pStyle w:val="4"/>
              <w:spacing w:line="360" w:lineRule="auto"/>
              <w:ind w:firstLine="480" w:firstLineChars="200"/>
              <w:rPr>
                <w:rFonts w:ascii="Times New Roman" w:hAnsi="Times New Roman"/>
                <w:b w:val="0"/>
                <w:bCs w:val="0"/>
                <w:color w:val="auto"/>
              </w:rPr>
            </w:pPr>
            <w:r>
              <w:rPr>
                <w:rFonts w:hint="eastAsia" w:ascii="Times New Roman" w:hAnsi="Times New Roman"/>
                <w:b w:val="0"/>
                <w:bCs w:val="0"/>
                <w:color w:val="auto"/>
              </w:rPr>
              <w:t>NC指年物料运载车次（单位：车）；</w:t>
            </w:r>
          </w:p>
          <w:p w14:paraId="71D5D45C">
            <w:pPr>
              <w:pStyle w:val="4"/>
              <w:spacing w:line="360" w:lineRule="auto"/>
              <w:ind w:firstLine="480" w:firstLineChars="200"/>
              <w:rPr>
                <w:rFonts w:ascii="Times New Roman" w:hAnsi="Times New Roman"/>
                <w:b w:val="0"/>
                <w:bCs w:val="0"/>
                <w:color w:val="auto"/>
              </w:rPr>
            </w:pPr>
            <w:r>
              <w:rPr>
                <w:rFonts w:hint="eastAsia" w:ascii="Times New Roman" w:hAnsi="Times New Roman"/>
                <w:b w:val="0"/>
                <w:bCs w:val="0"/>
                <w:color w:val="auto"/>
              </w:rPr>
              <w:t>D指单车平均运载量（单位：吨/车）；</w:t>
            </w:r>
          </w:p>
          <w:p w14:paraId="3340C8FB">
            <w:pPr>
              <w:pStyle w:val="4"/>
              <w:spacing w:line="360" w:lineRule="auto"/>
              <w:ind w:firstLine="480" w:firstLineChars="200"/>
              <w:rPr>
                <w:rFonts w:ascii="Times New Roman" w:hAnsi="Times New Roman"/>
                <w:b w:val="0"/>
                <w:bCs w:val="0"/>
                <w:color w:val="auto"/>
              </w:rPr>
            </w:pPr>
            <w:r>
              <w:rPr>
                <w:rFonts w:hint="eastAsia" w:ascii="Times New Roman" w:hAnsi="Times New Roman"/>
                <w:b w:val="0"/>
                <w:bCs w:val="0"/>
                <w:color w:val="auto"/>
              </w:rPr>
              <w:t xml:space="preserve">NC×D为物料运载量，项目堆场的物料主要为生石灰、脱硫石膏，项目物料堆场年运转量为59000吨/年； </w:t>
            </w:r>
          </w:p>
          <w:p w14:paraId="576B0CE4">
            <w:pPr>
              <w:pStyle w:val="4"/>
              <w:spacing w:line="360" w:lineRule="auto"/>
              <w:ind w:firstLine="480" w:firstLineChars="200"/>
              <w:rPr>
                <w:rFonts w:ascii="Times New Roman" w:hAnsi="Times New Roman"/>
                <w:b w:val="0"/>
                <w:bCs w:val="0"/>
                <w:color w:val="auto"/>
              </w:rPr>
            </w:pPr>
            <w:r>
              <w:rPr>
                <w:rFonts w:hint="eastAsia" w:ascii="Times New Roman" w:hAnsi="Times New Roman"/>
                <w:b w:val="0"/>
                <w:bCs w:val="0"/>
                <w:color w:val="auto"/>
              </w:rPr>
              <w:t>(a/b)指装卸扬尘概化系数（单位：千克/吨），a指各省风速概化系数，b指物料含水率概化系数，查表得a=0.0011、b=0.0004；</w:t>
            </w:r>
          </w:p>
          <w:p w14:paraId="40DA5A26">
            <w:pPr>
              <w:pStyle w:val="4"/>
              <w:spacing w:line="360" w:lineRule="auto"/>
              <w:ind w:firstLine="480" w:firstLineChars="200"/>
              <w:rPr>
                <w:rFonts w:ascii="Times New Roman" w:hAnsi="Times New Roman"/>
                <w:b w:val="0"/>
                <w:bCs w:val="0"/>
                <w:color w:val="auto"/>
              </w:rPr>
            </w:pPr>
            <w:r>
              <w:rPr>
                <w:rFonts w:hint="eastAsia" w:ascii="Times New Roman" w:hAnsi="Times New Roman"/>
                <w:b w:val="0"/>
                <w:bCs w:val="0"/>
                <w:color w:val="auto"/>
              </w:rPr>
              <w:t>Ef指堆场风蚀扬尘概化系数，查表得Ef=8.5848（千克/平方米）；</w:t>
            </w:r>
          </w:p>
          <w:p w14:paraId="13C13D0C">
            <w:pPr>
              <w:pStyle w:val="4"/>
              <w:spacing w:line="360" w:lineRule="auto"/>
              <w:ind w:firstLine="480" w:firstLineChars="200"/>
              <w:rPr>
                <w:rFonts w:ascii="Times New Roman" w:hAnsi="Times New Roman"/>
                <w:b w:val="0"/>
                <w:bCs w:val="0"/>
                <w:color w:val="auto"/>
              </w:rPr>
            </w:pPr>
            <w:r>
              <w:rPr>
                <w:rFonts w:hint="eastAsia" w:ascii="Times New Roman" w:hAnsi="Times New Roman"/>
                <w:b w:val="0"/>
                <w:bCs w:val="0"/>
                <w:color w:val="auto"/>
              </w:rPr>
              <w:t>S指堆场占地面积，项目料仓占地面积1900平方米。</w:t>
            </w:r>
          </w:p>
          <w:p w14:paraId="774FB5A5">
            <w:pPr>
              <w:pStyle w:val="4"/>
              <w:spacing w:line="360" w:lineRule="auto"/>
              <w:ind w:firstLine="480" w:firstLineChars="200"/>
              <w:rPr>
                <w:rFonts w:ascii="Times New Roman" w:hAnsi="Times New Roman"/>
                <w:b w:val="0"/>
                <w:bCs w:val="0"/>
                <w:color w:val="auto"/>
              </w:rPr>
            </w:pPr>
            <w:r>
              <w:rPr>
                <w:rFonts w:hint="eastAsia" w:ascii="Times New Roman" w:hAnsi="Times New Roman"/>
                <w:b w:val="0"/>
                <w:bCs w:val="0"/>
                <w:color w:val="auto"/>
              </w:rPr>
              <w:t>根据公式计算得出物料堆存颗粒物产生量为194.872t/a。</w:t>
            </w:r>
          </w:p>
          <w:p w14:paraId="47F8754D">
            <w:pPr>
              <w:pStyle w:val="4"/>
              <w:spacing w:line="360" w:lineRule="auto"/>
              <w:ind w:firstLine="480" w:firstLineChars="200"/>
              <w:rPr>
                <w:rFonts w:ascii="Times New Roman" w:hAnsi="Times New Roman"/>
                <w:b w:val="0"/>
                <w:bCs w:val="0"/>
                <w:color w:val="auto"/>
              </w:rPr>
            </w:pPr>
            <w:r>
              <w:rPr>
                <w:rFonts w:hint="eastAsia" w:ascii="Times New Roman" w:hAnsi="Times New Roman"/>
                <w:b w:val="0"/>
                <w:bCs w:val="0"/>
                <w:color w:val="auto"/>
              </w:rPr>
              <w:t>颗粒物排放量核算公式如下：</w:t>
            </w:r>
          </w:p>
          <w:p w14:paraId="21B8D647">
            <w:pPr>
              <w:pStyle w:val="4"/>
              <w:spacing w:line="360" w:lineRule="auto"/>
              <w:ind w:firstLine="480" w:firstLineChars="200"/>
              <w:rPr>
                <w:rFonts w:ascii="Times New Roman" w:hAnsi="Times New Roman"/>
                <w:b w:val="0"/>
                <w:bCs w:val="0"/>
                <w:color w:val="auto"/>
              </w:rPr>
            </w:pPr>
            <w:r>
              <w:rPr>
                <w:rFonts w:hint="eastAsia" w:ascii="Times New Roman" w:hAnsi="Times New Roman"/>
                <w:b w:val="0"/>
                <w:bCs w:val="0"/>
                <w:color w:val="auto"/>
              </w:rPr>
              <w:t>Uc=P×(1-Cm)×(1-Tm)</w:t>
            </w:r>
          </w:p>
          <w:p w14:paraId="4B012A53">
            <w:pPr>
              <w:pStyle w:val="4"/>
              <w:spacing w:line="360" w:lineRule="auto"/>
              <w:ind w:firstLine="480" w:firstLineChars="200"/>
              <w:rPr>
                <w:rFonts w:ascii="Times New Roman" w:hAnsi="Times New Roman"/>
                <w:b w:val="0"/>
                <w:bCs w:val="0"/>
                <w:color w:val="auto"/>
              </w:rPr>
            </w:pPr>
            <w:r>
              <w:rPr>
                <w:rFonts w:hint="eastAsia" w:ascii="Times New Roman" w:hAnsi="Times New Roman"/>
                <w:b w:val="0"/>
                <w:bCs w:val="0"/>
                <w:color w:val="auto"/>
              </w:rPr>
              <w:t>式中：P 指颗粒物产生量（单位：吨）；</w:t>
            </w:r>
          </w:p>
          <w:p w14:paraId="06C18567">
            <w:pPr>
              <w:pStyle w:val="4"/>
              <w:spacing w:line="360" w:lineRule="auto"/>
              <w:ind w:firstLine="480" w:firstLineChars="200"/>
              <w:rPr>
                <w:rFonts w:ascii="Times New Roman" w:hAnsi="Times New Roman"/>
                <w:b w:val="0"/>
                <w:bCs w:val="0"/>
                <w:color w:val="auto"/>
              </w:rPr>
            </w:pPr>
            <w:r>
              <w:rPr>
                <w:rFonts w:hint="eastAsia" w:ascii="Times New Roman" w:hAnsi="Times New Roman"/>
                <w:b w:val="0"/>
                <w:bCs w:val="0"/>
                <w:color w:val="auto"/>
              </w:rPr>
              <w:t>UC指颗粒物排放量（单位：吨）；</w:t>
            </w:r>
          </w:p>
          <w:p w14:paraId="49276C53">
            <w:pPr>
              <w:pStyle w:val="4"/>
              <w:spacing w:line="360" w:lineRule="auto"/>
              <w:ind w:firstLine="480" w:firstLineChars="200"/>
              <w:rPr>
                <w:rFonts w:ascii="Times New Roman" w:hAnsi="Times New Roman"/>
                <w:b w:val="0"/>
                <w:bCs w:val="0"/>
                <w:color w:val="auto"/>
              </w:rPr>
            </w:pPr>
            <w:r>
              <w:rPr>
                <w:rFonts w:hint="eastAsia" w:ascii="Times New Roman" w:hAnsi="Times New Roman"/>
                <w:b w:val="0"/>
                <w:bCs w:val="0"/>
                <w:color w:val="auto"/>
              </w:rPr>
              <w:t>Cm指颗粒物控制措施控制效率（单位：%），项目采用喷雾洒水、围挡和出入车辆冲洗等措施，控制效率分别为74%、60%和78%；</w:t>
            </w:r>
          </w:p>
          <w:p w14:paraId="087396EE">
            <w:pPr>
              <w:pStyle w:val="52"/>
              <w:adjustRightInd/>
              <w:spacing w:after="0" w:line="360" w:lineRule="auto"/>
              <w:ind w:firstLine="480" w:firstLineChars="200"/>
              <w:rPr>
                <w:rFonts w:ascii="Times New Roman" w:hAnsi="Times New Roman" w:cs="Times New Roman"/>
                <w:color w:val="auto"/>
              </w:rPr>
            </w:pPr>
            <w:r>
              <w:rPr>
                <w:rFonts w:hint="eastAsia" w:ascii="Times New Roman" w:hAnsi="Times New Roman" w:cs="Times New Roman"/>
                <w:color w:val="auto"/>
              </w:rPr>
              <w:t>Tm指堆场类型控制效率（单位：%），封闭料仓，控制效率99%。根据公式计算得出物料堆存颗粒物排放量约为4.45t/a。</w:t>
            </w:r>
          </w:p>
          <w:p w14:paraId="5571D5B7">
            <w:pPr>
              <w:pStyle w:val="4"/>
              <w:spacing w:line="360" w:lineRule="auto"/>
              <w:ind w:firstLine="480" w:firstLineChars="200"/>
              <w:rPr>
                <w:rFonts w:ascii="Times New Roman" w:hAnsi="Times New Roman"/>
                <w:b w:val="0"/>
                <w:bCs w:val="0"/>
                <w:color w:val="auto"/>
              </w:rPr>
            </w:pPr>
            <w:r>
              <w:rPr>
                <w:rFonts w:ascii="Times New Roman" w:hAnsi="Times New Roman"/>
                <w:b w:val="0"/>
                <w:bCs w:val="0"/>
                <w:color w:val="auto"/>
              </w:rPr>
              <w:t>本项目物料堆场粉尘无组织排放控制要求：</w:t>
            </w:r>
          </w:p>
          <w:p w14:paraId="0B20C299">
            <w:pPr>
              <w:pStyle w:val="4"/>
              <w:spacing w:line="360" w:lineRule="auto"/>
              <w:ind w:firstLine="480" w:firstLineChars="200"/>
              <w:rPr>
                <w:rFonts w:ascii="Times New Roman" w:hAnsi="Times New Roman"/>
                <w:b w:val="0"/>
                <w:bCs w:val="0"/>
                <w:color w:val="auto"/>
              </w:rPr>
            </w:pPr>
            <w:r>
              <w:rPr>
                <w:rFonts w:hint="eastAsia" w:ascii="Times New Roman" w:hAnsi="Times New Roman"/>
                <w:b w:val="0"/>
                <w:bCs w:val="0"/>
                <w:color w:val="auto"/>
              </w:rPr>
              <w:t>A.</w:t>
            </w:r>
            <w:r>
              <w:rPr>
                <w:rFonts w:ascii="Times New Roman" w:hAnsi="Times New Roman"/>
                <w:b w:val="0"/>
                <w:bCs w:val="0"/>
                <w:color w:val="auto"/>
              </w:rPr>
              <w:t>本项目原料堆全部封闭堆棚储存。</w:t>
            </w:r>
          </w:p>
          <w:p w14:paraId="02D61764">
            <w:pPr>
              <w:pStyle w:val="32"/>
              <w:spacing w:line="360" w:lineRule="auto"/>
              <w:ind w:firstLine="480" w:firstLineChars="200"/>
              <w:rPr>
                <w:rFonts w:ascii="Times New Roman" w:hAnsi="Times New Roman" w:cs="Times New Roman"/>
                <w:color w:val="auto"/>
                <w:szCs w:val="22"/>
                <w:lang w:eastAsia="zh-CN"/>
              </w:rPr>
            </w:pPr>
            <w:r>
              <w:rPr>
                <w:rFonts w:hint="eastAsia" w:ascii="Times New Roman" w:hAnsi="Times New Roman" w:cs="Times New Roman"/>
                <w:color w:val="auto"/>
                <w:szCs w:val="22"/>
                <w:lang w:eastAsia="zh-CN"/>
              </w:rPr>
              <w:t>B.</w:t>
            </w:r>
            <w:r>
              <w:rPr>
                <w:rFonts w:ascii="Times New Roman" w:hAnsi="Times New Roman" w:cs="Times New Roman"/>
                <w:color w:val="auto"/>
                <w:szCs w:val="22"/>
                <w:lang w:eastAsia="zh-CN"/>
              </w:rPr>
              <w:t>原料仓库内设置水喷淋、围挡抑制扬尘。</w:t>
            </w:r>
          </w:p>
          <w:p w14:paraId="6A4C0675">
            <w:pPr>
              <w:pStyle w:val="32"/>
              <w:spacing w:line="360" w:lineRule="auto"/>
              <w:ind w:firstLine="480" w:firstLineChars="200"/>
              <w:rPr>
                <w:rFonts w:hint="eastAsia"/>
                <w:color w:val="auto"/>
                <w:lang w:eastAsia="zh-CN"/>
              </w:rPr>
            </w:pPr>
            <w:r>
              <w:rPr>
                <w:rFonts w:hint="eastAsia" w:ascii="Times New Roman" w:hAnsi="Times New Roman" w:cs="Times New Roman"/>
                <w:color w:val="auto"/>
                <w:szCs w:val="22"/>
                <w:lang w:eastAsia="zh-CN"/>
              </w:rPr>
              <w:t>C.</w:t>
            </w:r>
            <w:r>
              <w:rPr>
                <w:rFonts w:ascii="Times New Roman" w:hAnsi="Times New Roman" w:cs="Times New Roman"/>
                <w:color w:val="auto"/>
                <w:szCs w:val="22"/>
                <w:lang w:eastAsia="zh-CN"/>
              </w:rPr>
              <w:t>厂区内设置车辆冲洗区，对于进出厂区的车辆进行冲洗，厂区内道路定期清扫、洒水。</w:t>
            </w:r>
          </w:p>
          <w:p w14:paraId="01A09A04">
            <w:pPr>
              <w:pStyle w:val="32"/>
              <w:spacing w:line="360" w:lineRule="auto"/>
              <w:ind w:firstLine="482" w:firstLineChars="200"/>
              <w:rPr>
                <w:rFonts w:hint="eastAsia"/>
                <w:b/>
                <w:bCs/>
                <w:color w:val="auto"/>
                <w:lang w:eastAsia="zh-CN"/>
              </w:rPr>
            </w:pPr>
            <w:r>
              <w:rPr>
                <w:rFonts w:hint="eastAsia"/>
                <w:b/>
                <w:bCs/>
                <w:color w:val="auto"/>
                <w:lang w:eastAsia="zh-CN"/>
              </w:rPr>
              <w:t>②</w:t>
            </w:r>
            <w:r>
              <w:rPr>
                <w:b/>
                <w:bCs/>
                <w:color w:val="auto"/>
                <w:lang w:eastAsia="zh-CN"/>
              </w:rPr>
              <w:t>运输车辆起尘</w:t>
            </w:r>
          </w:p>
          <w:p w14:paraId="094137F7">
            <w:pPr>
              <w:pStyle w:val="32"/>
              <w:spacing w:line="360" w:lineRule="auto"/>
              <w:ind w:firstLine="480" w:firstLineChars="200"/>
              <w:rPr>
                <w:rFonts w:hint="eastAsia"/>
                <w:color w:val="auto"/>
                <w:lang w:eastAsia="zh-CN"/>
              </w:rPr>
            </w:pPr>
            <w:r>
              <w:rPr>
                <w:color w:val="auto"/>
                <w:lang w:eastAsia="zh-CN"/>
              </w:rPr>
              <w:t>车辆行驶产生的扬尘，在道路完全干燥的条件下，可按照下列经验公式计算</w:t>
            </w:r>
            <w:r>
              <w:rPr>
                <w:rFonts w:hint="eastAsia"/>
                <w:color w:val="auto"/>
                <w:lang w:eastAsia="zh-CN"/>
              </w:rPr>
              <w:t>：</w:t>
            </w:r>
          </w:p>
          <w:p w14:paraId="260CAE2A">
            <w:pPr>
              <w:pStyle w:val="32"/>
              <w:spacing w:line="360" w:lineRule="auto"/>
              <w:jc w:val="center"/>
              <w:rPr>
                <w:rFonts w:ascii="Times New Roman" w:hAnsi="Times New Roman" w:cs="Times New Roman"/>
                <w:color w:val="auto"/>
                <w:lang w:eastAsia="zh-CN"/>
              </w:rPr>
            </w:pPr>
            <w:r>
              <w:rPr>
                <w:rFonts w:ascii="Times New Roman" w:hAnsi="Times New Roman" w:cs="Times New Roman"/>
                <w:color w:val="auto"/>
                <w:lang w:eastAsia="zh-CN"/>
              </w:rPr>
              <w:t>Q=0.123(V/5)(W/6.8)</w:t>
            </w:r>
            <w:r>
              <w:rPr>
                <w:rFonts w:ascii="Times New Roman" w:hAnsi="Times New Roman" w:cs="Times New Roman"/>
                <w:color w:val="auto"/>
                <w:vertAlign w:val="superscript"/>
                <w:lang w:eastAsia="zh-CN"/>
              </w:rPr>
              <w:t>0.85</w:t>
            </w:r>
            <w:r>
              <w:rPr>
                <w:rFonts w:ascii="Times New Roman" w:hAnsi="Times New Roman" w:cs="Times New Roman"/>
                <w:color w:val="auto"/>
                <w:lang w:eastAsia="zh-CN"/>
              </w:rPr>
              <w:t>(P/0.5)</w:t>
            </w:r>
            <w:r>
              <w:rPr>
                <w:rFonts w:ascii="Times New Roman" w:hAnsi="Times New Roman" w:cs="Times New Roman"/>
                <w:color w:val="auto"/>
                <w:vertAlign w:val="superscript"/>
                <w:lang w:eastAsia="zh-CN"/>
              </w:rPr>
              <w:t>0.75</w:t>
            </w:r>
          </w:p>
          <w:p w14:paraId="4F823F69">
            <w:pPr>
              <w:pStyle w:val="32"/>
              <w:spacing w:line="360" w:lineRule="auto"/>
              <w:ind w:firstLine="480" w:firstLineChars="200"/>
              <w:rPr>
                <w:rFonts w:ascii="Times New Roman" w:hAnsi="Times New Roman" w:cs="Times New Roman"/>
                <w:color w:val="auto"/>
                <w:lang w:eastAsia="zh-CN"/>
              </w:rPr>
            </w:pPr>
            <w:r>
              <w:rPr>
                <w:rFonts w:ascii="Times New Roman" w:hAnsi="Times New Roman" w:cs="Times New Roman"/>
                <w:color w:val="auto"/>
                <w:lang w:eastAsia="zh-CN"/>
              </w:rPr>
              <w:t>式中：Q：汽车行驶时的扬尘，kg/km.辆；</w:t>
            </w:r>
          </w:p>
          <w:p w14:paraId="52C77F8A">
            <w:pPr>
              <w:pStyle w:val="32"/>
              <w:spacing w:line="360" w:lineRule="auto"/>
              <w:ind w:firstLine="480" w:firstLineChars="200"/>
              <w:rPr>
                <w:rFonts w:ascii="Times New Roman" w:hAnsi="Times New Roman" w:cs="Times New Roman"/>
                <w:color w:val="auto"/>
                <w:lang w:eastAsia="zh-CN"/>
              </w:rPr>
            </w:pPr>
            <w:r>
              <w:rPr>
                <w:rFonts w:ascii="Times New Roman" w:hAnsi="Times New Roman" w:cs="Times New Roman"/>
                <w:color w:val="auto"/>
                <w:lang w:eastAsia="zh-CN"/>
              </w:rPr>
              <w:t>V：汽车速度，km/h；</w:t>
            </w:r>
          </w:p>
          <w:p w14:paraId="4A74B1F1">
            <w:pPr>
              <w:pStyle w:val="32"/>
              <w:spacing w:line="360" w:lineRule="auto"/>
              <w:ind w:firstLine="480" w:firstLineChars="200"/>
              <w:rPr>
                <w:rFonts w:ascii="Times New Roman" w:hAnsi="Times New Roman" w:cs="Times New Roman"/>
                <w:color w:val="auto"/>
                <w:lang w:eastAsia="zh-CN"/>
              </w:rPr>
            </w:pPr>
            <w:r>
              <w:rPr>
                <w:rFonts w:ascii="Times New Roman" w:hAnsi="Times New Roman" w:cs="Times New Roman"/>
                <w:color w:val="auto"/>
                <w:lang w:eastAsia="zh-CN"/>
              </w:rPr>
              <w:t>W：汽车载重量，吨；</w:t>
            </w:r>
          </w:p>
          <w:p w14:paraId="79DB3819">
            <w:pPr>
              <w:pStyle w:val="32"/>
              <w:spacing w:line="360" w:lineRule="auto"/>
              <w:ind w:firstLine="480" w:firstLineChars="200"/>
              <w:rPr>
                <w:rFonts w:ascii="Times New Roman" w:hAnsi="Times New Roman" w:cs="Times New Roman"/>
                <w:color w:val="auto"/>
                <w:lang w:eastAsia="zh-CN"/>
              </w:rPr>
            </w:pPr>
            <w:r>
              <w:rPr>
                <w:rFonts w:ascii="Times New Roman" w:hAnsi="Times New Roman" w:cs="Times New Roman"/>
                <w:color w:val="auto"/>
                <w:lang w:eastAsia="zh-CN"/>
              </w:rPr>
              <w:t>P：道路表面粉尘量，kg/m²</w:t>
            </w:r>
          </w:p>
          <w:p w14:paraId="6A041735">
            <w:pPr>
              <w:pStyle w:val="52"/>
              <w:adjustRightInd/>
              <w:spacing w:after="0" w:line="360" w:lineRule="auto"/>
              <w:ind w:firstLine="480" w:firstLineChars="200"/>
              <w:rPr>
                <w:rFonts w:ascii="Times New Roman" w:hAnsi="Times New Roman" w:cs="Times New Roman"/>
                <w:color w:val="auto"/>
              </w:rPr>
            </w:pPr>
            <w:r>
              <w:rPr>
                <w:rFonts w:ascii="Times New Roman" w:hAnsi="Times New Roman" w:cs="Times New Roman"/>
                <w:color w:val="auto"/>
                <w:kern w:val="21"/>
              </w:rPr>
              <w:t>本项目车辆在厂区行驶距离按</w:t>
            </w:r>
            <w:r>
              <w:rPr>
                <w:rFonts w:ascii="Times New Roman" w:hAnsi="Times New Roman" w:eastAsia="Times New Roman" w:cs="Times New Roman"/>
                <w:color w:val="auto"/>
                <w:kern w:val="21"/>
              </w:rPr>
              <w:t>200m</w:t>
            </w:r>
            <w:r>
              <w:rPr>
                <w:rFonts w:ascii="Times New Roman" w:hAnsi="Times New Roman" w:cs="Times New Roman"/>
                <w:color w:val="auto"/>
                <w:kern w:val="21"/>
              </w:rPr>
              <w:t>计，</w:t>
            </w:r>
            <w:r>
              <w:rPr>
                <w:rFonts w:hint="eastAsia" w:ascii="Times New Roman" w:hAnsi="Times New Roman" w:cs="Times New Roman"/>
                <w:color w:val="auto"/>
                <w:kern w:val="21"/>
              </w:rPr>
              <w:t>扩建项目原辅材料为209万t/a，项目原料按单车一次运输量为50t计算，则</w:t>
            </w:r>
            <w:r>
              <w:rPr>
                <w:rFonts w:ascii="Times New Roman" w:hAnsi="Times New Roman" w:cs="Times New Roman"/>
                <w:color w:val="auto"/>
                <w:kern w:val="21"/>
              </w:rPr>
              <w:t>平均每天发空车、重载各约</w:t>
            </w:r>
            <w:r>
              <w:rPr>
                <w:rFonts w:hint="eastAsia" w:ascii="Times New Roman" w:hAnsi="Times New Roman" w:cs="Times New Roman"/>
                <w:color w:val="auto"/>
                <w:kern w:val="21"/>
              </w:rPr>
              <w:t>140</w:t>
            </w:r>
            <w:r>
              <w:rPr>
                <w:rFonts w:ascii="Times New Roman" w:hAnsi="Times New Roman" w:cs="Times New Roman"/>
                <w:color w:val="auto"/>
                <w:kern w:val="21"/>
              </w:rPr>
              <w:t>辆</w:t>
            </w:r>
            <w:r>
              <w:rPr>
                <w:rFonts w:ascii="Times New Roman" w:hAnsi="Times New Roman" w:eastAsia="Times New Roman" w:cs="Times New Roman"/>
                <w:color w:val="auto"/>
                <w:kern w:val="21"/>
              </w:rPr>
              <w:t>·</w:t>
            </w:r>
            <w:r>
              <w:rPr>
                <w:rFonts w:ascii="Times New Roman" w:hAnsi="Times New Roman" w:cs="Times New Roman"/>
                <w:color w:val="auto"/>
                <w:kern w:val="21"/>
              </w:rPr>
              <w:t>次，空车重约</w:t>
            </w:r>
            <w:r>
              <w:rPr>
                <w:rFonts w:ascii="Times New Roman" w:hAnsi="Times New Roman" w:eastAsia="Times New Roman" w:cs="Times New Roman"/>
                <w:color w:val="auto"/>
                <w:kern w:val="21"/>
              </w:rPr>
              <w:t>10.0t</w:t>
            </w:r>
            <w:r>
              <w:rPr>
                <w:rFonts w:ascii="Times New Roman" w:hAnsi="Times New Roman" w:cs="Times New Roman"/>
                <w:color w:val="auto"/>
                <w:kern w:val="21"/>
              </w:rPr>
              <w:t>，重车重约</w:t>
            </w:r>
            <w:r>
              <w:rPr>
                <w:rFonts w:hint="eastAsia" w:ascii="Times New Roman" w:hAnsi="Times New Roman" w:cs="Times New Roman"/>
                <w:color w:val="auto"/>
                <w:kern w:val="21"/>
              </w:rPr>
              <w:t>50.0t</w:t>
            </w:r>
            <w:r>
              <w:rPr>
                <w:rFonts w:ascii="Times New Roman" w:hAnsi="Times New Roman" w:cs="Times New Roman"/>
                <w:color w:val="auto"/>
                <w:kern w:val="21"/>
              </w:rPr>
              <w:t>，以</w:t>
            </w:r>
            <w:r>
              <w:rPr>
                <w:rFonts w:ascii="Times New Roman" w:hAnsi="Times New Roman" w:eastAsia="Times New Roman" w:cs="Times New Roman"/>
                <w:color w:val="auto"/>
                <w:kern w:val="21"/>
              </w:rPr>
              <w:t>10km/h</w:t>
            </w:r>
            <w:r>
              <w:rPr>
                <w:rFonts w:ascii="Times New Roman" w:hAnsi="Times New Roman" w:cs="Times New Roman"/>
                <w:color w:val="auto"/>
                <w:kern w:val="21"/>
              </w:rPr>
              <w:t>行驶，本环评对道路路况以</w:t>
            </w:r>
            <w:r>
              <w:rPr>
                <w:rFonts w:ascii="Times New Roman" w:hAnsi="Times New Roman" w:eastAsia="Times New Roman" w:cs="Times New Roman"/>
                <w:color w:val="auto"/>
                <w:kern w:val="21"/>
              </w:rPr>
              <w:t>0.2kg/m</w:t>
            </w:r>
            <w:r>
              <w:rPr>
                <w:rFonts w:hint="eastAsia" w:ascii="Times New Roman" w:hAnsi="Times New Roman" w:cs="Times New Roman"/>
                <w:color w:val="auto"/>
                <w:kern w:val="21"/>
              </w:rPr>
              <w:t>²</w:t>
            </w:r>
            <w:r>
              <w:rPr>
                <w:rFonts w:ascii="Times New Roman" w:hAnsi="Times New Roman" w:cs="Times New Roman"/>
                <w:color w:val="auto"/>
                <w:kern w:val="21"/>
              </w:rPr>
              <w:t>计</w:t>
            </w:r>
            <w:r>
              <w:rPr>
                <w:rFonts w:hint="eastAsia" w:ascii="Times New Roman" w:hAnsi="Times New Roman" w:cs="Times New Roman"/>
                <w:color w:val="auto"/>
                <w:kern w:val="21"/>
              </w:rPr>
              <w:t>，</w:t>
            </w:r>
            <w:r>
              <w:rPr>
                <w:rFonts w:ascii="Times New Roman" w:hAnsi="Times New Roman" w:cs="Times New Roman"/>
                <w:color w:val="auto"/>
                <w:kern w:val="21"/>
              </w:rPr>
              <w:t>则经计算，项目每日空车扬尘量为</w:t>
            </w:r>
            <w:r>
              <w:rPr>
                <w:rFonts w:hint="eastAsia" w:ascii="Times New Roman" w:hAnsi="Times New Roman" w:cs="Times New Roman"/>
                <w:color w:val="auto"/>
                <w:kern w:val="21"/>
              </w:rPr>
              <w:t>23.94</w:t>
            </w:r>
            <w:r>
              <w:rPr>
                <w:rFonts w:ascii="Times New Roman" w:hAnsi="Times New Roman" w:eastAsia="Times New Roman" w:cs="Times New Roman"/>
                <w:color w:val="auto"/>
                <w:kern w:val="21"/>
              </w:rPr>
              <w:t>kg/d</w:t>
            </w:r>
            <w:r>
              <w:rPr>
                <w:rFonts w:ascii="Times New Roman" w:hAnsi="Times New Roman" w:cs="Times New Roman"/>
                <w:color w:val="auto"/>
                <w:kern w:val="21"/>
              </w:rPr>
              <w:t>（</w:t>
            </w:r>
            <w:r>
              <w:rPr>
                <w:rFonts w:hint="eastAsia" w:ascii="Times New Roman" w:hAnsi="Times New Roman" w:cs="Times New Roman"/>
                <w:color w:val="auto"/>
                <w:kern w:val="21"/>
              </w:rPr>
              <w:t>7.182</w:t>
            </w:r>
            <w:r>
              <w:rPr>
                <w:rFonts w:ascii="Times New Roman" w:hAnsi="Times New Roman" w:eastAsia="Times New Roman" w:cs="Times New Roman"/>
                <w:color w:val="auto"/>
                <w:kern w:val="21"/>
              </w:rPr>
              <w:t>t/a</w:t>
            </w:r>
            <w:r>
              <w:rPr>
                <w:rFonts w:ascii="Times New Roman" w:hAnsi="Times New Roman" w:cs="Times New Roman"/>
                <w:color w:val="auto"/>
                <w:kern w:val="21"/>
              </w:rPr>
              <w:t>），重车扬尘量为</w:t>
            </w:r>
            <w:r>
              <w:rPr>
                <w:rFonts w:hint="eastAsia" w:ascii="Times New Roman" w:hAnsi="Times New Roman" w:cs="Times New Roman"/>
                <w:color w:val="auto"/>
                <w:kern w:val="21"/>
              </w:rPr>
              <w:t>94.36</w:t>
            </w:r>
            <w:r>
              <w:rPr>
                <w:rFonts w:ascii="Times New Roman" w:hAnsi="Times New Roman" w:eastAsia="Times New Roman" w:cs="Times New Roman"/>
                <w:color w:val="auto"/>
                <w:kern w:val="21"/>
              </w:rPr>
              <w:t>kg/d</w:t>
            </w:r>
            <w:r>
              <w:rPr>
                <w:rFonts w:ascii="Times New Roman" w:hAnsi="Times New Roman" w:cs="Times New Roman"/>
                <w:color w:val="auto"/>
                <w:kern w:val="21"/>
              </w:rPr>
              <w:t>（</w:t>
            </w:r>
            <w:r>
              <w:rPr>
                <w:rFonts w:hint="eastAsia" w:ascii="Times New Roman" w:hAnsi="Times New Roman" w:cs="Times New Roman"/>
                <w:color w:val="auto"/>
                <w:kern w:val="21"/>
              </w:rPr>
              <w:t>28.308</w:t>
            </w:r>
            <w:r>
              <w:rPr>
                <w:rFonts w:ascii="Times New Roman" w:hAnsi="Times New Roman" w:eastAsia="Times New Roman" w:cs="Times New Roman"/>
                <w:color w:val="auto"/>
                <w:kern w:val="21"/>
              </w:rPr>
              <w:t>t/a</w:t>
            </w:r>
            <w:r>
              <w:rPr>
                <w:rFonts w:ascii="Times New Roman" w:hAnsi="Times New Roman" w:cs="Times New Roman"/>
                <w:color w:val="auto"/>
                <w:kern w:val="21"/>
              </w:rPr>
              <w:t>）。因此，车辆运输过程扬尘量合计为</w:t>
            </w:r>
            <w:r>
              <w:rPr>
                <w:rFonts w:hint="eastAsia" w:ascii="Times New Roman" w:hAnsi="Times New Roman" w:cs="Times New Roman"/>
                <w:color w:val="auto"/>
                <w:kern w:val="21"/>
              </w:rPr>
              <w:t>35.49</w:t>
            </w:r>
            <w:r>
              <w:rPr>
                <w:rFonts w:ascii="Times New Roman" w:hAnsi="Times New Roman" w:cs="Times New Roman"/>
                <w:color w:val="auto"/>
                <w:kern w:val="21"/>
              </w:rPr>
              <w:t>t/a</w:t>
            </w:r>
            <w:r>
              <w:rPr>
                <w:rFonts w:hint="eastAsia" w:ascii="Times New Roman" w:hAnsi="Times New Roman" w:cs="Times New Roman"/>
                <w:color w:val="auto"/>
                <w:kern w:val="21"/>
              </w:rPr>
              <w:t>。</w:t>
            </w:r>
            <w:r>
              <w:rPr>
                <w:rFonts w:ascii="Times New Roman" w:hAnsi="Times New Roman" w:cs="Times New Roman"/>
                <w:color w:val="auto"/>
                <w:kern w:val="21"/>
              </w:rPr>
              <w:t>根据本项目的情况，要求项目建设单位对厂区内地面定期派专人进行路面清扫、洒水，在厂区进出口设置一座洗车台，车辆进出均需经洗车台清洗，以减少道路扬尘，经采取降尘措施后，汽车动力起尘量减少</w:t>
            </w:r>
            <w:r>
              <w:rPr>
                <w:rFonts w:ascii="Times New Roman" w:hAnsi="Times New Roman" w:eastAsia="Times New Roman" w:cs="Times New Roman"/>
                <w:color w:val="auto"/>
                <w:kern w:val="21"/>
              </w:rPr>
              <w:t>9</w:t>
            </w:r>
            <w:r>
              <w:rPr>
                <w:rFonts w:hint="eastAsia" w:ascii="Times New Roman" w:hAnsi="Times New Roman" w:cs="Times New Roman"/>
                <w:color w:val="auto"/>
                <w:kern w:val="21"/>
              </w:rPr>
              <w:t>5</w:t>
            </w:r>
            <w:r>
              <w:rPr>
                <w:rFonts w:ascii="Times New Roman" w:hAnsi="Times New Roman" w:eastAsia="Times New Roman" w:cs="Times New Roman"/>
                <w:color w:val="auto"/>
                <w:kern w:val="21"/>
              </w:rPr>
              <w:t>%</w:t>
            </w:r>
            <w:r>
              <w:rPr>
                <w:rFonts w:hint="eastAsia" w:ascii="Times New Roman" w:hAnsi="Times New Roman" w:cs="Times New Roman"/>
                <w:color w:val="auto"/>
                <w:kern w:val="21"/>
              </w:rPr>
              <w:t>，</w:t>
            </w:r>
            <w:r>
              <w:rPr>
                <w:rFonts w:ascii="Times New Roman" w:hAnsi="Times New Roman" w:cs="Times New Roman"/>
                <w:color w:val="auto"/>
                <w:kern w:val="21"/>
              </w:rPr>
              <w:t>则项目汽车扬尘会减少至</w:t>
            </w:r>
            <w:r>
              <w:rPr>
                <w:rFonts w:hint="eastAsia" w:ascii="Times New Roman" w:hAnsi="Times New Roman" w:cs="Times New Roman"/>
                <w:color w:val="auto"/>
                <w:kern w:val="21"/>
              </w:rPr>
              <w:t>1.774</w:t>
            </w:r>
            <w:r>
              <w:rPr>
                <w:rFonts w:ascii="Times New Roman" w:hAnsi="Times New Roman" w:eastAsia="Times New Roman" w:cs="Times New Roman"/>
                <w:color w:val="auto"/>
                <w:kern w:val="21"/>
              </w:rPr>
              <w:t>t/a</w:t>
            </w:r>
            <w:r>
              <w:rPr>
                <w:rFonts w:ascii="Times New Roman" w:hAnsi="Times New Roman" w:cs="Times New Roman"/>
                <w:color w:val="auto"/>
                <w:kern w:val="21"/>
              </w:rPr>
              <w:t>。</w:t>
            </w:r>
          </w:p>
          <w:p w14:paraId="39FB3D79">
            <w:pPr>
              <w:spacing w:line="360" w:lineRule="auto"/>
              <w:ind w:firstLine="480" w:firstLineChars="200"/>
              <w:rPr>
                <w:color w:val="auto"/>
                <w:sz w:val="24"/>
              </w:rPr>
            </w:pPr>
            <w:r>
              <w:rPr>
                <w:color w:val="auto"/>
                <w:sz w:val="24"/>
              </w:rPr>
              <w:t>项目废气产生与排放情况见下表：</w:t>
            </w:r>
          </w:p>
          <w:p w14:paraId="7672100A">
            <w:pPr>
              <w:spacing w:line="360" w:lineRule="auto"/>
              <w:ind w:firstLine="480" w:firstLineChars="200"/>
              <w:rPr>
                <w:color w:val="auto"/>
                <w:sz w:val="24"/>
              </w:rPr>
            </w:pPr>
          </w:p>
          <w:p w14:paraId="10DE3B9C">
            <w:pPr>
              <w:spacing w:line="360" w:lineRule="auto"/>
              <w:ind w:firstLine="480" w:firstLineChars="200"/>
              <w:rPr>
                <w:color w:val="auto"/>
                <w:sz w:val="24"/>
              </w:rPr>
            </w:pPr>
          </w:p>
          <w:p w14:paraId="38A17968">
            <w:pPr>
              <w:spacing w:line="360" w:lineRule="auto"/>
              <w:ind w:firstLine="480" w:firstLineChars="200"/>
              <w:rPr>
                <w:color w:val="auto"/>
                <w:sz w:val="24"/>
              </w:rPr>
            </w:pPr>
          </w:p>
          <w:p w14:paraId="25BB6B4A">
            <w:pPr>
              <w:spacing w:line="360" w:lineRule="auto"/>
              <w:ind w:firstLine="480" w:firstLineChars="200"/>
              <w:rPr>
                <w:color w:val="auto"/>
                <w:sz w:val="24"/>
              </w:rPr>
            </w:pPr>
          </w:p>
          <w:p w14:paraId="220FCDED">
            <w:pPr>
              <w:spacing w:line="360" w:lineRule="auto"/>
              <w:ind w:firstLine="480" w:firstLineChars="200"/>
              <w:rPr>
                <w:color w:val="auto"/>
                <w:sz w:val="24"/>
              </w:rPr>
            </w:pPr>
          </w:p>
          <w:p w14:paraId="535BC0FB">
            <w:pPr>
              <w:spacing w:line="360" w:lineRule="auto"/>
              <w:ind w:firstLine="480" w:firstLineChars="200"/>
              <w:rPr>
                <w:color w:val="auto"/>
                <w:sz w:val="24"/>
              </w:rPr>
            </w:pPr>
          </w:p>
          <w:p w14:paraId="02074CC2">
            <w:pPr>
              <w:spacing w:line="360" w:lineRule="auto"/>
              <w:ind w:firstLine="480" w:firstLineChars="200"/>
              <w:rPr>
                <w:color w:val="auto"/>
                <w:sz w:val="24"/>
              </w:rPr>
            </w:pPr>
          </w:p>
          <w:p w14:paraId="6D184D58">
            <w:pPr>
              <w:spacing w:line="360" w:lineRule="auto"/>
              <w:ind w:firstLine="480" w:firstLineChars="200"/>
              <w:rPr>
                <w:color w:val="auto"/>
                <w:sz w:val="24"/>
              </w:rPr>
            </w:pPr>
          </w:p>
          <w:p w14:paraId="585C22E1">
            <w:pPr>
              <w:spacing w:line="360" w:lineRule="auto"/>
              <w:ind w:firstLine="480" w:firstLineChars="200"/>
              <w:rPr>
                <w:color w:val="auto"/>
                <w:sz w:val="24"/>
              </w:rPr>
            </w:pPr>
          </w:p>
          <w:p w14:paraId="61B2F085">
            <w:pPr>
              <w:spacing w:line="360" w:lineRule="auto"/>
              <w:rPr>
                <w:color w:val="auto"/>
                <w:sz w:val="24"/>
              </w:rPr>
            </w:pPr>
          </w:p>
        </w:tc>
      </w:tr>
    </w:tbl>
    <w:p w14:paraId="38CF14DD">
      <w:pPr>
        <w:pStyle w:val="14"/>
        <w:jc w:val="center"/>
        <w:rPr>
          <w:rFonts w:ascii="Times New Roman" w:hAnsi="Times New Roman"/>
          <w:b/>
          <w:bCs/>
          <w:color w:val="auto"/>
          <w:sz w:val="30"/>
          <w:szCs w:val="30"/>
        </w:rPr>
        <w:sectPr>
          <w:pgSz w:w="11906" w:h="16838"/>
          <w:pgMar w:top="1383" w:right="1800" w:bottom="1383" w:left="1800" w:header="851" w:footer="992" w:gutter="0"/>
          <w:cols w:space="425" w:num="1"/>
          <w:docGrid w:type="lines" w:linePitch="312" w:charSpace="0"/>
        </w:sect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2732"/>
      </w:tblGrid>
      <w:tr w14:paraId="14BDD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04" w:hRule="atLeast"/>
          <w:jc w:val="center"/>
        </w:trPr>
        <w:tc>
          <w:tcPr>
            <w:tcW w:w="722" w:type="dxa"/>
          </w:tcPr>
          <w:p w14:paraId="7B6022DF">
            <w:pPr>
              <w:adjustRightInd w:val="0"/>
              <w:snapToGrid w:val="0"/>
              <w:jc w:val="center"/>
              <w:rPr>
                <w:b/>
                <w:snapToGrid w:val="0"/>
                <w:color w:val="auto"/>
                <w:kern w:val="0"/>
                <w:sz w:val="24"/>
              </w:rPr>
            </w:pPr>
          </w:p>
        </w:tc>
        <w:tc>
          <w:tcPr>
            <w:tcW w:w="12732" w:type="dxa"/>
          </w:tcPr>
          <w:p w14:paraId="3226B4E1">
            <w:pPr>
              <w:adjustRightInd w:val="0"/>
              <w:snapToGrid w:val="0"/>
              <w:jc w:val="center"/>
              <w:rPr>
                <w:snapToGrid w:val="0"/>
                <w:color w:val="auto"/>
                <w:kern w:val="0"/>
                <w:sz w:val="24"/>
              </w:rPr>
            </w:pPr>
            <w:r>
              <w:rPr>
                <w:rFonts w:hint="eastAsia"/>
                <w:b/>
                <w:snapToGrid w:val="0"/>
                <w:color w:val="auto"/>
                <w:kern w:val="0"/>
                <w:sz w:val="24"/>
              </w:rPr>
              <w:t>表4-2  有组织废气产生与排放一览表</w:t>
            </w:r>
          </w:p>
          <w:tbl>
            <w:tblPr>
              <w:tblStyle w:val="24"/>
              <w:tblW w:w="493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762"/>
              <w:gridCol w:w="952"/>
              <w:gridCol w:w="581"/>
              <w:gridCol w:w="1058"/>
              <w:gridCol w:w="942"/>
              <w:gridCol w:w="805"/>
              <w:gridCol w:w="1716"/>
              <w:gridCol w:w="820"/>
              <w:gridCol w:w="1057"/>
              <w:gridCol w:w="938"/>
              <w:gridCol w:w="938"/>
              <w:gridCol w:w="1020"/>
            </w:tblGrid>
            <w:tr w14:paraId="643F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6" w:type="pct"/>
                  <w:vMerge w:val="restart"/>
                  <w:vAlign w:val="center"/>
                </w:tcPr>
                <w:p w14:paraId="11F5FCEC">
                  <w:pPr>
                    <w:pStyle w:val="43"/>
                    <w:rPr>
                      <w:color w:val="auto"/>
                    </w:rPr>
                  </w:pPr>
                  <w:r>
                    <w:rPr>
                      <w:color w:val="auto"/>
                    </w:rPr>
                    <w:t>污染源</w:t>
                  </w:r>
                </w:p>
              </w:tc>
              <w:tc>
                <w:tcPr>
                  <w:tcW w:w="308" w:type="pct"/>
                  <w:vMerge w:val="restart"/>
                  <w:vAlign w:val="center"/>
                </w:tcPr>
                <w:p w14:paraId="24F4B3C4">
                  <w:pPr>
                    <w:pStyle w:val="43"/>
                    <w:rPr>
                      <w:color w:val="auto"/>
                    </w:rPr>
                  </w:pPr>
                  <w:r>
                    <w:rPr>
                      <w:color w:val="auto"/>
                    </w:rPr>
                    <w:t>时间</w:t>
                  </w:r>
                  <w:r>
                    <w:rPr>
                      <w:rFonts w:hint="eastAsia"/>
                      <w:color w:val="auto"/>
                    </w:rPr>
                    <w:t>/</w:t>
                  </w:r>
                  <w:r>
                    <w:rPr>
                      <w:color w:val="auto"/>
                    </w:rPr>
                    <w:t>h</w:t>
                  </w:r>
                </w:p>
              </w:tc>
              <w:tc>
                <w:tcPr>
                  <w:tcW w:w="385" w:type="pct"/>
                  <w:vMerge w:val="restart"/>
                  <w:vAlign w:val="center"/>
                </w:tcPr>
                <w:p w14:paraId="5AA12B5C">
                  <w:pPr>
                    <w:pStyle w:val="43"/>
                    <w:rPr>
                      <w:color w:val="auto"/>
                    </w:rPr>
                  </w:pPr>
                  <w:r>
                    <w:rPr>
                      <w:color w:val="auto"/>
                    </w:rPr>
                    <w:t>风量m</w:t>
                  </w:r>
                  <w:r>
                    <w:rPr>
                      <w:color w:val="auto"/>
                      <w:vertAlign w:val="superscript"/>
                    </w:rPr>
                    <w:t>3</w:t>
                  </w:r>
                  <w:r>
                    <w:rPr>
                      <w:color w:val="auto"/>
                    </w:rPr>
                    <w:t>/h</w:t>
                  </w:r>
                </w:p>
              </w:tc>
              <w:tc>
                <w:tcPr>
                  <w:tcW w:w="235" w:type="pct"/>
                  <w:vMerge w:val="restart"/>
                  <w:vAlign w:val="center"/>
                </w:tcPr>
                <w:p w14:paraId="74095B5C">
                  <w:pPr>
                    <w:pStyle w:val="43"/>
                    <w:rPr>
                      <w:color w:val="auto"/>
                    </w:rPr>
                  </w:pPr>
                  <w:r>
                    <w:rPr>
                      <w:color w:val="auto"/>
                    </w:rPr>
                    <w:t>污染物</w:t>
                  </w:r>
                </w:p>
              </w:tc>
              <w:tc>
                <w:tcPr>
                  <w:tcW w:w="1135" w:type="pct"/>
                  <w:gridSpan w:val="3"/>
                  <w:vAlign w:val="center"/>
                </w:tcPr>
                <w:p w14:paraId="2602CAB0">
                  <w:pPr>
                    <w:pStyle w:val="43"/>
                    <w:rPr>
                      <w:color w:val="auto"/>
                    </w:rPr>
                  </w:pPr>
                  <w:r>
                    <w:rPr>
                      <w:color w:val="auto"/>
                    </w:rPr>
                    <w:t>产生情况</w:t>
                  </w:r>
                </w:p>
              </w:tc>
              <w:tc>
                <w:tcPr>
                  <w:tcW w:w="695" w:type="pct"/>
                  <w:vMerge w:val="restart"/>
                  <w:vAlign w:val="center"/>
                </w:tcPr>
                <w:p w14:paraId="54269BED">
                  <w:pPr>
                    <w:pStyle w:val="43"/>
                    <w:rPr>
                      <w:color w:val="auto"/>
                    </w:rPr>
                  </w:pPr>
                  <w:r>
                    <w:rPr>
                      <w:color w:val="auto"/>
                    </w:rPr>
                    <w:t>处理措施</w:t>
                  </w:r>
                </w:p>
              </w:tc>
              <w:tc>
                <w:tcPr>
                  <w:tcW w:w="332" w:type="pct"/>
                  <w:vMerge w:val="restart"/>
                  <w:vAlign w:val="center"/>
                </w:tcPr>
                <w:p w14:paraId="6838B2B4">
                  <w:pPr>
                    <w:pStyle w:val="43"/>
                    <w:rPr>
                      <w:color w:val="auto"/>
                    </w:rPr>
                  </w:pPr>
                  <w:r>
                    <w:rPr>
                      <w:color w:val="auto"/>
                    </w:rPr>
                    <w:t>处理效率%</w:t>
                  </w:r>
                </w:p>
              </w:tc>
              <w:tc>
                <w:tcPr>
                  <w:tcW w:w="1601" w:type="pct"/>
                  <w:gridSpan w:val="4"/>
                  <w:vAlign w:val="center"/>
                </w:tcPr>
                <w:p w14:paraId="622C9AE6">
                  <w:pPr>
                    <w:pStyle w:val="43"/>
                    <w:rPr>
                      <w:color w:val="auto"/>
                    </w:rPr>
                  </w:pPr>
                  <w:r>
                    <w:rPr>
                      <w:color w:val="auto"/>
                    </w:rPr>
                    <w:t>排放情况</w:t>
                  </w:r>
                </w:p>
              </w:tc>
            </w:tr>
            <w:tr w14:paraId="5FBF5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6" w:type="pct"/>
                  <w:vMerge w:val="continue"/>
                  <w:vAlign w:val="center"/>
                </w:tcPr>
                <w:p w14:paraId="6E283BE6">
                  <w:pPr>
                    <w:pStyle w:val="43"/>
                    <w:rPr>
                      <w:color w:val="auto"/>
                    </w:rPr>
                  </w:pPr>
                </w:p>
              </w:tc>
              <w:tc>
                <w:tcPr>
                  <w:tcW w:w="308" w:type="pct"/>
                  <w:vMerge w:val="continue"/>
                  <w:vAlign w:val="center"/>
                </w:tcPr>
                <w:p w14:paraId="188ED60D">
                  <w:pPr>
                    <w:pStyle w:val="43"/>
                    <w:rPr>
                      <w:color w:val="auto"/>
                    </w:rPr>
                  </w:pPr>
                </w:p>
              </w:tc>
              <w:tc>
                <w:tcPr>
                  <w:tcW w:w="385" w:type="pct"/>
                  <w:vMerge w:val="continue"/>
                  <w:vAlign w:val="center"/>
                </w:tcPr>
                <w:p w14:paraId="3AB66EFD">
                  <w:pPr>
                    <w:pStyle w:val="43"/>
                    <w:rPr>
                      <w:color w:val="auto"/>
                    </w:rPr>
                  </w:pPr>
                </w:p>
              </w:tc>
              <w:tc>
                <w:tcPr>
                  <w:tcW w:w="235" w:type="pct"/>
                  <w:vMerge w:val="continue"/>
                  <w:vAlign w:val="center"/>
                </w:tcPr>
                <w:p w14:paraId="03CCB795">
                  <w:pPr>
                    <w:pStyle w:val="43"/>
                    <w:rPr>
                      <w:color w:val="auto"/>
                    </w:rPr>
                  </w:pPr>
                </w:p>
              </w:tc>
              <w:tc>
                <w:tcPr>
                  <w:tcW w:w="428" w:type="pct"/>
                  <w:vAlign w:val="center"/>
                </w:tcPr>
                <w:p w14:paraId="5FAB702C">
                  <w:pPr>
                    <w:pStyle w:val="43"/>
                    <w:rPr>
                      <w:color w:val="auto"/>
                    </w:rPr>
                  </w:pPr>
                  <w:r>
                    <w:rPr>
                      <w:color w:val="auto"/>
                    </w:rPr>
                    <w:t>浓度mg/m</w:t>
                  </w:r>
                  <w:r>
                    <w:rPr>
                      <w:color w:val="auto"/>
                      <w:vertAlign w:val="superscript"/>
                    </w:rPr>
                    <w:t>3</w:t>
                  </w:r>
                </w:p>
              </w:tc>
              <w:tc>
                <w:tcPr>
                  <w:tcW w:w="381" w:type="pct"/>
                  <w:vAlign w:val="center"/>
                </w:tcPr>
                <w:p w14:paraId="4EFB25CB">
                  <w:pPr>
                    <w:pStyle w:val="43"/>
                    <w:rPr>
                      <w:color w:val="auto"/>
                    </w:rPr>
                  </w:pPr>
                  <w:r>
                    <w:rPr>
                      <w:color w:val="auto"/>
                    </w:rPr>
                    <w:t>速率kg/h</w:t>
                  </w:r>
                </w:p>
              </w:tc>
              <w:tc>
                <w:tcPr>
                  <w:tcW w:w="325" w:type="pct"/>
                  <w:vAlign w:val="center"/>
                </w:tcPr>
                <w:p w14:paraId="13E5C679">
                  <w:pPr>
                    <w:pStyle w:val="43"/>
                    <w:rPr>
                      <w:color w:val="auto"/>
                    </w:rPr>
                  </w:pPr>
                  <w:r>
                    <w:rPr>
                      <w:color w:val="auto"/>
                    </w:rPr>
                    <w:t>产生量t/a</w:t>
                  </w:r>
                </w:p>
              </w:tc>
              <w:tc>
                <w:tcPr>
                  <w:tcW w:w="695" w:type="pct"/>
                  <w:vMerge w:val="continue"/>
                  <w:vAlign w:val="center"/>
                </w:tcPr>
                <w:p w14:paraId="70FBCEBF">
                  <w:pPr>
                    <w:pStyle w:val="43"/>
                    <w:rPr>
                      <w:color w:val="auto"/>
                    </w:rPr>
                  </w:pPr>
                </w:p>
              </w:tc>
              <w:tc>
                <w:tcPr>
                  <w:tcW w:w="332" w:type="pct"/>
                  <w:vMerge w:val="continue"/>
                  <w:vAlign w:val="center"/>
                </w:tcPr>
                <w:p w14:paraId="07375779">
                  <w:pPr>
                    <w:pStyle w:val="43"/>
                    <w:rPr>
                      <w:color w:val="auto"/>
                    </w:rPr>
                  </w:pPr>
                </w:p>
              </w:tc>
              <w:tc>
                <w:tcPr>
                  <w:tcW w:w="428" w:type="pct"/>
                  <w:vAlign w:val="center"/>
                </w:tcPr>
                <w:p w14:paraId="71236797">
                  <w:pPr>
                    <w:pStyle w:val="43"/>
                    <w:rPr>
                      <w:color w:val="auto"/>
                    </w:rPr>
                  </w:pPr>
                  <w:r>
                    <w:rPr>
                      <w:color w:val="auto"/>
                    </w:rPr>
                    <w:t>浓度mg/m</w:t>
                  </w:r>
                  <w:r>
                    <w:rPr>
                      <w:color w:val="auto"/>
                      <w:vertAlign w:val="superscript"/>
                    </w:rPr>
                    <w:t>3</w:t>
                  </w:r>
                </w:p>
              </w:tc>
              <w:tc>
                <w:tcPr>
                  <w:tcW w:w="380" w:type="pct"/>
                  <w:vAlign w:val="center"/>
                </w:tcPr>
                <w:p w14:paraId="7649F341">
                  <w:pPr>
                    <w:pStyle w:val="43"/>
                    <w:rPr>
                      <w:color w:val="auto"/>
                    </w:rPr>
                  </w:pPr>
                  <w:r>
                    <w:rPr>
                      <w:color w:val="auto"/>
                    </w:rPr>
                    <w:t>速率kg/h</w:t>
                  </w:r>
                </w:p>
              </w:tc>
              <w:tc>
                <w:tcPr>
                  <w:tcW w:w="380" w:type="pct"/>
                  <w:vAlign w:val="center"/>
                </w:tcPr>
                <w:p w14:paraId="0E05F7EE">
                  <w:pPr>
                    <w:pStyle w:val="43"/>
                    <w:rPr>
                      <w:color w:val="auto"/>
                    </w:rPr>
                  </w:pPr>
                  <w:r>
                    <w:rPr>
                      <w:color w:val="auto"/>
                    </w:rPr>
                    <w:t>排放量t/a</w:t>
                  </w:r>
                </w:p>
              </w:tc>
              <w:tc>
                <w:tcPr>
                  <w:tcW w:w="411" w:type="pct"/>
                  <w:vAlign w:val="center"/>
                </w:tcPr>
                <w:p w14:paraId="16052DEB">
                  <w:pPr>
                    <w:pStyle w:val="43"/>
                    <w:rPr>
                      <w:color w:val="auto"/>
                    </w:rPr>
                  </w:pPr>
                  <w:r>
                    <w:rPr>
                      <w:color w:val="auto"/>
                    </w:rPr>
                    <w:t>排气筒</w:t>
                  </w:r>
                </w:p>
              </w:tc>
            </w:tr>
            <w:tr w14:paraId="05008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6" w:type="pct"/>
                  <w:vAlign w:val="center"/>
                </w:tcPr>
                <w:p w14:paraId="4B5222B2">
                  <w:pPr>
                    <w:pStyle w:val="43"/>
                    <w:rPr>
                      <w:color w:val="auto"/>
                    </w:rPr>
                  </w:pPr>
                  <w:r>
                    <w:rPr>
                      <w:rFonts w:hint="eastAsia"/>
                      <w:color w:val="auto"/>
                    </w:rPr>
                    <w:t>破碎、筛分废气</w:t>
                  </w:r>
                </w:p>
              </w:tc>
              <w:tc>
                <w:tcPr>
                  <w:tcW w:w="308" w:type="pct"/>
                  <w:vAlign w:val="center"/>
                </w:tcPr>
                <w:p w14:paraId="2909F110">
                  <w:pPr>
                    <w:pStyle w:val="43"/>
                    <w:rPr>
                      <w:color w:val="auto"/>
                    </w:rPr>
                  </w:pPr>
                  <w:r>
                    <w:rPr>
                      <w:color w:val="auto"/>
                    </w:rPr>
                    <w:t>2400</w:t>
                  </w:r>
                </w:p>
              </w:tc>
              <w:tc>
                <w:tcPr>
                  <w:tcW w:w="385" w:type="pct"/>
                  <w:vAlign w:val="center"/>
                </w:tcPr>
                <w:p w14:paraId="7D71C9F3">
                  <w:pPr>
                    <w:pStyle w:val="43"/>
                    <w:rPr>
                      <w:color w:val="auto"/>
                    </w:rPr>
                  </w:pPr>
                  <w:r>
                    <w:rPr>
                      <w:rFonts w:hint="eastAsia"/>
                      <w:color w:val="auto"/>
                    </w:rPr>
                    <w:t>93000</w:t>
                  </w:r>
                </w:p>
              </w:tc>
              <w:tc>
                <w:tcPr>
                  <w:tcW w:w="235" w:type="pct"/>
                  <w:vAlign w:val="center"/>
                </w:tcPr>
                <w:p w14:paraId="115D7900">
                  <w:pPr>
                    <w:pStyle w:val="43"/>
                    <w:rPr>
                      <w:color w:val="auto"/>
                    </w:rPr>
                  </w:pPr>
                  <w:r>
                    <w:rPr>
                      <w:rFonts w:hint="eastAsia"/>
                      <w:color w:val="auto"/>
                    </w:rPr>
                    <w:t>颗</w:t>
                  </w:r>
                  <w:r>
                    <w:rPr>
                      <w:color w:val="auto"/>
                    </w:rPr>
                    <w:t>粒物</w:t>
                  </w:r>
                </w:p>
              </w:tc>
              <w:tc>
                <w:tcPr>
                  <w:tcW w:w="428" w:type="pct"/>
                  <w:vAlign w:val="center"/>
                </w:tcPr>
                <w:p w14:paraId="49F7A315">
                  <w:pPr>
                    <w:pStyle w:val="43"/>
                    <w:rPr>
                      <w:color w:val="auto"/>
                    </w:rPr>
                  </w:pPr>
                  <w:r>
                    <w:rPr>
                      <w:rFonts w:hint="eastAsia"/>
                      <w:color w:val="auto"/>
                    </w:rPr>
                    <w:t>300.88</w:t>
                  </w:r>
                </w:p>
              </w:tc>
              <w:tc>
                <w:tcPr>
                  <w:tcW w:w="381" w:type="pct"/>
                  <w:vAlign w:val="center"/>
                </w:tcPr>
                <w:p w14:paraId="3C382B4E">
                  <w:pPr>
                    <w:pStyle w:val="43"/>
                    <w:rPr>
                      <w:color w:val="auto"/>
                    </w:rPr>
                  </w:pPr>
                  <w:r>
                    <w:rPr>
                      <w:rFonts w:hint="eastAsia"/>
                      <w:color w:val="auto"/>
                    </w:rPr>
                    <w:t>27.982</w:t>
                  </w:r>
                </w:p>
              </w:tc>
              <w:tc>
                <w:tcPr>
                  <w:tcW w:w="325" w:type="pct"/>
                  <w:vAlign w:val="center"/>
                </w:tcPr>
                <w:p w14:paraId="51E21E89">
                  <w:pPr>
                    <w:pStyle w:val="43"/>
                    <w:rPr>
                      <w:color w:val="auto"/>
                    </w:rPr>
                  </w:pPr>
                  <w:r>
                    <w:rPr>
                      <w:rFonts w:hint="eastAsia"/>
                      <w:color w:val="auto"/>
                    </w:rPr>
                    <w:t>67.158</w:t>
                  </w:r>
                </w:p>
              </w:tc>
              <w:tc>
                <w:tcPr>
                  <w:tcW w:w="695" w:type="pct"/>
                  <w:vAlign w:val="center"/>
                </w:tcPr>
                <w:p w14:paraId="6ABA4762">
                  <w:pPr>
                    <w:pStyle w:val="43"/>
                    <w:rPr>
                      <w:color w:val="auto"/>
                    </w:rPr>
                  </w:pPr>
                  <w:r>
                    <w:rPr>
                      <w:rFonts w:hint="eastAsia"/>
                      <w:color w:val="auto"/>
                    </w:rPr>
                    <w:t>经集气罩+软帘收集</w:t>
                  </w:r>
                  <w:r>
                    <w:rPr>
                      <w:color w:val="auto"/>
                    </w:rPr>
                    <w:t>通过</w:t>
                  </w:r>
                  <w:r>
                    <w:rPr>
                      <w:rFonts w:hint="eastAsia"/>
                      <w:color w:val="auto"/>
                    </w:rPr>
                    <w:t>高效</w:t>
                  </w:r>
                  <w:r>
                    <w:rPr>
                      <w:color w:val="auto"/>
                    </w:rPr>
                    <w:t>布袋除尘器处理后经15m排气筒（DA00</w:t>
                  </w:r>
                  <w:r>
                    <w:rPr>
                      <w:rFonts w:hint="eastAsia"/>
                      <w:color w:val="auto"/>
                    </w:rPr>
                    <w:t>2</w:t>
                  </w:r>
                  <w:r>
                    <w:rPr>
                      <w:color w:val="auto"/>
                    </w:rPr>
                    <w:t>）排放</w:t>
                  </w:r>
                </w:p>
              </w:tc>
              <w:tc>
                <w:tcPr>
                  <w:tcW w:w="332" w:type="pct"/>
                  <w:vAlign w:val="center"/>
                </w:tcPr>
                <w:p w14:paraId="07515DBC">
                  <w:pPr>
                    <w:pStyle w:val="43"/>
                    <w:rPr>
                      <w:color w:val="auto"/>
                    </w:rPr>
                  </w:pPr>
                  <w:r>
                    <w:rPr>
                      <w:rFonts w:hint="eastAsia"/>
                      <w:color w:val="auto"/>
                    </w:rPr>
                    <w:t>99.5</w:t>
                  </w:r>
                </w:p>
              </w:tc>
              <w:tc>
                <w:tcPr>
                  <w:tcW w:w="428" w:type="pct"/>
                  <w:vAlign w:val="center"/>
                </w:tcPr>
                <w:p w14:paraId="5785B4AF">
                  <w:pPr>
                    <w:pStyle w:val="43"/>
                    <w:rPr>
                      <w:color w:val="auto"/>
                    </w:rPr>
                  </w:pPr>
                  <w:r>
                    <w:rPr>
                      <w:rFonts w:hint="eastAsia"/>
                      <w:color w:val="auto"/>
                    </w:rPr>
                    <w:t>1.5</w:t>
                  </w:r>
                </w:p>
              </w:tc>
              <w:tc>
                <w:tcPr>
                  <w:tcW w:w="380" w:type="pct"/>
                  <w:vAlign w:val="center"/>
                </w:tcPr>
                <w:p w14:paraId="3F71910A">
                  <w:pPr>
                    <w:pStyle w:val="43"/>
                    <w:rPr>
                      <w:color w:val="auto"/>
                    </w:rPr>
                  </w:pPr>
                  <w:r>
                    <w:rPr>
                      <w:rFonts w:hint="eastAsia"/>
                      <w:color w:val="auto"/>
                    </w:rPr>
                    <w:t>0.14</w:t>
                  </w:r>
                </w:p>
              </w:tc>
              <w:tc>
                <w:tcPr>
                  <w:tcW w:w="380" w:type="pct"/>
                  <w:vAlign w:val="center"/>
                </w:tcPr>
                <w:p w14:paraId="02D602F4">
                  <w:pPr>
                    <w:pStyle w:val="43"/>
                    <w:rPr>
                      <w:color w:val="auto"/>
                      <w:highlight w:val="yellow"/>
                    </w:rPr>
                  </w:pPr>
                  <w:r>
                    <w:rPr>
                      <w:rFonts w:hint="eastAsia"/>
                      <w:color w:val="auto"/>
                    </w:rPr>
                    <w:t>0.336</w:t>
                  </w:r>
                </w:p>
              </w:tc>
              <w:tc>
                <w:tcPr>
                  <w:tcW w:w="411" w:type="pct"/>
                  <w:vAlign w:val="center"/>
                </w:tcPr>
                <w:p w14:paraId="673C07B5">
                  <w:pPr>
                    <w:pStyle w:val="43"/>
                    <w:rPr>
                      <w:color w:val="auto"/>
                    </w:rPr>
                  </w:pPr>
                  <w:r>
                    <w:rPr>
                      <w:color w:val="auto"/>
                    </w:rPr>
                    <w:t>内径</w:t>
                  </w:r>
                  <w:r>
                    <w:rPr>
                      <w:rFonts w:hint="eastAsia"/>
                      <w:color w:val="auto"/>
                    </w:rPr>
                    <w:t>1.7m</w:t>
                  </w:r>
                  <w:r>
                    <w:rPr>
                      <w:color w:val="auto"/>
                    </w:rPr>
                    <w:t>，高15m</w:t>
                  </w:r>
                </w:p>
              </w:tc>
            </w:tr>
            <w:tr w14:paraId="12167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6" w:type="pct"/>
                  <w:vAlign w:val="center"/>
                </w:tcPr>
                <w:p w14:paraId="00224171">
                  <w:pPr>
                    <w:pStyle w:val="43"/>
                    <w:rPr>
                      <w:color w:val="auto"/>
                    </w:rPr>
                  </w:pPr>
                  <w:r>
                    <w:rPr>
                      <w:rFonts w:hint="eastAsia"/>
                      <w:color w:val="auto"/>
                    </w:rPr>
                    <w:t>搅拌废气</w:t>
                  </w:r>
                </w:p>
              </w:tc>
              <w:tc>
                <w:tcPr>
                  <w:tcW w:w="308" w:type="pct"/>
                  <w:vAlign w:val="center"/>
                </w:tcPr>
                <w:p w14:paraId="3D353470">
                  <w:pPr>
                    <w:pStyle w:val="43"/>
                    <w:rPr>
                      <w:color w:val="auto"/>
                    </w:rPr>
                  </w:pPr>
                  <w:r>
                    <w:rPr>
                      <w:color w:val="auto"/>
                    </w:rPr>
                    <w:t>2400</w:t>
                  </w:r>
                </w:p>
              </w:tc>
              <w:tc>
                <w:tcPr>
                  <w:tcW w:w="385" w:type="pct"/>
                  <w:vAlign w:val="center"/>
                </w:tcPr>
                <w:p w14:paraId="3D2982DB">
                  <w:pPr>
                    <w:pStyle w:val="43"/>
                    <w:rPr>
                      <w:color w:val="auto"/>
                    </w:rPr>
                  </w:pPr>
                  <w:r>
                    <w:rPr>
                      <w:rFonts w:hint="eastAsia"/>
                      <w:color w:val="auto"/>
                    </w:rPr>
                    <w:t>31000</w:t>
                  </w:r>
                </w:p>
              </w:tc>
              <w:tc>
                <w:tcPr>
                  <w:tcW w:w="235" w:type="pct"/>
                  <w:vAlign w:val="center"/>
                </w:tcPr>
                <w:p w14:paraId="7C8DEF6F">
                  <w:pPr>
                    <w:pStyle w:val="43"/>
                    <w:rPr>
                      <w:color w:val="auto"/>
                    </w:rPr>
                  </w:pPr>
                  <w:r>
                    <w:rPr>
                      <w:rFonts w:hint="eastAsia"/>
                      <w:color w:val="auto"/>
                    </w:rPr>
                    <w:t>颗</w:t>
                  </w:r>
                  <w:r>
                    <w:rPr>
                      <w:color w:val="auto"/>
                    </w:rPr>
                    <w:t>粒物</w:t>
                  </w:r>
                </w:p>
              </w:tc>
              <w:tc>
                <w:tcPr>
                  <w:tcW w:w="428" w:type="pct"/>
                  <w:vAlign w:val="center"/>
                </w:tcPr>
                <w:p w14:paraId="6C277A65">
                  <w:pPr>
                    <w:pStyle w:val="43"/>
                    <w:rPr>
                      <w:color w:val="auto"/>
                    </w:rPr>
                  </w:pPr>
                  <w:r>
                    <w:rPr>
                      <w:rFonts w:hint="eastAsia"/>
                      <w:color w:val="auto"/>
                    </w:rPr>
                    <w:t>1669.54</w:t>
                  </w:r>
                </w:p>
              </w:tc>
              <w:tc>
                <w:tcPr>
                  <w:tcW w:w="381" w:type="pct"/>
                  <w:vAlign w:val="center"/>
                </w:tcPr>
                <w:p w14:paraId="418F654F">
                  <w:pPr>
                    <w:pStyle w:val="43"/>
                    <w:rPr>
                      <w:color w:val="auto"/>
                    </w:rPr>
                  </w:pPr>
                  <w:r>
                    <w:rPr>
                      <w:rFonts w:hint="eastAsia"/>
                      <w:color w:val="auto"/>
                    </w:rPr>
                    <w:t>51.756</w:t>
                  </w:r>
                </w:p>
              </w:tc>
              <w:tc>
                <w:tcPr>
                  <w:tcW w:w="325" w:type="pct"/>
                  <w:vAlign w:val="center"/>
                </w:tcPr>
                <w:p w14:paraId="352E61D7">
                  <w:pPr>
                    <w:pStyle w:val="43"/>
                    <w:rPr>
                      <w:color w:val="auto"/>
                    </w:rPr>
                  </w:pPr>
                  <w:r>
                    <w:rPr>
                      <w:rFonts w:hint="eastAsia"/>
                      <w:color w:val="auto"/>
                    </w:rPr>
                    <w:t>124.215</w:t>
                  </w:r>
                </w:p>
              </w:tc>
              <w:tc>
                <w:tcPr>
                  <w:tcW w:w="695" w:type="pct"/>
                  <w:vAlign w:val="center"/>
                </w:tcPr>
                <w:p w14:paraId="4F6C3C49">
                  <w:pPr>
                    <w:pStyle w:val="43"/>
                    <w:rPr>
                      <w:color w:val="auto"/>
                    </w:rPr>
                  </w:pPr>
                  <w:r>
                    <w:rPr>
                      <w:rFonts w:hint="eastAsia"/>
                      <w:color w:val="auto"/>
                    </w:rPr>
                    <w:t>经集气罩+软帘收集</w:t>
                  </w:r>
                  <w:r>
                    <w:rPr>
                      <w:color w:val="auto"/>
                    </w:rPr>
                    <w:t>通过</w:t>
                  </w:r>
                  <w:r>
                    <w:rPr>
                      <w:rFonts w:hint="eastAsia"/>
                      <w:color w:val="auto"/>
                    </w:rPr>
                    <w:t>高效</w:t>
                  </w:r>
                  <w:r>
                    <w:rPr>
                      <w:color w:val="auto"/>
                    </w:rPr>
                    <w:t>布袋除尘器处理后经15m排气筒（DA00</w:t>
                  </w:r>
                  <w:r>
                    <w:rPr>
                      <w:rFonts w:hint="eastAsia"/>
                      <w:color w:val="auto"/>
                    </w:rPr>
                    <w:t>3</w:t>
                  </w:r>
                  <w:r>
                    <w:rPr>
                      <w:color w:val="auto"/>
                    </w:rPr>
                    <w:t>）排放</w:t>
                  </w:r>
                </w:p>
              </w:tc>
              <w:tc>
                <w:tcPr>
                  <w:tcW w:w="332" w:type="pct"/>
                  <w:vAlign w:val="center"/>
                </w:tcPr>
                <w:p w14:paraId="0651ABCB">
                  <w:pPr>
                    <w:pStyle w:val="43"/>
                    <w:rPr>
                      <w:color w:val="auto"/>
                    </w:rPr>
                  </w:pPr>
                  <w:r>
                    <w:rPr>
                      <w:rFonts w:hint="eastAsia"/>
                      <w:color w:val="auto"/>
                    </w:rPr>
                    <w:t>99.5</w:t>
                  </w:r>
                </w:p>
              </w:tc>
              <w:tc>
                <w:tcPr>
                  <w:tcW w:w="428" w:type="pct"/>
                  <w:vAlign w:val="center"/>
                </w:tcPr>
                <w:p w14:paraId="0638341C">
                  <w:pPr>
                    <w:pStyle w:val="43"/>
                    <w:rPr>
                      <w:color w:val="auto"/>
                    </w:rPr>
                  </w:pPr>
                  <w:r>
                    <w:rPr>
                      <w:rFonts w:hint="eastAsia"/>
                      <w:color w:val="auto"/>
                    </w:rPr>
                    <w:t>7.9</w:t>
                  </w:r>
                </w:p>
              </w:tc>
              <w:tc>
                <w:tcPr>
                  <w:tcW w:w="380" w:type="pct"/>
                  <w:vAlign w:val="center"/>
                </w:tcPr>
                <w:p w14:paraId="3533D3D7">
                  <w:pPr>
                    <w:pStyle w:val="43"/>
                    <w:rPr>
                      <w:color w:val="auto"/>
                    </w:rPr>
                  </w:pPr>
                  <w:r>
                    <w:rPr>
                      <w:rFonts w:hint="eastAsia"/>
                      <w:color w:val="auto"/>
                    </w:rPr>
                    <w:t>0.245</w:t>
                  </w:r>
                </w:p>
              </w:tc>
              <w:tc>
                <w:tcPr>
                  <w:tcW w:w="380" w:type="pct"/>
                  <w:vAlign w:val="center"/>
                </w:tcPr>
                <w:p w14:paraId="2052A564">
                  <w:pPr>
                    <w:pStyle w:val="43"/>
                    <w:rPr>
                      <w:color w:val="auto"/>
                    </w:rPr>
                  </w:pPr>
                  <w:r>
                    <w:rPr>
                      <w:rFonts w:hint="eastAsia"/>
                      <w:color w:val="auto"/>
                    </w:rPr>
                    <w:t>0.59</w:t>
                  </w:r>
                </w:p>
              </w:tc>
              <w:tc>
                <w:tcPr>
                  <w:tcW w:w="411" w:type="pct"/>
                  <w:vAlign w:val="center"/>
                </w:tcPr>
                <w:p w14:paraId="1D9FAF58">
                  <w:pPr>
                    <w:pStyle w:val="43"/>
                    <w:rPr>
                      <w:color w:val="auto"/>
                    </w:rPr>
                  </w:pPr>
                  <w:r>
                    <w:rPr>
                      <w:color w:val="auto"/>
                    </w:rPr>
                    <w:t>内径</w:t>
                  </w:r>
                  <w:r>
                    <w:rPr>
                      <w:rFonts w:hint="eastAsia"/>
                      <w:color w:val="auto"/>
                    </w:rPr>
                    <w:t>1.0m</w:t>
                  </w:r>
                  <w:r>
                    <w:rPr>
                      <w:color w:val="auto"/>
                    </w:rPr>
                    <w:t>，高15m</w:t>
                  </w:r>
                </w:p>
              </w:tc>
            </w:tr>
          </w:tbl>
          <w:p w14:paraId="02F02369">
            <w:pPr>
              <w:jc w:val="center"/>
              <w:rPr>
                <w:b/>
                <w:bCs/>
                <w:color w:val="auto"/>
                <w:sz w:val="24"/>
              </w:rPr>
            </w:pPr>
            <w:r>
              <w:rPr>
                <w:b/>
                <w:bCs/>
                <w:color w:val="auto"/>
                <w:sz w:val="24"/>
              </w:rPr>
              <w:t>表4-</w:t>
            </w:r>
            <w:r>
              <w:rPr>
                <w:rFonts w:hint="eastAsia"/>
                <w:b/>
                <w:bCs/>
                <w:color w:val="auto"/>
                <w:sz w:val="24"/>
              </w:rPr>
              <w:t xml:space="preserve">3  </w:t>
            </w:r>
            <w:r>
              <w:rPr>
                <w:b/>
                <w:bCs/>
                <w:color w:val="auto"/>
                <w:sz w:val="24"/>
              </w:rPr>
              <w:t>本项目无组织废气排放情况</w:t>
            </w:r>
          </w:p>
          <w:tbl>
            <w:tblPr>
              <w:tblStyle w:val="24"/>
              <w:tblW w:w="503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1"/>
              <w:gridCol w:w="2513"/>
              <w:gridCol w:w="2097"/>
              <w:gridCol w:w="2117"/>
              <w:gridCol w:w="2105"/>
              <w:gridCol w:w="2093"/>
            </w:tblGrid>
            <w:tr w14:paraId="03AAC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663" w:type="pct"/>
                  <w:vMerge w:val="restart"/>
                  <w:vAlign w:val="center"/>
                </w:tcPr>
                <w:p w14:paraId="518B16F6">
                  <w:pPr>
                    <w:pStyle w:val="43"/>
                    <w:rPr>
                      <w:color w:val="auto"/>
                    </w:rPr>
                  </w:pPr>
                  <w:r>
                    <w:rPr>
                      <w:color w:val="auto"/>
                    </w:rPr>
                    <w:t>污染物来源</w:t>
                  </w:r>
                </w:p>
              </w:tc>
              <w:tc>
                <w:tcPr>
                  <w:tcW w:w="997" w:type="pct"/>
                  <w:vMerge w:val="restart"/>
                  <w:vAlign w:val="center"/>
                </w:tcPr>
                <w:p w14:paraId="5FFCAE77">
                  <w:pPr>
                    <w:pStyle w:val="43"/>
                    <w:rPr>
                      <w:color w:val="auto"/>
                    </w:rPr>
                  </w:pPr>
                  <w:r>
                    <w:rPr>
                      <w:color w:val="auto"/>
                    </w:rPr>
                    <w:t>污染物名称</w:t>
                  </w:r>
                </w:p>
              </w:tc>
              <w:tc>
                <w:tcPr>
                  <w:tcW w:w="1672" w:type="pct"/>
                  <w:gridSpan w:val="2"/>
                  <w:vAlign w:val="center"/>
                </w:tcPr>
                <w:p w14:paraId="7BBDE691">
                  <w:pPr>
                    <w:pStyle w:val="43"/>
                    <w:rPr>
                      <w:color w:val="auto"/>
                    </w:rPr>
                  </w:pPr>
                  <w:r>
                    <w:rPr>
                      <w:color w:val="auto"/>
                    </w:rPr>
                    <w:t>排放情况</w:t>
                  </w:r>
                </w:p>
              </w:tc>
              <w:tc>
                <w:tcPr>
                  <w:tcW w:w="835" w:type="pct"/>
                  <w:vMerge w:val="restart"/>
                  <w:vAlign w:val="center"/>
                </w:tcPr>
                <w:p w14:paraId="3F4332A0">
                  <w:pPr>
                    <w:pStyle w:val="43"/>
                    <w:rPr>
                      <w:color w:val="auto"/>
                    </w:rPr>
                  </w:pPr>
                  <w:r>
                    <w:rPr>
                      <w:color w:val="auto"/>
                    </w:rPr>
                    <w:t>面源尺寸m</w:t>
                  </w:r>
                  <w:r>
                    <w:rPr>
                      <w:rFonts w:ascii="Arial" w:hAnsi="Arial" w:cs="Arial"/>
                      <w:color w:val="auto"/>
                    </w:rPr>
                    <w:t>×</w:t>
                  </w:r>
                  <w:r>
                    <w:rPr>
                      <w:color w:val="auto"/>
                    </w:rPr>
                    <w:t>m</w:t>
                  </w:r>
                </w:p>
              </w:tc>
              <w:tc>
                <w:tcPr>
                  <w:tcW w:w="831" w:type="pct"/>
                  <w:vMerge w:val="restart"/>
                  <w:vAlign w:val="center"/>
                </w:tcPr>
                <w:p w14:paraId="0FF9F7F9">
                  <w:pPr>
                    <w:pStyle w:val="43"/>
                    <w:rPr>
                      <w:color w:val="auto"/>
                    </w:rPr>
                  </w:pPr>
                  <w:r>
                    <w:rPr>
                      <w:color w:val="auto"/>
                    </w:rPr>
                    <w:t>面源高度m</w:t>
                  </w:r>
                </w:p>
              </w:tc>
            </w:tr>
            <w:tr w14:paraId="7F65F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663" w:type="pct"/>
                  <w:vMerge w:val="continue"/>
                  <w:vAlign w:val="center"/>
                </w:tcPr>
                <w:p w14:paraId="49E4378E">
                  <w:pPr>
                    <w:pStyle w:val="43"/>
                    <w:rPr>
                      <w:color w:val="auto"/>
                    </w:rPr>
                  </w:pPr>
                </w:p>
              </w:tc>
              <w:tc>
                <w:tcPr>
                  <w:tcW w:w="997" w:type="pct"/>
                  <w:vMerge w:val="continue"/>
                  <w:vAlign w:val="center"/>
                </w:tcPr>
                <w:p w14:paraId="53341934">
                  <w:pPr>
                    <w:pStyle w:val="43"/>
                    <w:rPr>
                      <w:color w:val="auto"/>
                    </w:rPr>
                  </w:pPr>
                </w:p>
              </w:tc>
              <w:tc>
                <w:tcPr>
                  <w:tcW w:w="832" w:type="pct"/>
                  <w:vAlign w:val="center"/>
                </w:tcPr>
                <w:p w14:paraId="10B7B8D5">
                  <w:pPr>
                    <w:pStyle w:val="43"/>
                    <w:rPr>
                      <w:color w:val="auto"/>
                    </w:rPr>
                  </w:pPr>
                  <w:r>
                    <w:rPr>
                      <w:color w:val="auto"/>
                    </w:rPr>
                    <w:t>速率kg/h</w:t>
                  </w:r>
                </w:p>
              </w:tc>
              <w:tc>
                <w:tcPr>
                  <w:tcW w:w="840" w:type="pct"/>
                  <w:vAlign w:val="center"/>
                </w:tcPr>
                <w:p w14:paraId="733A8E28">
                  <w:pPr>
                    <w:pStyle w:val="43"/>
                    <w:rPr>
                      <w:color w:val="auto"/>
                    </w:rPr>
                  </w:pPr>
                  <w:r>
                    <w:rPr>
                      <w:color w:val="auto"/>
                    </w:rPr>
                    <w:t>产量t/a</w:t>
                  </w:r>
                </w:p>
              </w:tc>
              <w:tc>
                <w:tcPr>
                  <w:tcW w:w="835" w:type="pct"/>
                  <w:vMerge w:val="continue"/>
                  <w:vAlign w:val="center"/>
                </w:tcPr>
                <w:p w14:paraId="286C7903">
                  <w:pPr>
                    <w:pStyle w:val="43"/>
                    <w:rPr>
                      <w:color w:val="auto"/>
                    </w:rPr>
                  </w:pPr>
                </w:p>
              </w:tc>
              <w:tc>
                <w:tcPr>
                  <w:tcW w:w="831" w:type="pct"/>
                  <w:vMerge w:val="continue"/>
                  <w:vAlign w:val="center"/>
                </w:tcPr>
                <w:p w14:paraId="646B31E4">
                  <w:pPr>
                    <w:pStyle w:val="43"/>
                    <w:rPr>
                      <w:color w:val="auto"/>
                    </w:rPr>
                  </w:pPr>
                </w:p>
              </w:tc>
            </w:tr>
            <w:tr w14:paraId="3D9C3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663" w:type="pct"/>
                  <w:vAlign w:val="center"/>
                </w:tcPr>
                <w:p w14:paraId="056D8225">
                  <w:pPr>
                    <w:pStyle w:val="43"/>
                    <w:rPr>
                      <w:color w:val="auto"/>
                    </w:rPr>
                  </w:pPr>
                  <w:r>
                    <w:rPr>
                      <w:color w:val="auto"/>
                    </w:rPr>
                    <w:t>生产车间</w:t>
                  </w:r>
                </w:p>
              </w:tc>
              <w:tc>
                <w:tcPr>
                  <w:tcW w:w="997" w:type="pct"/>
                  <w:vAlign w:val="center"/>
                </w:tcPr>
                <w:p w14:paraId="552669EE">
                  <w:pPr>
                    <w:pStyle w:val="43"/>
                    <w:rPr>
                      <w:color w:val="auto"/>
                    </w:rPr>
                  </w:pPr>
                  <w:r>
                    <w:rPr>
                      <w:color w:val="auto"/>
                    </w:rPr>
                    <w:t>颗粒物</w:t>
                  </w:r>
                </w:p>
              </w:tc>
              <w:tc>
                <w:tcPr>
                  <w:tcW w:w="832" w:type="pct"/>
                  <w:vAlign w:val="center"/>
                </w:tcPr>
                <w:p w14:paraId="3DBABAE9">
                  <w:pPr>
                    <w:pStyle w:val="43"/>
                    <w:rPr>
                      <w:color w:val="auto"/>
                    </w:rPr>
                  </w:pPr>
                  <w:r>
                    <w:rPr>
                      <w:rFonts w:hint="eastAsia"/>
                      <w:color w:val="auto"/>
                    </w:rPr>
                    <w:t>0.08</w:t>
                  </w:r>
                </w:p>
              </w:tc>
              <w:tc>
                <w:tcPr>
                  <w:tcW w:w="840" w:type="pct"/>
                  <w:vAlign w:val="center"/>
                </w:tcPr>
                <w:p w14:paraId="3FA14241">
                  <w:pPr>
                    <w:pStyle w:val="43"/>
                    <w:ind w:firstLine="200"/>
                    <w:rPr>
                      <w:color w:val="auto"/>
                    </w:rPr>
                  </w:pPr>
                  <w:r>
                    <w:rPr>
                      <w:rFonts w:hint="eastAsia"/>
                      <w:color w:val="auto"/>
                    </w:rPr>
                    <w:t>0.192</w:t>
                  </w:r>
                </w:p>
              </w:tc>
              <w:tc>
                <w:tcPr>
                  <w:tcW w:w="835" w:type="pct"/>
                  <w:vAlign w:val="center"/>
                </w:tcPr>
                <w:p w14:paraId="287787A3">
                  <w:pPr>
                    <w:pStyle w:val="43"/>
                    <w:ind w:firstLine="200"/>
                    <w:rPr>
                      <w:color w:val="auto"/>
                    </w:rPr>
                  </w:pPr>
                  <w:r>
                    <w:rPr>
                      <w:rFonts w:hint="eastAsia"/>
                      <w:color w:val="auto"/>
                    </w:rPr>
                    <w:t>203.9</w:t>
                  </w:r>
                  <w:r>
                    <w:rPr>
                      <w:color w:val="auto"/>
                    </w:rPr>
                    <w:t>×</w:t>
                  </w:r>
                  <w:r>
                    <w:rPr>
                      <w:rFonts w:hint="eastAsia"/>
                      <w:color w:val="auto"/>
                    </w:rPr>
                    <w:t>189.9</w:t>
                  </w:r>
                </w:p>
              </w:tc>
              <w:tc>
                <w:tcPr>
                  <w:tcW w:w="831" w:type="pct"/>
                  <w:vAlign w:val="center"/>
                </w:tcPr>
                <w:p w14:paraId="0C9B51C2">
                  <w:pPr>
                    <w:pStyle w:val="43"/>
                    <w:rPr>
                      <w:color w:val="auto"/>
                      <w:highlight w:val="yellow"/>
                    </w:rPr>
                  </w:pPr>
                  <w:r>
                    <w:rPr>
                      <w:rFonts w:hint="eastAsia"/>
                      <w:color w:val="auto"/>
                    </w:rPr>
                    <w:t>10</w:t>
                  </w:r>
                </w:p>
              </w:tc>
            </w:tr>
          </w:tbl>
          <w:p w14:paraId="2CB4A84E">
            <w:pPr>
              <w:adjustRightInd w:val="0"/>
              <w:snapToGrid w:val="0"/>
              <w:rPr>
                <w:b/>
                <w:snapToGrid w:val="0"/>
                <w:color w:val="auto"/>
                <w:kern w:val="0"/>
                <w:sz w:val="24"/>
              </w:rPr>
            </w:pPr>
          </w:p>
          <w:p w14:paraId="29A98510">
            <w:pPr>
              <w:adjustRightInd w:val="0"/>
              <w:snapToGrid w:val="0"/>
              <w:rPr>
                <w:b/>
                <w:snapToGrid w:val="0"/>
                <w:color w:val="auto"/>
                <w:kern w:val="0"/>
                <w:sz w:val="24"/>
              </w:rPr>
            </w:pPr>
          </w:p>
          <w:p w14:paraId="676290A6">
            <w:pPr>
              <w:adjustRightInd w:val="0"/>
              <w:snapToGrid w:val="0"/>
              <w:rPr>
                <w:b/>
                <w:snapToGrid w:val="0"/>
                <w:color w:val="auto"/>
                <w:kern w:val="0"/>
                <w:sz w:val="24"/>
              </w:rPr>
            </w:pPr>
          </w:p>
          <w:p w14:paraId="4B542857">
            <w:pPr>
              <w:adjustRightInd w:val="0"/>
              <w:snapToGrid w:val="0"/>
              <w:rPr>
                <w:b/>
                <w:snapToGrid w:val="0"/>
                <w:color w:val="auto"/>
                <w:kern w:val="0"/>
                <w:sz w:val="24"/>
              </w:rPr>
            </w:pPr>
          </w:p>
          <w:p w14:paraId="769C6AFE">
            <w:pPr>
              <w:adjustRightInd w:val="0"/>
              <w:snapToGrid w:val="0"/>
              <w:rPr>
                <w:b/>
                <w:snapToGrid w:val="0"/>
                <w:color w:val="auto"/>
                <w:kern w:val="0"/>
                <w:sz w:val="24"/>
              </w:rPr>
            </w:pPr>
          </w:p>
          <w:p w14:paraId="69C186DC">
            <w:pPr>
              <w:adjustRightInd w:val="0"/>
              <w:snapToGrid w:val="0"/>
              <w:rPr>
                <w:b/>
                <w:snapToGrid w:val="0"/>
                <w:color w:val="auto"/>
                <w:kern w:val="0"/>
                <w:sz w:val="24"/>
              </w:rPr>
            </w:pPr>
          </w:p>
          <w:p w14:paraId="405F980A">
            <w:pPr>
              <w:adjustRightInd w:val="0"/>
              <w:snapToGrid w:val="0"/>
              <w:rPr>
                <w:b/>
                <w:snapToGrid w:val="0"/>
                <w:color w:val="auto"/>
                <w:kern w:val="0"/>
                <w:sz w:val="24"/>
              </w:rPr>
            </w:pPr>
          </w:p>
          <w:p w14:paraId="2E58839D">
            <w:pPr>
              <w:adjustRightInd w:val="0"/>
              <w:snapToGrid w:val="0"/>
              <w:rPr>
                <w:b/>
                <w:snapToGrid w:val="0"/>
                <w:color w:val="auto"/>
                <w:kern w:val="0"/>
                <w:sz w:val="24"/>
              </w:rPr>
            </w:pPr>
          </w:p>
        </w:tc>
      </w:tr>
    </w:tbl>
    <w:p w14:paraId="5229941B">
      <w:pPr>
        <w:pStyle w:val="14"/>
        <w:jc w:val="center"/>
        <w:rPr>
          <w:rFonts w:ascii="Times New Roman" w:hAnsi="Times New Roman"/>
          <w:b/>
          <w:bCs/>
          <w:color w:val="auto"/>
          <w:sz w:val="30"/>
          <w:szCs w:val="30"/>
        </w:rPr>
        <w:sectPr>
          <w:pgSz w:w="16838" w:h="11906" w:orient="landscape"/>
          <w:pgMar w:top="1800" w:right="1440" w:bottom="1800" w:left="1440" w:header="851" w:footer="992" w:gutter="0"/>
          <w:cols w:space="425" w:num="1"/>
          <w:docGrid w:type="lines" w:linePitch="312" w:charSpace="0"/>
        </w:sectPr>
      </w:pPr>
    </w:p>
    <w:tbl>
      <w:tblPr>
        <w:tblStyle w:val="38"/>
        <w:tblW w:w="554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3"/>
        <w:gridCol w:w="8458"/>
      </w:tblGrid>
      <w:tr w14:paraId="748B1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278" w:hRule="atLeast"/>
          <w:jc w:val="center"/>
        </w:trPr>
        <w:tc>
          <w:tcPr>
            <w:tcW w:w="414" w:type="pct"/>
            <w:tcBorders>
              <w:right w:val="single" w:color="000000" w:sz="2" w:space="0"/>
            </w:tcBorders>
          </w:tcPr>
          <w:p w14:paraId="2023A574">
            <w:pPr>
              <w:ind w:left="105" w:leftChars="50" w:right="105" w:rightChars="50"/>
              <w:rPr>
                <w:rFonts w:ascii="Arial"/>
                <w:color w:val="auto"/>
              </w:rPr>
            </w:pPr>
          </w:p>
        </w:tc>
        <w:tc>
          <w:tcPr>
            <w:tcW w:w="4585" w:type="pct"/>
            <w:tcBorders>
              <w:left w:val="single" w:color="000000" w:sz="2" w:space="0"/>
            </w:tcBorders>
          </w:tcPr>
          <w:p w14:paraId="128F1E39">
            <w:pPr>
              <w:pStyle w:val="32"/>
              <w:spacing w:line="360" w:lineRule="auto"/>
              <w:ind w:left="105" w:leftChars="50"/>
              <w:rPr>
                <w:rFonts w:ascii="Times New Roman" w:hAnsi="Times New Roman" w:eastAsia="Times New Roman" w:cs="Times New Roman"/>
                <w:b/>
                <w:bCs/>
                <w:color w:val="auto"/>
                <w:lang w:eastAsia="zh-CN"/>
              </w:rPr>
            </w:pPr>
            <w:r>
              <w:rPr>
                <w:rFonts w:hint="eastAsia" w:ascii="Times New Roman" w:hAnsi="Times New Roman" w:eastAsia="Times New Roman" w:cs="Times New Roman"/>
                <w:b/>
                <w:bCs/>
                <w:color w:val="auto"/>
                <w:lang w:eastAsia="zh-CN"/>
              </w:rPr>
              <w:t>2、废气污染防治技术可行性分析</w:t>
            </w:r>
          </w:p>
          <w:p w14:paraId="17872456">
            <w:pPr>
              <w:spacing w:line="360" w:lineRule="auto"/>
              <w:ind w:left="105" w:leftChars="50" w:right="105" w:rightChars="50" w:firstLine="480" w:firstLineChars="200"/>
              <w:rPr>
                <w:color w:val="auto"/>
                <w:sz w:val="24"/>
              </w:rPr>
            </w:pPr>
            <w:r>
              <w:rPr>
                <w:rFonts w:hint="eastAsia"/>
                <w:color w:val="auto"/>
                <w:sz w:val="24"/>
              </w:rPr>
              <w:t>（1）本项目的废气污染治理措施</w:t>
            </w:r>
          </w:p>
          <w:p w14:paraId="3689B07D">
            <w:pPr>
              <w:spacing w:line="360" w:lineRule="auto"/>
              <w:ind w:left="105" w:leftChars="50" w:right="105" w:rightChars="50" w:firstLine="480" w:firstLineChars="200"/>
              <w:rPr>
                <w:color w:val="auto"/>
              </w:rPr>
            </w:pPr>
            <w:r>
              <w:rPr>
                <w:rFonts w:hint="eastAsia"/>
                <w:color w:val="auto"/>
                <w:sz w:val="24"/>
              </w:rPr>
              <w:t>项目破碎、筛分等工序经集气罩+软帘收集后通过高效布袋除尘器处理后通过15m高废气排气筒排放（DA002）；搅拌工序经集气罩+软帘收集后通过高效布袋除尘器处理后通过15m高废气排气筒排放（DA003）。</w:t>
            </w:r>
          </w:p>
          <w:p w14:paraId="5B447C8E">
            <w:pPr>
              <w:spacing w:line="360" w:lineRule="auto"/>
              <w:ind w:left="105" w:leftChars="50" w:right="105" w:rightChars="50" w:firstLine="480" w:firstLineChars="200"/>
              <w:rPr>
                <w:color w:val="auto"/>
                <w:sz w:val="24"/>
              </w:rPr>
            </w:pPr>
            <w:r>
              <w:rPr>
                <w:rFonts w:hint="eastAsia"/>
                <w:color w:val="auto"/>
                <w:sz w:val="24"/>
              </w:rPr>
              <w:t>（2）治理设施可行性分析</w:t>
            </w:r>
          </w:p>
          <w:p w14:paraId="6D6B48EC">
            <w:pPr>
              <w:pStyle w:val="32"/>
              <w:spacing w:line="360" w:lineRule="auto"/>
              <w:ind w:left="105" w:leftChars="50" w:right="105" w:rightChars="50" w:firstLine="480" w:firstLineChars="200"/>
              <w:rPr>
                <w:rFonts w:ascii="Times New Roman" w:hAnsi="Times New Roman" w:cs="Times New Roman"/>
                <w:color w:val="auto"/>
                <w:lang w:eastAsia="zh-CN"/>
              </w:rPr>
            </w:pPr>
            <w:r>
              <w:rPr>
                <w:rFonts w:ascii="Times New Roman" w:hAnsi="Times New Roman" w:cs="Times New Roman"/>
                <w:color w:val="auto"/>
                <w:lang w:eastAsia="zh-CN"/>
              </w:rPr>
              <w:t>本项目</w:t>
            </w:r>
            <w:r>
              <w:rPr>
                <w:rFonts w:hint="eastAsia" w:ascii="Times New Roman" w:hAnsi="Times New Roman" w:cs="Times New Roman"/>
                <w:color w:val="auto"/>
                <w:lang w:eastAsia="zh-CN"/>
              </w:rPr>
              <w:t>参照</w:t>
            </w:r>
            <w:r>
              <w:rPr>
                <w:rFonts w:ascii="Times New Roman" w:hAnsi="Times New Roman" w:cs="Times New Roman"/>
                <w:color w:val="auto"/>
                <w:lang w:eastAsia="zh-CN"/>
              </w:rPr>
              <w:t xml:space="preserve">《排污许可证申请与核发技术规范 </w:t>
            </w:r>
            <w:r>
              <w:rPr>
                <w:rFonts w:hint="eastAsia" w:ascii="Times New Roman" w:hAnsi="Times New Roman" w:cs="Times New Roman"/>
                <w:color w:val="auto"/>
                <w:lang w:eastAsia="zh-CN"/>
              </w:rPr>
              <w:t>陶瓷砖瓦工业</w:t>
            </w:r>
            <w:r>
              <w:rPr>
                <w:rFonts w:ascii="Times New Roman" w:hAnsi="Times New Roman" w:cs="Times New Roman"/>
                <w:color w:val="auto"/>
                <w:lang w:eastAsia="zh-CN"/>
              </w:rPr>
              <w:t>》（HJ</w:t>
            </w:r>
            <w:r>
              <w:rPr>
                <w:rFonts w:hint="eastAsia" w:ascii="Times New Roman" w:hAnsi="Times New Roman" w:cs="Times New Roman"/>
                <w:color w:val="auto"/>
                <w:lang w:eastAsia="zh-CN"/>
              </w:rPr>
              <w:t>1200-2021</w:t>
            </w:r>
            <w:r>
              <w:rPr>
                <w:rFonts w:ascii="Times New Roman" w:hAnsi="Times New Roman" w:cs="Times New Roman"/>
                <w:color w:val="auto"/>
                <w:lang w:eastAsia="zh-CN"/>
              </w:rPr>
              <w:t>）进行分析，具体见下表</w:t>
            </w:r>
          </w:p>
          <w:p w14:paraId="47D970CF">
            <w:pPr>
              <w:pStyle w:val="54"/>
              <w:rPr>
                <w:color w:val="auto"/>
                <w:sz w:val="24"/>
                <w:szCs w:val="32"/>
              </w:rPr>
            </w:pPr>
            <w:r>
              <w:rPr>
                <w:rFonts w:hint="eastAsia"/>
                <w:color w:val="auto"/>
                <w:sz w:val="24"/>
                <w:szCs w:val="32"/>
              </w:rPr>
              <w:t>表4-4  本项目污染处理技术可行性</w:t>
            </w:r>
          </w:p>
          <w:tbl>
            <w:tblPr>
              <w:tblStyle w:val="25"/>
              <w:tblW w:w="49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8"/>
              <w:gridCol w:w="1293"/>
              <w:gridCol w:w="1204"/>
              <w:gridCol w:w="1027"/>
              <w:gridCol w:w="1260"/>
              <w:gridCol w:w="1264"/>
              <w:gridCol w:w="1051"/>
            </w:tblGrid>
            <w:tr w14:paraId="42A5E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2" w:type="pct"/>
                  <w:vAlign w:val="center"/>
                </w:tcPr>
                <w:p w14:paraId="7BC97E67">
                  <w:pPr>
                    <w:pStyle w:val="55"/>
                    <w:adjustRightInd/>
                    <w:snapToGrid/>
                    <w:ind w:left="0" w:leftChars="0" w:firstLine="0" w:firstLineChars="0"/>
                    <w:rPr>
                      <w:color w:val="auto"/>
                    </w:rPr>
                  </w:pPr>
                  <w:r>
                    <w:rPr>
                      <w:rFonts w:hint="eastAsia"/>
                      <w:color w:val="auto"/>
                      <w:lang w:val="en-GB"/>
                    </w:rPr>
                    <w:t>生产单元</w:t>
                  </w:r>
                </w:p>
              </w:tc>
              <w:tc>
                <w:tcPr>
                  <w:tcW w:w="773" w:type="pct"/>
                  <w:vAlign w:val="center"/>
                </w:tcPr>
                <w:p w14:paraId="7C032103">
                  <w:pPr>
                    <w:pStyle w:val="55"/>
                    <w:adjustRightInd/>
                    <w:snapToGrid/>
                    <w:ind w:left="0" w:leftChars="0" w:firstLine="0" w:firstLineChars="0"/>
                    <w:rPr>
                      <w:color w:val="auto"/>
                      <w:lang w:val="en-GB"/>
                    </w:rPr>
                  </w:pPr>
                  <w:r>
                    <w:rPr>
                      <w:rFonts w:hint="eastAsia"/>
                      <w:color w:val="auto"/>
                      <w:lang w:val="en-GB"/>
                    </w:rPr>
                    <w:t>产污环节</w:t>
                  </w:r>
                </w:p>
              </w:tc>
              <w:tc>
                <w:tcPr>
                  <w:tcW w:w="720" w:type="pct"/>
                  <w:vAlign w:val="center"/>
                </w:tcPr>
                <w:p w14:paraId="1F166A00">
                  <w:pPr>
                    <w:pStyle w:val="55"/>
                    <w:adjustRightInd/>
                    <w:snapToGrid/>
                    <w:ind w:left="0" w:leftChars="0" w:firstLine="0" w:firstLineChars="0"/>
                    <w:rPr>
                      <w:color w:val="auto"/>
                    </w:rPr>
                  </w:pPr>
                  <w:r>
                    <w:rPr>
                      <w:rFonts w:hint="eastAsia"/>
                      <w:color w:val="auto"/>
                    </w:rPr>
                    <w:t>生产设施</w:t>
                  </w:r>
                </w:p>
              </w:tc>
              <w:tc>
                <w:tcPr>
                  <w:tcW w:w="615" w:type="pct"/>
                  <w:vAlign w:val="center"/>
                </w:tcPr>
                <w:p w14:paraId="39ED49DB">
                  <w:pPr>
                    <w:pStyle w:val="55"/>
                    <w:adjustRightInd/>
                    <w:snapToGrid/>
                    <w:ind w:left="0" w:leftChars="0" w:firstLine="0" w:firstLineChars="0"/>
                    <w:rPr>
                      <w:color w:val="auto"/>
                    </w:rPr>
                  </w:pPr>
                  <w:r>
                    <w:rPr>
                      <w:rFonts w:hint="eastAsia"/>
                      <w:color w:val="auto"/>
                    </w:rPr>
                    <w:t>污染物项目</w:t>
                  </w:r>
                </w:p>
              </w:tc>
              <w:tc>
                <w:tcPr>
                  <w:tcW w:w="753" w:type="pct"/>
                  <w:vAlign w:val="center"/>
                </w:tcPr>
                <w:p w14:paraId="5F3737D0">
                  <w:pPr>
                    <w:pStyle w:val="55"/>
                    <w:adjustRightInd/>
                    <w:snapToGrid/>
                    <w:ind w:left="0" w:leftChars="0" w:firstLine="0" w:firstLineChars="0"/>
                    <w:rPr>
                      <w:color w:val="auto"/>
                    </w:rPr>
                  </w:pPr>
                  <w:r>
                    <w:rPr>
                      <w:rFonts w:hint="eastAsia"/>
                      <w:color w:val="auto"/>
                    </w:rPr>
                    <w:t>规范防治设施</w:t>
                  </w:r>
                </w:p>
              </w:tc>
              <w:tc>
                <w:tcPr>
                  <w:tcW w:w="755" w:type="pct"/>
                  <w:vAlign w:val="center"/>
                </w:tcPr>
                <w:p w14:paraId="64651DEC">
                  <w:pPr>
                    <w:pStyle w:val="55"/>
                    <w:adjustRightInd/>
                    <w:snapToGrid/>
                    <w:ind w:left="0" w:leftChars="0" w:firstLine="0" w:firstLineChars="0"/>
                    <w:rPr>
                      <w:color w:val="auto"/>
                    </w:rPr>
                  </w:pPr>
                  <w:r>
                    <w:rPr>
                      <w:rFonts w:hint="eastAsia"/>
                      <w:color w:val="auto"/>
                    </w:rPr>
                    <w:t>本项目污染防治设施</w:t>
                  </w:r>
                </w:p>
              </w:tc>
              <w:tc>
                <w:tcPr>
                  <w:tcW w:w="628" w:type="pct"/>
                  <w:vAlign w:val="center"/>
                </w:tcPr>
                <w:p w14:paraId="1639CE23">
                  <w:pPr>
                    <w:pStyle w:val="55"/>
                    <w:adjustRightInd/>
                    <w:snapToGrid/>
                    <w:ind w:left="0" w:leftChars="0" w:firstLine="0" w:firstLineChars="0"/>
                    <w:rPr>
                      <w:color w:val="auto"/>
                    </w:rPr>
                  </w:pPr>
                  <w:r>
                    <w:rPr>
                      <w:rFonts w:hint="eastAsia"/>
                      <w:color w:val="auto"/>
                    </w:rPr>
                    <w:t>是否为可行技术</w:t>
                  </w:r>
                </w:p>
              </w:tc>
            </w:tr>
            <w:tr w14:paraId="65077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2" w:type="pct"/>
                  <w:vAlign w:val="center"/>
                </w:tcPr>
                <w:p w14:paraId="70CF2580">
                  <w:pPr>
                    <w:pStyle w:val="55"/>
                    <w:adjustRightInd/>
                    <w:snapToGrid/>
                    <w:ind w:left="0" w:leftChars="0" w:firstLine="0" w:firstLineChars="0"/>
                    <w:rPr>
                      <w:color w:val="auto"/>
                    </w:rPr>
                  </w:pPr>
                  <w:r>
                    <w:rPr>
                      <w:rFonts w:hint="eastAsia"/>
                      <w:color w:val="auto"/>
                    </w:rPr>
                    <w:t>破碎、筛分</w:t>
                  </w:r>
                </w:p>
              </w:tc>
              <w:tc>
                <w:tcPr>
                  <w:tcW w:w="773" w:type="pct"/>
                  <w:vAlign w:val="center"/>
                </w:tcPr>
                <w:p w14:paraId="55DE8B2C">
                  <w:pPr>
                    <w:pStyle w:val="55"/>
                    <w:adjustRightInd/>
                    <w:snapToGrid/>
                    <w:ind w:left="0" w:leftChars="0" w:firstLine="0" w:firstLineChars="0"/>
                    <w:rPr>
                      <w:color w:val="auto"/>
                    </w:rPr>
                  </w:pPr>
                  <w:r>
                    <w:rPr>
                      <w:rFonts w:hint="eastAsia"/>
                      <w:color w:val="auto"/>
                    </w:rPr>
                    <w:t>破碎、筛分</w:t>
                  </w:r>
                </w:p>
              </w:tc>
              <w:tc>
                <w:tcPr>
                  <w:tcW w:w="720" w:type="pct"/>
                  <w:vAlign w:val="center"/>
                </w:tcPr>
                <w:p w14:paraId="558DF192">
                  <w:pPr>
                    <w:pStyle w:val="55"/>
                    <w:adjustRightInd/>
                    <w:snapToGrid/>
                    <w:ind w:left="0" w:leftChars="0" w:firstLine="0" w:firstLineChars="0"/>
                    <w:rPr>
                      <w:color w:val="auto"/>
                    </w:rPr>
                  </w:pPr>
                  <w:r>
                    <w:rPr>
                      <w:rFonts w:hint="eastAsia"/>
                      <w:color w:val="auto"/>
                    </w:rPr>
                    <w:t>颚式破碎机、球磨机（干式）、滚筒筛</w:t>
                  </w:r>
                </w:p>
              </w:tc>
              <w:tc>
                <w:tcPr>
                  <w:tcW w:w="615" w:type="pct"/>
                  <w:vAlign w:val="center"/>
                </w:tcPr>
                <w:p w14:paraId="41795F08">
                  <w:pPr>
                    <w:pStyle w:val="55"/>
                    <w:adjustRightInd/>
                    <w:snapToGrid/>
                    <w:ind w:left="0" w:leftChars="0" w:firstLine="0" w:firstLineChars="0"/>
                    <w:rPr>
                      <w:color w:val="auto"/>
                    </w:rPr>
                  </w:pPr>
                  <w:r>
                    <w:rPr>
                      <w:rFonts w:hint="eastAsia"/>
                      <w:color w:val="auto"/>
                    </w:rPr>
                    <w:t>颗粒物</w:t>
                  </w:r>
                </w:p>
              </w:tc>
              <w:tc>
                <w:tcPr>
                  <w:tcW w:w="753" w:type="pct"/>
                  <w:vAlign w:val="center"/>
                </w:tcPr>
                <w:p w14:paraId="683F8C72">
                  <w:pPr>
                    <w:pStyle w:val="55"/>
                    <w:adjustRightInd/>
                    <w:snapToGrid/>
                    <w:ind w:left="0" w:leftChars="0" w:firstLine="0" w:firstLineChars="0"/>
                    <w:rPr>
                      <w:color w:val="auto"/>
                    </w:rPr>
                  </w:pPr>
                  <w:r>
                    <w:rPr>
                      <w:rFonts w:hint="eastAsia"/>
                      <w:color w:val="auto"/>
                    </w:rPr>
                    <w:t>袋式除尘</w:t>
                  </w:r>
                </w:p>
              </w:tc>
              <w:tc>
                <w:tcPr>
                  <w:tcW w:w="755" w:type="pct"/>
                  <w:vAlign w:val="center"/>
                </w:tcPr>
                <w:p w14:paraId="68FBE9BF">
                  <w:pPr>
                    <w:pStyle w:val="55"/>
                    <w:adjustRightInd/>
                    <w:snapToGrid/>
                    <w:ind w:left="0" w:leftChars="0" w:firstLine="0" w:firstLineChars="0"/>
                    <w:rPr>
                      <w:color w:val="auto"/>
                    </w:rPr>
                  </w:pPr>
                  <w:r>
                    <w:rPr>
                      <w:rFonts w:hint="eastAsia"/>
                      <w:color w:val="auto"/>
                    </w:rPr>
                    <w:t>高效布袋除尘器</w:t>
                  </w:r>
                </w:p>
              </w:tc>
              <w:tc>
                <w:tcPr>
                  <w:tcW w:w="628" w:type="pct"/>
                  <w:vAlign w:val="center"/>
                </w:tcPr>
                <w:p w14:paraId="234339A7">
                  <w:pPr>
                    <w:pStyle w:val="55"/>
                    <w:adjustRightInd/>
                    <w:snapToGrid/>
                    <w:ind w:left="0" w:leftChars="0" w:firstLine="0" w:firstLineChars="0"/>
                    <w:rPr>
                      <w:color w:val="auto"/>
                    </w:rPr>
                  </w:pPr>
                  <w:r>
                    <w:rPr>
                      <w:rFonts w:hint="eastAsia"/>
                      <w:color w:val="auto"/>
                    </w:rPr>
                    <w:t>是</w:t>
                  </w:r>
                </w:p>
              </w:tc>
            </w:tr>
            <w:tr w14:paraId="76DF6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2" w:type="pct"/>
                  <w:vAlign w:val="center"/>
                </w:tcPr>
                <w:p w14:paraId="6AC97E65">
                  <w:pPr>
                    <w:pStyle w:val="55"/>
                    <w:adjustRightInd/>
                    <w:snapToGrid/>
                    <w:ind w:left="0" w:leftChars="0" w:firstLine="0" w:firstLineChars="0"/>
                    <w:rPr>
                      <w:color w:val="auto"/>
                    </w:rPr>
                  </w:pPr>
                  <w:r>
                    <w:rPr>
                      <w:rFonts w:hint="eastAsia"/>
                      <w:color w:val="auto"/>
                    </w:rPr>
                    <w:t>搅拌</w:t>
                  </w:r>
                </w:p>
              </w:tc>
              <w:tc>
                <w:tcPr>
                  <w:tcW w:w="773" w:type="pct"/>
                  <w:vAlign w:val="center"/>
                </w:tcPr>
                <w:p w14:paraId="4F02CCF2">
                  <w:pPr>
                    <w:pStyle w:val="55"/>
                    <w:adjustRightInd/>
                    <w:snapToGrid/>
                    <w:ind w:left="0" w:leftChars="0" w:firstLine="0" w:firstLineChars="0"/>
                    <w:rPr>
                      <w:color w:val="auto"/>
                    </w:rPr>
                  </w:pPr>
                  <w:r>
                    <w:rPr>
                      <w:rFonts w:hint="eastAsia"/>
                      <w:color w:val="auto"/>
                    </w:rPr>
                    <w:t>搅拌</w:t>
                  </w:r>
                </w:p>
              </w:tc>
              <w:tc>
                <w:tcPr>
                  <w:tcW w:w="720" w:type="pct"/>
                  <w:vAlign w:val="center"/>
                </w:tcPr>
                <w:p w14:paraId="397D3B41">
                  <w:pPr>
                    <w:pStyle w:val="55"/>
                    <w:adjustRightInd/>
                    <w:snapToGrid/>
                    <w:ind w:left="0" w:leftChars="0" w:firstLine="0" w:firstLineChars="0"/>
                    <w:rPr>
                      <w:color w:val="auto"/>
                    </w:rPr>
                  </w:pPr>
                  <w:r>
                    <w:rPr>
                      <w:rFonts w:hint="eastAsia"/>
                      <w:color w:val="auto"/>
                    </w:rPr>
                    <w:t>铝粉搅拌机、浇筑搅拌机</w:t>
                  </w:r>
                </w:p>
              </w:tc>
              <w:tc>
                <w:tcPr>
                  <w:tcW w:w="615" w:type="pct"/>
                  <w:vAlign w:val="center"/>
                </w:tcPr>
                <w:p w14:paraId="1456F034">
                  <w:pPr>
                    <w:pStyle w:val="55"/>
                    <w:adjustRightInd/>
                    <w:snapToGrid/>
                    <w:ind w:left="0" w:leftChars="0" w:firstLine="0" w:firstLineChars="0"/>
                    <w:rPr>
                      <w:color w:val="auto"/>
                    </w:rPr>
                  </w:pPr>
                  <w:r>
                    <w:rPr>
                      <w:rFonts w:hint="eastAsia"/>
                      <w:color w:val="auto"/>
                    </w:rPr>
                    <w:t>颗粒物</w:t>
                  </w:r>
                </w:p>
              </w:tc>
              <w:tc>
                <w:tcPr>
                  <w:tcW w:w="753" w:type="pct"/>
                  <w:vAlign w:val="center"/>
                </w:tcPr>
                <w:p w14:paraId="6649A838">
                  <w:pPr>
                    <w:pStyle w:val="55"/>
                    <w:adjustRightInd/>
                    <w:snapToGrid/>
                    <w:ind w:left="0" w:leftChars="0" w:firstLine="0" w:firstLineChars="0"/>
                    <w:rPr>
                      <w:color w:val="auto"/>
                    </w:rPr>
                  </w:pPr>
                  <w:r>
                    <w:rPr>
                      <w:rFonts w:hint="eastAsia"/>
                      <w:color w:val="auto"/>
                    </w:rPr>
                    <w:t>袋式除尘</w:t>
                  </w:r>
                </w:p>
              </w:tc>
              <w:tc>
                <w:tcPr>
                  <w:tcW w:w="755" w:type="pct"/>
                  <w:vAlign w:val="center"/>
                </w:tcPr>
                <w:p w14:paraId="32C7686D">
                  <w:pPr>
                    <w:pStyle w:val="55"/>
                    <w:adjustRightInd/>
                    <w:snapToGrid/>
                    <w:ind w:left="0" w:leftChars="0" w:firstLine="0" w:firstLineChars="0"/>
                    <w:rPr>
                      <w:color w:val="auto"/>
                    </w:rPr>
                  </w:pPr>
                  <w:r>
                    <w:rPr>
                      <w:rFonts w:hint="eastAsia"/>
                      <w:color w:val="auto"/>
                    </w:rPr>
                    <w:t>高效布袋除尘器</w:t>
                  </w:r>
                </w:p>
              </w:tc>
              <w:tc>
                <w:tcPr>
                  <w:tcW w:w="628" w:type="pct"/>
                  <w:vAlign w:val="center"/>
                </w:tcPr>
                <w:p w14:paraId="26FDEFA5">
                  <w:pPr>
                    <w:pStyle w:val="55"/>
                    <w:adjustRightInd/>
                    <w:snapToGrid/>
                    <w:ind w:left="0" w:leftChars="0" w:firstLine="0" w:firstLineChars="0"/>
                    <w:rPr>
                      <w:color w:val="auto"/>
                    </w:rPr>
                  </w:pPr>
                  <w:r>
                    <w:rPr>
                      <w:rFonts w:hint="eastAsia"/>
                      <w:color w:val="auto"/>
                    </w:rPr>
                    <w:t>是</w:t>
                  </w:r>
                </w:p>
              </w:tc>
            </w:tr>
          </w:tbl>
          <w:p w14:paraId="72DE7F2E">
            <w:pPr>
              <w:pStyle w:val="32"/>
              <w:spacing w:line="360" w:lineRule="auto"/>
              <w:ind w:left="105" w:leftChars="50" w:right="105" w:rightChars="50" w:firstLine="480" w:firstLineChars="200"/>
              <w:rPr>
                <w:rFonts w:ascii="Times New Roman" w:hAnsi="Times New Roman" w:cs="Times New Roman"/>
                <w:color w:val="auto"/>
                <w:lang w:eastAsia="zh-CN"/>
              </w:rPr>
            </w:pPr>
            <w:r>
              <w:rPr>
                <w:rFonts w:ascii="Times New Roman" w:hAnsi="Times New Roman" w:cs="Times New Roman"/>
                <w:color w:val="auto"/>
                <w:lang w:eastAsia="zh-CN"/>
              </w:rPr>
              <w:t>综上所述，项目拟采取的颗粒物污染防治措施技术可行。本次评价各项污染物在收集处理达标排放后能够达到</w:t>
            </w:r>
            <w:r>
              <w:rPr>
                <w:rFonts w:hint="eastAsia" w:ascii="Times New Roman" w:hAnsi="Times New Roman" w:cs="Times New Roman"/>
                <w:color w:val="auto"/>
                <w:lang w:eastAsia="zh-CN"/>
              </w:rPr>
              <w:t>安徽省地方标准《砖瓦工业大气污染物排放标准》DB34/4362-2023</w:t>
            </w:r>
            <w:r>
              <w:rPr>
                <w:rFonts w:ascii="Times New Roman" w:hAnsi="Times New Roman" w:cs="Times New Roman"/>
                <w:color w:val="auto"/>
                <w:lang w:eastAsia="zh-CN"/>
              </w:rPr>
              <w:t>中</w:t>
            </w:r>
            <w:r>
              <w:rPr>
                <w:rFonts w:ascii="Times New Roman" w:hAnsi="Times New Roman" w:cs="Times New Roman"/>
                <w:color w:val="auto"/>
                <w:spacing w:val="-1"/>
                <w:lang w:eastAsia="zh-CN"/>
              </w:rPr>
              <w:t>表</w:t>
            </w:r>
            <w:r>
              <w:rPr>
                <w:rFonts w:hint="eastAsia" w:ascii="Times New Roman" w:hAnsi="Times New Roman" w:cs="Times New Roman"/>
                <w:color w:val="auto"/>
                <w:spacing w:val="-1"/>
                <w:lang w:eastAsia="zh-CN"/>
              </w:rPr>
              <w:t>2中</w:t>
            </w:r>
            <w:r>
              <w:rPr>
                <w:rFonts w:ascii="Times New Roman" w:hAnsi="Times New Roman" w:cs="Times New Roman"/>
                <w:color w:val="auto"/>
                <w:lang w:eastAsia="zh-CN"/>
              </w:rPr>
              <w:t>标准要求。</w:t>
            </w:r>
          </w:p>
          <w:p w14:paraId="5CC1FBC6">
            <w:pPr>
              <w:pStyle w:val="32"/>
              <w:spacing w:line="360" w:lineRule="auto"/>
              <w:ind w:left="105" w:leftChars="50" w:right="105" w:rightChars="50" w:firstLine="480" w:firstLineChars="200"/>
              <w:rPr>
                <w:rFonts w:hint="eastAsia"/>
                <w:color w:val="auto"/>
                <w:lang w:eastAsia="zh-CN"/>
              </w:rPr>
            </w:pPr>
            <w:r>
              <w:rPr>
                <w:rFonts w:ascii="Times New Roman" w:hAnsi="Times New Roman" w:cs="Times New Roman"/>
                <w:color w:val="auto"/>
                <w:lang w:eastAsia="zh-CN"/>
              </w:rPr>
              <w:t>综上，本项目在采取的相应的废气污染防治措施技术的治理，废气达标排放的情况下对周边大气环境质量影响较小。</w:t>
            </w:r>
          </w:p>
          <w:p w14:paraId="18E4C2B5">
            <w:pPr>
              <w:pStyle w:val="32"/>
              <w:spacing w:line="360" w:lineRule="auto"/>
              <w:ind w:left="105" w:leftChars="50" w:right="105" w:rightChars="50" w:firstLine="480" w:firstLineChars="200"/>
              <w:rPr>
                <w:rFonts w:hint="eastAsia"/>
                <w:color w:val="auto"/>
                <w:lang w:eastAsia="zh-CN"/>
              </w:rPr>
            </w:pPr>
            <w:r>
              <w:rPr>
                <w:color w:val="auto"/>
                <w:lang w:eastAsia="zh-CN"/>
              </w:rPr>
              <w:t>（</w:t>
            </w:r>
            <w:r>
              <w:rPr>
                <w:rFonts w:ascii="Times New Roman" w:hAnsi="Times New Roman" w:eastAsia="Times New Roman" w:cs="Times New Roman"/>
                <w:color w:val="auto"/>
                <w:lang w:eastAsia="zh-CN"/>
              </w:rPr>
              <w:t>3</w:t>
            </w:r>
            <w:r>
              <w:rPr>
                <w:color w:val="auto"/>
                <w:lang w:eastAsia="zh-CN"/>
              </w:rPr>
              <w:t>）无组织废气管控措施</w:t>
            </w:r>
          </w:p>
          <w:p w14:paraId="1B0E6330">
            <w:pPr>
              <w:pStyle w:val="32"/>
              <w:spacing w:line="360" w:lineRule="auto"/>
              <w:ind w:left="105" w:leftChars="50" w:right="105" w:rightChars="50" w:firstLine="480" w:firstLineChars="200"/>
              <w:rPr>
                <w:rFonts w:hint="eastAsia"/>
                <w:color w:val="auto"/>
                <w:lang w:eastAsia="zh-CN"/>
              </w:rPr>
            </w:pPr>
            <w:r>
              <w:rPr>
                <w:color w:val="auto"/>
                <w:lang w:eastAsia="zh-CN"/>
              </w:rPr>
              <w:t>项目无组织排放废气主要包含破碎、筛分</w:t>
            </w:r>
            <w:r>
              <w:rPr>
                <w:rFonts w:hint="eastAsia"/>
                <w:color w:val="auto"/>
                <w:lang w:eastAsia="zh-CN"/>
              </w:rPr>
              <w:t>、搅拌</w:t>
            </w:r>
            <w:r>
              <w:rPr>
                <w:color w:val="auto"/>
                <w:lang w:eastAsia="zh-CN"/>
              </w:rPr>
              <w:t>工序未收集到的无组织废气和</w:t>
            </w:r>
            <w:r>
              <w:rPr>
                <w:rFonts w:hint="eastAsia"/>
                <w:color w:val="auto"/>
                <w:lang w:eastAsia="zh-CN"/>
              </w:rPr>
              <w:t>运输道路</w:t>
            </w:r>
            <w:r>
              <w:rPr>
                <w:color w:val="auto"/>
                <w:lang w:eastAsia="zh-CN"/>
              </w:rPr>
              <w:t>产生的无组织废气</w:t>
            </w:r>
            <w:r>
              <w:rPr>
                <w:rFonts w:hint="eastAsia"/>
                <w:color w:val="auto"/>
                <w:lang w:eastAsia="zh-CN"/>
              </w:rPr>
              <w:t>以及原料装卸、暂存过程产生的废气</w:t>
            </w:r>
            <w:r>
              <w:rPr>
                <w:color w:val="auto"/>
                <w:lang w:eastAsia="zh-CN"/>
              </w:rPr>
              <w:t>。</w:t>
            </w:r>
          </w:p>
          <w:p w14:paraId="11FFDC37">
            <w:pPr>
              <w:pStyle w:val="32"/>
              <w:spacing w:line="360" w:lineRule="auto"/>
              <w:ind w:left="105" w:leftChars="50" w:right="105" w:rightChars="50" w:firstLine="480" w:firstLineChars="200"/>
              <w:rPr>
                <w:rFonts w:hint="eastAsia"/>
                <w:color w:val="auto"/>
                <w:lang w:eastAsia="zh-CN"/>
              </w:rPr>
            </w:pPr>
            <w:r>
              <w:rPr>
                <w:color w:val="auto"/>
                <w:lang w:eastAsia="zh-CN"/>
              </w:rPr>
              <w:t>为有效控制废气的无组织排放，本项</w:t>
            </w:r>
            <w:r>
              <w:rPr>
                <w:rFonts w:hint="eastAsia"/>
                <w:color w:val="auto"/>
                <w:lang w:eastAsia="zh-CN"/>
              </w:rPr>
              <w:t>目</w:t>
            </w:r>
            <w:r>
              <w:rPr>
                <w:color w:val="auto"/>
                <w:lang w:eastAsia="zh-CN"/>
              </w:rPr>
              <w:t>采取预防为主的方针，同时优化工艺设计，尽量最大限度收集，尽量转化成有组织排放。除此之外，本项目运营时应加强操作工的培训和管理，减少人为造成的废气无组织排放。同时增加喷淋降尘次数进行降尘。为减少无组织排放点和排放强度，同时减轻无组织排放的污染物对环境的影响，本环评建议采用以下方式：</w:t>
            </w:r>
          </w:p>
          <w:p w14:paraId="1FAFF12A">
            <w:pPr>
              <w:pStyle w:val="32"/>
              <w:spacing w:line="360" w:lineRule="auto"/>
              <w:ind w:firstLine="480" w:firstLineChars="200"/>
              <w:rPr>
                <w:rFonts w:hint="eastAsia"/>
                <w:color w:val="auto"/>
                <w:lang w:eastAsia="zh-CN"/>
              </w:rPr>
            </w:pPr>
            <w:r>
              <w:rPr>
                <w:color w:val="auto"/>
                <w:lang w:eastAsia="zh-CN"/>
              </w:rPr>
              <w:t>①</w:t>
            </w:r>
            <w:r>
              <w:rPr>
                <w:rFonts w:hint="eastAsia"/>
                <w:color w:val="auto"/>
                <w:lang w:eastAsia="zh-CN"/>
              </w:rPr>
              <w:t xml:space="preserve"> </w:t>
            </w:r>
            <w:r>
              <w:rPr>
                <w:color w:val="auto"/>
                <w:lang w:eastAsia="zh-CN"/>
              </w:rPr>
              <w:t>工艺优化</w:t>
            </w:r>
          </w:p>
          <w:p w14:paraId="3BC3A12A">
            <w:pPr>
              <w:pStyle w:val="32"/>
              <w:spacing w:line="360" w:lineRule="auto"/>
              <w:ind w:left="105" w:leftChars="50" w:right="105" w:rightChars="50" w:firstLine="480" w:firstLineChars="200"/>
              <w:rPr>
                <w:rFonts w:hint="eastAsia"/>
                <w:color w:val="auto"/>
                <w:lang w:eastAsia="zh-CN"/>
              </w:rPr>
            </w:pPr>
            <w:r>
              <w:rPr>
                <w:color w:val="auto"/>
                <w:lang w:eastAsia="zh-CN"/>
              </w:rPr>
              <w:t>优化车间设备布局，</w:t>
            </w:r>
            <w:r>
              <w:rPr>
                <w:rFonts w:hint="eastAsia"/>
                <w:color w:val="auto"/>
                <w:lang w:eastAsia="zh-CN"/>
              </w:rPr>
              <w:t>生产加工区整体封闭，皮带机输送物料过程应封闭，增加道路洒水频次、车辆清洗，下料点采取喷淋或其他抑尘措施。</w:t>
            </w:r>
          </w:p>
          <w:p w14:paraId="5B0A97FB">
            <w:pPr>
              <w:pStyle w:val="32"/>
              <w:spacing w:line="360" w:lineRule="auto"/>
              <w:ind w:firstLine="480" w:firstLineChars="200"/>
              <w:rPr>
                <w:rFonts w:hint="eastAsia"/>
                <w:color w:val="auto"/>
                <w:lang w:eastAsia="zh-CN"/>
              </w:rPr>
            </w:pPr>
            <w:r>
              <w:rPr>
                <w:color w:val="auto"/>
                <w:lang w:eastAsia="zh-CN"/>
              </w:rPr>
              <w:t>②</w:t>
            </w:r>
            <w:r>
              <w:rPr>
                <w:rFonts w:hint="eastAsia"/>
                <w:color w:val="auto"/>
                <w:lang w:eastAsia="zh-CN"/>
              </w:rPr>
              <w:t xml:space="preserve"> </w:t>
            </w:r>
            <w:r>
              <w:rPr>
                <w:color w:val="auto"/>
                <w:lang w:eastAsia="zh-CN"/>
              </w:rPr>
              <w:t>操作规范</w:t>
            </w:r>
          </w:p>
          <w:p w14:paraId="40755C37">
            <w:pPr>
              <w:pStyle w:val="32"/>
              <w:spacing w:line="360" w:lineRule="auto"/>
              <w:ind w:left="105" w:leftChars="50" w:right="105" w:rightChars="50" w:firstLine="480" w:firstLineChars="200"/>
              <w:rPr>
                <w:rFonts w:hint="eastAsia"/>
                <w:color w:val="auto"/>
                <w:lang w:eastAsia="zh-CN"/>
              </w:rPr>
            </w:pPr>
            <w:r>
              <w:rPr>
                <w:color w:val="auto"/>
                <w:lang w:eastAsia="zh-CN"/>
              </w:rPr>
              <w:t>无论是原辅材料的存放、转移还是生产操作一定按照相关规范进行，尽可能减少跑、冒、滴、漏现象。设备维修可以集中定期进行，以减少无组织排放的</w:t>
            </w:r>
            <w:r>
              <w:rPr>
                <w:rFonts w:hint="eastAsia"/>
                <w:color w:val="auto"/>
                <w:lang w:eastAsia="zh-CN"/>
              </w:rPr>
              <w:t>概率</w:t>
            </w:r>
            <w:r>
              <w:rPr>
                <w:color w:val="auto"/>
                <w:lang w:eastAsia="zh-CN"/>
              </w:rPr>
              <w:t>，同时维修应尽可能选在一个流程完成、设备中无存料的时段进行。</w:t>
            </w:r>
          </w:p>
          <w:p w14:paraId="715F7043">
            <w:pPr>
              <w:pStyle w:val="32"/>
              <w:spacing w:line="360" w:lineRule="auto"/>
              <w:ind w:left="105" w:leftChars="50" w:right="105" w:rightChars="50" w:firstLine="480" w:firstLineChars="200"/>
              <w:rPr>
                <w:rFonts w:hint="eastAsia"/>
                <w:color w:val="auto"/>
                <w:lang w:eastAsia="zh-CN"/>
              </w:rPr>
            </w:pPr>
            <w:r>
              <w:rPr>
                <w:color w:val="auto"/>
                <w:lang w:eastAsia="zh-CN"/>
              </w:rPr>
              <w:t>③</w:t>
            </w:r>
            <w:r>
              <w:rPr>
                <w:rFonts w:hint="eastAsia"/>
                <w:color w:val="auto"/>
                <w:lang w:eastAsia="zh-CN"/>
              </w:rPr>
              <w:t xml:space="preserve"> </w:t>
            </w:r>
            <w:r>
              <w:rPr>
                <w:color w:val="auto"/>
                <w:lang w:eastAsia="zh-CN"/>
              </w:rPr>
              <w:t>增加喷淋降尘次数进行降尘，降低无组织排放浓度，当车间内出现无组织排放时应同时进行洒水降尘，以达到降低污染物在车间或仓储的局部区域的浓度，减少对职工的健康安全和环境的影响。</w:t>
            </w:r>
          </w:p>
          <w:p w14:paraId="7562A2B6">
            <w:pPr>
              <w:pStyle w:val="32"/>
              <w:spacing w:line="360" w:lineRule="auto"/>
              <w:ind w:left="105" w:leftChars="50" w:right="105" w:rightChars="50" w:firstLine="480" w:firstLineChars="200"/>
              <w:rPr>
                <w:rFonts w:hint="eastAsia"/>
                <w:color w:val="auto"/>
                <w:lang w:eastAsia="zh-CN"/>
              </w:rPr>
            </w:pPr>
            <w:r>
              <w:rPr>
                <w:rFonts w:hint="eastAsia"/>
                <w:color w:val="auto"/>
                <w:lang w:eastAsia="zh-CN"/>
              </w:rPr>
              <w:t>④ 涉及车间产生的大量无组织粉尘，应对破碎、筛分、搅拌工段做到粉尘应收尽收，环评建议在加工厂区安装喷淋装置，设备运行前打开，减少粉尘逸散。</w:t>
            </w:r>
          </w:p>
          <w:p w14:paraId="6409215E">
            <w:pPr>
              <w:spacing w:line="360" w:lineRule="auto"/>
              <w:ind w:left="105" w:leftChars="50"/>
              <w:rPr>
                <w:b/>
                <w:bCs/>
                <w:color w:val="auto"/>
                <w:sz w:val="24"/>
              </w:rPr>
            </w:pPr>
            <w:r>
              <w:rPr>
                <w:rFonts w:hint="eastAsia"/>
                <w:b/>
                <w:bCs/>
                <w:color w:val="auto"/>
                <w:sz w:val="24"/>
              </w:rPr>
              <w:t>3、排放口信息及自行监测</w:t>
            </w:r>
          </w:p>
          <w:p w14:paraId="4D51F9BA">
            <w:pPr>
              <w:spacing w:line="360" w:lineRule="auto"/>
              <w:ind w:left="105" w:leftChars="50" w:right="105" w:rightChars="50" w:firstLine="480" w:firstLineChars="200"/>
              <w:rPr>
                <w:bCs/>
                <w:color w:val="auto"/>
                <w:sz w:val="24"/>
                <w:szCs w:val="32"/>
              </w:rPr>
            </w:pPr>
            <w:r>
              <w:rPr>
                <w:bCs/>
                <w:color w:val="auto"/>
                <w:sz w:val="24"/>
                <w:szCs w:val="32"/>
              </w:rPr>
              <w:t>根据</w:t>
            </w:r>
            <w:r>
              <w:rPr>
                <w:color w:val="auto"/>
                <w:sz w:val="24"/>
              </w:rPr>
              <w:t>《排污单位自行监测技术指南 总则》（HJ819-2017</w:t>
            </w:r>
            <w:r>
              <w:rPr>
                <w:bCs/>
                <w:color w:val="auto"/>
                <w:sz w:val="24"/>
                <w:szCs w:val="32"/>
              </w:rPr>
              <w:t>）</w:t>
            </w:r>
            <w:r>
              <w:rPr>
                <w:rFonts w:hint="eastAsia"/>
                <w:bCs/>
                <w:color w:val="auto"/>
                <w:sz w:val="24"/>
                <w:szCs w:val="32"/>
              </w:rPr>
              <w:t>，参照</w:t>
            </w:r>
            <w:r>
              <w:rPr>
                <w:bCs/>
                <w:color w:val="auto"/>
                <w:sz w:val="24"/>
                <w:szCs w:val="32"/>
              </w:rPr>
              <w:t>《</w:t>
            </w:r>
            <w:r>
              <w:rPr>
                <w:rFonts w:hint="eastAsia"/>
                <w:bCs/>
                <w:color w:val="auto"/>
                <w:sz w:val="24"/>
                <w:szCs w:val="32"/>
              </w:rPr>
              <w:t xml:space="preserve">排污单位自行监测技术指南 砖瓦工业 </w:t>
            </w:r>
            <w:r>
              <w:rPr>
                <w:bCs/>
                <w:color w:val="auto"/>
                <w:sz w:val="24"/>
                <w:szCs w:val="32"/>
              </w:rPr>
              <w:t>》（</w:t>
            </w:r>
            <w:r>
              <w:rPr>
                <w:rFonts w:hint="eastAsia"/>
                <w:bCs/>
                <w:color w:val="auto"/>
                <w:sz w:val="24"/>
                <w:szCs w:val="32"/>
              </w:rPr>
              <w:t>HJ1254-2022）</w:t>
            </w:r>
            <w:r>
              <w:rPr>
                <w:bCs/>
                <w:color w:val="auto"/>
                <w:sz w:val="24"/>
                <w:szCs w:val="32"/>
              </w:rPr>
              <w:t>，项目在投入运行后，需定期对项目污染源开展监测活动，具体如下所示。</w:t>
            </w:r>
          </w:p>
          <w:p w14:paraId="5CE62198">
            <w:pPr>
              <w:adjustRightInd w:val="0"/>
              <w:snapToGrid w:val="0"/>
              <w:jc w:val="center"/>
              <w:rPr>
                <w:b/>
                <w:bCs/>
                <w:color w:val="auto"/>
                <w:szCs w:val="21"/>
              </w:rPr>
            </w:pPr>
            <w:r>
              <w:rPr>
                <w:b/>
                <w:bCs/>
                <w:color w:val="auto"/>
                <w:sz w:val="24"/>
              </w:rPr>
              <w:t>表4-</w:t>
            </w:r>
            <w:r>
              <w:rPr>
                <w:rFonts w:hint="eastAsia"/>
                <w:b/>
                <w:bCs/>
                <w:color w:val="auto"/>
                <w:sz w:val="24"/>
              </w:rPr>
              <w:t>5</w:t>
            </w:r>
            <w:r>
              <w:rPr>
                <w:b/>
                <w:bCs/>
                <w:color w:val="auto"/>
                <w:sz w:val="24"/>
              </w:rPr>
              <w:t xml:space="preserve">  排放口信息及自行监测一览表</w:t>
            </w:r>
          </w:p>
          <w:tbl>
            <w:tblPr>
              <w:tblStyle w:val="24"/>
              <w:tblW w:w="837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05"/>
              <w:gridCol w:w="1026"/>
              <w:gridCol w:w="1044"/>
              <w:gridCol w:w="982"/>
              <w:gridCol w:w="1641"/>
              <w:gridCol w:w="1600"/>
              <w:gridCol w:w="1079"/>
            </w:tblGrid>
            <w:tr w14:paraId="632BEC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005" w:type="dxa"/>
                  <w:vMerge w:val="restart"/>
                  <w:vAlign w:val="center"/>
                </w:tcPr>
                <w:p w14:paraId="03A3B9EF">
                  <w:pPr>
                    <w:autoSpaceDE w:val="0"/>
                    <w:jc w:val="center"/>
                    <w:rPr>
                      <w:color w:val="auto"/>
                      <w:szCs w:val="21"/>
                    </w:rPr>
                  </w:pPr>
                  <w:r>
                    <w:rPr>
                      <w:color w:val="auto"/>
                      <w:szCs w:val="21"/>
                    </w:rPr>
                    <w:t>排放口编号</w:t>
                  </w:r>
                </w:p>
              </w:tc>
              <w:tc>
                <w:tcPr>
                  <w:tcW w:w="1026" w:type="dxa"/>
                  <w:vMerge w:val="restart"/>
                  <w:vAlign w:val="center"/>
                </w:tcPr>
                <w:p w14:paraId="3B20C703">
                  <w:pPr>
                    <w:autoSpaceDE w:val="0"/>
                    <w:jc w:val="center"/>
                    <w:rPr>
                      <w:color w:val="auto"/>
                      <w:szCs w:val="21"/>
                    </w:rPr>
                  </w:pPr>
                  <w:r>
                    <w:rPr>
                      <w:color w:val="auto"/>
                      <w:szCs w:val="21"/>
                    </w:rPr>
                    <w:t>污染物种类</w:t>
                  </w:r>
                </w:p>
              </w:tc>
              <w:tc>
                <w:tcPr>
                  <w:tcW w:w="1044" w:type="dxa"/>
                  <w:vMerge w:val="restart"/>
                  <w:vAlign w:val="center"/>
                </w:tcPr>
                <w:p w14:paraId="737F98FA">
                  <w:pPr>
                    <w:autoSpaceDE w:val="0"/>
                    <w:jc w:val="center"/>
                    <w:rPr>
                      <w:color w:val="auto"/>
                      <w:szCs w:val="21"/>
                    </w:rPr>
                  </w:pPr>
                  <w:r>
                    <w:rPr>
                      <w:color w:val="auto"/>
                      <w:szCs w:val="21"/>
                    </w:rPr>
                    <w:t>排气筒高度m</w:t>
                  </w:r>
                </w:p>
              </w:tc>
              <w:tc>
                <w:tcPr>
                  <w:tcW w:w="982" w:type="dxa"/>
                  <w:vMerge w:val="restart"/>
                  <w:vAlign w:val="center"/>
                </w:tcPr>
                <w:p w14:paraId="011C9554">
                  <w:pPr>
                    <w:autoSpaceDE w:val="0"/>
                    <w:jc w:val="center"/>
                    <w:rPr>
                      <w:color w:val="auto"/>
                      <w:szCs w:val="21"/>
                    </w:rPr>
                  </w:pPr>
                  <w:r>
                    <w:rPr>
                      <w:color w:val="auto"/>
                      <w:szCs w:val="21"/>
                    </w:rPr>
                    <w:t>内径m</w:t>
                  </w:r>
                </w:p>
              </w:tc>
              <w:tc>
                <w:tcPr>
                  <w:tcW w:w="3241" w:type="dxa"/>
                  <w:gridSpan w:val="2"/>
                  <w:vAlign w:val="center"/>
                </w:tcPr>
                <w:p w14:paraId="40995736">
                  <w:pPr>
                    <w:autoSpaceDE w:val="0"/>
                    <w:jc w:val="center"/>
                    <w:rPr>
                      <w:color w:val="auto"/>
                      <w:szCs w:val="21"/>
                    </w:rPr>
                  </w:pPr>
                  <w:r>
                    <w:rPr>
                      <w:color w:val="auto"/>
                      <w:szCs w:val="21"/>
                    </w:rPr>
                    <w:t>坐标</w:t>
                  </w:r>
                </w:p>
              </w:tc>
              <w:tc>
                <w:tcPr>
                  <w:tcW w:w="1079" w:type="dxa"/>
                  <w:vMerge w:val="restart"/>
                  <w:vAlign w:val="center"/>
                </w:tcPr>
                <w:p w14:paraId="55B38616">
                  <w:pPr>
                    <w:autoSpaceDE w:val="0"/>
                    <w:jc w:val="center"/>
                    <w:rPr>
                      <w:color w:val="auto"/>
                      <w:szCs w:val="21"/>
                    </w:rPr>
                  </w:pPr>
                  <w:r>
                    <w:rPr>
                      <w:color w:val="auto"/>
                      <w:szCs w:val="21"/>
                    </w:rPr>
                    <w:t>监测频次</w:t>
                  </w:r>
                </w:p>
              </w:tc>
            </w:tr>
            <w:tr w14:paraId="3780D4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005" w:type="dxa"/>
                  <w:vMerge w:val="continue"/>
                  <w:vAlign w:val="center"/>
                </w:tcPr>
                <w:p w14:paraId="2721D93F">
                  <w:pPr>
                    <w:widowControl/>
                    <w:jc w:val="center"/>
                    <w:rPr>
                      <w:color w:val="auto"/>
                      <w:szCs w:val="21"/>
                    </w:rPr>
                  </w:pPr>
                </w:p>
              </w:tc>
              <w:tc>
                <w:tcPr>
                  <w:tcW w:w="1026" w:type="dxa"/>
                  <w:vMerge w:val="continue"/>
                  <w:vAlign w:val="center"/>
                </w:tcPr>
                <w:p w14:paraId="589809EC">
                  <w:pPr>
                    <w:widowControl/>
                    <w:jc w:val="center"/>
                    <w:rPr>
                      <w:color w:val="auto"/>
                      <w:szCs w:val="21"/>
                    </w:rPr>
                  </w:pPr>
                </w:p>
              </w:tc>
              <w:tc>
                <w:tcPr>
                  <w:tcW w:w="1044" w:type="dxa"/>
                  <w:vMerge w:val="continue"/>
                  <w:vAlign w:val="center"/>
                </w:tcPr>
                <w:p w14:paraId="5BC179E0">
                  <w:pPr>
                    <w:widowControl/>
                    <w:jc w:val="center"/>
                    <w:rPr>
                      <w:color w:val="auto"/>
                      <w:szCs w:val="21"/>
                    </w:rPr>
                  </w:pPr>
                </w:p>
              </w:tc>
              <w:tc>
                <w:tcPr>
                  <w:tcW w:w="982" w:type="dxa"/>
                  <w:vMerge w:val="continue"/>
                  <w:vAlign w:val="center"/>
                </w:tcPr>
                <w:p w14:paraId="286D69BB">
                  <w:pPr>
                    <w:widowControl/>
                    <w:jc w:val="center"/>
                    <w:rPr>
                      <w:color w:val="auto"/>
                      <w:szCs w:val="21"/>
                    </w:rPr>
                  </w:pPr>
                </w:p>
              </w:tc>
              <w:tc>
                <w:tcPr>
                  <w:tcW w:w="1641" w:type="dxa"/>
                  <w:vAlign w:val="center"/>
                </w:tcPr>
                <w:p w14:paraId="087DFF3B">
                  <w:pPr>
                    <w:autoSpaceDE w:val="0"/>
                    <w:jc w:val="center"/>
                    <w:rPr>
                      <w:color w:val="auto"/>
                      <w:szCs w:val="21"/>
                    </w:rPr>
                  </w:pPr>
                  <w:r>
                    <w:rPr>
                      <w:color w:val="auto"/>
                      <w:szCs w:val="21"/>
                    </w:rPr>
                    <w:t>经度</w:t>
                  </w:r>
                </w:p>
              </w:tc>
              <w:tc>
                <w:tcPr>
                  <w:tcW w:w="1600" w:type="dxa"/>
                  <w:vAlign w:val="center"/>
                </w:tcPr>
                <w:p w14:paraId="64B53B2B">
                  <w:pPr>
                    <w:autoSpaceDE w:val="0"/>
                    <w:jc w:val="center"/>
                    <w:rPr>
                      <w:color w:val="auto"/>
                      <w:szCs w:val="21"/>
                    </w:rPr>
                  </w:pPr>
                  <w:r>
                    <w:rPr>
                      <w:color w:val="auto"/>
                      <w:szCs w:val="21"/>
                    </w:rPr>
                    <w:t>纬度</w:t>
                  </w:r>
                </w:p>
              </w:tc>
              <w:tc>
                <w:tcPr>
                  <w:tcW w:w="1079" w:type="dxa"/>
                  <w:vMerge w:val="continue"/>
                  <w:vAlign w:val="center"/>
                </w:tcPr>
                <w:p w14:paraId="17ABDE6E">
                  <w:pPr>
                    <w:widowControl/>
                    <w:jc w:val="center"/>
                    <w:rPr>
                      <w:color w:val="auto"/>
                      <w:szCs w:val="21"/>
                    </w:rPr>
                  </w:pPr>
                </w:p>
              </w:tc>
            </w:tr>
            <w:tr w14:paraId="115FD4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005" w:type="dxa"/>
                  <w:vAlign w:val="center"/>
                </w:tcPr>
                <w:p w14:paraId="64639D0A">
                  <w:pPr>
                    <w:adjustRightInd w:val="0"/>
                    <w:snapToGrid w:val="0"/>
                    <w:jc w:val="center"/>
                    <w:rPr>
                      <w:color w:val="auto"/>
                      <w:szCs w:val="21"/>
                    </w:rPr>
                  </w:pPr>
                  <w:r>
                    <w:rPr>
                      <w:color w:val="auto"/>
                      <w:szCs w:val="21"/>
                    </w:rPr>
                    <w:t>DA00</w:t>
                  </w:r>
                  <w:r>
                    <w:rPr>
                      <w:rFonts w:hint="eastAsia"/>
                      <w:color w:val="auto"/>
                      <w:szCs w:val="21"/>
                    </w:rPr>
                    <w:t>2</w:t>
                  </w:r>
                </w:p>
              </w:tc>
              <w:tc>
                <w:tcPr>
                  <w:tcW w:w="1026" w:type="dxa"/>
                  <w:vAlign w:val="center"/>
                </w:tcPr>
                <w:p w14:paraId="5C8C713B">
                  <w:pPr>
                    <w:pStyle w:val="43"/>
                    <w:rPr>
                      <w:color w:val="auto"/>
                    </w:rPr>
                  </w:pPr>
                  <w:r>
                    <w:rPr>
                      <w:color w:val="auto"/>
                    </w:rPr>
                    <w:t>颗粒物</w:t>
                  </w:r>
                </w:p>
              </w:tc>
              <w:tc>
                <w:tcPr>
                  <w:tcW w:w="1044" w:type="dxa"/>
                  <w:vAlign w:val="center"/>
                </w:tcPr>
                <w:p w14:paraId="12E0D428">
                  <w:pPr>
                    <w:autoSpaceDE w:val="0"/>
                    <w:jc w:val="center"/>
                    <w:rPr>
                      <w:color w:val="auto"/>
                      <w:szCs w:val="21"/>
                    </w:rPr>
                  </w:pPr>
                  <w:r>
                    <w:rPr>
                      <w:rFonts w:hint="eastAsia"/>
                      <w:color w:val="auto"/>
                      <w:szCs w:val="21"/>
                    </w:rPr>
                    <w:t>15</w:t>
                  </w:r>
                </w:p>
              </w:tc>
              <w:tc>
                <w:tcPr>
                  <w:tcW w:w="982" w:type="dxa"/>
                  <w:vAlign w:val="center"/>
                </w:tcPr>
                <w:p w14:paraId="5637AF56">
                  <w:pPr>
                    <w:autoSpaceDE w:val="0"/>
                    <w:jc w:val="center"/>
                    <w:rPr>
                      <w:color w:val="auto"/>
                      <w:szCs w:val="21"/>
                    </w:rPr>
                  </w:pPr>
                  <w:r>
                    <w:rPr>
                      <w:rFonts w:hint="eastAsia"/>
                      <w:color w:val="auto"/>
                      <w:szCs w:val="21"/>
                    </w:rPr>
                    <w:t>1.7</w:t>
                  </w:r>
                </w:p>
              </w:tc>
              <w:tc>
                <w:tcPr>
                  <w:tcW w:w="1641" w:type="dxa"/>
                  <w:vAlign w:val="center"/>
                </w:tcPr>
                <w:p w14:paraId="314E67E9">
                  <w:pPr>
                    <w:autoSpaceDE w:val="0"/>
                    <w:jc w:val="center"/>
                    <w:rPr>
                      <w:color w:val="auto"/>
                      <w:szCs w:val="21"/>
                    </w:rPr>
                  </w:pPr>
                  <w:r>
                    <w:rPr>
                      <w:color w:val="auto"/>
                      <w:szCs w:val="21"/>
                    </w:rPr>
                    <w:t>117°5′16.522″</w:t>
                  </w:r>
                </w:p>
              </w:tc>
              <w:tc>
                <w:tcPr>
                  <w:tcW w:w="1600" w:type="dxa"/>
                  <w:vAlign w:val="center"/>
                </w:tcPr>
                <w:p w14:paraId="27F51E2D">
                  <w:pPr>
                    <w:autoSpaceDE w:val="0"/>
                    <w:jc w:val="center"/>
                    <w:rPr>
                      <w:color w:val="auto"/>
                      <w:szCs w:val="21"/>
                    </w:rPr>
                  </w:pPr>
                  <w:r>
                    <w:rPr>
                      <w:color w:val="auto"/>
                      <w:szCs w:val="21"/>
                    </w:rPr>
                    <w:t>33°36′52.801″</w:t>
                  </w:r>
                </w:p>
              </w:tc>
              <w:tc>
                <w:tcPr>
                  <w:tcW w:w="1079" w:type="dxa"/>
                  <w:vAlign w:val="center"/>
                </w:tcPr>
                <w:p w14:paraId="01937799">
                  <w:pPr>
                    <w:autoSpaceDE w:val="0"/>
                    <w:jc w:val="center"/>
                    <w:rPr>
                      <w:color w:val="auto"/>
                      <w:szCs w:val="21"/>
                    </w:rPr>
                  </w:pPr>
                  <w:r>
                    <w:rPr>
                      <w:color w:val="auto"/>
                      <w:szCs w:val="21"/>
                    </w:rPr>
                    <w:t>1次/年</w:t>
                  </w:r>
                </w:p>
              </w:tc>
            </w:tr>
            <w:tr w14:paraId="42D2CB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005" w:type="dxa"/>
                  <w:vAlign w:val="center"/>
                </w:tcPr>
                <w:p w14:paraId="2467AA30">
                  <w:pPr>
                    <w:adjustRightInd w:val="0"/>
                    <w:snapToGrid w:val="0"/>
                    <w:jc w:val="center"/>
                    <w:rPr>
                      <w:color w:val="auto"/>
                      <w:szCs w:val="21"/>
                    </w:rPr>
                  </w:pPr>
                  <w:r>
                    <w:rPr>
                      <w:color w:val="auto"/>
                      <w:szCs w:val="21"/>
                    </w:rPr>
                    <w:t>DA00</w:t>
                  </w:r>
                  <w:r>
                    <w:rPr>
                      <w:rFonts w:hint="eastAsia"/>
                      <w:color w:val="auto"/>
                      <w:szCs w:val="21"/>
                    </w:rPr>
                    <w:t>3</w:t>
                  </w:r>
                </w:p>
              </w:tc>
              <w:tc>
                <w:tcPr>
                  <w:tcW w:w="1026" w:type="dxa"/>
                  <w:vAlign w:val="center"/>
                </w:tcPr>
                <w:p w14:paraId="37F8AC32">
                  <w:pPr>
                    <w:pStyle w:val="43"/>
                    <w:rPr>
                      <w:color w:val="auto"/>
                    </w:rPr>
                  </w:pPr>
                  <w:r>
                    <w:rPr>
                      <w:color w:val="auto"/>
                    </w:rPr>
                    <w:t>颗粒物</w:t>
                  </w:r>
                </w:p>
              </w:tc>
              <w:tc>
                <w:tcPr>
                  <w:tcW w:w="1044" w:type="dxa"/>
                  <w:vAlign w:val="center"/>
                </w:tcPr>
                <w:p w14:paraId="59F2D790">
                  <w:pPr>
                    <w:autoSpaceDE w:val="0"/>
                    <w:jc w:val="center"/>
                    <w:rPr>
                      <w:color w:val="auto"/>
                      <w:szCs w:val="21"/>
                    </w:rPr>
                  </w:pPr>
                  <w:r>
                    <w:rPr>
                      <w:rFonts w:hint="eastAsia"/>
                      <w:color w:val="auto"/>
                      <w:szCs w:val="21"/>
                    </w:rPr>
                    <w:t>15</w:t>
                  </w:r>
                </w:p>
              </w:tc>
              <w:tc>
                <w:tcPr>
                  <w:tcW w:w="982" w:type="dxa"/>
                  <w:vAlign w:val="center"/>
                </w:tcPr>
                <w:p w14:paraId="544485EE">
                  <w:pPr>
                    <w:autoSpaceDE w:val="0"/>
                    <w:jc w:val="center"/>
                    <w:rPr>
                      <w:color w:val="auto"/>
                      <w:szCs w:val="21"/>
                    </w:rPr>
                  </w:pPr>
                  <w:r>
                    <w:rPr>
                      <w:rFonts w:hint="eastAsia"/>
                      <w:color w:val="auto"/>
                      <w:szCs w:val="21"/>
                    </w:rPr>
                    <w:t>1.0</w:t>
                  </w:r>
                </w:p>
              </w:tc>
              <w:tc>
                <w:tcPr>
                  <w:tcW w:w="1641" w:type="dxa"/>
                  <w:vAlign w:val="center"/>
                </w:tcPr>
                <w:p w14:paraId="63D2D466">
                  <w:pPr>
                    <w:autoSpaceDE w:val="0"/>
                    <w:jc w:val="center"/>
                    <w:rPr>
                      <w:color w:val="auto"/>
                      <w:szCs w:val="21"/>
                    </w:rPr>
                  </w:pPr>
                  <w:r>
                    <w:rPr>
                      <w:color w:val="auto"/>
                      <w:szCs w:val="21"/>
                    </w:rPr>
                    <w:t>117°5′17.352″</w:t>
                  </w:r>
                </w:p>
              </w:tc>
              <w:tc>
                <w:tcPr>
                  <w:tcW w:w="1600" w:type="dxa"/>
                  <w:vAlign w:val="center"/>
                </w:tcPr>
                <w:p w14:paraId="2A2B3E33">
                  <w:pPr>
                    <w:autoSpaceDE w:val="0"/>
                    <w:jc w:val="center"/>
                    <w:rPr>
                      <w:color w:val="auto"/>
                      <w:szCs w:val="21"/>
                    </w:rPr>
                  </w:pPr>
                  <w:r>
                    <w:rPr>
                      <w:color w:val="auto"/>
                      <w:szCs w:val="21"/>
                    </w:rPr>
                    <w:t>33°36′52.511″</w:t>
                  </w:r>
                </w:p>
              </w:tc>
              <w:tc>
                <w:tcPr>
                  <w:tcW w:w="1079" w:type="dxa"/>
                  <w:vAlign w:val="center"/>
                </w:tcPr>
                <w:p w14:paraId="57FDE8A4">
                  <w:pPr>
                    <w:autoSpaceDE w:val="0"/>
                    <w:jc w:val="center"/>
                    <w:rPr>
                      <w:color w:val="auto"/>
                      <w:szCs w:val="21"/>
                    </w:rPr>
                  </w:pPr>
                  <w:r>
                    <w:rPr>
                      <w:color w:val="auto"/>
                      <w:szCs w:val="21"/>
                    </w:rPr>
                    <w:t>1次/年</w:t>
                  </w:r>
                </w:p>
              </w:tc>
            </w:tr>
            <w:tr w14:paraId="08A07E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005" w:type="dxa"/>
                  <w:vAlign w:val="center"/>
                </w:tcPr>
                <w:p w14:paraId="2BDC5522">
                  <w:pPr>
                    <w:adjustRightInd w:val="0"/>
                    <w:snapToGrid w:val="0"/>
                    <w:jc w:val="center"/>
                    <w:rPr>
                      <w:color w:val="auto"/>
                      <w:szCs w:val="21"/>
                    </w:rPr>
                  </w:pPr>
                  <w:r>
                    <w:rPr>
                      <w:color w:val="auto"/>
                      <w:szCs w:val="21"/>
                    </w:rPr>
                    <w:t>厂界</w:t>
                  </w:r>
                </w:p>
              </w:tc>
              <w:tc>
                <w:tcPr>
                  <w:tcW w:w="1026" w:type="dxa"/>
                  <w:vAlign w:val="center"/>
                </w:tcPr>
                <w:p w14:paraId="3EBAD66A">
                  <w:pPr>
                    <w:pStyle w:val="43"/>
                    <w:rPr>
                      <w:color w:val="auto"/>
                    </w:rPr>
                  </w:pPr>
                  <w:r>
                    <w:rPr>
                      <w:color w:val="auto"/>
                    </w:rPr>
                    <w:t>颗粒物</w:t>
                  </w:r>
                </w:p>
              </w:tc>
              <w:tc>
                <w:tcPr>
                  <w:tcW w:w="1044" w:type="dxa"/>
                  <w:vAlign w:val="center"/>
                </w:tcPr>
                <w:p w14:paraId="20C06AEA">
                  <w:pPr>
                    <w:autoSpaceDE w:val="0"/>
                    <w:jc w:val="center"/>
                    <w:rPr>
                      <w:color w:val="auto"/>
                      <w:szCs w:val="21"/>
                    </w:rPr>
                  </w:pPr>
                  <w:r>
                    <w:rPr>
                      <w:color w:val="auto"/>
                      <w:szCs w:val="21"/>
                    </w:rPr>
                    <w:t>/</w:t>
                  </w:r>
                </w:p>
              </w:tc>
              <w:tc>
                <w:tcPr>
                  <w:tcW w:w="982" w:type="dxa"/>
                  <w:vAlign w:val="center"/>
                </w:tcPr>
                <w:p w14:paraId="10D254A6">
                  <w:pPr>
                    <w:autoSpaceDE w:val="0"/>
                    <w:jc w:val="center"/>
                    <w:rPr>
                      <w:color w:val="auto"/>
                      <w:szCs w:val="21"/>
                    </w:rPr>
                  </w:pPr>
                  <w:r>
                    <w:rPr>
                      <w:color w:val="auto"/>
                      <w:szCs w:val="21"/>
                    </w:rPr>
                    <w:t>/</w:t>
                  </w:r>
                </w:p>
              </w:tc>
              <w:tc>
                <w:tcPr>
                  <w:tcW w:w="1641" w:type="dxa"/>
                  <w:vAlign w:val="center"/>
                </w:tcPr>
                <w:p w14:paraId="70061C46">
                  <w:pPr>
                    <w:autoSpaceDE w:val="0"/>
                    <w:jc w:val="center"/>
                    <w:rPr>
                      <w:color w:val="auto"/>
                      <w:szCs w:val="21"/>
                    </w:rPr>
                  </w:pPr>
                  <w:r>
                    <w:rPr>
                      <w:color w:val="auto"/>
                      <w:szCs w:val="21"/>
                    </w:rPr>
                    <w:t>/</w:t>
                  </w:r>
                </w:p>
              </w:tc>
              <w:tc>
                <w:tcPr>
                  <w:tcW w:w="1600" w:type="dxa"/>
                  <w:vAlign w:val="center"/>
                </w:tcPr>
                <w:p w14:paraId="35779D92">
                  <w:pPr>
                    <w:autoSpaceDE w:val="0"/>
                    <w:jc w:val="center"/>
                    <w:rPr>
                      <w:color w:val="auto"/>
                      <w:szCs w:val="21"/>
                    </w:rPr>
                  </w:pPr>
                  <w:r>
                    <w:rPr>
                      <w:color w:val="auto"/>
                      <w:szCs w:val="21"/>
                    </w:rPr>
                    <w:t>/</w:t>
                  </w:r>
                </w:p>
              </w:tc>
              <w:tc>
                <w:tcPr>
                  <w:tcW w:w="1079" w:type="dxa"/>
                  <w:vAlign w:val="center"/>
                </w:tcPr>
                <w:p w14:paraId="48E4B27F">
                  <w:pPr>
                    <w:autoSpaceDE w:val="0"/>
                    <w:jc w:val="center"/>
                    <w:rPr>
                      <w:color w:val="auto"/>
                      <w:szCs w:val="21"/>
                    </w:rPr>
                  </w:pPr>
                  <w:r>
                    <w:rPr>
                      <w:color w:val="auto"/>
                      <w:szCs w:val="21"/>
                    </w:rPr>
                    <w:t>1次/年</w:t>
                  </w:r>
                </w:p>
              </w:tc>
            </w:tr>
          </w:tbl>
          <w:p w14:paraId="101E7EE7">
            <w:pPr>
              <w:spacing w:line="360" w:lineRule="auto"/>
              <w:ind w:left="105" w:leftChars="50"/>
              <w:rPr>
                <w:b/>
                <w:bCs/>
                <w:color w:val="auto"/>
                <w:sz w:val="24"/>
              </w:rPr>
            </w:pPr>
            <w:r>
              <w:rPr>
                <w:rFonts w:hint="eastAsia"/>
                <w:b/>
                <w:bCs/>
                <w:color w:val="auto"/>
                <w:sz w:val="24"/>
              </w:rPr>
              <w:t>4、非正常工况下大气环境影响分析</w:t>
            </w:r>
          </w:p>
          <w:p w14:paraId="7CF727F3">
            <w:pPr>
              <w:pStyle w:val="32"/>
              <w:spacing w:line="360" w:lineRule="auto"/>
              <w:ind w:left="105" w:leftChars="50" w:right="105" w:rightChars="50" w:firstLine="480" w:firstLineChars="200"/>
              <w:rPr>
                <w:rFonts w:ascii="Times New Roman" w:hAnsi="Times New Roman" w:cs="Times New Roman"/>
                <w:color w:val="auto"/>
                <w:lang w:eastAsia="zh-CN"/>
              </w:rPr>
            </w:pPr>
            <w:r>
              <w:rPr>
                <w:rFonts w:ascii="Times New Roman" w:hAnsi="Times New Roman" w:cs="Times New Roman"/>
                <w:color w:val="auto"/>
                <w:kern w:val="0"/>
                <w:lang w:eastAsia="zh-CN" w:bidi="ar"/>
              </w:rPr>
              <w:t>非正常排放是指生产过程中开停车（工、炉）、设备检修、工艺设备运转异常等非正常工况下的污染物排放，以及污染物排放控制措施达不到应有效率等情况下的排放，应立即停产进行维修，避免对周围环境造成污染。</w:t>
            </w:r>
            <w:r>
              <w:rPr>
                <w:rFonts w:ascii="Times New Roman" w:hAnsi="Times New Roman" w:cs="Times New Roman"/>
                <w:color w:val="auto"/>
                <w:lang w:eastAsia="zh-CN"/>
              </w:rPr>
              <w:t>项目废气在非正常工况下的排放源强及应对处理措施如下：</w:t>
            </w:r>
          </w:p>
          <w:p w14:paraId="30C492C9">
            <w:pPr>
              <w:pStyle w:val="54"/>
              <w:rPr>
                <w:color w:val="auto"/>
                <w:sz w:val="24"/>
                <w:szCs w:val="32"/>
              </w:rPr>
            </w:pPr>
            <w:r>
              <w:rPr>
                <w:rFonts w:hint="eastAsia"/>
                <w:color w:val="auto"/>
                <w:sz w:val="24"/>
                <w:szCs w:val="32"/>
              </w:rPr>
              <w:t>表4-6  项目污染源非正常排放量核算表</w:t>
            </w:r>
          </w:p>
          <w:tbl>
            <w:tblPr>
              <w:tblStyle w:val="24"/>
              <w:tblW w:w="488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41"/>
              <w:gridCol w:w="818"/>
              <w:gridCol w:w="861"/>
              <w:gridCol w:w="766"/>
              <w:gridCol w:w="1177"/>
              <w:gridCol w:w="1106"/>
              <w:gridCol w:w="664"/>
              <w:gridCol w:w="885"/>
              <w:gridCol w:w="1535"/>
            </w:tblGrid>
            <w:tr w14:paraId="1563C1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68" w:type="pct"/>
                  <w:vAlign w:val="center"/>
                </w:tcPr>
                <w:p w14:paraId="003FE617">
                  <w:pPr>
                    <w:widowControl/>
                    <w:jc w:val="center"/>
                    <w:textAlignment w:val="center"/>
                    <w:rPr>
                      <w:bCs/>
                      <w:color w:val="auto"/>
                      <w:kern w:val="10"/>
                      <w:szCs w:val="21"/>
                    </w:rPr>
                  </w:pPr>
                  <w:r>
                    <w:rPr>
                      <w:bCs/>
                      <w:color w:val="auto"/>
                      <w:kern w:val="10"/>
                      <w:szCs w:val="21"/>
                    </w:rPr>
                    <w:t>序号</w:t>
                  </w:r>
                </w:p>
              </w:tc>
              <w:tc>
                <w:tcPr>
                  <w:tcW w:w="495" w:type="pct"/>
                  <w:vAlign w:val="center"/>
                </w:tcPr>
                <w:p w14:paraId="2E6AB542">
                  <w:pPr>
                    <w:widowControl/>
                    <w:jc w:val="center"/>
                    <w:textAlignment w:val="center"/>
                    <w:rPr>
                      <w:bCs/>
                      <w:color w:val="auto"/>
                      <w:kern w:val="10"/>
                      <w:szCs w:val="21"/>
                    </w:rPr>
                  </w:pPr>
                  <w:r>
                    <w:rPr>
                      <w:bCs/>
                      <w:color w:val="auto"/>
                      <w:kern w:val="10"/>
                      <w:szCs w:val="21"/>
                    </w:rPr>
                    <w:t>污染源</w:t>
                  </w:r>
                </w:p>
              </w:tc>
              <w:tc>
                <w:tcPr>
                  <w:tcW w:w="521" w:type="pct"/>
                  <w:vAlign w:val="center"/>
                </w:tcPr>
                <w:p w14:paraId="4EB86198">
                  <w:pPr>
                    <w:widowControl/>
                    <w:jc w:val="center"/>
                    <w:textAlignment w:val="center"/>
                    <w:rPr>
                      <w:bCs/>
                      <w:color w:val="auto"/>
                      <w:kern w:val="10"/>
                      <w:szCs w:val="21"/>
                    </w:rPr>
                  </w:pPr>
                  <w:r>
                    <w:rPr>
                      <w:bCs/>
                      <w:color w:val="auto"/>
                      <w:kern w:val="10"/>
                      <w:szCs w:val="21"/>
                    </w:rPr>
                    <w:t>非正常排放原因</w:t>
                  </w:r>
                </w:p>
              </w:tc>
              <w:tc>
                <w:tcPr>
                  <w:tcW w:w="463" w:type="pct"/>
                  <w:vAlign w:val="center"/>
                </w:tcPr>
                <w:p w14:paraId="1284EA6D">
                  <w:pPr>
                    <w:widowControl/>
                    <w:jc w:val="center"/>
                    <w:textAlignment w:val="center"/>
                    <w:rPr>
                      <w:bCs/>
                      <w:color w:val="auto"/>
                      <w:kern w:val="10"/>
                      <w:szCs w:val="21"/>
                    </w:rPr>
                  </w:pPr>
                  <w:r>
                    <w:rPr>
                      <w:bCs/>
                      <w:color w:val="auto"/>
                      <w:kern w:val="10"/>
                      <w:szCs w:val="21"/>
                    </w:rPr>
                    <w:t>污染物</w:t>
                  </w:r>
                </w:p>
              </w:tc>
              <w:tc>
                <w:tcPr>
                  <w:tcW w:w="712" w:type="pct"/>
                  <w:vAlign w:val="center"/>
                </w:tcPr>
                <w:p w14:paraId="102201C9">
                  <w:pPr>
                    <w:widowControl/>
                    <w:jc w:val="center"/>
                    <w:textAlignment w:val="center"/>
                    <w:rPr>
                      <w:bCs/>
                      <w:color w:val="auto"/>
                      <w:kern w:val="10"/>
                      <w:szCs w:val="21"/>
                    </w:rPr>
                  </w:pPr>
                  <w:r>
                    <w:rPr>
                      <w:bCs/>
                      <w:color w:val="auto"/>
                      <w:kern w:val="10"/>
                      <w:szCs w:val="21"/>
                    </w:rPr>
                    <w:t>非正常排放浓度/（mg/m</w:t>
                  </w:r>
                  <w:r>
                    <w:rPr>
                      <w:bCs/>
                      <w:color w:val="auto"/>
                      <w:kern w:val="10"/>
                      <w:szCs w:val="21"/>
                      <w:vertAlign w:val="superscript"/>
                    </w:rPr>
                    <w:t>3</w:t>
                  </w:r>
                  <w:r>
                    <w:rPr>
                      <w:bCs/>
                      <w:color w:val="auto"/>
                      <w:kern w:val="10"/>
                      <w:szCs w:val="21"/>
                    </w:rPr>
                    <w:t>）</w:t>
                  </w:r>
                </w:p>
              </w:tc>
              <w:tc>
                <w:tcPr>
                  <w:tcW w:w="669" w:type="pct"/>
                  <w:vAlign w:val="center"/>
                </w:tcPr>
                <w:p w14:paraId="03AB399D">
                  <w:pPr>
                    <w:widowControl/>
                    <w:jc w:val="center"/>
                    <w:textAlignment w:val="center"/>
                    <w:rPr>
                      <w:bCs/>
                      <w:color w:val="auto"/>
                      <w:kern w:val="10"/>
                      <w:szCs w:val="21"/>
                    </w:rPr>
                  </w:pPr>
                  <w:r>
                    <w:rPr>
                      <w:bCs/>
                      <w:color w:val="auto"/>
                      <w:kern w:val="10"/>
                      <w:szCs w:val="21"/>
                    </w:rPr>
                    <w:t>非正常排放速率/（kg/h）</w:t>
                  </w:r>
                </w:p>
              </w:tc>
              <w:tc>
                <w:tcPr>
                  <w:tcW w:w="402" w:type="pct"/>
                  <w:vAlign w:val="center"/>
                </w:tcPr>
                <w:p w14:paraId="5ACDFB59">
                  <w:pPr>
                    <w:widowControl/>
                    <w:jc w:val="center"/>
                    <w:textAlignment w:val="center"/>
                    <w:rPr>
                      <w:bCs/>
                      <w:color w:val="auto"/>
                      <w:kern w:val="10"/>
                      <w:szCs w:val="21"/>
                    </w:rPr>
                  </w:pPr>
                  <w:r>
                    <w:rPr>
                      <w:bCs/>
                      <w:color w:val="auto"/>
                      <w:kern w:val="10"/>
                      <w:szCs w:val="21"/>
                    </w:rPr>
                    <w:t>单次持续时间/h</w:t>
                  </w:r>
                </w:p>
              </w:tc>
              <w:tc>
                <w:tcPr>
                  <w:tcW w:w="535" w:type="pct"/>
                  <w:vAlign w:val="center"/>
                </w:tcPr>
                <w:p w14:paraId="2B3071D4">
                  <w:pPr>
                    <w:widowControl/>
                    <w:jc w:val="center"/>
                    <w:textAlignment w:val="center"/>
                    <w:rPr>
                      <w:bCs/>
                      <w:color w:val="auto"/>
                      <w:kern w:val="10"/>
                      <w:szCs w:val="21"/>
                    </w:rPr>
                  </w:pPr>
                  <w:r>
                    <w:rPr>
                      <w:bCs/>
                      <w:color w:val="auto"/>
                      <w:kern w:val="10"/>
                      <w:szCs w:val="21"/>
                    </w:rPr>
                    <w:t>年发生频次/次</w:t>
                  </w:r>
                </w:p>
              </w:tc>
              <w:tc>
                <w:tcPr>
                  <w:tcW w:w="929" w:type="pct"/>
                  <w:vAlign w:val="center"/>
                </w:tcPr>
                <w:p w14:paraId="7C8BAC73">
                  <w:pPr>
                    <w:pStyle w:val="53"/>
                    <w:snapToGrid/>
                    <w:rPr>
                      <w:rFonts w:ascii="Times New Roman" w:hAnsi="Times New Roman" w:cs="Times New Roman"/>
                      <w:color w:val="auto"/>
                      <w:kern w:val="10"/>
                      <w:szCs w:val="21"/>
                    </w:rPr>
                  </w:pPr>
                  <w:r>
                    <w:rPr>
                      <w:rFonts w:ascii="Times New Roman" w:hAnsi="Times New Roman" w:eastAsia="宋体" w:cs="Times New Roman"/>
                      <w:b w:val="0"/>
                      <w:bCs w:val="0"/>
                      <w:color w:val="auto"/>
                      <w:kern w:val="10"/>
                      <w:szCs w:val="21"/>
                    </w:rPr>
                    <w:t>措施</w:t>
                  </w:r>
                </w:p>
              </w:tc>
            </w:tr>
            <w:tr w14:paraId="047AA4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68" w:type="pct"/>
                  <w:vAlign w:val="center"/>
                </w:tcPr>
                <w:p w14:paraId="2EF77A19">
                  <w:pPr>
                    <w:widowControl/>
                    <w:jc w:val="center"/>
                    <w:textAlignment w:val="center"/>
                    <w:rPr>
                      <w:color w:val="auto"/>
                      <w:kern w:val="10"/>
                      <w:szCs w:val="21"/>
                    </w:rPr>
                  </w:pPr>
                  <w:r>
                    <w:rPr>
                      <w:color w:val="auto"/>
                      <w:kern w:val="10"/>
                      <w:szCs w:val="21"/>
                    </w:rPr>
                    <w:t>1</w:t>
                  </w:r>
                </w:p>
              </w:tc>
              <w:tc>
                <w:tcPr>
                  <w:tcW w:w="495" w:type="pct"/>
                  <w:vAlign w:val="center"/>
                </w:tcPr>
                <w:p w14:paraId="6713F03D">
                  <w:pPr>
                    <w:jc w:val="center"/>
                    <w:rPr>
                      <w:color w:val="auto"/>
                      <w:kern w:val="10"/>
                      <w:szCs w:val="21"/>
                    </w:rPr>
                  </w:pPr>
                  <w:r>
                    <w:rPr>
                      <w:color w:val="auto"/>
                      <w:kern w:val="10"/>
                      <w:szCs w:val="21"/>
                    </w:rPr>
                    <w:t>DA00</w:t>
                  </w:r>
                  <w:r>
                    <w:rPr>
                      <w:rFonts w:hint="eastAsia"/>
                      <w:color w:val="auto"/>
                      <w:kern w:val="10"/>
                      <w:szCs w:val="21"/>
                    </w:rPr>
                    <w:t>2</w:t>
                  </w:r>
                </w:p>
              </w:tc>
              <w:tc>
                <w:tcPr>
                  <w:tcW w:w="521" w:type="pct"/>
                  <w:vMerge w:val="restart"/>
                  <w:vAlign w:val="center"/>
                </w:tcPr>
                <w:p w14:paraId="02F4483A">
                  <w:pPr>
                    <w:widowControl/>
                    <w:jc w:val="center"/>
                    <w:textAlignment w:val="center"/>
                    <w:rPr>
                      <w:bCs/>
                      <w:color w:val="auto"/>
                      <w:kern w:val="10"/>
                      <w:szCs w:val="21"/>
                    </w:rPr>
                  </w:pPr>
                  <w:r>
                    <w:rPr>
                      <w:bCs/>
                      <w:color w:val="auto"/>
                      <w:kern w:val="10"/>
                      <w:szCs w:val="21"/>
                    </w:rPr>
                    <w:t>废气处理装置发生故障</w:t>
                  </w:r>
                </w:p>
              </w:tc>
              <w:tc>
                <w:tcPr>
                  <w:tcW w:w="463" w:type="pct"/>
                  <w:vMerge w:val="restart"/>
                  <w:vAlign w:val="center"/>
                </w:tcPr>
                <w:p w14:paraId="70839A68">
                  <w:pPr>
                    <w:jc w:val="center"/>
                    <w:rPr>
                      <w:bCs/>
                      <w:color w:val="auto"/>
                      <w:kern w:val="10"/>
                      <w:szCs w:val="21"/>
                    </w:rPr>
                  </w:pPr>
                  <w:r>
                    <w:rPr>
                      <w:bCs/>
                      <w:color w:val="auto"/>
                      <w:kern w:val="10"/>
                      <w:szCs w:val="21"/>
                    </w:rPr>
                    <w:t>颗粒物</w:t>
                  </w:r>
                </w:p>
              </w:tc>
              <w:tc>
                <w:tcPr>
                  <w:tcW w:w="712" w:type="pct"/>
                  <w:vAlign w:val="center"/>
                </w:tcPr>
                <w:p w14:paraId="03C7709D">
                  <w:pPr>
                    <w:pStyle w:val="43"/>
                    <w:rPr>
                      <w:color w:val="auto"/>
                      <w:kern w:val="10"/>
                    </w:rPr>
                  </w:pPr>
                  <w:r>
                    <w:rPr>
                      <w:rFonts w:hint="eastAsia"/>
                      <w:color w:val="auto"/>
                    </w:rPr>
                    <w:t>300.88</w:t>
                  </w:r>
                </w:p>
              </w:tc>
              <w:tc>
                <w:tcPr>
                  <w:tcW w:w="669" w:type="pct"/>
                  <w:vAlign w:val="center"/>
                </w:tcPr>
                <w:p w14:paraId="1537DF93">
                  <w:pPr>
                    <w:pStyle w:val="43"/>
                    <w:rPr>
                      <w:color w:val="auto"/>
                      <w:kern w:val="10"/>
                    </w:rPr>
                  </w:pPr>
                  <w:r>
                    <w:rPr>
                      <w:rFonts w:hint="eastAsia"/>
                      <w:color w:val="auto"/>
                    </w:rPr>
                    <w:t>27.982</w:t>
                  </w:r>
                </w:p>
              </w:tc>
              <w:tc>
                <w:tcPr>
                  <w:tcW w:w="402" w:type="pct"/>
                  <w:vAlign w:val="center"/>
                </w:tcPr>
                <w:p w14:paraId="1B88C825">
                  <w:pPr>
                    <w:widowControl/>
                    <w:jc w:val="center"/>
                    <w:textAlignment w:val="center"/>
                    <w:rPr>
                      <w:bCs/>
                      <w:color w:val="auto"/>
                      <w:kern w:val="10"/>
                      <w:szCs w:val="21"/>
                    </w:rPr>
                  </w:pPr>
                  <w:r>
                    <w:rPr>
                      <w:bCs/>
                      <w:color w:val="auto"/>
                      <w:kern w:val="10"/>
                      <w:szCs w:val="21"/>
                    </w:rPr>
                    <w:t>0.5</w:t>
                  </w:r>
                </w:p>
              </w:tc>
              <w:tc>
                <w:tcPr>
                  <w:tcW w:w="535" w:type="pct"/>
                  <w:vAlign w:val="center"/>
                </w:tcPr>
                <w:p w14:paraId="697300B1">
                  <w:pPr>
                    <w:widowControl/>
                    <w:jc w:val="center"/>
                    <w:textAlignment w:val="center"/>
                    <w:rPr>
                      <w:bCs/>
                      <w:color w:val="auto"/>
                      <w:kern w:val="10"/>
                      <w:szCs w:val="21"/>
                    </w:rPr>
                  </w:pPr>
                  <w:r>
                    <w:rPr>
                      <w:bCs/>
                      <w:color w:val="auto"/>
                      <w:kern w:val="10"/>
                      <w:szCs w:val="21"/>
                    </w:rPr>
                    <w:t>1</w:t>
                  </w:r>
                </w:p>
              </w:tc>
              <w:tc>
                <w:tcPr>
                  <w:tcW w:w="929" w:type="pct"/>
                  <w:vMerge w:val="restart"/>
                  <w:vAlign w:val="center"/>
                </w:tcPr>
                <w:p w14:paraId="7BEE6A8D">
                  <w:pPr>
                    <w:widowControl/>
                    <w:jc w:val="center"/>
                    <w:textAlignment w:val="center"/>
                    <w:rPr>
                      <w:bCs/>
                      <w:color w:val="auto"/>
                      <w:kern w:val="10"/>
                      <w:szCs w:val="21"/>
                    </w:rPr>
                  </w:pPr>
                  <w:r>
                    <w:rPr>
                      <w:color w:val="auto"/>
                      <w:kern w:val="10"/>
                      <w:szCs w:val="21"/>
                    </w:rPr>
                    <w:t>定期进行设备维护，当工艺废气处理装置出现故障且不能短时间恢复时停止生产</w:t>
                  </w:r>
                </w:p>
              </w:tc>
            </w:tr>
            <w:tr w14:paraId="6D7749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68" w:type="pct"/>
                  <w:vAlign w:val="center"/>
                </w:tcPr>
                <w:p w14:paraId="70101C04">
                  <w:pPr>
                    <w:widowControl/>
                    <w:jc w:val="center"/>
                    <w:textAlignment w:val="center"/>
                    <w:rPr>
                      <w:color w:val="auto"/>
                      <w:kern w:val="10"/>
                      <w:szCs w:val="21"/>
                    </w:rPr>
                  </w:pPr>
                  <w:r>
                    <w:rPr>
                      <w:rFonts w:hint="eastAsia"/>
                      <w:color w:val="auto"/>
                      <w:kern w:val="10"/>
                      <w:szCs w:val="21"/>
                    </w:rPr>
                    <w:t>2</w:t>
                  </w:r>
                </w:p>
              </w:tc>
              <w:tc>
                <w:tcPr>
                  <w:tcW w:w="495" w:type="pct"/>
                  <w:vAlign w:val="center"/>
                </w:tcPr>
                <w:p w14:paraId="350FA85C">
                  <w:pPr>
                    <w:jc w:val="center"/>
                    <w:rPr>
                      <w:color w:val="auto"/>
                      <w:kern w:val="10"/>
                      <w:szCs w:val="21"/>
                    </w:rPr>
                  </w:pPr>
                  <w:r>
                    <w:rPr>
                      <w:color w:val="auto"/>
                      <w:kern w:val="10"/>
                      <w:szCs w:val="21"/>
                    </w:rPr>
                    <w:t>DA00</w:t>
                  </w:r>
                  <w:r>
                    <w:rPr>
                      <w:rFonts w:hint="eastAsia"/>
                      <w:color w:val="auto"/>
                      <w:kern w:val="10"/>
                      <w:szCs w:val="21"/>
                    </w:rPr>
                    <w:t>3</w:t>
                  </w:r>
                </w:p>
              </w:tc>
              <w:tc>
                <w:tcPr>
                  <w:tcW w:w="521" w:type="pct"/>
                  <w:vMerge w:val="continue"/>
                  <w:vAlign w:val="center"/>
                </w:tcPr>
                <w:p w14:paraId="34BAA245">
                  <w:pPr>
                    <w:widowControl/>
                    <w:jc w:val="center"/>
                    <w:textAlignment w:val="center"/>
                    <w:rPr>
                      <w:bCs/>
                      <w:color w:val="auto"/>
                      <w:kern w:val="10"/>
                      <w:szCs w:val="21"/>
                    </w:rPr>
                  </w:pPr>
                </w:p>
              </w:tc>
              <w:tc>
                <w:tcPr>
                  <w:tcW w:w="463" w:type="pct"/>
                  <w:vMerge w:val="continue"/>
                  <w:vAlign w:val="center"/>
                </w:tcPr>
                <w:p w14:paraId="76F00A87">
                  <w:pPr>
                    <w:jc w:val="center"/>
                    <w:rPr>
                      <w:bCs/>
                      <w:color w:val="auto"/>
                      <w:kern w:val="10"/>
                      <w:szCs w:val="21"/>
                    </w:rPr>
                  </w:pPr>
                </w:p>
              </w:tc>
              <w:tc>
                <w:tcPr>
                  <w:tcW w:w="712" w:type="pct"/>
                  <w:vAlign w:val="center"/>
                </w:tcPr>
                <w:p w14:paraId="71D0D899">
                  <w:pPr>
                    <w:pStyle w:val="43"/>
                    <w:rPr>
                      <w:color w:val="auto"/>
                    </w:rPr>
                  </w:pPr>
                  <w:r>
                    <w:rPr>
                      <w:rFonts w:hint="eastAsia"/>
                      <w:color w:val="auto"/>
                    </w:rPr>
                    <w:t>1669.54</w:t>
                  </w:r>
                </w:p>
              </w:tc>
              <w:tc>
                <w:tcPr>
                  <w:tcW w:w="669" w:type="pct"/>
                  <w:vAlign w:val="center"/>
                </w:tcPr>
                <w:p w14:paraId="741253A6">
                  <w:pPr>
                    <w:pStyle w:val="43"/>
                    <w:rPr>
                      <w:color w:val="auto"/>
                    </w:rPr>
                  </w:pPr>
                  <w:r>
                    <w:rPr>
                      <w:rFonts w:hint="eastAsia"/>
                      <w:color w:val="auto"/>
                    </w:rPr>
                    <w:t>51.756</w:t>
                  </w:r>
                </w:p>
              </w:tc>
              <w:tc>
                <w:tcPr>
                  <w:tcW w:w="402" w:type="pct"/>
                  <w:vAlign w:val="center"/>
                </w:tcPr>
                <w:p w14:paraId="7E20010F">
                  <w:pPr>
                    <w:widowControl/>
                    <w:jc w:val="center"/>
                    <w:textAlignment w:val="center"/>
                    <w:rPr>
                      <w:bCs/>
                      <w:color w:val="auto"/>
                      <w:kern w:val="10"/>
                      <w:szCs w:val="21"/>
                    </w:rPr>
                  </w:pPr>
                  <w:r>
                    <w:rPr>
                      <w:bCs/>
                      <w:color w:val="auto"/>
                      <w:kern w:val="10"/>
                      <w:szCs w:val="21"/>
                    </w:rPr>
                    <w:t>0.5</w:t>
                  </w:r>
                </w:p>
              </w:tc>
              <w:tc>
                <w:tcPr>
                  <w:tcW w:w="535" w:type="pct"/>
                  <w:vAlign w:val="center"/>
                </w:tcPr>
                <w:p w14:paraId="2CD5A319">
                  <w:pPr>
                    <w:widowControl/>
                    <w:jc w:val="center"/>
                    <w:textAlignment w:val="center"/>
                    <w:rPr>
                      <w:bCs/>
                      <w:color w:val="auto"/>
                      <w:kern w:val="10"/>
                      <w:szCs w:val="21"/>
                    </w:rPr>
                  </w:pPr>
                  <w:r>
                    <w:rPr>
                      <w:bCs/>
                      <w:color w:val="auto"/>
                      <w:kern w:val="10"/>
                      <w:szCs w:val="21"/>
                    </w:rPr>
                    <w:t>1</w:t>
                  </w:r>
                </w:p>
              </w:tc>
              <w:tc>
                <w:tcPr>
                  <w:tcW w:w="929" w:type="pct"/>
                  <w:vMerge w:val="continue"/>
                  <w:vAlign w:val="center"/>
                </w:tcPr>
                <w:p w14:paraId="1ADEB94C">
                  <w:pPr>
                    <w:widowControl/>
                    <w:jc w:val="center"/>
                    <w:textAlignment w:val="center"/>
                    <w:rPr>
                      <w:color w:val="auto"/>
                      <w:kern w:val="10"/>
                      <w:szCs w:val="21"/>
                    </w:rPr>
                  </w:pPr>
                </w:p>
              </w:tc>
            </w:tr>
          </w:tbl>
          <w:p w14:paraId="144A1E32">
            <w:pPr>
              <w:spacing w:line="360" w:lineRule="auto"/>
              <w:ind w:left="105" w:leftChars="50"/>
              <w:rPr>
                <w:b/>
                <w:bCs/>
                <w:color w:val="auto"/>
                <w:sz w:val="24"/>
              </w:rPr>
            </w:pPr>
            <w:r>
              <w:rPr>
                <w:rFonts w:hint="eastAsia"/>
                <w:b/>
                <w:bCs/>
                <w:color w:val="auto"/>
                <w:sz w:val="24"/>
              </w:rPr>
              <w:t>二、水污染</w:t>
            </w:r>
          </w:p>
          <w:p w14:paraId="7A750E0C">
            <w:pPr>
              <w:spacing w:line="360" w:lineRule="auto"/>
              <w:ind w:left="105" w:leftChars="50"/>
              <w:rPr>
                <w:b/>
                <w:bCs/>
                <w:color w:val="auto"/>
                <w:sz w:val="24"/>
              </w:rPr>
            </w:pPr>
            <w:r>
              <w:rPr>
                <w:rFonts w:hint="eastAsia"/>
                <w:b/>
                <w:bCs/>
                <w:color w:val="auto"/>
                <w:sz w:val="24"/>
              </w:rPr>
              <w:t>1、废水污染源强</w:t>
            </w:r>
          </w:p>
          <w:p w14:paraId="77A8D0CD">
            <w:pPr>
              <w:spacing w:line="360" w:lineRule="auto"/>
              <w:ind w:firstLine="480" w:firstLineChars="200"/>
              <w:rPr>
                <w:rFonts w:cs="宋体"/>
                <w:color w:val="auto"/>
                <w:sz w:val="24"/>
              </w:rPr>
            </w:pPr>
            <w:r>
              <w:rPr>
                <w:rFonts w:hint="eastAsia" w:cs="宋体"/>
                <w:color w:val="auto"/>
                <w:sz w:val="24"/>
              </w:rPr>
              <w:t>（1）生活用水</w:t>
            </w:r>
          </w:p>
          <w:p w14:paraId="225F3EC9">
            <w:pPr>
              <w:spacing w:line="360" w:lineRule="auto"/>
              <w:ind w:firstLine="480" w:firstLineChars="200"/>
              <w:rPr>
                <w:rFonts w:cs="宋体"/>
                <w:color w:val="auto"/>
                <w:sz w:val="24"/>
              </w:rPr>
            </w:pPr>
            <w:r>
              <w:rPr>
                <w:rFonts w:hint="eastAsia" w:cs="宋体"/>
                <w:color w:val="auto"/>
                <w:sz w:val="24"/>
              </w:rPr>
              <w:t>本项目不新增员工，不新增生活用水。生活污水经化粪池预处理后定期清掏，不外排。</w:t>
            </w:r>
          </w:p>
          <w:p w14:paraId="3AF877AB">
            <w:pPr>
              <w:spacing w:line="360" w:lineRule="auto"/>
              <w:ind w:firstLine="480" w:firstLineChars="200"/>
              <w:rPr>
                <w:rFonts w:cs="宋体"/>
                <w:color w:val="auto"/>
                <w:sz w:val="24"/>
              </w:rPr>
            </w:pPr>
            <w:r>
              <w:rPr>
                <w:rFonts w:hint="eastAsia" w:cs="宋体"/>
                <w:color w:val="auto"/>
                <w:sz w:val="24"/>
              </w:rPr>
              <w:t>（2）生产用水</w:t>
            </w:r>
          </w:p>
          <w:p w14:paraId="69139C02">
            <w:pPr>
              <w:pStyle w:val="9"/>
              <w:spacing w:line="360" w:lineRule="auto"/>
              <w:ind w:firstLine="480" w:firstLineChars="200"/>
              <w:rPr>
                <w:rFonts w:cs="宋体"/>
                <w:color w:val="auto"/>
                <w:sz w:val="24"/>
              </w:rPr>
            </w:pPr>
            <w:r>
              <w:rPr>
                <w:rFonts w:hint="eastAsia" w:cs="宋体"/>
                <w:color w:val="auto"/>
                <w:sz w:val="24"/>
              </w:rPr>
              <w:t>①产品用水</w:t>
            </w:r>
          </w:p>
          <w:p w14:paraId="3054DE1B">
            <w:pPr>
              <w:spacing w:line="360" w:lineRule="auto"/>
              <w:ind w:firstLine="480" w:firstLineChars="200"/>
              <w:rPr>
                <w:rFonts w:cs="宋体"/>
                <w:color w:val="auto"/>
                <w:sz w:val="24"/>
              </w:rPr>
            </w:pPr>
            <w:r>
              <w:rPr>
                <w:rFonts w:hint="eastAsia" w:cs="宋体"/>
                <w:color w:val="auto"/>
                <w:sz w:val="24"/>
              </w:rPr>
              <w:t>扩建项目加气混凝土砌块生产工程中需加入一定比例的水，根据建设单位实际生产经验，项目生产1m³加气混凝土砌块需要用水0.35t扩建项目年产40万m³加气混凝土砌块，则项目配料用水为140000t/a（466.67t/d），配料水全部进入产品中，经蒸压后全部蒸发损耗，不外排。</w:t>
            </w:r>
          </w:p>
          <w:p w14:paraId="42D9826E">
            <w:pPr>
              <w:spacing w:line="360" w:lineRule="auto"/>
              <w:ind w:firstLine="480" w:firstLineChars="200"/>
              <w:rPr>
                <w:rFonts w:cs="宋体"/>
                <w:color w:val="auto"/>
                <w:sz w:val="24"/>
              </w:rPr>
            </w:pPr>
            <w:r>
              <w:rPr>
                <w:rFonts w:hint="eastAsia" w:cs="宋体"/>
                <w:color w:val="auto"/>
                <w:sz w:val="24"/>
              </w:rPr>
              <w:t>②湿式球磨用水：扩建项目球磨用水为球磨过程中的喷洒用水，现有项目球磨机用水量为30t/d（9000t/a），本项目不新增球磨设备，球磨运行时间增加，根据建设单位实际生产经验，本项目球磨机用水量为50t/d（15000t/a），清洗用水经沉淀池沉淀后循环利用，不外排，生产过程中损耗的水量约为5%，即损耗水量为2.5t/d（750t/a），全部进入到物料中进行配料。</w:t>
            </w:r>
          </w:p>
          <w:p w14:paraId="2D6DA0E3">
            <w:pPr>
              <w:spacing w:line="360" w:lineRule="auto"/>
              <w:ind w:firstLine="480" w:firstLineChars="200"/>
              <w:rPr>
                <w:rFonts w:cs="宋体"/>
                <w:color w:val="auto"/>
                <w:sz w:val="24"/>
              </w:rPr>
            </w:pPr>
            <w:r>
              <w:rPr>
                <w:rFonts w:hint="eastAsia" w:cs="宋体"/>
                <w:color w:val="auto"/>
                <w:sz w:val="24"/>
              </w:rPr>
              <w:t>③搅拌机清洗用水</w:t>
            </w:r>
          </w:p>
          <w:p w14:paraId="61C1DFA8">
            <w:pPr>
              <w:spacing w:line="360" w:lineRule="auto"/>
              <w:ind w:firstLine="480" w:firstLineChars="200"/>
              <w:rPr>
                <w:rFonts w:cs="宋体"/>
                <w:color w:val="auto"/>
                <w:sz w:val="24"/>
              </w:rPr>
            </w:pPr>
            <w:r>
              <w:rPr>
                <w:rFonts w:hint="eastAsia" w:cs="宋体"/>
                <w:color w:val="auto"/>
                <w:sz w:val="24"/>
              </w:rPr>
              <w:t>本项目为扩建项目，原项目搅拌机停止作业后需清洗，本次评价不涉及新增搅拌机设备，故而不新增搅拌机设备清洗用水。</w:t>
            </w:r>
          </w:p>
          <w:p w14:paraId="65AE1CE6">
            <w:pPr>
              <w:spacing w:line="360" w:lineRule="auto"/>
              <w:ind w:firstLine="480" w:firstLineChars="200"/>
              <w:rPr>
                <w:rFonts w:cs="宋体"/>
                <w:color w:val="auto"/>
                <w:sz w:val="24"/>
              </w:rPr>
            </w:pPr>
            <w:r>
              <w:rPr>
                <w:rFonts w:hint="eastAsia" w:cs="宋体"/>
                <w:color w:val="auto"/>
                <w:sz w:val="24"/>
              </w:rPr>
              <w:t>④车辆冲洗用水</w:t>
            </w:r>
          </w:p>
          <w:p w14:paraId="6397A0D5">
            <w:pPr>
              <w:spacing w:line="360" w:lineRule="auto"/>
              <w:ind w:firstLine="480" w:firstLineChars="200"/>
              <w:jc w:val="left"/>
              <w:rPr>
                <w:rFonts w:cs="宋体"/>
                <w:color w:val="auto"/>
                <w:sz w:val="24"/>
              </w:rPr>
            </w:pPr>
            <w:r>
              <w:rPr>
                <w:rFonts w:hint="eastAsia" w:cs="宋体"/>
                <w:color w:val="auto"/>
                <w:sz w:val="24"/>
              </w:rPr>
              <w:t>扩建项目车辆出厂区需对轮胎进行冲洗，避免带泥上路，减少扬尘产生。根据扩建项目原辅材料为209万t/a，项目原料按单车一次运输量为30t计算，年运输量为69667次，项目在厂区出入口设置洗车平台，每辆车入厂和出厂均需要清洗，运输车量冲洗水量按0.5m</w:t>
            </w:r>
            <w:r>
              <w:rPr>
                <w:rFonts w:hint="eastAsia" w:cs="宋体"/>
                <w:color w:val="auto"/>
                <w:sz w:val="24"/>
                <w:vertAlign w:val="superscript"/>
              </w:rPr>
              <w:t>3</w:t>
            </w:r>
            <w:r>
              <w:rPr>
                <w:rFonts w:hint="eastAsia" w:cs="宋体"/>
                <w:color w:val="auto"/>
                <w:sz w:val="24"/>
              </w:rPr>
              <w:t>/辆·次，则运输车辆冲洗用水量为116.11t/d（34833t/a），清洗用水经沉淀池沉淀后循环利用，不外排。损耗系数按10%计，则需定期补充新鲜水量为11.62t/d（3486t/a）。</w:t>
            </w:r>
          </w:p>
          <w:p w14:paraId="4B020031">
            <w:pPr>
              <w:spacing w:line="360" w:lineRule="auto"/>
              <w:ind w:firstLine="480" w:firstLineChars="200"/>
              <w:rPr>
                <w:rFonts w:cs="宋体"/>
                <w:color w:val="auto"/>
                <w:sz w:val="24"/>
              </w:rPr>
            </w:pPr>
            <w:r>
              <w:rPr>
                <w:rFonts w:hint="eastAsia" w:cs="宋体"/>
                <w:color w:val="auto"/>
                <w:sz w:val="24"/>
              </w:rPr>
              <w:t>⑤喷淋降尘用水</w:t>
            </w:r>
          </w:p>
          <w:p w14:paraId="26CE3876">
            <w:pPr>
              <w:spacing w:line="360" w:lineRule="auto"/>
              <w:ind w:firstLine="480" w:firstLineChars="200"/>
              <w:rPr>
                <w:rFonts w:cs="宋体"/>
                <w:color w:val="auto"/>
                <w:sz w:val="24"/>
              </w:rPr>
            </w:pPr>
            <w:r>
              <w:rPr>
                <w:rFonts w:hint="eastAsia" w:cs="宋体"/>
                <w:color w:val="auto"/>
                <w:sz w:val="24"/>
              </w:rPr>
              <w:t>本项目为扩建项目，不新增用地，仅涉及在现有厂区内进行建设和改造，不新增喷淋降尘用水。</w:t>
            </w:r>
          </w:p>
          <w:p w14:paraId="5058C67B">
            <w:pPr>
              <w:spacing w:line="360" w:lineRule="auto"/>
              <w:ind w:left="105" w:leftChars="50"/>
              <w:rPr>
                <w:b/>
                <w:bCs/>
                <w:color w:val="auto"/>
                <w:sz w:val="24"/>
              </w:rPr>
            </w:pPr>
            <w:r>
              <w:rPr>
                <w:rFonts w:hint="eastAsia"/>
                <w:b/>
                <w:bCs/>
                <w:color w:val="auto"/>
                <w:sz w:val="24"/>
              </w:rPr>
              <w:t>2、废水处理措施可行性分析</w:t>
            </w:r>
          </w:p>
          <w:p w14:paraId="78C33EB0">
            <w:pPr>
              <w:pStyle w:val="32"/>
              <w:spacing w:line="360" w:lineRule="auto"/>
              <w:ind w:left="105" w:leftChars="50" w:right="105" w:rightChars="50" w:firstLine="480" w:firstLineChars="200"/>
              <w:rPr>
                <w:rFonts w:hint="eastAsia"/>
                <w:color w:val="auto"/>
                <w:lang w:eastAsia="zh-CN"/>
              </w:rPr>
            </w:pPr>
            <w:r>
              <w:rPr>
                <w:color w:val="auto"/>
                <w:lang w:eastAsia="zh-CN"/>
              </w:rPr>
              <w:t>项目产生废水主要为员工生活污水，生活污水经过化粪池处理后，定期清掏，不外排。车辆冲洗废水经沉淀池沉淀后循环使用，不外排；</w:t>
            </w:r>
            <w:r>
              <w:rPr>
                <w:rFonts w:hint="eastAsia"/>
                <w:color w:val="auto"/>
                <w:lang w:eastAsia="zh-CN"/>
              </w:rPr>
              <w:t>设备清洗</w:t>
            </w:r>
            <w:r>
              <w:rPr>
                <w:color w:val="auto"/>
                <w:lang w:eastAsia="zh-CN"/>
              </w:rPr>
              <w:t>废水进入</w:t>
            </w:r>
            <w:r>
              <w:rPr>
                <w:rFonts w:hint="eastAsia" w:ascii="Times New Roman" w:hAnsi="Times New Roman"/>
                <w:color w:val="auto"/>
                <w:lang w:eastAsia="zh-CN"/>
              </w:rPr>
              <w:t>沉淀池自然沉降后</w:t>
            </w:r>
            <w:r>
              <w:rPr>
                <w:color w:val="auto"/>
                <w:lang w:eastAsia="zh-CN"/>
              </w:rPr>
              <w:t>，</w:t>
            </w:r>
            <w:r>
              <w:rPr>
                <w:rFonts w:hint="eastAsia"/>
                <w:color w:val="auto"/>
                <w:lang w:eastAsia="zh-CN"/>
              </w:rPr>
              <w:t>废水</w:t>
            </w:r>
            <w:r>
              <w:rPr>
                <w:color w:val="auto"/>
                <w:lang w:eastAsia="zh-CN"/>
              </w:rPr>
              <w:t>回用于生产；抑尘用水经蒸发扩散，无废水外排</w:t>
            </w:r>
            <w:r>
              <w:rPr>
                <w:rFonts w:hint="eastAsia"/>
                <w:color w:val="auto"/>
                <w:lang w:eastAsia="zh-CN"/>
              </w:rPr>
              <w:t>；养护洒水经蒸发扩散，无废水外排</w:t>
            </w:r>
            <w:r>
              <w:rPr>
                <w:color w:val="auto"/>
                <w:lang w:eastAsia="zh-CN"/>
              </w:rPr>
              <w:t>。 因此，本项目废水治理措施是可行的。</w:t>
            </w:r>
          </w:p>
          <w:p w14:paraId="7548D641">
            <w:pPr>
              <w:pStyle w:val="32"/>
              <w:spacing w:line="360" w:lineRule="auto"/>
              <w:ind w:left="105" w:leftChars="50" w:right="105" w:rightChars="50" w:firstLine="480" w:firstLineChars="200"/>
              <w:rPr>
                <w:rFonts w:ascii="Times New Roman" w:hAnsi="Times New Roman" w:cs="Times New Roman"/>
                <w:color w:val="auto"/>
                <w:lang w:eastAsia="zh-CN"/>
              </w:rPr>
            </w:pPr>
            <w:r>
              <w:rPr>
                <w:rFonts w:ascii="Times New Roman" w:hAnsi="Times New Roman" w:cs="Times New Roman"/>
                <w:color w:val="auto"/>
                <w:lang w:eastAsia="zh-CN"/>
              </w:rPr>
              <w:t>本项目生产清洗水主要的污染物为SS，且项目生产使用的清洗用水对水质要求不高，经沉淀后的废水</w:t>
            </w:r>
            <w:r>
              <w:rPr>
                <w:rFonts w:hint="eastAsia" w:ascii="Times New Roman" w:hAnsi="Times New Roman" w:cs="Times New Roman"/>
                <w:color w:val="auto"/>
                <w:lang w:eastAsia="zh-CN"/>
              </w:rPr>
              <w:t>完全可以作为生产用水回用。</w:t>
            </w:r>
          </w:p>
          <w:p w14:paraId="0650603F">
            <w:pPr>
              <w:pStyle w:val="32"/>
              <w:spacing w:before="33" w:line="220" w:lineRule="auto"/>
              <w:ind w:left="109"/>
              <w:rPr>
                <w:rFonts w:hint="eastAsia"/>
                <w:color w:val="auto"/>
                <w:lang w:eastAsia="zh-CN"/>
              </w:rPr>
            </w:pPr>
            <w:r>
              <w:rPr>
                <w:b/>
                <w:bCs/>
                <w:color w:val="auto"/>
                <w:lang w:eastAsia="zh-CN"/>
              </w:rPr>
              <w:t>三、噪声</w:t>
            </w:r>
          </w:p>
          <w:p w14:paraId="54890243">
            <w:pPr>
              <w:spacing w:line="360" w:lineRule="auto"/>
              <w:ind w:firstLine="482" w:firstLineChars="200"/>
              <w:rPr>
                <w:b/>
                <w:bCs/>
                <w:color w:val="auto"/>
                <w:sz w:val="24"/>
              </w:rPr>
            </w:pPr>
            <w:r>
              <w:rPr>
                <w:rFonts w:hint="eastAsia"/>
                <w:b/>
                <w:bCs/>
                <w:color w:val="auto"/>
                <w:sz w:val="24"/>
              </w:rPr>
              <w:t>1、</w:t>
            </w:r>
            <w:r>
              <w:rPr>
                <w:b/>
                <w:bCs/>
                <w:color w:val="auto"/>
                <w:sz w:val="24"/>
              </w:rPr>
              <w:t>源强</w:t>
            </w:r>
          </w:p>
          <w:p w14:paraId="2728B914">
            <w:pPr>
              <w:spacing w:line="360" w:lineRule="auto"/>
              <w:ind w:left="105" w:leftChars="50" w:right="105" w:rightChars="50" w:firstLine="480" w:firstLineChars="200"/>
              <w:rPr>
                <w:color w:val="auto"/>
                <w:sz w:val="24"/>
              </w:rPr>
            </w:pPr>
            <w:r>
              <w:rPr>
                <w:color w:val="auto"/>
                <w:sz w:val="24"/>
              </w:rPr>
              <w:t>本项目主要噪声源为设备运行时产生的设备噪声，坐标原</w:t>
            </w:r>
            <w:r>
              <w:rPr>
                <w:color w:val="auto"/>
                <w:kern w:val="0"/>
                <w:sz w:val="24"/>
              </w:rPr>
              <w:t>点经纬度</w:t>
            </w:r>
            <w:r>
              <w:rPr>
                <w:bCs/>
                <w:color w:val="auto"/>
                <w:sz w:val="24"/>
              </w:rPr>
              <w:t>（117°5′14.687″</w:t>
            </w:r>
            <w:r>
              <w:rPr>
                <w:rFonts w:hint="eastAsia"/>
                <w:bCs/>
                <w:color w:val="auto"/>
                <w:sz w:val="24"/>
              </w:rPr>
              <w:t>，</w:t>
            </w:r>
            <w:r>
              <w:rPr>
                <w:bCs/>
                <w:color w:val="auto"/>
                <w:sz w:val="24"/>
              </w:rPr>
              <w:t>33°36′48.012</w:t>
            </w:r>
            <w:r>
              <w:rPr>
                <w:rFonts w:hint="eastAsia"/>
                <w:bCs/>
                <w:color w:val="auto"/>
                <w:sz w:val="24"/>
              </w:rPr>
              <w:t>″</w:t>
            </w:r>
            <w:r>
              <w:rPr>
                <w:bCs/>
                <w:color w:val="auto"/>
                <w:sz w:val="24"/>
              </w:rPr>
              <w:t>）</w:t>
            </w:r>
            <w:r>
              <w:rPr>
                <w:rFonts w:hint="eastAsia"/>
                <w:color w:val="auto"/>
                <w:kern w:val="0"/>
                <w:sz w:val="24"/>
              </w:rPr>
              <w:t>。</w:t>
            </w:r>
            <w:r>
              <w:rPr>
                <w:color w:val="auto"/>
                <w:sz w:val="24"/>
              </w:rPr>
              <w:t>工程主要噪声源情况见下表：</w:t>
            </w:r>
          </w:p>
          <w:p w14:paraId="60510DF4">
            <w:pPr>
              <w:spacing w:line="360" w:lineRule="auto"/>
              <w:ind w:left="105" w:leftChars="50" w:right="105" w:rightChars="50" w:firstLine="480" w:firstLineChars="200"/>
              <w:rPr>
                <w:color w:val="auto"/>
                <w:sz w:val="24"/>
              </w:rPr>
            </w:pPr>
          </w:p>
          <w:p w14:paraId="209133BE">
            <w:pPr>
              <w:spacing w:line="360" w:lineRule="auto"/>
              <w:ind w:left="105" w:leftChars="50" w:right="105" w:rightChars="50" w:firstLine="480" w:firstLineChars="200"/>
              <w:rPr>
                <w:color w:val="auto"/>
                <w:sz w:val="24"/>
              </w:rPr>
            </w:pPr>
          </w:p>
          <w:p w14:paraId="7D7ABB4A">
            <w:pPr>
              <w:spacing w:line="360" w:lineRule="auto"/>
              <w:ind w:left="105" w:leftChars="50" w:right="105" w:rightChars="50" w:firstLine="480" w:firstLineChars="200"/>
              <w:rPr>
                <w:color w:val="auto"/>
                <w:sz w:val="24"/>
              </w:rPr>
            </w:pPr>
          </w:p>
          <w:p w14:paraId="686FF9B8">
            <w:pPr>
              <w:spacing w:line="360" w:lineRule="auto"/>
              <w:ind w:left="105" w:leftChars="50" w:right="105" w:rightChars="50" w:firstLine="480" w:firstLineChars="200"/>
              <w:rPr>
                <w:color w:val="auto"/>
                <w:sz w:val="24"/>
              </w:rPr>
            </w:pPr>
          </w:p>
          <w:p w14:paraId="2ACC0127">
            <w:pPr>
              <w:spacing w:line="360" w:lineRule="auto"/>
              <w:ind w:left="105" w:leftChars="50" w:right="105" w:rightChars="50" w:firstLine="480" w:firstLineChars="200"/>
              <w:rPr>
                <w:color w:val="auto"/>
                <w:sz w:val="24"/>
              </w:rPr>
            </w:pPr>
          </w:p>
          <w:p w14:paraId="6F5511ED">
            <w:pPr>
              <w:spacing w:line="360" w:lineRule="auto"/>
              <w:ind w:left="105" w:leftChars="50" w:right="105" w:rightChars="50" w:firstLine="480" w:firstLineChars="200"/>
              <w:rPr>
                <w:color w:val="auto"/>
                <w:sz w:val="24"/>
              </w:rPr>
            </w:pPr>
          </w:p>
          <w:p w14:paraId="2D9DAC5B">
            <w:pPr>
              <w:spacing w:line="360" w:lineRule="auto"/>
              <w:ind w:left="105" w:leftChars="50" w:right="105" w:rightChars="50" w:firstLine="480" w:firstLineChars="200"/>
              <w:rPr>
                <w:color w:val="auto"/>
                <w:sz w:val="24"/>
              </w:rPr>
            </w:pPr>
          </w:p>
          <w:p w14:paraId="14E9F142">
            <w:pPr>
              <w:spacing w:line="360" w:lineRule="auto"/>
              <w:ind w:left="105" w:leftChars="50" w:right="105" w:rightChars="50" w:firstLine="480" w:firstLineChars="200"/>
              <w:rPr>
                <w:color w:val="auto"/>
                <w:sz w:val="24"/>
              </w:rPr>
            </w:pPr>
          </w:p>
          <w:p w14:paraId="6DD92E6A">
            <w:pPr>
              <w:spacing w:line="360" w:lineRule="auto"/>
              <w:ind w:left="105" w:leftChars="50" w:right="105" w:rightChars="50" w:firstLine="480" w:firstLineChars="200"/>
              <w:rPr>
                <w:color w:val="auto"/>
                <w:sz w:val="24"/>
              </w:rPr>
            </w:pPr>
          </w:p>
          <w:p w14:paraId="3FD6969D">
            <w:pPr>
              <w:spacing w:line="360" w:lineRule="auto"/>
              <w:ind w:left="105" w:leftChars="50" w:right="105" w:rightChars="50" w:firstLine="480" w:firstLineChars="200"/>
              <w:rPr>
                <w:color w:val="auto"/>
                <w:sz w:val="24"/>
              </w:rPr>
            </w:pPr>
          </w:p>
          <w:p w14:paraId="265CD37D">
            <w:pPr>
              <w:spacing w:line="360" w:lineRule="auto"/>
              <w:ind w:left="105" w:leftChars="50" w:right="105" w:rightChars="50" w:firstLine="480" w:firstLineChars="200"/>
              <w:rPr>
                <w:color w:val="auto"/>
                <w:sz w:val="24"/>
              </w:rPr>
            </w:pPr>
          </w:p>
          <w:p w14:paraId="522A1CB4">
            <w:pPr>
              <w:spacing w:line="360" w:lineRule="auto"/>
              <w:ind w:left="105" w:leftChars="50" w:right="105" w:rightChars="50" w:firstLine="480" w:firstLineChars="200"/>
              <w:rPr>
                <w:color w:val="auto"/>
                <w:sz w:val="24"/>
              </w:rPr>
            </w:pPr>
          </w:p>
          <w:p w14:paraId="349C0B5E">
            <w:pPr>
              <w:spacing w:line="360" w:lineRule="auto"/>
              <w:ind w:left="105" w:leftChars="50" w:right="105" w:rightChars="50" w:firstLine="480" w:firstLineChars="200"/>
              <w:rPr>
                <w:color w:val="auto"/>
                <w:sz w:val="24"/>
              </w:rPr>
            </w:pPr>
          </w:p>
          <w:p w14:paraId="616CF727">
            <w:pPr>
              <w:spacing w:line="360" w:lineRule="auto"/>
              <w:ind w:left="105" w:leftChars="50" w:right="105" w:rightChars="50" w:firstLine="480" w:firstLineChars="200"/>
              <w:rPr>
                <w:color w:val="auto"/>
                <w:sz w:val="24"/>
              </w:rPr>
            </w:pPr>
          </w:p>
          <w:p w14:paraId="2C52837D">
            <w:pPr>
              <w:spacing w:line="360" w:lineRule="auto"/>
              <w:ind w:right="105" w:rightChars="50"/>
              <w:rPr>
                <w:color w:val="auto"/>
                <w:sz w:val="24"/>
              </w:rPr>
            </w:pPr>
          </w:p>
        </w:tc>
      </w:tr>
    </w:tbl>
    <w:p w14:paraId="1608B4A5">
      <w:pPr>
        <w:pStyle w:val="14"/>
        <w:jc w:val="center"/>
        <w:rPr>
          <w:rFonts w:ascii="Times New Roman" w:hAnsi="Times New Roman"/>
          <w:b/>
          <w:bCs/>
          <w:color w:val="auto"/>
          <w:sz w:val="30"/>
          <w:szCs w:val="30"/>
        </w:rPr>
        <w:sectPr>
          <w:pgSz w:w="11906" w:h="16838"/>
          <w:pgMar w:top="1383" w:right="1800" w:bottom="1440" w:left="1800" w:header="851" w:footer="992" w:gutter="0"/>
          <w:cols w:space="425" w:num="1"/>
          <w:docGrid w:type="lines" w:linePitch="312" w:charSpace="0"/>
        </w:sectPr>
      </w:pPr>
    </w:p>
    <w:tbl>
      <w:tblPr>
        <w:tblStyle w:val="25"/>
        <w:tblW w:w="14265" w:type="dxa"/>
        <w:tblInd w:w="-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
        <w:gridCol w:w="14124"/>
      </w:tblGrid>
      <w:tr w14:paraId="03DBF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1" w:hRule="atLeast"/>
        </w:trPr>
        <w:tc>
          <w:tcPr>
            <w:tcW w:w="500" w:type="dxa"/>
          </w:tcPr>
          <w:p w14:paraId="6706E98B">
            <w:pPr>
              <w:ind w:firstLine="600"/>
              <w:jc w:val="center"/>
              <w:rPr>
                <w:rFonts w:eastAsia="黑体"/>
                <w:snapToGrid w:val="0"/>
                <w:color w:val="auto"/>
                <w:sz w:val="30"/>
                <w:szCs w:val="30"/>
              </w:rPr>
            </w:pPr>
          </w:p>
        </w:tc>
        <w:tc>
          <w:tcPr>
            <w:tcW w:w="13765" w:type="dxa"/>
          </w:tcPr>
          <w:p w14:paraId="0F3A5DE7">
            <w:pPr>
              <w:jc w:val="center"/>
              <w:rPr>
                <w:color w:val="auto"/>
                <w:sz w:val="24"/>
                <w:szCs w:val="32"/>
              </w:rPr>
            </w:pPr>
            <w:r>
              <w:rPr>
                <w:b/>
                <w:bCs/>
                <w:color w:val="auto"/>
                <w:sz w:val="24"/>
                <w:szCs w:val="40"/>
              </w:rPr>
              <w:t>表4-9  项目噪声源强调查清单（室内声源）</w:t>
            </w:r>
          </w:p>
          <w:tbl>
            <w:tblPr>
              <w:tblStyle w:val="24"/>
              <w:tblW w:w="0" w:type="auto"/>
              <w:tblInd w:w="0" w:type="dxa"/>
              <w:tblLayout w:type="autofit"/>
              <w:tblCellMar>
                <w:top w:w="0" w:type="dxa"/>
                <w:left w:w="108" w:type="dxa"/>
                <w:bottom w:w="0" w:type="dxa"/>
                <w:right w:w="108" w:type="dxa"/>
              </w:tblCellMar>
            </w:tblPr>
            <w:tblGrid>
              <w:gridCol w:w="427"/>
              <w:gridCol w:w="427"/>
              <w:gridCol w:w="636"/>
              <w:gridCol w:w="811"/>
              <w:gridCol w:w="654"/>
              <w:gridCol w:w="584"/>
              <w:gridCol w:w="479"/>
              <w:gridCol w:w="689"/>
              <w:gridCol w:w="689"/>
              <w:gridCol w:w="689"/>
              <w:gridCol w:w="584"/>
              <w:gridCol w:w="584"/>
              <w:gridCol w:w="584"/>
              <w:gridCol w:w="584"/>
              <w:gridCol w:w="584"/>
              <w:gridCol w:w="427"/>
              <w:gridCol w:w="426"/>
              <w:gridCol w:w="426"/>
              <w:gridCol w:w="426"/>
              <w:gridCol w:w="426"/>
              <w:gridCol w:w="584"/>
              <w:gridCol w:w="584"/>
              <w:gridCol w:w="584"/>
              <w:gridCol w:w="584"/>
              <w:gridCol w:w="426"/>
            </w:tblGrid>
            <w:tr w14:paraId="08C79772">
              <w:tblPrEx>
                <w:tblCellMar>
                  <w:top w:w="0" w:type="dxa"/>
                  <w:left w:w="108" w:type="dxa"/>
                  <w:bottom w:w="0" w:type="dxa"/>
                  <w:right w:w="108" w:type="dxa"/>
                </w:tblCellMar>
              </w:tblPrEx>
              <w:trPr>
                <w:trHeight w:val="606" w:hRule="atLeast"/>
              </w:trPr>
              <w:tc>
                <w:tcPr>
                  <w:tcW w:w="0" w:type="auto"/>
                  <w:vMerge w:val="restart"/>
                  <w:tcBorders>
                    <w:top w:val="single" w:color="000000" w:sz="8" w:space="0"/>
                    <w:left w:val="single" w:color="000000" w:sz="8" w:space="0"/>
                    <w:bottom w:val="single" w:color="000000" w:sz="8" w:space="0"/>
                    <w:right w:val="single" w:color="000000" w:sz="8" w:space="0"/>
                  </w:tcBorders>
                  <w:vAlign w:val="center"/>
                </w:tcPr>
                <w:p w14:paraId="4D3129AE">
                  <w:pPr>
                    <w:widowControl/>
                    <w:jc w:val="center"/>
                    <w:textAlignment w:val="center"/>
                    <w:rPr>
                      <w:b/>
                      <w:bCs/>
                      <w:color w:val="auto"/>
                      <w:kern w:val="21"/>
                      <w:szCs w:val="21"/>
                    </w:rPr>
                  </w:pPr>
                  <w:r>
                    <w:rPr>
                      <w:b/>
                      <w:bCs/>
                      <w:color w:val="auto"/>
                      <w:kern w:val="21"/>
                      <w:szCs w:val="21"/>
                      <w:lang w:bidi="ar"/>
                    </w:rPr>
                    <w:t>序号</w:t>
                  </w:r>
                </w:p>
              </w:tc>
              <w:tc>
                <w:tcPr>
                  <w:tcW w:w="0" w:type="auto"/>
                  <w:vMerge w:val="restart"/>
                  <w:tcBorders>
                    <w:top w:val="single" w:color="000000" w:sz="8" w:space="0"/>
                    <w:left w:val="single" w:color="000000" w:sz="8" w:space="0"/>
                    <w:bottom w:val="single" w:color="000000" w:sz="8" w:space="0"/>
                    <w:right w:val="single" w:color="000000" w:sz="8" w:space="0"/>
                  </w:tcBorders>
                  <w:vAlign w:val="center"/>
                </w:tcPr>
                <w:p w14:paraId="7218CBFA">
                  <w:pPr>
                    <w:widowControl/>
                    <w:jc w:val="center"/>
                    <w:textAlignment w:val="center"/>
                    <w:rPr>
                      <w:b/>
                      <w:bCs/>
                      <w:color w:val="auto"/>
                      <w:kern w:val="21"/>
                      <w:szCs w:val="21"/>
                    </w:rPr>
                  </w:pPr>
                  <w:r>
                    <w:rPr>
                      <w:b/>
                      <w:bCs/>
                      <w:color w:val="auto"/>
                      <w:kern w:val="21"/>
                      <w:szCs w:val="21"/>
                      <w:lang w:bidi="ar"/>
                    </w:rPr>
                    <w:t>建筑物名称</w:t>
                  </w:r>
                </w:p>
              </w:tc>
              <w:tc>
                <w:tcPr>
                  <w:tcW w:w="0" w:type="auto"/>
                  <w:vMerge w:val="restart"/>
                  <w:tcBorders>
                    <w:top w:val="single" w:color="000000" w:sz="8" w:space="0"/>
                    <w:left w:val="single" w:color="000000" w:sz="8" w:space="0"/>
                    <w:bottom w:val="single" w:color="000000" w:sz="8" w:space="0"/>
                    <w:right w:val="single" w:color="000000" w:sz="8" w:space="0"/>
                  </w:tcBorders>
                  <w:vAlign w:val="center"/>
                </w:tcPr>
                <w:p w14:paraId="3C5638DF">
                  <w:pPr>
                    <w:widowControl/>
                    <w:jc w:val="center"/>
                    <w:textAlignment w:val="center"/>
                    <w:rPr>
                      <w:b/>
                      <w:bCs/>
                      <w:color w:val="auto"/>
                      <w:kern w:val="21"/>
                      <w:szCs w:val="21"/>
                    </w:rPr>
                  </w:pPr>
                  <w:r>
                    <w:rPr>
                      <w:b/>
                      <w:bCs/>
                      <w:color w:val="auto"/>
                      <w:kern w:val="21"/>
                      <w:szCs w:val="21"/>
                      <w:lang w:bidi="ar"/>
                    </w:rPr>
                    <w:t>声源名称</w:t>
                  </w:r>
                </w:p>
              </w:tc>
              <w:tc>
                <w:tcPr>
                  <w:tcW w:w="0" w:type="auto"/>
                  <w:tcBorders>
                    <w:top w:val="single" w:color="000000" w:sz="8" w:space="0"/>
                    <w:left w:val="single" w:color="000000" w:sz="8" w:space="0"/>
                    <w:bottom w:val="single" w:color="000000" w:sz="8" w:space="0"/>
                    <w:right w:val="single" w:color="000000" w:sz="8" w:space="0"/>
                  </w:tcBorders>
                  <w:vAlign w:val="center"/>
                </w:tcPr>
                <w:p w14:paraId="52D09103">
                  <w:pPr>
                    <w:widowControl/>
                    <w:jc w:val="center"/>
                    <w:textAlignment w:val="center"/>
                    <w:rPr>
                      <w:b/>
                      <w:bCs/>
                      <w:color w:val="auto"/>
                      <w:kern w:val="21"/>
                      <w:szCs w:val="21"/>
                    </w:rPr>
                  </w:pPr>
                  <w:r>
                    <w:rPr>
                      <w:b/>
                      <w:bCs/>
                      <w:color w:val="auto"/>
                      <w:kern w:val="21"/>
                      <w:szCs w:val="21"/>
                      <w:lang w:bidi="ar"/>
                    </w:rPr>
                    <w:t>声源源强</w:t>
                  </w:r>
                </w:p>
              </w:tc>
              <w:tc>
                <w:tcPr>
                  <w:tcW w:w="0" w:type="auto"/>
                  <w:gridSpan w:val="3"/>
                  <w:tcBorders>
                    <w:top w:val="single" w:color="000000" w:sz="8" w:space="0"/>
                    <w:left w:val="single" w:color="000000" w:sz="8" w:space="0"/>
                    <w:bottom w:val="single" w:color="000000" w:sz="8" w:space="0"/>
                    <w:right w:val="single" w:color="000000" w:sz="8" w:space="0"/>
                  </w:tcBorders>
                  <w:vAlign w:val="center"/>
                </w:tcPr>
                <w:p w14:paraId="2657FD4D">
                  <w:pPr>
                    <w:widowControl/>
                    <w:jc w:val="center"/>
                    <w:textAlignment w:val="center"/>
                    <w:rPr>
                      <w:b/>
                      <w:bCs/>
                      <w:color w:val="auto"/>
                      <w:kern w:val="21"/>
                      <w:szCs w:val="21"/>
                    </w:rPr>
                  </w:pPr>
                  <w:r>
                    <w:rPr>
                      <w:b/>
                      <w:bCs/>
                      <w:color w:val="auto"/>
                      <w:kern w:val="21"/>
                      <w:szCs w:val="21"/>
                      <w:lang w:bidi="ar"/>
                    </w:rPr>
                    <w:t>空间相对位置/m</w:t>
                  </w:r>
                </w:p>
              </w:tc>
              <w:tc>
                <w:tcPr>
                  <w:tcW w:w="0" w:type="auto"/>
                  <w:gridSpan w:val="4"/>
                  <w:tcBorders>
                    <w:top w:val="single" w:color="000000" w:sz="8" w:space="0"/>
                    <w:left w:val="single" w:color="000000" w:sz="8" w:space="0"/>
                    <w:bottom w:val="single" w:color="000000" w:sz="8" w:space="0"/>
                    <w:right w:val="single" w:color="000000" w:sz="8" w:space="0"/>
                  </w:tcBorders>
                  <w:vAlign w:val="center"/>
                </w:tcPr>
                <w:p w14:paraId="189D4B51">
                  <w:pPr>
                    <w:widowControl/>
                    <w:jc w:val="center"/>
                    <w:textAlignment w:val="center"/>
                    <w:rPr>
                      <w:b/>
                      <w:bCs/>
                      <w:color w:val="auto"/>
                      <w:kern w:val="21"/>
                      <w:szCs w:val="21"/>
                    </w:rPr>
                  </w:pPr>
                  <w:r>
                    <w:rPr>
                      <w:b/>
                      <w:bCs/>
                      <w:color w:val="auto"/>
                      <w:kern w:val="21"/>
                      <w:szCs w:val="21"/>
                      <w:lang w:bidi="ar"/>
                    </w:rPr>
                    <w:t>距室内边界距离/m</w:t>
                  </w:r>
                </w:p>
              </w:tc>
              <w:tc>
                <w:tcPr>
                  <w:tcW w:w="0" w:type="auto"/>
                  <w:gridSpan w:val="4"/>
                  <w:tcBorders>
                    <w:top w:val="single" w:color="000000" w:sz="8" w:space="0"/>
                    <w:left w:val="single" w:color="000000" w:sz="8" w:space="0"/>
                    <w:bottom w:val="single" w:color="000000" w:sz="8" w:space="0"/>
                    <w:right w:val="single" w:color="000000" w:sz="8" w:space="0"/>
                  </w:tcBorders>
                  <w:vAlign w:val="center"/>
                </w:tcPr>
                <w:p w14:paraId="655F1BD2">
                  <w:pPr>
                    <w:widowControl/>
                    <w:jc w:val="center"/>
                    <w:textAlignment w:val="center"/>
                    <w:rPr>
                      <w:b/>
                      <w:bCs/>
                      <w:color w:val="auto"/>
                      <w:kern w:val="21"/>
                      <w:szCs w:val="21"/>
                    </w:rPr>
                  </w:pPr>
                  <w:r>
                    <w:rPr>
                      <w:b/>
                      <w:bCs/>
                      <w:color w:val="auto"/>
                      <w:kern w:val="21"/>
                      <w:szCs w:val="21"/>
                      <w:lang w:bidi="ar"/>
                    </w:rPr>
                    <w:t>室内边界声级/dB(A)</w:t>
                  </w:r>
                </w:p>
              </w:tc>
              <w:tc>
                <w:tcPr>
                  <w:tcW w:w="0" w:type="auto"/>
                  <w:vMerge w:val="restart"/>
                  <w:tcBorders>
                    <w:top w:val="single" w:color="000000" w:sz="8" w:space="0"/>
                    <w:left w:val="single" w:color="000000" w:sz="8" w:space="0"/>
                    <w:bottom w:val="single" w:color="000000" w:sz="8" w:space="0"/>
                    <w:right w:val="single" w:color="000000" w:sz="8" w:space="0"/>
                  </w:tcBorders>
                  <w:vAlign w:val="center"/>
                </w:tcPr>
                <w:p w14:paraId="0CBB2660">
                  <w:pPr>
                    <w:widowControl/>
                    <w:jc w:val="center"/>
                    <w:textAlignment w:val="center"/>
                    <w:rPr>
                      <w:b/>
                      <w:bCs/>
                      <w:color w:val="auto"/>
                      <w:kern w:val="21"/>
                      <w:szCs w:val="21"/>
                    </w:rPr>
                  </w:pPr>
                  <w:r>
                    <w:rPr>
                      <w:b/>
                      <w:bCs/>
                      <w:color w:val="auto"/>
                      <w:kern w:val="21"/>
                      <w:szCs w:val="21"/>
                      <w:lang w:bidi="ar"/>
                    </w:rPr>
                    <w:t>运行时段</w:t>
                  </w:r>
                </w:p>
              </w:tc>
              <w:tc>
                <w:tcPr>
                  <w:tcW w:w="0" w:type="auto"/>
                  <w:gridSpan w:val="4"/>
                  <w:tcBorders>
                    <w:top w:val="single" w:color="000000" w:sz="8" w:space="0"/>
                    <w:left w:val="single" w:color="000000" w:sz="8" w:space="0"/>
                    <w:bottom w:val="single" w:color="000000" w:sz="8" w:space="0"/>
                    <w:right w:val="single" w:color="000000" w:sz="8" w:space="0"/>
                  </w:tcBorders>
                  <w:vAlign w:val="center"/>
                </w:tcPr>
                <w:p w14:paraId="02BBF79D">
                  <w:pPr>
                    <w:widowControl/>
                    <w:jc w:val="center"/>
                    <w:textAlignment w:val="center"/>
                    <w:rPr>
                      <w:b/>
                      <w:bCs/>
                      <w:color w:val="auto"/>
                      <w:kern w:val="21"/>
                      <w:szCs w:val="21"/>
                    </w:rPr>
                  </w:pPr>
                  <w:r>
                    <w:rPr>
                      <w:b/>
                      <w:bCs/>
                      <w:color w:val="auto"/>
                      <w:kern w:val="21"/>
                      <w:szCs w:val="21"/>
                      <w:lang w:bidi="ar"/>
                    </w:rPr>
                    <w:t>建筑物插入损失 / dB(A)</w:t>
                  </w:r>
                </w:p>
              </w:tc>
              <w:tc>
                <w:tcPr>
                  <w:tcW w:w="0" w:type="auto"/>
                  <w:gridSpan w:val="5"/>
                  <w:tcBorders>
                    <w:top w:val="single" w:color="000000" w:sz="8" w:space="0"/>
                    <w:left w:val="single" w:color="000000" w:sz="8" w:space="0"/>
                    <w:bottom w:val="single" w:color="000000" w:sz="8" w:space="0"/>
                    <w:right w:val="single" w:color="000000" w:sz="8" w:space="0"/>
                  </w:tcBorders>
                  <w:vAlign w:val="center"/>
                </w:tcPr>
                <w:p w14:paraId="0016E122">
                  <w:pPr>
                    <w:widowControl/>
                    <w:jc w:val="center"/>
                    <w:textAlignment w:val="center"/>
                    <w:rPr>
                      <w:b/>
                      <w:bCs/>
                      <w:color w:val="auto"/>
                      <w:kern w:val="21"/>
                      <w:szCs w:val="21"/>
                    </w:rPr>
                  </w:pPr>
                  <w:r>
                    <w:rPr>
                      <w:b/>
                      <w:bCs/>
                      <w:color w:val="auto"/>
                      <w:kern w:val="21"/>
                      <w:szCs w:val="21"/>
                      <w:lang w:bidi="ar"/>
                    </w:rPr>
                    <w:t>建筑物外噪声声压级/dB(A)</w:t>
                  </w:r>
                </w:p>
              </w:tc>
            </w:tr>
            <w:tr w14:paraId="0BD5A8B7">
              <w:tblPrEx>
                <w:tblCellMar>
                  <w:top w:w="0" w:type="dxa"/>
                  <w:left w:w="108" w:type="dxa"/>
                  <w:bottom w:w="0" w:type="dxa"/>
                  <w:right w:w="108" w:type="dxa"/>
                </w:tblCellMar>
              </w:tblPrEx>
              <w:trPr>
                <w:trHeight w:val="1000" w:hRule="atLeast"/>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14:paraId="6C099C77">
                  <w:pPr>
                    <w:widowControl/>
                    <w:jc w:val="center"/>
                    <w:rPr>
                      <w:b/>
                      <w:bCs/>
                      <w:color w:val="auto"/>
                      <w:kern w:val="21"/>
                      <w:szCs w:val="21"/>
                    </w:rPr>
                  </w:pPr>
                </w:p>
              </w:tc>
              <w:tc>
                <w:tcPr>
                  <w:tcW w:w="0" w:type="auto"/>
                  <w:vMerge w:val="continue"/>
                  <w:tcBorders>
                    <w:top w:val="single" w:color="000000" w:sz="8" w:space="0"/>
                    <w:left w:val="single" w:color="000000" w:sz="8" w:space="0"/>
                    <w:bottom w:val="single" w:color="000000" w:sz="8" w:space="0"/>
                    <w:right w:val="single" w:color="000000" w:sz="8" w:space="0"/>
                  </w:tcBorders>
                  <w:vAlign w:val="center"/>
                </w:tcPr>
                <w:p w14:paraId="47C468F8">
                  <w:pPr>
                    <w:widowControl/>
                    <w:jc w:val="center"/>
                    <w:rPr>
                      <w:b/>
                      <w:bCs/>
                      <w:color w:val="auto"/>
                      <w:kern w:val="21"/>
                      <w:szCs w:val="21"/>
                    </w:rPr>
                  </w:pPr>
                </w:p>
              </w:tc>
              <w:tc>
                <w:tcPr>
                  <w:tcW w:w="0" w:type="auto"/>
                  <w:vMerge w:val="continue"/>
                  <w:tcBorders>
                    <w:top w:val="single" w:color="000000" w:sz="8" w:space="0"/>
                    <w:left w:val="single" w:color="000000" w:sz="8" w:space="0"/>
                    <w:bottom w:val="single" w:color="000000" w:sz="8" w:space="0"/>
                    <w:right w:val="single" w:color="000000" w:sz="8" w:space="0"/>
                  </w:tcBorders>
                  <w:vAlign w:val="center"/>
                </w:tcPr>
                <w:p w14:paraId="54FBCB55">
                  <w:pPr>
                    <w:widowControl/>
                    <w:jc w:val="center"/>
                    <w:rPr>
                      <w:b/>
                      <w:bCs/>
                      <w:color w:val="auto"/>
                      <w:kern w:val="21"/>
                      <w:szCs w:val="21"/>
                    </w:rPr>
                  </w:pP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AB46288">
                  <w:pPr>
                    <w:widowControl/>
                    <w:jc w:val="center"/>
                    <w:textAlignment w:val="center"/>
                    <w:rPr>
                      <w:color w:val="auto"/>
                      <w:kern w:val="21"/>
                      <w:szCs w:val="21"/>
                    </w:rPr>
                  </w:pPr>
                  <w:r>
                    <w:rPr>
                      <w:color w:val="auto"/>
                      <w:kern w:val="21"/>
                      <w:szCs w:val="21"/>
                      <w:lang w:bidi="ar"/>
                    </w:rPr>
                    <w:t>声功率级/dB(A)</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534CF66">
                  <w:pPr>
                    <w:widowControl/>
                    <w:jc w:val="center"/>
                    <w:textAlignment w:val="center"/>
                    <w:rPr>
                      <w:color w:val="auto"/>
                      <w:kern w:val="21"/>
                      <w:szCs w:val="21"/>
                    </w:rPr>
                  </w:pPr>
                  <w:r>
                    <w:rPr>
                      <w:color w:val="auto"/>
                      <w:kern w:val="21"/>
                      <w:szCs w:val="21"/>
                      <w:lang w:bidi="ar"/>
                    </w:rPr>
                    <w:t>X</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6056DA5">
                  <w:pPr>
                    <w:widowControl/>
                    <w:jc w:val="center"/>
                    <w:textAlignment w:val="center"/>
                    <w:rPr>
                      <w:color w:val="auto"/>
                      <w:kern w:val="21"/>
                      <w:szCs w:val="21"/>
                    </w:rPr>
                  </w:pPr>
                  <w:r>
                    <w:rPr>
                      <w:color w:val="auto"/>
                      <w:kern w:val="21"/>
                      <w:szCs w:val="21"/>
                      <w:lang w:bidi="ar"/>
                    </w:rPr>
                    <w:t>Y</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794C3ADD">
                  <w:pPr>
                    <w:widowControl/>
                    <w:jc w:val="center"/>
                    <w:textAlignment w:val="center"/>
                    <w:rPr>
                      <w:color w:val="auto"/>
                      <w:kern w:val="21"/>
                      <w:szCs w:val="21"/>
                    </w:rPr>
                  </w:pPr>
                  <w:r>
                    <w:rPr>
                      <w:color w:val="auto"/>
                      <w:kern w:val="21"/>
                      <w:szCs w:val="21"/>
                      <w:lang w:bidi="ar"/>
                    </w:rPr>
                    <w:t>Z</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7C7B2E03">
                  <w:pPr>
                    <w:widowControl/>
                    <w:jc w:val="center"/>
                    <w:textAlignment w:val="center"/>
                    <w:rPr>
                      <w:color w:val="auto"/>
                      <w:kern w:val="21"/>
                      <w:szCs w:val="21"/>
                    </w:rPr>
                  </w:pPr>
                  <w:r>
                    <w:rPr>
                      <w:color w:val="auto"/>
                      <w:kern w:val="21"/>
                      <w:szCs w:val="21"/>
                      <w:lang w:bidi="ar"/>
                    </w:rPr>
                    <w:t>东</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1CA12181">
                  <w:pPr>
                    <w:widowControl/>
                    <w:jc w:val="center"/>
                    <w:textAlignment w:val="center"/>
                    <w:rPr>
                      <w:color w:val="auto"/>
                      <w:kern w:val="21"/>
                      <w:szCs w:val="21"/>
                    </w:rPr>
                  </w:pPr>
                  <w:r>
                    <w:rPr>
                      <w:color w:val="auto"/>
                      <w:kern w:val="21"/>
                      <w:szCs w:val="21"/>
                      <w:lang w:bidi="ar"/>
                    </w:rPr>
                    <w:t>南</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C8F0171">
                  <w:pPr>
                    <w:widowControl/>
                    <w:jc w:val="center"/>
                    <w:textAlignment w:val="center"/>
                    <w:rPr>
                      <w:color w:val="auto"/>
                      <w:kern w:val="21"/>
                      <w:szCs w:val="21"/>
                    </w:rPr>
                  </w:pPr>
                  <w:r>
                    <w:rPr>
                      <w:color w:val="auto"/>
                      <w:kern w:val="21"/>
                      <w:szCs w:val="21"/>
                      <w:lang w:bidi="ar"/>
                    </w:rPr>
                    <w:t>西</w:t>
                  </w:r>
                </w:p>
              </w:tc>
              <w:tc>
                <w:tcPr>
                  <w:tcW w:w="0" w:type="auto"/>
                  <w:tcBorders>
                    <w:top w:val="single" w:color="000000" w:sz="8" w:space="0"/>
                    <w:left w:val="single" w:color="000000" w:sz="8" w:space="0"/>
                    <w:bottom w:val="single" w:color="000000" w:sz="8" w:space="0"/>
                    <w:right w:val="single" w:color="000000" w:sz="8" w:space="0"/>
                  </w:tcBorders>
                  <w:shd w:val="clear" w:color="auto" w:fill="FFFFFF"/>
                  <w:vAlign w:val="center"/>
                </w:tcPr>
                <w:p w14:paraId="45373301">
                  <w:pPr>
                    <w:widowControl/>
                    <w:jc w:val="center"/>
                    <w:textAlignment w:val="center"/>
                    <w:rPr>
                      <w:color w:val="auto"/>
                      <w:kern w:val="21"/>
                      <w:szCs w:val="21"/>
                    </w:rPr>
                  </w:pPr>
                  <w:r>
                    <w:rPr>
                      <w:color w:val="auto"/>
                      <w:kern w:val="21"/>
                      <w:szCs w:val="21"/>
                      <w:lang w:bidi="ar"/>
                    </w:rPr>
                    <w:t>北</w:t>
                  </w:r>
                </w:p>
              </w:tc>
              <w:tc>
                <w:tcPr>
                  <w:tcW w:w="0" w:type="auto"/>
                  <w:tcBorders>
                    <w:top w:val="single" w:color="000000" w:sz="8" w:space="0"/>
                    <w:left w:val="single" w:color="000000" w:sz="8" w:space="0"/>
                    <w:bottom w:val="single" w:color="000000" w:sz="8" w:space="0"/>
                    <w:right w:val="single" w:color="000000" w:sz="8" w:space="0"/>
                  </w:tcBorders>
                  <w:shd w:val="clear" w:color="auto" w:fill="FFFFFF"/>
                  <w:vAlign w:val="center"/>
                </w:tcPr>
                <w:p w14:paraId="71AC7704">
                  <w:pPr>
                    <w:widowControl/>
                    <w:jc w:val="center"/>
                    <w:textAlignment w:val="center"/>
                    <w:rPr>
                      <w:color w:val="auto"/>
                      <w:kern w:val="21"/>
                      <w:szCs w:val="21"/>
                    </w:rPr>
                  </w:pPr>
                  <w:r>
                    <w:rPr>
                      <w:color w:val="auto"/>
                      <w:kern w:val="21"/>
                      <w:szCs w:val="21"/>
                      <w:lang w:bidi="ar"/>
                    </w:rPr>
                    <w:t>东</w:t>
                  </w:r>
                </w:p>
              </w:tc>
              <w:tc>
                <w:tcPr>
                  <w:tcW w:w="0" w:type="auto"/>
                  <w:tcBorders>
                    <w:top w:val="single" w:color="000000" w:sz="8" w:space="0"/>
                    <w:left w:val="single" w:color="000000" w:sz="8" w:space="0"/>
                    <w:bottom w:val="single" w:color="000000" w:sz="8" w:space="0"/>
                    <w:right w:val="single" w:color="000000" w:sz="8" w:space="0"/>
                  </w:tcBorders>
                  <w:shd w:val="clear" w:color="auto" w:fill="FFFFFF"/>
                  <w:vAlign w:val="center"/>
                </w:tcPr>
                <w:p w14:paraId="005EC380">
                  <w:pPr>
                    <w:widowControl/>
                    <w:jc w:val="center"/>
                    <w:textAlignment w:val="center"/>
                    <w:rPr>
                      <w:color w:val="auto"/>
                      <w:kern w:val="21"/>
                      <w:szCs w:val="21"/>
                    </w:rPr>
                  </w:pPr>
                  <w:r>
                    <w:rPr>
                      <w:color w:val="auto"/>
                      <w:kern w:val="21"/>
                      <w:szCs w:val="21"/>
                      <w:lang w:bidi="ar"/>
                    </w:rPr>
                    <w:t>南</w:t>
                  </w:r>
                </w:p>
              </w:tc>
              <w:tc>
                <w:tcPr>
                  <w:tcW w:w="0" w:type="auto"/>
                  <w:tcBorders>
                    <w:top w:val="single" w:color="000000" w:sz="8" w:space="0"/>
                    <w:left w:val="single" w:color="000000" w:sz="8" w:space="0"/>
                    <w:bottom w:val="single" w:color="000000" w:sz="8" w:space="0"/>
                    <w:right w:val="single" w:color="000000" w:sz="8" w:space="0"/>
                  </w:tcBorders>
                  <w:shd w:val="clear" w:color="auto" w:fill="FFFFFF"/>
                  <w:vAlign w:val="center"/>
                </w:tcPr>
                <w:p w14:paraId="4E7EC078">
                  <w:pPr>
                    <w:widowControl/>
                    <w:jc w:val="center"/>
                    <w:textAlignment w:val="center"/>
                    <w:rPr>
                      <w:color w:val="auto"/>
                      <w:kern w:val="21"/>
                      <w:szCs w:val="21"/>
                    </w:rPr>
                  </w:pPr>
                  <w:r>
                    <w:rPr>
                      <w:color w:val="auto"/>
                      <w:kern w:val="21"/>
                      <w:szCs w:val="21"/>
                      <w:lang w:bidi="ar"/>
                    </w:rPr>
                    <w:t>西</w:t>
                  </w:r>
                </w:p>
              </w:tc>
              <w:tc>
                <w:tcPr>
                  <w:tcW w:w="0" w:type="auto"/>
                  <w:tcBorders>
                    <w:top w:val="single" w:color="000000" w:sz="8" w:space="0"/>
                    <w:left w:val="single" w:color="000000" w:sz="8" w:space="0"/>
                    <w:bottom w:val="single" w:color="000000" w:sz="8" w:space="0"/>
                    <w:right w:val="single" w:color="000000" w:sz="8" w:space="0"/>
                  </w:tcBorders>
                  <w:shd w:val="clear" w:color="auto" w:fill="FFFFFF"/>
                  <w:vAlign w:val="center"/>
                </w:tcPr>
                <w:p w14:paraId="6FAA938F">
                  <w:pPr>
                    <w:widowControl/>
                    <w:jc w:val="center"/>
                    <w:textAlignment w:val="center"/>
                    <w:rPr>
                      <w:color w:val="auto"/>
                      <w:kern w:val="21"/>
                      <w:szCs w:val="21"/>
                    </w:rPr>
                  </w:pPr>
                  <w:r>
                    <w:rPr>
                      <w:color w:val="auto"/>
                      <w:kern w:val="21"/>
                      <w:szCs w:val="21"/>
                      <w:lang w:bidi="ar"/>
                    </w:rPr>
                    <w:t>北</w:t>
                  </w:r>
                </w:p>
              </w:tc>
              <w:tc>
                <w:tcPr>
                  <w:tcW w:w="0" w:type="auto"/>
                  <w:vMerge w:val="continue"/>
                  <w:tcBorders>
                    <w:top w:val="single" w:color="000000" w:sz="8" w:space="0"/>
                    <w:left w:val="single" w:color="000000" w:sz="8" w:space="0"/>
                    <w:bottom w:val="single" w:color="000000" w:sz="8" w:space="0"/>
                    <w:right w:val="single" w:color="000000" w:sz="8" w:space="0"/>
                  </w:tcBorders>
                  <w:vAlign w:val="center"/>
                </w:tcPr>
                <w:p w14:paraId="7DEBC69D">
                  <w:pPr>
                    <w:widowControl/>
                    <w:jc w:val="center"/>
                    <w:rPr>
                      <w:b/>
                      <w:bCs/>
                      <w:color w:val="auto"/>
                      <w:kern w:val="21"/>
                      <w:szCs w:val="21"/>
                    </w:rPr>
                  </w:pPr>
                </w:p>
              </w:tc>
              <w:tc>
                <w:tcPr>
                  <w:tcW w:w="0" w:type="auto"/>
                  <w:tcBorders>
                    <w:top w:val="single" w:color="000000" w:sz="8" w:space="0"/>
                    <w:left w:val="single" w:color="000000" w:sz="8" w:space="0"/>
                    <w:bottom w:val="single" w:color="000000" w:sz="8" w:space="0"/>
                    <w:right w:val="single" w:color="000000" w:sz="8" w:space="0"/>
                  </w:tcBorders>
                  <w:shd w:val="clear" w:color="auto" w:fill="FFFFFF"/>
                  <w:vAlign w:val="center"/>
                </w:tcPr>
                <w:p w14:paraId="592F6401">
                  <w:pPr>
                    <w:widowControl/>
                    <w:jc w:val="center"/>
                    <w:textAlignment w:val="center"/>
                    <w:rPr>
                      <w:color w:val="auto"/>
                      <w:kern w:val="21"/>
                      <w:szCs w:val="21"/>
                    </w:rPr>
                  </w:pPr>
                  <w:r>
                    <w:rPr>
                      <w:color w:val="auto"/>
                      <w:kern w:val="21"/>
                      <w:szCs w:val="21"/>
                      <w:lang w:bidi="ar"/>
                    </w:rPr>
                    <w:t>东</w:t>
                  </w:r>
                </w:p>
              </w:tc>
              <w:tc>
                <w:tcPr>
                  <w:tcW w:w="0" w:type="auto"/>
                  <w:tcBorders>
                    <w:top w:val="single" w:color="000000" w:sz="8" w:space="0"/>
                    <w:left w:val="single" w:color="000000" w:sz="8" w:space="0"/>
                    <w:bottom w:val="single" w:color="000000" w:sz="8" w:space="0"/>
                    <w:right w:val="single" w:color="000000" w:sz="8" w:space="0"/>
                  </w:tcBorders>
                  <w:shd w:val="clear" w:color="auto" w:fill="FFFFFF"/>
                  <w:vAlign w:val="center"/>
                </w:tcPr>
                <w:p w14:paraId="0A1C54A8">
                  <w:pPr>
                    <w:widowControl/>
                    <w:jc w:val="center"/>
                    <w:textAlignment w:val="center"/>
                    <w:rPr>
                      <w:color w:val="auto"/>
                      <w:kern w:val="21"/>
                      <w:szCs w:val="21"/>
                    </w:rPr>
                  </w:pPr>
                  <w:r>
                    <w:rPr>
                      <w:color w:val="auto"/>
                      <w:kern w:val="21"/>
                      <w:szCs w:val="21"/>
                      <w:lang w:bidi="ar"/>
                    </w:rPr>
                    <w:t>南</w:t>
                  </w:r>
                </w:p>
              </w:tc>
              <w:tc>
                <w:tcPr>
                  <w:tcW w:w="0" w:type="auto"/>
                  <w:tcBorders>
                    <w:top w:val="single" w:color="000000" w:sz="8" w:space="0"/>
                    <w:left w:val="single" w:color="000000" w:sz="8" w:space="0"/>
                    <w:bottom w:val="single" w:color="000000" w:sz="8" w:space="0"/>
                    <w:right w:val="single" w:color="000000" w:sz="8" w:space="0"/>
                  </w:tcBorders>
                  <w:shd w:val="clear" w:color="auto" w:fill="FFFFFF"/>
                  <w:vAlign w:val="center"/>
                </w:tcPr>
                <w:p w14:paraId="7BE85FC8">
                  <w:pPr>
                    <w:widowControl/>
                    <w:jc w:val="center"/>
                    <w:textAlignment w:val="center"/>
                    <w:rPr>
                      <w:color w:val="auto"/>
                      <w:kern w:val="21"/>
                      <w:szCs w:val="21"/>
                    </w:rPr>
                  </w:pPr>
                  <w:r>
                    <w:rPr>
                      <w:color w:val="auto"/>
                      <w:kern w:val="21"/>
                      <w:szCs w:val="21"/>
                      <w:lang w:bidi="ar"/>
                    </w:rPr>
                    <w:t>西</w:t>
                  </w:r>
                </w:p>
              </w:tc>
              <w:tc>
                <w:tcPr>
                  <w:tcW w:w="0" w:type="auto"/>
                  <w:tcBorders>
                    <w:top w:val="single" w:color="000000" w:sz="8" w:space="0"/>
                    <w:left w:val="single" w:color="000000" w:sz="8" w:space="0"/>
                    <w:bottom w:val="single" w:color="000000" w:sz="8" w:space="0"/>
                    <w:right w:val="single" w:color="000000" w:sz="8" w:space="0"/>
                  </w:tcBorders>
                  <w:shd w:val="clear" w:color="auto" w:fill="FFFFFF"/>
                  <w:vAlign w:val="center"/>
                </w:tcPr>
                <w:p w14:paraId="1CAF890C">
                  <w:pPr>
                    <w:widowControl/>
                    <w:jc w:val="center"/>
                    <w:textAlignment w:val="center"/>
                    <w:rPr>
                      <w:color w:val="auto"/>
                      <w:kern w:val="21"/>
                      <w:szCs w:val="21"/>
                    </w:rPr>
                  </w:pPr>
                  <w:r>
                    <w:rPr>
                      <w:color w:val="auto"/>
                      <w:kern w:val="21"/>
                      <w:szCs w:val="21"/>
                      <w:lang w:bidi="ar"/>
                    </w:rPr>
                    <w:t>北</w:t>
                  </w:r>
                </w:p>
              </w:tc>
              <w:tc>
                <w:tcPr>
                  <w:tcW w:w="0" w:type="auto"/>
                  <w:tcBorders>
                    <w:top w:val="single" w:color="000000" w:sz="8" w:space="0"/>
                    <w:left w:val="single" w:color="000000" w:sz="8" w:space="0"/>
                    <w:bottom w:val="single" w:color="000000" w:sz="8" w:space="0"/>
                    <w:right w:val="single" w:color="000000" w:sz="8" w:space="0"/>
                  </w:tcBorders>
                  <w:shd w:val="clear" w:color="auto" w:fill="FFFFFF"/>
                  <w:vAlign w:val="center"/>
                </w:tcPr>
                <w:p w14:paraId="152961E9">
                  <w:pPr>
                    <w:widowControl/>
                    <w:jc w:val="center"/>
                    <w:textAlignment w:val="center"/>
                    <w:rPr>
                      <w:color w:val="auto"/>
                      <w:kern w:val="21"/>
                      <w:szCs w:val="21"/>
                    </w:rPr>
                  </w:pPr>
                  <w:r>
                    <w:rPr>
                      <w:color w:val="auto"/>
                      <w:kern w:val="21"/>
                      <w:szCs w:val="21"/>
                      <w:lang w:bidi="ar"/>
                    </w:rPr>
                    <w:t>东</w:t>
                  </w:r>
                </w:p>
              </w:tc>
              <w:tc>
                <w:tcPr>
                  <w:tcW w:w="0" w:type="auto"/>
                  <w:tcBorders>
                    <w:top w:val="single" w:color="000000" w:sz="8" w:space="0"/>
                    <w:left w:val="single" w:color="000000" w:sz="8" w:space="0"/>
                    <w:bottom w:val="single" w:color="000000" w:sz="8" w:space="0"/>
                    <w:right w:val="single" w:color="000000" w:sz="8" w:space="0"/>
                  </w:tcBorders>
                  <w:shd w:val="clear" w:color="auto" w:fill="FFFFFF"/>
                  <w:vAlign w:val="center"/>
                </w:tcPr>
                <w:p w14:paraId="6F9DE53C">
                  <w:pPr>
                    <w:widowControl/>
                    <w:jc w:val="center"/>
                    <w:textAlignment w:val="center"/>
                    <w:rPr>
                      <w:color w:val="auto"/>
                      <w:kern w:val="21"/>
                      <w:szCs w:val="21"/>
                    </w:rPr>
                  </w:pPr>
                  <w:r>
                    <w:rPr>
                      <w:color w:val="auto"/>
                      <w:kern w:val="21"/>
                      <w:szCs w:val="21"/>
                      <w:lang w:bidi="ar"/>
                    </w:rPr>
                    <w:t>南</w:t>
                  </w:r>
                </w:p>
              </w:tc>
              <w:tc>
                <w:tcPr>
                  <w:tcW w:w="0" w:type="auto"/>
                  <w:tcBorders>
                    <w:top w:val="single" w:color="000000" w:sz="8" w:space="0"/>
                    <w:left w:val="single" w:color="000000" w:sz="8" w:space="0"/>
                    <w:bottom w:val="single" w:color="000000" w:sz="8" w:space="0"/>
                    <w:right w:val="single" w:color="000000" w:sz="8" w:space="0"/>
                  </w:tcBorders>
                  <w:shd w:val="clear" w:color="auto" w:fill="FFFFFF"/>
                  <w:vAlign w:val="center"/>
                </w:tcPr>
                <w:p w14:paraId="1770147A">
                  <w:pPr>
                    <w:widowControl/>
                    <w:jc w:val="center"/>
                    <w:textAlignment w:val="center"/>
                    <w:rPr>
                      <w:color w:val="auto"/>
                      <w:kern w:val="21"/>
                      <w:szCs w:val="21"/>
                    </w:rPr>
                  </w:pPr>
                  <w:r>
                    <w:rPr>
                      <w:color w:val="auto"/>
                      <w:kern w:val="21"/>
                      <w:szCs w:val="21"/>
                      <w:lang w:bidi="ar"/>
                    </w:rPr>
                    <w:t>西</w:t>
                  </w:r>
                </w:p>
              </w:tc>
              <w:tc>
                <w:tcPr>
                  <w:tcW w:w="0" w:type="auto"/>
                  <w:tcBorders>
                    <w:top w:val="single" w:color="000000" w:sz="8" w:space="0"/>
                    <w:left w:val="single" w:color="000000" w:sz="8" w:space="0"/>
                    <w:bottom w:val="single" w:color="000000" w:sz="8" w:space="0"/>
                    <w:right w:val="single" w:color="000000" w:sz="8" w:space="0"/>
                  </w:tcBorders>
                  <w:shd w:val="clear" w:color="auto" w:fill="FFFFFF"/>
                  <w:vAlign w:val="center"/>
                </w:tcPr>
                <w:p w14:paraId="41CE5287">
                  <w:pPr>
                    <w:widowControl/>
                    <w:jc w:val="center"/>
                    <w:textAlignment w:val="center"/>
                    <w:rPr>
                      <w:color w:val="auto"/>
                      <w:kern w:val="21"/>
                      <w:szCs w:val="21"/>
                    </w:rPr>
                  </w:pPr>
                  <w:r>
                    <w:rPr>
                      <w:color w:val="auto"/>
                      <w:kern w:val="21"/>
                      <w:szCs w:val="21"/>
                      <w:lang w:bidi="ar"/>
                    </w:rPr>
                    <w:t>北</w:t>
                  </w:r>
                </w:p>
              </w:tc>
              <w:tc>
                <w:tcPr>
                  <w:tcW w:w="0" w:type="auto"/>
                  <w:tcBorders>
                    <w:top w:val="single" w:color="000000" w:sz="8" w:space="0"/>
                    <w:left w:val="single" w:color="000000" w:sz="8" w:space="0"/>
                    <w:bottom w:val="single" w:color="000000" w:sz="8" w:space="0"/>
                    <w:right w:val="single" w:color="000000" w:sz="8" w:space="0"/>
                  </w:tcBorders>
                  <w:shd w:val="clear" w:color="auto" w:fill="FFFFFF"/>
                  <w:vAlign w:val="center"/>
                </w:tcPr>
                <w:p w14:paraId="2340E674">
                  <w:pPr>
                    <w:widowControl/>
                    <w:jc w:val="center"/>
                    <w:textAlignment w:val="center"/>
                    <w:rPr>
                      <w:color w:val="auto"/>
                      <w:kern w:val="21"/>
                      <w:szCs w:val="21"/>
                    </w:rPr>
                  </w:pPr>
                  <w:r>
                    <w:rPr>
                      <w:color w:val="auto"/>
                      <w:kern w:val="21"/>
                      <w:szCs w:val="21"/>
                      <w:lang w:bidi="ar"/>
                    </w:rPr>
                    <w:t>建筑物外距离</w:t>
                  </w:r>
                </w:p>
              </w:tc>
            </w:tr>
            <w:tr w14:paraId="2A5E5E33">
              <w:tblPrEx>
                <w:tblCellMar>
                  <w:top w:w="0" w:type="dxa"/>
                  <w:left w:w="108" w:type="dxa"/>
                  <w:bottom w:w="0" w:type="dxa"/>
                  <w:right w:w="108" w:type="dxa"/>
                </w:tblCellMar>
              </w:tblPrEx>
              <w:trPr>
                <w:trHeight w:val="318" w:hRule="atLeast"/>
              </w:trPr>
              <w:tc>
                <w:tcPr>
                  <w:tcW w:w="0" w:type="auto"/>
                  <w:tcBorders>
                    <w:top w:val="nil"/>
                    <w:left w:val="single" w:color="000000" w:sz="8" w:space="0"/>
                    <w:bottom w:val="single" w:color="000000" w:sz="8" w:space="0"/>
                    <w:right w:val="single" w:color="000000" w:sz="8" w:space="0"/>
                  </w:tcBorders>
                  <w:shd w:val="clear" w:color="auto" w:fill="FFFFFF"/>
                  <w:vAlign w:val="center"/>
                </w:tcPr>
                <w:p w14:paraId="1EB62D47">
                  <w:pPr>
                    <w:widowControl/>
                    <w:jc w:val="center"/>
                    <w:textAlignment w:val="center"/>
                    <w:rPr>
                      <w:color w:val="auto"/>
                      <w:kern w:val="21"/>
                      <w:szCs w:val="21"/>
                    </w:rPr>
                  </w:pPr>
                  <w:r>
                    <w:rPr>
                      <w:color w:val="auto"/>
                      <w:kern w:val="21"/>
                      <w:szCs w:val="21"/>
                      <w:lang w:bidi="ar"/>
                    </w:rPr>
                    <w:t>1</w:t>
                  </w:r>
                </w:p>
              </w:tc>
              <w:tc>
                <w:tcPr>
                  <w:tcW w:w="0" w:type="auto"/>
                  <w:vMerge w:val="restart"/>
                  <w:tcBorders>
                    <w:top w:val="nil"/>
                    <w:left w:val="single" w:color="000000" w:sz="8" w:space="0"/>
                    <w:bottom w:val="single" w:color="000000" w:sz="8" w:space="0"/>
                    <w:right w:val="single" w:color="000000" w:sz="8" w:space="0"/>
                  </w:tcBorders>
                  <w:shd w:val="clear" w:color="auto" w:fill="FFFFFF"/>
                  <w:vAlign w:val="center"/>
                </w:tcPr>
                <w:p w14:paraId="4DF3CA7E">
                  <w:pPr>
                    <w:widowControl/>
                    <w:jc w:val="center"/>
                    <w:textAlignment w:val="center"/>
                    <w:rPr>
                      <w:color w:val="auto"/>
                      <w:kern w:val="21"/>
                      <w:szCs w:val="21"/>
                    </w:rPr>
                  </w:pPr>
                  <w:r>
                    <w:rPr>
                      <w:color w:val="auto"/>
                      <w:kern w:val="21"/>
                      <w:szCs w:val="21"/>
                      <w:lang w:bidi="ar"/>
                    </w:rPr>
                    <w:t>生产车间</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1CAC2B7A">
                  <w:pPr>
                    <w:widowControl/>
                    <w:jc w:val="center"/>
                    <w:textAlignment w:val="center"/>
                    <w:rPr>
                      <w:color w:val="auto"/>
                      <w:kern w:val="21"/>
                      <w:szCs w:val="21"/>
                    </w:rPr>
                  </w:pPr>
                  <w:r>
                    <w:rPr>
                      <w:color w:val="auto"/>
                      <w:kern w:val="21"/>
                      <w:szCs w:val="21"/>
                      <w:lang w:bidi="ar"/>
                    </w:rPr>
                    <w:t>真空泵</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140CA9C9">
                  <w:pPr>
                    <w:widowControl/>
                    <w:jc w:val="center"/>
                    <w:textAlignment w:val="center"/>
                    <w:rPr>
                      <w:color w:val="auto"/>
                      <w:kern w:val="21"/>
                      <w:szCs w:val="21"/>
                    </w:rPr>
                  </w:pPr>
                  <w:r>
                    <w:rPr>
                      <w:color w:val="auto"/>
                      <w:kern w:val="21"/>
                      <w:szCs w:val="21"/>
                      <w:lang w:bidi="ar"/>
                    </w:rPr>
                    <w:t>85</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44DA3BEB">
                  <w:pPr>
                    <w:widowControl/>
                    <w:jc w:val="center"/>
                    <w:textAlignment w:val="center"/>
                    <w:rPr>
                      <w:color w:val="auto"/>
                      <w:kern w:val="21"/>
                      <w:szCs w:val="21"/>
                    </w:rPr>
                  </w:pPr>
                  <w:r>
                    <w:rPr>
                      <w:color w:val="auto"/>
                      <w:kern w:val="21"/>
                      <w:szCs w:val="21"/>
                      <w:lang w:bidi="ar"/>
                    </w:rPr>
                    <w:t>-60.3</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3396D2F">
                  <w:pPr>
                    <w:widowControl/>
                    <w:jc w:val="center"/>
                    <w:textAlignment w:val="center"/>
                    <w:rPr>
                      <w:color w:val="auto"/>
                      <w:kern w:val="21"/>
                      <w:szCs w:val="21"/>
                    </w:rPr>
                  </w:pPr>
                  <w:r>
                    <w:rPr>
                      <w:color w:val="auto"/>
                      <w:kern w:val="21"/>
                      <w:szCs w:val="21"/>
                      <w:lang w:bidi="ar"/>
                    </w:rPr>
                    <w:t>64.7</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4D1E4A23">
                  <w:pPr>
                    <w:widowControl/>
                    <w:jc w:val="center"/>
                    <w:textAlignment w:val="center"/>
                    <w:rPr>
                      <w:color w:val="auto"/>
                      <w:kern w:val="21"/>
                      <w:szCs w:val="21"/>
                    </w:rPr>
                  </w:pPr>
                  <w:r>
                    <w:rPr>
                      <w:color w:val="auto"/>
                      <w:kern w:val="21"/>
                      <w:szCs w:val="21"/>
                      <w:lang w:bidi="ar"/>
                    </w:rPr>
                    <w:t>1.2</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1E0F050C">
                  <w:pPr>
                    <w:widowControl/>
                    <w:jc w:val="center"/>
                    <w:textAlignment w:val="center"/>
                    <w:rPr>
                      <w:color w:val="auto"/>
                      <w:kern w:val="21"/>
                      <w:szCs w:val="21"/>
                    </w:rPr>
                  </w:pPr>
                  <w:r>
                    <w:rPr>
                      <w:color w:val="auto"/>
                      <w:kern w:val="21"/>
                      <w:szCs w:val="21"/>
                      <w:lang w:bidi="ar"/>
                    </w:rPr>
                    <w:t>169.7</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41417028">
                  <w:pPr>
                    <w:widowControl/>
                    <w:jc w:val="center"/>
                    <w:textAlignment w:val="center"/>
                    <w:rPr>
                      <w:color w:val="auto"/>
                      <w:kern w:val="21"/>
                      <w:szCs w:val="21"/>
                    </w:rPr>
                  </w:pPr>
                  <w:r>
                    <w:rPr>
                      <w:color w:val="auto"/>
                      <w:kern w:val="21"/>
                      <w:szCs w:val="21"/>
                      <w:lang w:bidi="ar"/>
                    </w:rPr>
                    <w:t>111.6</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6787D5C">
                  <w:pPr>
                    <w:widowControl/>
                    <w:jc w:val="center"/>
                    <w:textAlignment w:val="center"/>
                    <w:rPr>
                      <w:color w:val="auto"/>
                      <w:kern w:val="21"/>
                      <w:szCs w:val="21"/>
                    </w:rPr>
                  </w:pPr>
                  <w:r>
                    <w:rPr>
                      <w:color w:val="auto"/>
                      <w:kern w:val="21"/>
                      <w:szCs w:val="21"/>
                      <w:lang w:bidi="ar"/>
                    </w:rPr>
                    <w:t>34.2</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76DE931">
                  <w:pPr>
                    <w:widowControl/>
                    <w:jc w:val="center"/>
                    <w:textAlignment w:val="center"/>
                    <w:rPr>
                      <w:color w:val="auto"/>
                      <w:kern w:val="21"/>
                      <w:szCs w:val="21"/>
                    </w:rPr>
                  </w:pPr>
                  <w:r>
                    <w:rPr>
                      <w:color w:val="auto"/>
                      <w:kern w:val="21"/>
                      <w:szCs w:val="21"/>
                      <w:lang w:bidi="ar"/>
                    </w:rPr>
                    <w:t>78.3</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E97F48A">
                  <w:pPr>
                    <w:widowControl/>
                    <w:jc w:val="center"/>
                    <w:textAlignment w:val="center"/>
                    <w:rPr>
                      <w:color w:val="auto"/>
                      <w:kern w:val="21"/>
                      <w:szCs w:val="21"/>
                    </w:rPr>
                  </w:pPr>
                  <w:r>
                    <w:rPr>
                      <w:color w:val="auto"/>
                      <w:kern w:val="21"/>
                      <w:szCs w:val="21"/>
                      <w:lang w:bidi="ar"/>
                    </w:rPr>
                    <w:t>40.4</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168D0FA7">
                  <w:pPr>
                    <w:widowControl/>
                    <w:jc w:val="center"/>
                    <w:textAlignment w:val="center"/>
                    <w:rPr>
                      <w:color w:val="auto"/>
                      <w:kern w:val="21"/>
                      <w:szCs w:val="21"/>
                    </w:rPr>
                  </w:pPr>
                  <w:r>
                    <w:rPr>
                      <w:color w:val="auto"/>
                      <w:kern w:val="21"/>
                      <w:szCs w:val="21"/>
                      <w:lang w:bidi="ar"/>
                    </w:rPr>
                    <w:t>43.6</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3C9E3204">
                  <w:pPr>
                    <w:widowControl/>
                    <w:jc w:val="center"/>
                    <w:textAlignment w:val="center"/>
                    <w:rPr>
                      <w:color w:val="auto"/>
                      <w:kern w:val="21"/>
                      <w:szCs w:val="21"/>
                    </w:rPr>
                  </w:pPr>
                  <w:r>
                    <w:rPr>
                      <w:color w:val="auto"/>
                      <w:kern w:val="21"/>
                      <w:szCs w:val="21"/>
                      <w:lang w:bidi="ar"/>
                    </w:rPr>
                    <w:t>54.3</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1BF18DB6">
                  <w:pPr>
                    <w:widowControl/>
                    <w:jc w:val="center"/>
                    <w:textAlignment w:val="center"/>
                    <w:rPr>
                      <w:color w:val="auto"/>
                      <w:kern w:val="21"/>
                      <w:szCs w:val="21"/>
                    </w:rPr>
                  </w:pPr>
                  <w:r>
                    <w:rPr>
                      <w:color w:val="auto"/>
                      <w:kern w:val="21"/>
                      <w:szCs w:val="21"/>
                      <w:lang w:bidi="ar"/>
                    </w:rPr>
                    <w:t>47.1</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1CD632D2">
                  <w:pPr>
                    <w:widowControl/>
                    <w:jc w:val="center"/>
                    <w:textAlignment w:val="center"/>
                    <w:rPr>
                      <w:color w:val="auto"/>
                      <w:kern w:val="21"/>
                      <w:szCs w:val="21"/>
                    </w:rPr>
                  </w:pPr>
                  <w:r>
                    <w:rPr>
                      <w:color w:val="auto"/>
                      <w:kern w:val="21"/>
                      <w:szCs w:val="21"/>
                      <w:lang w:bidi="ar"/>
                    </w:rPr>
                    <w:t>昼间</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0686280">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1F97BBE4">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1B0FE92E">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4C714AE6">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31533472">
                  <w:pPr>
                    <w:widowControl/>
                    <w:jc w:val="center"/>
                    <w:textAlignment w:val="center"/>
                    <w:rPr>
                      <w:color w:val="auto"/>
                      <w:kern w:val="21"/>
                      <w:szCs w:val="21"/>
                    </w:rPr>
                  </w:pPr>
                  <w:r>
                    <w:rPr>
                      <w:color w:val="auto"/>
                      <w:kern w:val="21"/>
                      <w:szCs w:val="21"/>
                      <w:lang w:bidi="ar"/>
                    </w:rPr>
                    <w:t>20.4</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00FB98D">
                  <w:pPr>
                    <w:widowControl/>
                    <w:jc w:val="center"/>
                    <w:textAlignment w:val="center"/>
                    <w:rPr>
                      <w:color w:val="auto"/>
                      <w:kern w:val="21"/>
                      <w:szCs w:val="21"/>
                    </w:rPr>
                  </w:pPr>
                  <w:r>
                    <w:rPr>
                      <w:color w:val="auto"/>
                      <w:kern w:val="21"/>
                      <w:szCs w:val="21"/>
                      <w:lang w:bidi="ar"/>
                    </w:rPr>
                    <w:t>23.6</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64E42A5">
                  <w:pPr>
                    <w:widowControl/>
                    <w:jc w:val="center"/>
                    <w:textAlignment w:val="center"/>
                    <w:rPr>
                      <w:color w:val="auto"/>
                      <w:kern w:val="21"/>
                      <w:szCs w:val="21"/>
                    </w:rPr>
                  </w:pPr>
                  <w:r>
                    <w:rPr>
                      <w:color w:val="auto"/>
                      <w:kern w:val="21"/>
                      <w:szCs w:val="21"/>
                      <w:lang w:bidi="ar"/>
                    </w:rPr>
                    <w:t>24.3</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135F876A">
                  <w:pPr>
                    <w:widowControl/>
                    <w:jc w:val="center"/>
                    <w:textAlignment w:val="center"/>
                    <w:rPr>
                      <w:color w:val="auto"/>
                      <w:kern w:val="21"/>
                      <w:szCs w:val="21"/>
                    </w:rPr>
                  </w:pPr>
                  <w:r>
                    <w:rPr>
                      <w:color w:val="auto"/>
                      <w:kern w:val="21"/>
                      <w:szCs w:val="21"/>
                      <w:lang w:bidi="ar"/>
                    </w:rPr>
                    <w:t>27.1</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2DAAE52">
                  <w:pPr>
                    <w:widowControl/>
                    <w:jc w:val="center"/>
                    <w:textAlignment w:val="center"/>
                    <w:rPr>
                      <w:color w:val="auto"/>
                      <w:kern w:val="21"/>
                      <w:szCs w:val="21"/>
                    </w:rPr>
                  </w:pPr>
                  <w:r>
                    <w:rPr>
                      <w:color w:val="auto"/>
                      <w:kern w:val="21"/>
                      <w:szCs w:val="21"/>
                      <w:lang w:bidi="ar"/>
                    </w:rPr>
                    <w:t>1</w:t>
                  </w:r>
                </w:p>
              </w:tc>
            </w:tr>
            <w:tr w14:paraId="72A8247E">
              <w:tblPrEx>
                <w:tblCellMar>
                  <w:top w:w="0" w:type="dxa"/>
                  <w:left w:w="108" w:type="dxa"/>
                  <w:bottom w:w="0" w:type="dxa"/>
                  <w:right w:w="108" w:type="dxa"/>
                </w:tblCellMar>
              </w:tblPrEx>
              <w:trPr>
                <w:trHeight w:val="303" w:hRule="atLeast"/>
              </w:trPr>
              <w:tc>
                <w:tcPr>
                  <w:tcW w:w="0" w:type="auto"/>
                  <w:tcBorders>
                    <w:top w:val="nil"/>
                    <w:left w:val="single" w:color="000000" w:sz="8" w:space="0"/>
                    <w:bottom w:val="single" w:color="000000" w:sz="8" w:space="0"/>
                    <w:right w:val="single" w:color="000000" w:sz="8" w:space="0"/>
                  </w:tcBorders>
                  <w:shd w:val="clear" w:color="auto" w:fill="FFFFFF"/>
                  <w:vAlign w:val="center"/>
                </w:tcPr>
                <w:p w14:paraId="01509F47">
                  <w:pPr>
                    <w:widowControl/>
                    <w:jc w:val="center"/>
                    <w:textAlignment w:val="center"/>
                    <w:rPr>
                      <w:color w:val="auto"/>
                      <w:kern w:val="21"/>
                      <w:szCs w:val="21"/>
                    </w:rPr>
                  </w:pPr>
                  <w:r>
                    <w:rPr>
                      <w:color w:val="auto"/>
                      <w:kern w:val="21"/>
                      <w:szCs w:val="21"/>
                      <w:lang w:bidi="ar"/>
                    </w:rPr>
                    <w:t>2</w:t>
                  </w:r>
                </w:p>
              </w:tc>
              <w:tc>
                <w:tcPr>
                  <w:tcW w:w="0" w:type="auto"/>
                  <w:vMerge w:val="continue"/>
                  <w:tcBorders>
                    <w:top w:val="nil"/>
                    <w:left w:val="single" w:color="000000" w:sz="8" w:space="0"/>
                    <w:bottom w:val="single" w:color="000000" w:sz="8" w:space="0"/>
                    <w:right w:val="single" w:color="000000" w:sz="8" w:space="0"/>
                  </w:tcBorders>
                  <w:shd w:val="clear" w:color="auto" w:fill="FFFFFF"/>
                  <w:vAlign w:val="center"/>
                </w:tcPr>
                <w:p w14:paraId="0CFB049E">
                  <w:pPr>
                    <w:widowControl/>
                    <w:jc w:val="center"/>
                    <w:rPr>
                      <w:color w:val="auto"/>
                      <w:kern w:val="21"/>
                      <w:szCs w:val="21"/>
                    </w:rPr>
                  </w:pP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14ECE01E">
                  <w:pPr>
                    <w:widowControl/>
                    <w:jc w:val="center"/>
                    <w:textAlignment w:val="center"/>
                    <w:rPr>
                      <w:color w:val="auto"/>
                      <w:kern w:val="21"/>
                      <w:szCs w:val="21"/>
                    </w:rPr>
                  </w:pPr>
                  <w:r>
                    <w:rPr>
                      <w:color w:val="auto"/>
                      <w:kern w:val="21"/>
                      <w:szCs w:val="21"/>
                      <w:lang w:bidi="ar"/>
                    </w:rPr>
                    <w:t>蒸压釜</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E5E9F26">
                  <w:pPr>
                    <w:widowControl/>
                    <w:jc w:val="center"/>
                    <w:textAlignment w:val="center"/>
                    <w:rPr>
                      <w:color w:val="auto"/>
                      <w:kern w:val="21"/>
                      <w:szCs w:val="21"/>
                    </w:rPr>
                  </w:pPr>
                  <w:r>
                    <w:rPr>
                      <w:color w:val="auto"/>
                      <w:kern w:val="21"/>
                      <w:szCs w:val="21"/>
                      <w:lang w:bidi="ar"/>
                    </w:rPr>
                    <w:t>85</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F0C587F">
                  <w:pPr>
                    <w:widowControl/>
                    <w:jc w:val="center"/>
                    <w:textAlignment w:val="center"/>
                    <w:rPr>
                      <w:color w:val="auto"/>
                      <w:kern w:val="21"/>
                      <w:szCs w:val="21"/>
                    </w:rPr>
                  </w:pPr>
                  <w:r>
                    <w:rPr>
                      <w:color w:val="auto"/>
                      <w:kern w:val="21"/>
                      <w:szCs w:val="21"/>
                      <w:lang w:bidi="ar"/>
                    </w:rPr>
                    <w:t>49.9</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47ABE0A5">
                  <w:pPr>
                    <w:widowControl/>
                    <w:jc w:val="center"/>
                    <w:textAlignment w:val="center"/>
                    <w:rPr>
                      <w:color w:val="auto"/>
                      <w:kern w:val="21"/>
                      <w:szCs w:val="21"/>
                    </w:rPr>
                  </w:pPr>
                  <w:r>
                    <w:rPr>
                      <w:color w:val="auto"/>
                      <w:kern w:val="21"/>
                      <w:szCs w:val="21"/>
                      <w:lang w:bidi="ar"/>
                    </w:rPr>
                    <w:t>15.4</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7D5F1FC">
                  <w:pPr>
                    <w:widowControl/>
                    <w:jc w:val="center"/>
                    <w:textAlignment w:val="center"/>
                    <w:rPr>
                      <w:color w:val="auto"/>
                      <w:kern w:val="21"/>
                      <w:szCs w:val="21"/>
                    </w:rPr>
                  </w:pPr>
                  <w:r>
                    <w:rPr>
                      <w:color w:val="auto"/>
                      <w:kern w:val="21"/>
                      <w:szCs w:val="21"/>
                      <w:lang w:bidi="ar"/>
                    </w:rPr>
                    <w:t>1.2</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5B1146E">
                  <w:pPr>
                    <w:widowControl/>
                    <w:jc w:val="center"/>
                    <w:textAlignment w:val="center"/>
                    <w:rPr>
                      <w:color w:val="auto"/>
                      <w:kern w:val="21"/>
                      <w:szCs w:val="21"/>
                    </w:rPr>
                  </w:pPr>
                  <w:r>
                    <w:rPr>
                      <w:color w:val="auto"/>
                      <w:kern w:val="21"/>
                      <w:szCs w:val="21"/>
                      <w:lang w:bidi="ar"/>
                    </w:rPr>
                    <w:t>50.6</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569AF88">
                  <w:pPr>
                    <w:widowControl/>
                    <w:jc w:val="center"/>
                    <w:textAlignment w:val="center"/>
                    <w:rPr>
                      <w:color w:val="auto"/>
                      <w:kern w:val="21"/>
                      <w:szCs w:val="21"/>
                    </w:rPr>
                  </w:pPr>
                  <w:r>
                    <w:rPr>
                      <w:color w:val="auto"/>
                      <w:kern w:val="21"/>
                      <w:szCs w:val="21"/>
                      <w:lang w:bidi="ar"/>
                    </w:rPr>
                    <w:t>131</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427FB9A4">
                  <w:pPr>
                    <w:widowControl/>
                    <w:jc w:val="center"/>
                    <w:textAlignment w:val="center"/>
                    <w:rPr>
                      <w:color w:val="auto"/>
                      <w:kern w:val="21"/>
                      <w:szCs w:val="21"/>
                    </w:rPr>
                  </w:pPr>
                  <w:r>
                    <w:rPr>
                      <w:color w:val="auto"/>
                      <w:kern w:val="21"/>
                      <w:szCs w:val="21"/>
                      <w:lang w:bidi="ar"/>
                    </w:rPr>
                    <w:t>153.3</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39019C20">
                  <w:pPr>
                    <w:widowControl/>
                    <w:jc w:val="center"/>
                    <w:textAlignment w:val="center"/>
                    <w:rPr>
                      <w:color w:val="auto"/>
                      <w:kern w:val="21"/>
                      <w:szCs w:val="21"/>
                    </w:rPr>
                  </w:pPr>
                  <w:r>
                    <w:rPr>
                      <w:color w:val="auto"/>
                      <w:kern w:val="21"/>
                      <w:szCs w:val="21"/>
                      <w:lang w:bidi="ar"/>
                    </w:rPr>
                    <w:t>58.9</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DCF3F69">
                  <w:pPr>
                    <w:widowControl/>
                    <w:jc w:val="center"/>
                    <w:textAlignment w:val="center"/>
                    <w:rPr>
                      <w:color w:val="auto"/>
                      <w:kern w:val="21"/>
                      <w:szCs w:val="21"/>
                    </w:rPr>
                  </w:pPr>
                  <w:r>
                    <w:rPr>
                      <w:color w:val="auto"/>
                      <w:kern w:val="21"/>
                      <w:szCs w:val="21"/>
                      <w:lang w:bidi="ar"/>
                    </w:rPr>
                    <w:t>50.9</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2C05311">
                  <w:pPr>
                    <w:widowControl/>
                    <w:jc w:val="center"/>
                    <w:textAlignment w:val="center"/>
                    <w:rPr>
                      <w:color w:val="auto"/>
                      <w:kern w:val="21"/>
                      <w:szCs w:val="21"/>
                    </w:rPr>
                  </w:pPr>
                  <w:r>
                    <w:rPr>
                      <w:color w:val="auto"/>
                      <w:kern w:val="21"/>
                      <w:szCs w:val="21"/>
                      <w:lang w:bidi="ar"/>
                    </w:rPr>
                    <w:t>42.6</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73FAEA9">
                  <w:pPr>
                    <w:widowControl/>
                    <w:jc w:val="center"/>
                    <w:textAlignment w:val="center"/>
                    <w:rPr>
                      <w:color w:val="auto"/>
                      <w:kern w:val="21"/>
                      <w:szCs w:val="21"/>
                    </w:rPr>
                  </w:pPr>
                  <w:r>
                    <w:rPr>
                      <w:color w:val="auto"/>
                      <w:kern w:val="21"/>
                      <w:szCs w:val="21"/>
                      <w:lang w:bidi="ar"/>
                    </w:rPr>
                    <w:t>41.2</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311C4A0F">
                  <w:pPr>
                    <w:widowControl/>
                    <w:jc w:val="center"/>
                    <w:textAlignment w:val="center"/>
                    <w:rPr>
                      <w:color w:val="auto"/>
                      <w:kern w:val="21"/>
                      <w:szCs w:val="21"/>
                    </w:rPr>
                  </w:pPr>
                  <w:r>
                    <w:rPr>
                      <w:color w:val="auto"/>
                      <w:kern w:val="21"/>
                      <w:szCs w:val="21"/>
                      <w:lang w:bidi="ar"/>
                    </w:rPr>
                    <w:t>49.5</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551F1ED">
                  <w:pPr>
                    <w:widowControl/>
                    <w:jc w:val="center"/>
                    <w:textAlignment w:val="center"/>
                    <w:rPr>
                      <w:color w:val="auto"/>
                      <w:kern w:val="21"/>
                      <w:szCs w:val="21"/>
                    </w:rPr>
                  </w:pPr>
                  <w:r>
                    <w:rPr>
                      <w:color w:val="auto"/>
                      <w:kern w:val="21"/>
                      <w:szCs w:val="21"/>
                      <w:lang w:bidi="ar"/>
                    </w:rPr>
                    <w:t>昼间</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3BAC7B8">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3F8CC7A5">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16D3CAB4">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61412FD">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B294535">
                  <w:pPr>
                    <w:widowControl/>
                    <w:jc w:val="center"/>
                    <w:textAlignment w:val="center"/>
                    <w:rPr>
                      <w:color w:val="auto"/>
                      <w:kern w:val="21"/>
                      <w:szCs w:val="21"/>
                    </w:rPr>
                  </w:pPr>
                  <w:r>
                    <w:rPr>
                      <w:color w:val="auto"/>
                      <w:kern w:val="21"/>
                      <w:szCs w:val="21"/>
                      <w:lang w:bidi="ar"/>
                    </w:rPr>
                    <w:t>30.9</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950DF2A">
                  <w:pPr>
                    <w:widowControl/>
                    <w:jc w:val="center"/>
                    <w:textAlignment w:val="center"/>
                    <w:rPr>
                      <w:color w:val="auto"/>
                      <w:kern w:val="21"/>
                      <w:szCs w:val="21"/>
                    </w:rPr>
                  </w:pPr>
                  <w:r>
                    <w:rPr>
                      <w:color w:val="auto"/>
                      <w:kern w:val="21"/>
                      <w:szCs w:val="21"/>
                      <w:lang w:bidi="ar"/>
                    </w:rPr>
                    <w:t>22.6</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E8E3117">
                  <w:pPr>
                    <w:widowControl/>
                    <w:jc w:val="center"/>
                    <w:textAlignment w:val="center"/>
                    <w:rPr>
                      <w:color w:val="auto"/>
                      <w:kern w:val="21"/>
                      <w:szCs w:val="21"/>
                    </w:rPr>
                  </w:pPr>
                  <w:r>
                    <w:rPr>
                      <w:color w:val="auto"/>
                      <w:kern w:val="21"/>
                      <w:szCs w:val="21"/>
                      <w:lang w:bidi="ar"/>
                    </w:rPr>
                    <w:t>21.2</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7FFE093B">
                  <w:pPr>
                    <w:widowControl/>
                    <w:jc w:val="center"/>
                    <w:textAlignment w:val="center"/>
                    <w:rPr>
                      <w:color w:val="auto"/>
                      <w:kern w:val="21"/>
                      <w:szCs w:val="21"/>
                    </w:rPr>
                  </w:pPr>
                  <w:r>
                    <w:rPr>
                      <w:color w:val="auto"/>
                      <w:kern w:val="21"/>
                      <w:szCs w:val="21"/>
                      <w:lang w:bidi="ar"/>
                    </w:rPr>
                    <w:t>29.5</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4FB52062">
                  <w:pPr>
                    <w:widowControl/>
                    <w:jc w:val="center"/>
                    <w:textAlignment w:val="center"/>
                    <w:rPr>
                      <w:color w:val="auto"/>
                      <w:kern w:val="21"/>
                      <w:szCs w:val="21"/>
                    </w:rPr>
                  </w:pPr>
                  <w:r>
                    <w:rPr>
                      <w:color w:val="auto"/>
                      <w:kern w:val="21"/>
                      <w:szCs w:val="21"/>
                      <w:lang w:bidi="ar"/>
                    </w:rPr>
                    <w:t>1</w:t>
                  </w:r>
                </w:p>
              </w:tc>
            </w:tr>
            <w:tr w14:paraId="5B318FF7">
              <w:tblPrEx>
                <w:tblCellMar>
                  <w:top w:w="0" w:type="dxa"/>
                  <w:left w:w="108" w:type="dxa"/>
                  <w:bottom w:w="0" w:type="dxa"/>
                  <w:right w:w="108" w:type="dxa"/>
                </w:tblCellMar>
              </w:tblPrEx>
              <w:trPr>
                <w:trHeight w:val="591" w:hRule="atLeast"/>
              </w:trPr>
              <w:tc>
                <w:tcPr>
                  <w:tcW w:w="0" w:type="auto"/>
                  <w:tcBorders>
                    <w:top w:val="nil"/>
                    <w:left w:val="single" w:color="000000" w:sz="8" w:space="0"/>
                    <w:bottom w:val="single" w:color="000000" w:sz="8" w:space="0"/>
                    <w:right w:val="single" w:color="000000" w:sz="8" w:space="0"/>
                  </w:tcBorders>
                  <w:shd w:val="clear" w:color="auto" w:fill="FFFFFF"/>
                  <w:vAlign w:val="center"/>
                </w:tcPr>
                <w:p w14:paraId="378CEE42">
                  <w:pPr>
                    <w:widowControl/>
                    <w:jc w:val="center"/>
                    <w:textAlignment w:val="center"/>
                    <w:rPr>
                      <w:color w:val="auto"/>
                      <w:kern w:val="21"/>
                      <w:szCs w:val="21"/>
                    </w:rPr>
                  </w:pPr>
                  <w:r>
                    <w:rPr>
                      <w:color w:val="auto"/>
                      <w:kern w:val="21"/>
                      <w:szCs w:val="21"/>
                      <w:lang w:bidi="ar"/>
                    </w:rPr>
                    <w:t>3</w:t>
                  </w:r>
                </w:p>
              </w:tc>
              <w:tc>
                <w:tcPr>
                  <w:tcW w:w="0" w:type="auto"/>
                  <w:vMerge w:val="continue"/>
                  <w:tcBorders>
                    <w:top w:val="nil"/>
                    <w:left w:val="single" w:color="000000" w:sz="8" w:space="0"/>
                    <w:bottom w:val="single" w:color="000000" w:sz="8" w:space="0"/>
                    <w:right w:val="single" w:color="000000" w:sz="8" w:space="0"/>
                  </w:tcBorders>
                  <w:shd w:val="clear" w:color="auto" w:fill="FFFFFF"/>
                  <w:vAlign w:val="center"/>
                </w:tcPr>
                <w:p w14:paraId="349D36D0">
                  <w:pPr>
                    <w:widowControl/>
                    <w:jc w:val="center"/>
                    <w:rPr>
                      <w:color w:val="auto"/>
                      <w:kern w:val="21"/>
                      <w:szCs w:val="21"/>
                    </w:rPr>
                  </w:pP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E4CA56E">
                  <w:pPr>
                    <w:widowControl/>
                    <w:jc w:val="center"/>
                    <w:textAlignment w:val="center"/>
                    <w:rPr>
                      <w:color w:val="auto"/>
                      <w:kern w:val="21"/>
                      <w:szCs w:val="21"/>
                    </w:rPr>
                  </w:pPr>
                  <w:r>
                    <w:rPr>
                      <w:color w:val="auto"/>
                      <w:kern w:val="21"/>
                      <w:szCs w:val="21"/>
                      <w:lang w:bidi="ar"/>
                    </w:rPr>
                    <w:t>切割用行车</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D731499">
                  <w:pPr>
                    <w:widowControl/>
                    <w:jc w:val="center"/>
                    <w:textAlignment w:val="center"/>
                    <w:rPr>
                      <w:color w:val="auto"/>
                      <w:kern w:val="21"/>
                      <w:szCs w:val="21"/>
                    </w:rPr>
                  </w:pPr>
                  <w:r>
                    <w:rPr>
                      <w:color w:val="auto"/>
                      <w:kern w:val="21"/>
                      <w:szCs w:val="21"/>
                      <w:lang w:bidi="ar"/>
                    </w:rPr>
                    <w:t>80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32EA0ECB">
                  <w:pPr>
                    <w:widowControl/>
                    <w:jc w:val="center"/>
                    <w:textAlignment w:val="center"/>
                    <w:rPr>
                      <w:color w:val="auto"/>
                      <w:kern w:val="21"/>
                      <w:szCs w:val="21"/>
                    </w:rPr>
                  </w:pPr>
                  <w:r>
                    <w:rPr>
                      <w:color w:val="auto"/>
                      <w:kern w:val="21"/>
                      <w:szCs w:val="21"/>
                      <w:lang w:bidi="ar"/>
                    </w:rPr>
                    <w:t>-19</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8465A16">
                  <w:pPr>
                    <w:widowControl/>
                    <w:jc w:val="center"/>
                    <w:textAlignment w:val="center"/>
                    <w:rPr>
                      <w:color w:val="auto"/>
                      <w:kern w:val="21"/>
                      <w:szCs w:val="21"/>
                    </w:rPr>
                  </w:pPr>
                  <w:r>
                    <w:rPr>
                      <w:color w:val="auto"/>
                      <w:kern w:val="21"/>
                      <w:szCs w:val="21"/>
                      <w:lang w:bidi="ar"/>
                    </w:rPr>
                    <w:t>54.4</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1DFADDC1">
                  <w:pPr>
                    <w:widowControl/>
                    <w:jc w:val="center"/>
                    <w:textAlignment w:val="center"/>
                    <w:rPr>
                      <w:color w:val="auto"/>
                      <w:kern w:val="21"/>
                      <w:szCs w:val="21"/>
                    </w:rPr>
                  </w:pPr>
                  <w:r>
                    <w:rPr>
                      <w:color w:val="auto"/>
                      <w:kern w:val="21"/>
                      <w:szCs w:val="21"/>
                      <w:lang w:bidi="ar"/>
                    </w:rPr>
                    <w:t>1.2</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3C19EDD6">
                  <w:pPr>
                    <w:widowControl/>
                    <w:jc w:val="center"/>
                    <w:textAlignment w:val="center"/>
                    <w:rPr>
                      <w:color w:val="auto"/>
                      <w:kern w:val="21"/>
                      <w:szCs w:val="21"/>
                    </w:rPr>
                  </w:pPr>
                  <w:r>
                    <w:rPr>
                      <w:color w:val="auto"/>
                      <w:kern w:val="21"/>
                      <w:szCs w:val="21"/>
                      <w:lang w:bidi="ar"/>
                    </w:rPr>
                    <w:t>127.2</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49C5F179">
                  <w:pPr>
                    <w:widowControl/>
                    <w:jc w:val="center"/>
                    <w:textAlignment w:val="center"/>
                    <w:rPr>
                      <w:color w:val="auto"/>
                      <w:kern w:val="21"/>
                      <w:szCs w:val="21"/>
                    </w:rPr>
                  </w:pPr>
                  <w:r>
                    <w:rPr>
                      <w:color w:val="auto"/>
                      <w:kern w:val="21"/>
                      <w:szCs w:val="21"/>
                      <w:lang w:bidi="ar"/>
                    </w:rPr>
                    <w:t>125.7</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49CD9AC7">
                  <w:pPr>
                    <w:widowControl/>
                    <w:jc w:val="center"/>
                    <w:textAlignment w:val="center"/>
                    <w:rPr>
                      <w:color w:val="auto"/>
                      <w:kern w:val="21"/>
                      <w:szCs w:val="21"/>
                    </w:rPr>
                  </w:pPr>
                  <w:r>
                    <w:rPr>
                      <w:color w:val="auto"/>
                      <w:kern w:val="21"/>
                      <w:szCs w:val="21"/>
                      <w:lang w:bidi="ar"/>
                    </w:rPr>
                    <w:t>76.7</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FB7ACBE">
                  <w:pPr>
                    <w:widowControl/>
                    <w:jc w:val="center"/>
                    <w:textAlignment w:val="center"/>
                    <w:rPr>
                      <w:color w:val="auto"/>
                      <w:kern w:val="21"/>
                      <w:szCs w:val="21"/>
                    </w:rPr>
                  </w:pPr>
                  <w:r>
                    <w:rPr>
                      <w:color w:val="auto"/>
                      <w:kern w:val="21"/>
                      <w:szCs w:val="21"/>
                      <w:lang w:bidi="ar"/>
                    </w:rPr>
                    <w:t>64.2</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746AD6CD">
                  <w:pPr>
                    <w:widowControl/>
                    <w:jc w:val="center"/>
                    <w:textAlignment w:val="center"/>
                    <w:rPr>
                      <w:color w:val="auto"/>
                      <w:kern w:val="21"/>
                      <w:szCs w:val="21"/>
                    </w:rPr>
                  </w:pPr>
                  <w:r>
                    <w:rPr>
                      <w:color w:val="auto"/>
                      <w:kern w:val="21"/>
                      <w:szCs w:val="21"/>
                      <w:lang w:bidi="ar"/>
                    </w:rPr>
                    <w:t>37.9</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41BF7853">
                  <w:pPr>
                    <w:widowControl/>
                    <w:jc w:val="center"/>
                    <w:textAlignment w:val="center"/>
                    <w:rPr>
                      <w:color w:val="auto"/>
                      <w:kern w:val="21"/>
                      <w:szCs w:val="21"/>
                    </w:rPr>
                  </w:pPr>
                  <w:r>
                    <w:rPr>
                      <w:color w:val="auto"/>
                      <w:kern w:val="21"/>
                      <w:szCs w:val="21"/>
                      <w:lang w:bidi="ar"/>
                    </w:rPr>
                    <w:t xml:space="preserve">38.0 </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977D9BF">
                  <w:pPr>
                    <w:widowControl/>
                    <w:jc w:val="center"/>
                    <w:textAlignment w:val="center"/>
                    <w:rPr>
                      <w:color w:val="auto"/>
                      <w:kern w:val="21"/>
                      <w:szCs w:val="21"/>
                    </w:rPr>
                  </w:pPr>
                  <w:r>
                    <w:rPr>
                      <w:color w:val="auto"/>
                      <w:kern w:val="21"/>
                      <w:szCs w:val="21"/>
                      <w:lang w:bidi="ar"/>
                    </w:rPr>
                    <w:t>42.3</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35E96D2C">
                  <w:pPr>
                    <w:widowControl/>
                    <w:jc w:val="center"/>
                    <w:textAlignment w:val="center"/>
                    <w:rPr>
                      <w:color w:val="auto"/>
                      <w:kern w:val="21"/>
                      <w:szCs w:val="21"/>
                    </w:rPr>
                  </w:pPr>
                  <w:r>
                    <w:rPr>
                      <w:color w:val="auto"/>
                      <w:kern w:val="21"/>
                      <w:szCs w:val="21"/>
                      <w:lang w:bidi="ar"/>
                    </w:rPr>
                    <w:t>43.8</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70E0354">
                  <w:pPr>
                    <w:widowControl/>
                    <w:jc w:val="center"/>
                    <w:textAlignment w:val="center"/>
                    <w:rPr>
                      <w:color w:val="auto"/>
                      <w:kern w:val="21"/>
                      <w:szCs w:val="21"/>
                    </w:rPr>
                  </w:pPr>
                  <w:r>
                    <w:rPr>
                      <w:color w:val="auto"/>
                      <w:kern w:val="21"/>
                      <w:szCs w:val="21"/>
                      <w:lang w:bidi="ar"/>
                    </w:rPr>
                    <w:t>昼间</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4FA29F42">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CC4767A">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801F573">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4E31E90F">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BC6CBB3">
                  <w:pPr>
                    <w:widowControl/>
                    <w:jc w:val="center"/>
                    <w:textAlignment w:val="center"/>
                    <w:rPr>
                      <w:color w:val="auto"/>
                      <w:kern w:val="21"/>
                      <w:szCs w:val="21"/>
                    </w:rPr>
                  </w:pPr>
                  <w:r>
                    <w:rPr>
                      <w:color w:val="auto"/>
                      <w:kern w:val="21"/>
                      <w:szCs w:val="21"/>
                      <w:lang w:bidi="ar"/>
                    </w:rPr>
                    <w:t>17.9</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44817768">
                  <w:pPr>
                    <w:widowControl/>
                    <w:jc w:val="center"/>
                    <w:textAlignment w:val="center"/>
                    <w:rPr>
                      <w:color w:val="auto"/>
                      <w:kern w:val="21"/>
                      <w:szCs w:val="21"/>
                    </w:rPr>
                  </w:pPr>
                  <w:r>
                    <w:rPr>
                      <w:color w:val="auto"/>
                      <w:kern w:val="21"/>
                      <w:szCs w:val="21"/>
                      <w:lang w:bidi="ar"/>
                    </w:rPr>
                    <w:t xml:space="preserve">18.0 </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35CEA17B">
                  <w:pPr>
                    <w:widowControl/>
                    <w:jc w:val="center"/>
                    <w:textAlignment w:val="center"/>
                    <w:rPr>
                      <w:color w:val="auto"/>
                      <w:kern w:val="21"/>
                      <w:szCs w:val="21"/>
                    </w:rPr>
                  </w:pPr>
                  <w:r>
                    <w:rPr>
                      <w:color w:val="auto"/>
                      <w:kern w:val="21"/>
                      <w:szCs w:val="21"/>
                      <w:lang w:bidi="ar"/>
                    </w:rPr>
                    <w:t>22.3</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315B736">
                  <w:pPr>
                    <w:widowControl/>
                    <w:jc w:val="center"/>
                    <w:textAlignment w:val="center"/>
                    <w:rPr>
                      <w:color w:val="auto"/>
                      <w:kern w:val="21"/>
                      <w:szCs w:val="21"/>
                    </w:rPr>
                  </w:pPr>
                  <w:r>
                    <w:rPr>
                      <w:color w:val="auto"/>
                      <w:kern w:val="21"/>
                      <w:szCs w:val="21"/>
                      <w:lang w:bidi="ar"/>
                    </w:rPr>
                    <w:t>23.8</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322700F">
                  <w:pPr>
                    <w:widowControl/>
                    <w:jc w:val="center"/>
                    <w:textAlignment w:val="center"/>
                    <w:rPr>
                      <w:color w:val="auto"/>
                      <w:kern w:val="21"/>
                      <w:szCs w:val="21"/>
                    </w:rPr>
                  </w:pPr>
                  <w:r>
                    <w:rPr>
                      <w:color w:val="auto"/>
                      <w:kern w:val="21"/>
                      <w:szCs w:val="21"/>
                      <w:lang w:bidi="ar"/>
                    </w:rPr>
                    <w:t>1</w:t>
                  </w:r>
                </w:p>
              </w:tc>
            </w:tr>
            <w:tr w14:paraId="0F8BB548">
              <w:tblPrEx>
                <w:tblCellMar>
                  <w:top w:w="0" w:type="dxa"/>
                  <w:left w:w="108" w:type="dxa"/>
                  <w:bottom w:w="0" w:type="dxa"/>
                  <w:right w:w="108" w:type="dxa"/>
                </w:tblCellMar>
              </w:tblPrEx>
              <w:trPr>
                <w:trHeight w:val="591" w:hRule="atLeast"/>
              </w:trPr>
              <w:tc>
                <w:tcPr>
                  <w:tcW w:w="0" w:type="auto"/>
                  <w:tcBorders>
                    <w:top w:val="nil"/>
                    <w:left w:val="single" w:color="000000" w:sz="8" w:space="0"/>
                    <w:bottom w:val="single" w:color="000000" w:sz="8" w:space="0"/>
                    <w:right w:val="single" w:color="000000" w:sz="8" w:space="0"/>
                  </w:tcBorders>
                  <w:shd w:val="clear" w:color="auto" w:fill="FFFFFF"/>
                  <w:vAlign w:val="center"/>
                </w:tcPr>
                <w:p w14:paraId="176CF07E">
                  <w:pPr>
                    <w:widowControl/>
                    <w:jc w:val="center"/>
                    <w:textAlignment w:val="center"/>
                    <w:rPr>
                      <w:color w:val="auto"/>
                      <w:kern w:val="21"/>
                      <w:szCs w:val="21"/>
                    </w:rPr>
                  </w:pPr>
                  <w:r>
                    <w:rPr>
                      <w:color w:val="auto"/>
                      <w:kern w:val="21"/>
                      <w:szCs w:val="21"/>
                      <w:lang w:bidi="ar"/>
                    </w:rPr>
                    <w:t>4</w:t>
                  </w:r>
                </w:p>
              </w:tc>
              <w:tc>
                <w:tcPr>
                  <w:tcW w:w="0" w:type="auto"/>
                  <w:vMerge w:val="continue"/>
                  <w:tcBorders>
                    <w:top w:val="nil"/>
                    <w:left w:val="single" w:color="000000" w:sz="8" w:space="0"/>
                    <w:bottom w:val="single" w:color="000000" w:sz="8" w:space="0"/>
                    <w:right w:val="single" w:color="000000" w:sz="8" w:space="0"/>
                  </w:tcBorders>
                  <w:shd w:val="clear" w:color="auto" w:fill="FFFFFF"/>
                  <w:vAlign w:val="center"/>
                </w:tcPr>
                <w:p w14:paraId="4952E29F">
                  <w:pPr>
                    <w:widowControl/>
                    <w:jc w:val="center"/>
                    <w:rPr>
                      <w:color w:val="auto"/>
                      <w:kern w:val="21"/>
                      <w:szCs w:val="21"/>
                    </w:rPr>
                  </w:pP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BCCC73B">
                  <w:pPr>
                    <w:widowControl/>
                    <w:jc w:val="center"/>
                    <w:textAlignment w:val="center"/>
                    <w:rPr>
                      <w:color w:val="auto"/>
                      <w:kern w:val="21"/>
                      <w:szCs w:val="21"/>
                    </w:rPr>
                  </w:pPr>
                  <w:r>
                    <w:rPr>
                      <w:color w:val="auto"/>
                      <w:kern w:val="21"/>
                      <w:szCs w:val="21"/>
                      <w:lang w:bidi="ar"/>
                    </w:rPr>
                    <w:t>切割用行车</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4A03D143">
                  <w:pPr>
                    <w:widowControl/>
                    <w:jc w:val="center"/>
                    <w:textAlignment w:val="center"/>
                    <w:rPr>
                      <w:color w:val="auto"/>
                      <w:kern w:val="21"/>
                      <w:szCs w:val="21"/>
                    </w:rPr>
                  </w:pPr>
                  <w:r>
                    <w:rPr>
                      <w:color w:val="auto"/>
                      <w:kern w:val="21"/>
                      <w:szCs w:val="21"/>
                      <w:lang w:bidi="ar"/>
                    </w:rPr>
                    <w:t>80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F7FE556">
                  <w:pPr>
                    <w:widowControl/>
                    <w:jc w:val="center"/>
                    <w:textAlignment w:val="center"/>
                    <w:rPr>
                      <w:color w:val="auto"/>
                      <w:kern w:val="21"/>
                      <w:szCs w:val="21"/>
                    </w:rPr>
                  </w:pPr>
                  <w:r>
                    <w:rPr>
                      <w:color w:val="auto"/>
                      <w:kern w:val="21"/>
                      <w:szCs w:val="21"/>
                      <w:lang w:bidi="ar"/>
                    </w:rPr>
                    <w:t>-17.8</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388DE098">
                  <w:pPr>
                    <w:widowControl/>
                    <w:jc w:val="center"/>
                    <w:textAlignment w:val="center"/>
                    <w:rPr>
                      <w:color w:val="auto"/>
                      <w:kern w:val="21"/>
                      <w:szCs w:val="21"/>
                    </w:rPr>
                  </w:pPr>
                  <w:r>
                    <w:rPr>
                      <w:color w:val="auto"/>
                      <w:kern w:val="21"/>
                      <w:szCs w:val="21"/>
                      <w:lang w:bidi="ar"/>
                    </w:rPr>
                    <w:t>65.9</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35EE0495">
                  <w:pPr>
                    <w:widowControl/>
                    <w:jc w:val="center"/>
                    <w:textAlignment w:val="center"/>
                    <w:rPr>
                      <w:color w:val="auto"/>
                      <w:kern w:val="21"/>
                      <w:szCs w:val="21"/>
                    </w:rPr>
                  </w:pPr>
                  <w:r>
                    <w:rPr>
                      <w:color w:val="auto"/>
                      <w:kern w:val="21"/>
                      <w:szCs w:val="21"/>
                      <w:lang w:bidi="ar"/>
                    </w:rPr>
                    <w:t>1.2</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732880C">
                  <w:pPr>
                    <w:widowControl/>
                    <w:jc w:val="center"/>
                    <w:textAlignment w:val="center"/>
                    <w:rPr>
                      <w:color w:val="auto"/>
                      <w:kern w:val="21"/>
                      <w:szCs w:val="21"/>
                    </w:rPr>
                  </w:pPr>
                  <w:r>
                    <w:rPr>
                      <w:color w:val="auto"/>
                      <w:kern w:val="21"/>
                      <w:szCs w:val="21"/>
                      <w:lang w:bidi="ar"/>
                    </w:rPr>
                    <w:t>129</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3899E583">
                  <w:pPr>
                    <w:widowControl/>
                    <w:jc w:val="center"/>
                    <w:textAlignment w:val="center"/>
                    <w:rPr>
                      <w:color w:val="auto"/>
                      <w:kern w:val="21"/>
                      <w:szCs w:val="21"/>
                    </w:rPr>
                  </w:pPr>
                  <w:r>
                    <w:rPr>
                      <w:color w:val="auto"/>
                      <w:kern w:val="21"/>
                      <w:szCs w:val="21"/>
                      <w:lang w:bidi="ar"/>
                    </w:rPr>
                    <w:t>135.9</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306B26D">
                  <w:pPr>
                    <w:widowControl/>
                    <w:jc w:val="center"/>
                    <w:textAlignment w:val="center"/>
                    <w:rPr>
                      <w:color w:val="auto"/>
                      <w:kern w:val="21"/>
                      <w:szCs w:val="21"/>
                    </w:rPr>
                  </w:pPr>
                  <w:r>
                    <w:rPr>
                      <w:color w:val="auto"/>
                      <w:kern w:val="21"/>
                      <w:szCs w:val="21"/>
                      <w:lang w:bidi="ar"/>
                    </w:rPr>
                    <w:t>74.9</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32F7BF4A">
                  <w:pPr>
                    <w:widowControl/>
                    <w:jc w:val="center"/>
                    <w:textAlignment w:val="center"/>
                    <w:rPr>
                      <w:color w:val="auto"/>
                      <w:kern w:val="21"/>
                      <w:szCs w:val="21"/>
                    </w:rPr>
                  </w:pPr>
                  <w:r>
                    <w:rPr>
                      <w:color w:val="auto"/>
                      <w:kern w:val="21"/>
                      <w:szCs w:val="21"/>
                      <w:lang w:bidi="ar"/>
                    </w:rPr>
                    <w:t>54</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5723C7F">
                  <w:pPr>
                    <w:widowControl/>
                    <w:jc w:val="center"/>
                    <w:textAlignment w:val="center"/>
                    <w:rPr>
                      <w:color w:val="auto"/>
                      <w:kern w:val="21"/>
                      <w:szCs w:val="21"/>
                    </w:rPr>
                  </w:pPr>
                  <w:r>
                    <w:rPr>
                      <w:color w:val="auto"/>
                      <w:kern w:val="21"/>
                      <w:szCs w:val="21"/>
                      <w:lang w:bidi="ar"/>
                    </w:rPr>
                    <w:t>37.7</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A87B0F8">
                  <w:pPr>
                    <w:widowControl/>
                    <w:jc w:val="center"/>
                    <w:textAlignment w:val="center"/>
                    <w:rPr>
                      <w:color w:val="auto"/>
                      <w:kern w:val="21"/>
                      <w:szCs w:val="21"/>
                    </w:rPr>
                  </w:pPr>
                  <w:r>
                    <w:rPr>
                      <w:color w:val="auto"/>
                      <w:kern w:val="21"/>
                      <w:szCs w:val="21"/>
                      <w:lang w:bidi="ar"/>
                    </w:rPr>
                    <w:t>37.3</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729D1C51">
                  <w:pPr>
                    <w:widowControl/>
                    <w:jc w:val="center"/>
                    <w:textAlignment w:val="center"/>
                    <w:rPr>
                      <w:color w:val="auto"/>
                      <w:kern w:val="21"/>
                      <w:szCs w:val="21"/>
                    </w:rPr>
                  </w:pPr>
                  <w:r>
                    <w:rPr>
                      <w:color w:val="auto"/>
                      <w:kern w:val="21"/>
                      <w:szCs w:val="21"/>
                      <w:lang w:bidi="ar"/>
                    </w:rPr>
                    <w:t>42.5</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105443CB">
                  <w:pPr>
                    <w:widowControl/>
                    <w:jc w:val="center"/>
                    <w:textAlignment w:val="center"/>
                    <w:rPr>
                      <w:color w:val="auto"/>
                      <w:kern w:val="21"/>
                      <w:szCs w:val="21"/>
                    </w:rPr>
                  </w:pPr>
                  <w:r>
                    <w:rPr>
                      <w:color w:val="auto"/>
                      <w:kern w:val="21"/>
                      <w:szCs w:val="21"/>
                      <w:lang w:bidi="ar"/>
                    </w:rPr>
                    <w:t>45.3</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BB979AC">
                  <w:pPr>
                    <w:widowControl/>
                    <w:jc w:val="center"/>
                    <w:textAlignment w:val="center"/>
                    <w:rPr>
                      <w:color w:val="auto"/>
                      <w:kern w:val="21"/>
                      <w:szCs w:val="21"/>
                    </w:rPr>
                  </w:pPr>
                  <w:r>
                    <w:rPr>
                      <w:color w:val="auto"/>
                      <w:kern w:val="21"/>
                      <w:szCs w:val="21"/>
                      <w:lang w:bidi="ar"/>
                    </w:rPr>
                    <w:t>昼间</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57D746E">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18E87B9A">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9DA7C0B">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3DD57535">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40FE4979">
                  <w:pPr>
                    <w:widowControl/>
                    <w:jc w:val="center"/>
                    <w:textAlignment w:val="center"/>
                    <w:rPr>
                      <w:color w:val="auto"/>
                      <w:kern w:val="21"/>
                      <w:szCs w:val="21"/>
                    </w:rPr>
                  </w:pPr>
                  <w:r>
                    <w:rPr>
                      <w:color w:val="auto"/>
                      <w:kern w:val="21"/>
                      <w:szCs w:val="21"/>
                      <w:lang w:bidi="ar"/>
                    </w:rPr>
                    <w:t>17.7</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76556AEA">
                  <w:pPr>
                    <w:widowControl/>
                    <w:jc w:val="center"/>
                    <w:textAlignment w:val="center"/>
                    <w:rPr>
                      <w:color w:val="auto"/>
                      <w:kern w:val="21"/>
                      <w:szCs w:val="21"/>
                    </w:rPr>
                  </w:pPr>
                  <w:r>
                    <w:rPr>
                      <w:color w:val="auto"/>
                      <w:kern w:val="21"/>
                      <w:szCs w:val="21"/>
                      <w:lang w:bidi="ar"/>
                    </w:rPr>
                    <w:t>17.3</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45F3898B">
                  <w:pPr>
                    <w:widowControl/>
                    <w:jc w:val="center"/>
                    <w:textAlignment w:val="center"/>
                    <w:rPr>
                      <w:color w:val="auto"/>
                      <w:kern w:val="21"/>
                      <w:szCs w:val="21"/>
                    </w:rPr>
                  </w:pPr>
                  <w:r>
                    <w:rPr>
                      <w:color w:val="auto"/>
                      <w:kern w:val="21"/>
                      <w:szCs w:val="21"/>
                      <w:lang w:bidi="ar"/>
                    </w:rPr>
                    <w:t>22.5</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AF08120">
                  <w:pPr>
                    <w:widowControl/>
                    <w:jc w:val="center"/>
                    <w:textAlignment w:val="center"/>
                    <w:rPr>
                      <w:color w:val="auto"/>
                      <w:kern w:val="21"/>
                      <w:szCs w:val="21"/>
                    </w:rPr>
                  </w:pPr>
                  <w:r>
                    <w:rPr>
                      <w:color w:val="auto"/>
                      <w:kern w:val="21"/>
                      <w:szCs w:val="21"/>
                      <w:lang w:bidi="ar"/>
                    </w:rPr>
                    <w:t>25.3</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796641E">
                  <w:pPr>
                    <w:widowControl/>
                    <w:jc w:val="center"/>
                    <w:textAlignment w:val="center"/>
                    <w:rPr>
                      <w:color w:val="auto"/>
                      <w:kern w:val="21"/>
                      <w:szCs w:val="21"/>
                    </w:rPr>
                  </w:pPr>
                  <w:r>
                    <w:rPr>
                      <w:color w:val="auto"/>
                      <w:kern w:val="21"/>
                      <w:szCs w:val="21"/>
                      <w:lang w:bidi="ar"/>
                    </w:rPr>
                    <w:t>1</w:t>
                  </w:r>
                </w:p>
              </w:tc>
            </w:tr>
            <w:tr w14:paraId="0CCD3B3F">
              <w:tblPrEx>
                <w:tblCellMar>
                  <w:top w:w="0" w:type="dxa"/>
                  <w:left w:w="108" w:type="dxa"/>
                  <w:bottom w:w="0" w:type="dxa"/>
                  <w:right w:w="108" w:type="dxa"/>
                </w:tblCellMar>
              </w:tblPrEx>
              <w:trPr>
                <w:trHeight w:val="303" w:hRule="atLeast"/>
              </w:trPr>
              <w:tc>
                <w:tcPr>
                  <w:tcW w:w="0" w:type="auto"/>
                  <w:tcBorders>
                    <w:top w:val="nil"/>
                    <w:left w:val="single" w:color="000000" w:sz="8" w:space="0"/>
                    <w:bottom w:val="single" w:color="000000" w:sz="8" w:space="0"/>
                    <w:right w:val="single" w:color="000000" w:sz="8" w:space="0"/>
                  </w:tcBorders>
                  <w:shd w:val="clear" w:color="auto" w:fill="FFFFFF"/>
                  <w:vAlign w:val="center"/>
                </w:tcPr>
                <w:p w14:paraId="7DB65196">
                  <w:pPr>
                    <w:widowControl/>
                    <w:jc w:val="center"/>
                    <w:textAlignment w:val="center"/>
                    <w:rPr>
                      <w:color w:val="auto"/>
                      <w:kern w:val="21"/>
                      <w:szCs w:val="21"/>
                    </w:rPr>
                  </w:pPr>
                  <w:r>
                    <w:rPr>
                      <w:color w:val="auto"/>
                      <w:kern w:val="21"/>
                      <w:szCs w:val="21"/>
                      <w:lang w:bidi="ar"/>
                    </w:rPr>
                    <w:t>5</w:t>
                  </w:r>
                </w:p>
              </w:tc>
              <w:tc>
                <w:tcPr>
                  <w:tcW w:w="0" w:type="auto"/>
                  <w:vMerge w:val="continue"/>
                  <w:tcBorders>
                    <w:top w:val="nil"/>
                    <w:left w:val="single" w:color="000000" w:sz="8" w:space="0"/>
                    <w:bottom w:val="single" w:color="000000" w:sz="8" w:space="0"/>
                    <w:right w:val="single" w:color="000000" w:sz="8" w:space="0"/>
                  </w:tcBorders>
                  <w:shd w:val="clear" w:color="auto" w:fill="FFFFFF"/>
                  <w:vAlign w:val="center"/>
                </w:tcPr>
                <w:p w14:paraId="5664DDCE">
                  <w:pPr>
                    <w:widowControl/>
                    <w:jc w:val="center"/>
                    <w:rPr>
                      <w:color w:val="auto"/>
                      <w:kern w:val="21"/>
                      <w:szCs w:val="21"/>
                    </w:rPr>
                  </w:pP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769DFA7B">
                  <w:pPr>
                    <w:widowControl/>
                    <w:jc w:val="center"/>
                    <w:textAlignment w:val="center"/>
                    <w:rPr>
                      <w:color w:val="auto"/>
                      <w:kern w:val="21"/>
                      <w:szCs w:val="21"/>
                    </w:rPr>
                  </w:pPr>
                  <w:r>
                    <w:rPr>
                      <w:color w:val="auto"/>
                      <w:kern w:val="21"/>
                      <w:szCs w:val="21"/>
                      <w:lang w:bidi="ar"/>
                    </w:rPr>
                    <w:t>摆渡车</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59F27F0">
                  <w:pPr>
                    <w:widowControl/>
                    <w:jc w:val="center"/>
                    <w:textAlignment w:val="center"/>
                    <w:rPr>
                      <w:color w:val="auto"/>
                      <w:kern w:val="21"/>
                      <w:szCs w:val="21"/>
                    </w:rPr>
                  </w:pPr>
                  <w:r>
                    <w:rPr>
                      <w:color w:val="auto"/>
                      <w:kern w:val="21"/>
                      <w:szCs w:val="21"/>
                      <w:lang w:bidi="ar"/>
                    </w:rPr>
                    <w:t>75</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5CBE15A">
                  <w:pPr>
                    <w:widowControl/>
                    <w:jc w:val="center"/>
                    <w:textAlignment w:val="center"/>
                    <w:rPr>
                      <w:color w:val="auto"/>
                      <w:kern w:val="21"/>
                      <w:szCs w:val="21"/>
                    </w:rPr>
                  </w:pPr>
                  <w:r>
                    <w:rPr>
                      <w:color w:val="auto"/>
                      <w:kern w:val="21"/>
                      <w:szCs w:val="21"/>
                      <w:lang w:bidi="ar"/>
                    </w:rPr>
                    <w:t>33.2</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9911841">
                  <w:pPr>
                    <w:widowControl/>
                    <w:jc w:val="center"/>
                    <w:textAlignment w:val="center"/>
                    <w:rPr>
                      <w:color w:val="auto"/>
                      <w:kern w:val="21"/>
                      <w:szCs w:val="21"/>
                    </w:rPr>
                  </w:pPr>
                  <w:r>
                    <w:rPr>
                      <w:color w:val="auto"/>
                      <w:kern w:val="21"/>
                      <w:szCs w:val="21"/>
                      <w:lang w:bidi="ar"/>
                    </w:rPr>
                    <w:t>39.3</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E5C584C">
                  <w:pPr>
                    <w:widowControl/>
                    <w:jc w:val="center"/>
                    <w:textAlignment w:val="center"/>
                    <w:rPr>
                      <w:color w:val="auto"/>
                      <w:kern w:val="21"/>
                      <w:szCs w:val="21"/>
                    </w:rPr>
                  </w:pPr>
                  <w:r>
                    <w:rPr>
                      <w:color w:val="auto"/>
                      <w:kern w:val="21"/>
                      <w:szCs w:val="21"/>
                      <w:lang w:bidi="ar"/>
                    </w:rPr>
                    <w:t>1.2</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7B4178E">
                  <w:pPr>
                    <w:widowControl/>
                    <w:jc w:val="center"/>
                    <w:textAlignment w:val="center"/>
                    <w:rPr>
                      <w:color w:val="auto"/>
                      <w:kern w:val="21"/>
                      <w:szCs w:val="21"/>
                    </w:rPr>
                  </w:pPr>
                  <w:r>
                    <w:rPr>
                      <w:color w:val="auto"/>
                      <w:kern w:val="21"/>
                      <w:szCs w:val="21"/>
                      <w:lang w:bidi="ar"/>
                    </w:rPr>
                    <w:t>72.9</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42F8620D">
                  <w:pPr>
                    <w:widowControl/>
                    <w:jc w:val="center"/>
                    <w:textAlignment w:val="center"/>
                    <w:rPr>
                      <w:color w:val="auto"/>
                      <w:kern w:val="21"/>
                      <w:szCs w:val="21"/>
                    </w:rPr>
                  </w:pPr>
                  <w:r>
                    <w:rPr>
                      <w:color w:val="auto"/>
                      <w:kern w:val="21"/>
                      <w:szCs w:val="21"/>
                      <w:lang w:bidi="ar"/>
                    </w:rPr>
                    <w:t>141.7</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4DD660CB">
                  <w:pPr>
                    <w:widowControl/>
                    <w:jc w:val="center"/>
                    <w:textAlignment w:val="center"/>
                    <w:rPr>
                      <w:color w:val="auto"/>
                      <w:kern w:val="21"/>
                      <w:szCs w:val="21"/>
                    </w:rPr>
                  </w:pPr>
                  <w:r>
                    <w:rPr>
                      <w:color w:val="auto"/>
                      <w:kern w:val="21"/>
                      <w:szCs w:val="21"/>
                      <w:lang w:bidi="ar"/>
                    </w:rPr>
                    <w:t>131</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344C1DF2">
                  <w:pPr>
                    <w:widowControl/>
                    <w:jc w:val="center"/>
                    <w:textAlignment w:val="center"/>
                    <w:rPr>
                      <w:color w:val="auto"/>
                      <w:kern w:val="21"/>
                      <w:szCs w:val="21"/>
                    </w:rPr>
                  </w:pPr>
                  <w:r>
                    <w:rPr>
                      <w:color w:val="auto"/>
                      <w:kern w:val="21"/>
                      <w:szCs w:val="21"/>
                      <w:lang w:bidi="ar"/>
                    </w:rPr>
                    <w:t>48.2</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7258A5A">
                  <w:pPr>
                    <w:widowControl/>
                    <w:jc w:val="center"/>
                    <w:textAlignment w:val="center"/>
                    <w:rPr>
                      <w:color w:val="auto"/>
                      <w:kern w:val="21"/>
                      <w:szCs w:val="21"/>
                    </w:rPr>
                  </w:pPr>
                  <w:r>
                    <w:rPr>
                      <w:color w:val="auto"/>
                      <w:kern w:val="21"/>
                      <w:szCs w:val="21"/>
                      <w:lang w:bidi="ar"/>
                    </w:rPr>
                    <w:t>37.7</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6399CCD">
                  <w:pPr>
                    <w:widowControl/>
                    <w:jc w:val="center"/>
                    <w:textAlignment w:val="center"/>
                    <w:rPr>
                      <w:color w:val="auto"/>
                      <w:kern w:val="21"/>
                      <w:szCs w:val="21"/>
                    </w:rPr>
                  </w:pPr>
                  <w:r>
                    <w:rPr>
                      <w:color w:val="auto"/>
                      <w:kern w:val="21"/>
                      <w:szCs w:val="21"/>
                      <w:lang w:bidi="ar"/>
                    </w:rPr>
                    <w:t>31.9</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B4132DA">
                  <w:pPr>
                    <w:widowControl/>
                    <w:jc w:val="center"/>
                    <w:textAlignment w:val="center"/>
                    <w:rPr>
                      <w:color w:val="auto"/>
                      <w:kern w:val="21"/>
                      <w:szCs w:val="21"/>
                    </w:rPr>
                  </w:pPr>
                  <w:r>
                    <w:rPr>
                      <w:color w:val="auto"/>
                      <w:kern w:val="21"/>
                      <w:szCs w:val="21"/>
                      <w:lang w:bidi="ar"/>
                    </w:rPr>
                    <w:t>32.6</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F488885">
                  <w:pPr>
                    <w:widowControl/>
                    <w:jc w:val="center"/>
                    <w:textAlignment w:val="center"/>
                    <w:rPr>
                      <w:color w:val="auto"/>
                      <w:kern w:val="21"/>
                      <w:szCs w:val="21"/>
                    </w:rPr>
                  </w:pPr>
                  <w:r>
                    <w:rPr>
                      <w:color w:val="auto"/>
                      <w:kern w:val="21"/>
                      <w:szCs w:val="21"/>
                      <w:lang w:bidi="ar"/>
                    </w:rPr>
                    <w:t>41.3</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7CAA4069">
                  <w:pPr>
                    <w:widowControl/>
                    <w:jc w:val="center"/>
                    <w:textAlignment w:val="center"/>
                    <w:rPr>
                      <w:color w:val="auto"/>
                      <w:kern w:val="21"/>
                      <w:szCs w:val="21"/>
                    </w:rPr>
                  </w:pPr>
                  <w:r>
                    <w:rPr>
                      <w:color w:val="auto"/>
                      <w:kern w:val="21"/>
                      <w:szCs w:val="21"/>
                      <w:lang w:bidi="ar"/>
                    </w:rPr>
                    <w:t>昼间</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A760424">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C89A6A2">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17CA4841">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4642B051">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772F0F1">
                  <w:pPr>
                    <w:widowControl/>
                    <w:jc w:val="center"/>
                    <w:textAlignment w:val="center"/>
                    <w:rPr>
                      <w:color w:val="auto"/>
                      <w:kern w:val="21"/>
                      <w:szCs w:val="21"/>
                    </w:rPr>
                  </w:pPr>
                  <w:r>
                    <w:rPr>
                      <w:color w:val="auto"/>
                      <w:kern w:val="21"/>
                      <w:szCs w:val="21"/>
                      <w:lang w:bidi="ar"/>
                    </w:rPr>
                    <w:t>17.7</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F91F509">
                  <w:pPr>
                    <w:widowControl/>
                    <w:jc w:val="center"/>
                    <w:textAlignment w:val="center"/>
                    <w:rPr>
                      <w:color w:val="auto"/>
                      <w:kern w:val="21"/>
                      <w:szCs w:val="21"/>
                    </w:rPr>
                  </w:pPr>
                  <w:r>
                    <w:rPr>
                      <w:color w:val="auto"/>
                      <w:kern w:val="21"/>
                      <w:szCs w:val="21"/>
                      <w:lang w:bidi="ar"/>
                    </w:rPr>
                    <w:t>11.9</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7D724FE7">
                  <w:pPr>
                    <w:widowControl/>
                    <w:jc w:val="center"/>
                    <w:textAlignment w:val="center"/>
                    <w:rPr>
                      <w:color w:val="auto"/>
                      <w:kern w:val="21"/>
                      <w:szCs w:val="21"/>
                    </w:rPr>
                  </w:pPr>
                  <w:r>
                    <w:rPr>
                      <w:color w:val="auto"/>
                      <w:kern w:val="21"/>
                      <w:szCs w:val="21"/>
                      <w:lang w:bidi="ar"/>
                    </w:rPr>
                    <w:t>12.6</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57057DE">
                  <w:pPr>
                    <w:widowControl/>
                    <w:jc w:val="center"/>
                    <w:textAlignment w:val="center"/>
                    <w:rPr>
                      <w:color w:val="auto"/>
                      <w:kern w:val="21"/>
                      <w:szCs w:val="21"/>
                    </w:rPr>
                  </w:pPr>
                  <w:r>
                    <w:rPr>
                      <w:color w:val="auto"/>
                      <w:kern w:val="21"/>
                      <w:szCs w:val="21"/>
                      <w:lang w:bidi="ar"/>
                    </w:rPr>
                    <w:t>21.3</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1E7985E">
                  <w:pPr>
                    <w:widowControl/>
                    <w:jc w:val="center"/>
                    <w:textAlignment w:val="center"/>
                    <w:rPr>
                      <w:color w:val="auto"/>
                      <w:kern w:val="21"/>
                      <w:szCs w:val="21"/>
                    </w:rPr>
                  </w:pPr>
                  <w:r>
                    <w:rPr>
                      <w:color w:val="auto"/>
                      <w:kern w:val="21"/>
                      <w:szCs w:val="21"/>
                      <w:lang w:bidi="ar"/>
                    </w:rPr>
                    <w:t>1</w:t>
                  </w:r>
                </w:p>
              </w:tc>
            </w:tr>
            <w:tr w14:paraId="5F194E94">
              <w:tblPrEx>
                <w:tblCellMar>
                  <w:top w:w="0" w:type="dxa"/>
                  <w:left w:w="108" w:type="dxa"/>
                  <w:bottom w:w="0" w:type="dxa"/>
                  <w:right w:w="108" w:type="dxa"/>
                </w:tblCellMar>
              </w:tblPrEx>
              <w:trPr>
                <w:trHeight w:val="591" w:hRule="atLeast"/>
              </w:trPr>
              <w:tc>
                <w:tcPr>
                  <w:tcW w:w="0" w:type="auto"/>
                  <w:tcBorders>
                    <w:top w:val="nil"/>
                    <w:left w:val="single" w:color="000000" w:sz="8" w:space="0"/>
                    <w:bottom w:val="single" w:color="000000" w:sz="8" w:space="0"/>
                    <w:right w:val="single" w:color="000000" w:sz="8" w:space="0"/>
                  </w:tcBorders>
                  <w:shd w:val="clear" w:color="auto" w:fill="FFFFFF"/>
                  <w:vAlign w:val="center"/>
                </w:tcPr>
                <w:p w14:paraId="3866A559">
                  <w:pPr>
                    <w:widowControl/>
                    <w:jc w:val="center"/>
                    <w:textAlignment w:val="center"/>
                    <w:rPr>
                      <w:color w:val="auto"/>
                      <w:kern w:val="21"/>
                      <w:szCs w:val="21"/>
                    </w:rPr>
                  </w:pPr>
                  <w:r>
                    <w:rPr>
                      <w:color w:val="auto"/>
                      <w:kern w:val="21"/>
                      <w:szCs w:val="21"/>
                      <w:lang w:bidi="ar"/>
                    </w:rPr>
                    <w:t>6</w:t>
                  </w:r>
                </w:p>
              </w:tc>
              <w:tc>
                <w:tcPr>
                  <w:tcW w:w="0" w:type="auto"/>
                  <w:vMerge w:val="continue"/>
                  <w:tcBorders>
                    <w:top w:val="nil"/>
                    <w:left w:val="single" w:color="000000" w:sz="8" w:space="0"/>
                    <w:bottom w:val="single" w:color="000000" w:sz="8" w:space="0"/>
                    <w:right w:val="single" w:color="000000" w:sz="8" w:space="0"/>
                  </w:tcBorders>
                  <w:shd w:val="clear" w:color="auto" w:fill="FFFFFF"/>
                  <w:vAlign w:val="center"/>
                </w:tcPr>
                <w:p w14:paraId="54E2096B">
                  <w:pPr>
                    <w:widowControl/>
                    <w:jc w:val="center"/>
                    <w:rPr>
                      <w:color w:val="auto"/>
                      <w:kern w:val="21"/>
                      <w:szCs w:val="21"/>
                    </w:rPr>
                  </w:pP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7E902FA6">
                  <w:pPr>
                    <w:widowControl/>
                    <w:jc w:val="center"/>
                    <w:textAlignment w:val="center"/>
                    <w:rPr>
                      <w:color w:val="auto"/>
                      <w:kern w:val="21"/>
                      <w:szCs w:val="21"/>
                    </w:rPr>
                  </w:pPr>
                  <w:r>
                    <w:rPr>
                      <w:color w:val="auto"/>
                      <w:kern w:val="21"/>
                      <w:szCs w:val="21"/>
                      <w:lang w:bidi="ar"/>
                    </w:rPr>
                    <w:t>浇注搅拌机</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7C80F514">
                  <w:pPr>
                    <w:widowControl/>
                    <w:jc w:val="center"/>
                    <w:textAlignment w:val="center"/>
                    <w:rPr>
                      <w:color w:val="auto"/>
                      <w:kern w:val="21"/>
                      <w:szCs w:val="21"/>
                    </w:rPr>
                  </w:pPr>
                  <w:r>
                    <w:rPr>
                      <w:color w:val="auto"/>
                      <w:kern w:val="21"/>
                      <w:szCs w:val="21"/>
                      <w:lang w:bidi="ar"/>
                    </w:rPr>
                    <w:t>75</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7A46F12E">
                  <w:pPr>
                    <w:widowControl/>
                    <w:jc w:val="center"/>
                    <w:textAlignment w:val="center"/>
                    <w:rPr>
                      <w:color w:val="auto"/>
                      <w:kern w:val="21"/>
                      <w:szCs w:val="21"/>
                    </w:rPr>
                  </w:pPr>
                  <w:r>
                    <w:rPr>
                      <w:color w:val="auto"/>
                      <w:kern w:val="21"/>
                      <w:szCs w:val="21"/>
                      <w:lang w:bidi="ar"/>
                    </w:rPr>
                    <w:t>33.2</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E9F67BA">
                  <w:pPr>
                    <w:widowControl/>
                    <w:jc w:val="center"/>
                    <w:textAlignment w:val="center"/>
                    <w:rPr>
                      <w:color w:val="auto"/>
                      <w:kern w:val="21"/>
                      <w:szCs w:val="21"/>
                    </w:rPr>
                  </w:pPr>
                  <w:r>
                    <w:rPr>
                      <w:color w:val="auto"/>
                      <w:kern w:val="21"/>
                      <w:szCs w:val="21"/>
                      <w:lang w:bidi="ar"/>
                    </w:rPr>
                    <w:t>28.1</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145B0159">
                  <w:pPr>
                    <w:widowControl/>
                    <w:jc w:val="center"/>
                    <w:textAlignment w:val="center"/>
                    <w:rPr>
                      <w:color w:val="auto"/>
                      <w:kern w:val="21"/>
                      <w:szCs w:val="21"/>
                    </w:rPr>
                  </w:pPr>
                  <w:r>
                    <w:rPr>
                      <w:color w:val="auto"/>
                      <w:kern w:val="21"/>
                      <w:szCs w:val="21"/>
                      <w:lang w:bidi="ar"/>
                    </w:rPr>
                    <w:t>1.2</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24F5E58">
                  <w:pPr>
                    <w:widowControl/>
                    <w:jc w:val="center"/>
                    <w:textAlignment w:val="center"/>
                    <w:rPr>
                      <w:color w:val="auto"/>
                      <w:kern w:val="21"/>
                      <w:szCs w:val="21"/>
                    </w:rPr>
                  </w:pPr>
                  <w:r>
                    <w:rPr>
                      <w:color w:val="auto"/>
                      <w:kern w:val="21"/>
                      <w:szCs w:val="21"/>
                      <w:lang w:bidi="ar"/>
                    </w:rPr>
                    <w:t>70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39E3137C">
                  <w:pPr>
                    <w:widowControl/>
                    <w:jc w:val="center"/>
                    <w:textAlignment w:val="center"/>
                    <w:rPr>
                      <w:color w:val="auto"/>
                      <w:kern w:val="21"/>
                      <w:szCs w:val="21"/>
                    </w:rPr>
                  </w:pPr>
                  <w:r>
                    <w:rPr>
                      <w:color w:val="auto"/>
                      <w:kern w:val="21"/>
                      <w:szCs w:val="21"/>
                      <w:lang w:bidi="ar"/>
                    </w:rPr>
                    <w:t>132.4</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76F5AC2">
                  <w:pPr>
                    <w:widowControl/>
                    <w:jc w:val="center"/>
                    <w:textAlignment w:val="center"/>
                    <w:rPr>
                      <w:color w:val="auto"/>
                      <w:kern w:val="21"/>
                      <w:szCs w:val="21"/>
                    </w:rPr>
                  </w:pPr>
                  <w:r>
                    <w:rPr>
                      <w:color w:val="auto"/>
                      <w:kern w:val="21"/>
                      <w:szCs w:val="21"/>
                      <w:lang w:bidi="ar"/>
                    </w:rPr>
                    <w:t>133.9</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5F9A5BB">
                  <w:pPr>
                    <w:widowControl/>
                    <w:jc w:val="center"/>
                    <w:textAlignment w:val="center"/>
                    <w:rPr>
                      <w:color w:val="auto"/>
                      <w:kern w:val="21"/>
                      <w:szCs w:val="21"/>
                    </w:rPr>
                  </w:pPr>
                  <w:r>
                    <w:rPr>
                      <w:color w:val="auto"/>
                      <w:kern w:val="21"/>
                      <w:szCs w:val="21"/>
                      <w:lang w:bidi="ar"/>
                    </w:rPr>
                    <w:t>57.5</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3557EE4C">
                  <w:pPr>
                    <w:widowControl/>
                    <w:jc w:val="center"/>
                    <w:textAlignment w:val="center"/>
                    <w:rPr>
                      <w:color w:val="auto"/>
                      <w:kern w:val="21"/>
                      <w:szCs w:val="21"/>
                    </w:rPr>
                  </w:pPr>
                  <w:r>
                    <w:rPr>
                      <w:color w:val="auto"/>
                      <w:kern w:val="21"/>
                      <w:szCs w:val="21"/>
                      <w:lang w:bidi="ar"/>
                    </w:rPr>
                    <w:t xml:space="preserve">38.0 </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95D9AA7">
                  <w:pPr>
                    <w:widowControl/>
                    <w:jc w:val="center"/>
                    <w:textAlignment w:val="center"/>
                    <w:rPr>
                      <w:color w:val="auto"/>
                      <w:kern w:val="21"/>
                      <w:szCs w:val="21"/>
                    </w:rPr>
                  </w:pPr>
                  <w:r>
                    <w:rPr>
                      <w:color w:val="auto"/>
                      <w:kern w:val="21"/>
                      <w:szCs w:val="21"/>
                      <w:lang w:bidi="ar"/>
                    </w:rPr>
                    <w:t>32.5</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7029F41">
                  <w:pPr>
                    <w:widowControl/>
                    <w:jc w:val="center"/>
                    <w:textAlignment w:val="center"/>
                    <w:rPr>
                      <w:color w:val="auto"/>
                      <w:kern w:val="21"/>
                      <w:szCs w:val="21"/>
                    </w:rPr>
                  </w:pPr>
                  <w:r>
                    <w:rPr>
                      <w:color w:val="auto"/>
                      <w:kern w:val="21"/>
                      <w:szCs w:val="21"/>
                      <w:lang w:bidi="ar"/>
                    </w:rPr>
                    <w:t>32.4</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AA46F5B">
                  <w:pPr>
                    <w:widowControl/>
                    <w:jc w:val="center"/>
                    <w:textAlignment w:val="center"/>
                    <w:rPr>
                      <w:color w:val="auto"/>
                      <w:kern w:val="21"/>
                      <w:szCs w:val="21"/>
                    </w:rPr>
                  </w:pPr>
                  <w:r>
                    <w:rPr>
                      <w:color w:val="auto"/>
                      <w:kern w:val="21"/>
                      <w:szCs w:val="21"/>
                      <w:lang w:bidi="ar"/>
                    </w:rPr>
                    <w:t>39.8</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4150E1BB">
                  <w:pPr>
                    <w:widowControl/>
                    <w:jc w:val="center"/>
                    <w:textAlignment w:val="center"/>
                    <w:rPr>
                      <w:color w:val="auto"/>
                      <w:kern w:val="21"/>
                      <w:szCs w:val="21"/>
                    </w:rPr>
                  </w:pPr>
                  <w:r>
                    <w:rPr>
                      <w:color w:val="auto"/>
                      <w:kern w:val="21"/>
                      <w:szCs w:val="21"/>
                      <w:lang w:bidi="ar"/>
                    </w:rPr>
                    <w:t>昼间</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6F09D72">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7D5086F">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72B18B59">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03BCD4B">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313F88BE">
                  <w:pPr>
                    <w:widowControl/>
                    <w:jc w:val="center"/>
                    <w:textAlignment w:val="center"/>
                    <w:rPr>
                      <w:color w:val="auto"/>
                      <w:kern w:val="21"/>
                      <w:szCs w:val="21"/>
                    </w:rPr>
                  </w:pPr>
                  <w:r>
                    <w:rPr>
                      <w:color w:val="auto"/>
                      <w:kern w:val="21"/>
                      <w:szCs w:val="21"/>
                      <w:lang w:bidi="ar"/>
                    </w:rPr>
                    <w:t xml:space="preserve">18.0 </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D6DBA56">
                  <w:pPr>
                    <w:widowControl/>
                    <w:jc w:val="center"/>
                    <w:textAlignment w:val="center"/>
                    <w:rPr>
                      <w:color w:val="auto"/>
                      <w:kern w:val="21"/>
                      <w:szCs w:val="21"/>
                    </w:rPr>
                  </w:pPr>
                  <w:r>
                    <w:rPr>
                      <w:color w:val="auto"/>
                      <w:kern w:val="21"/>
                      <w:szCs w:val="21"/>
                      <w:lang w:bidi="ar"/>
                    </w:rPr>
                    <w:t>12.5</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59262DD">
                  <w:pPr>
                    <w:widowControl/>
                    <w:jc w:val="center"/>
                    <w:textAlignment w:val="center"/>
                    <w:rPr>
                      <w:color w:val="auto"/>
                      <w:kern w:val="21"/>
                      <w:szCs w:val="21"/>
                    </w:rPr>
                  </w:pPr>
                  <w:r>
                    <w:rPr>
                      <w:color w:val="auto"/>
                      <w:kern w:val="21"/>
                      <w:szCs w:val="21"/>
                      <w:lang w:bidi="ar"/>
                    </w:rPr>
                    <w:t>12.4</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7BE7883B">
                  <w:pPr>
                    <w:widowControl/>
                    <w:jc w:val="center"/>
                    <w:textAlignment w:val="center"/>
                    <w:rPr>
                      <w:color w:val="auto"/>
                      <w:kern w:val="21"/>
                      <w:szCs w:val="21"/>
                    </w:rPr>
                  </w:pPr>
                  <w:r>
                    <w:rPr>
                      <w:color w:val="auto"/>
                      <w:kern w:val="21"/>
                      <w:szCs w:val="21"/>
                      <w:lang w:bidi="ar"/>
                    </w:rPr>
                    <w:t>19.8</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7C62385D">
                  <w:pPr>
                    <w:widowControl/>
                    <w:jc w:val="center"/>
                    <w:textAlignment w:val="center"/>
                    <w:rPr>
                      <w:color w:val="auto"/>
                      <w:kern w:val="21"/>
                      <w:szCs w:val="21"/>
                    </w:rPr>
                  </w:pPr>
                  <w:r>
                    <w:rPr>
                      <w:color w:val="auto"/>
                      <w:kern w:val="21"/>
                      <w:szCs w:val="21"/>
                      <w:lang w:bidi="ar"/>
                    </w:rPr>
                    <w:t>1</w:t>
                  </w:r>
                </w:p>
              </w:tc>
            </w:tr>
            <w:tr w14:paraId="7DD66ABF">
              <w:tblPrEx>
                <w:tblCellMar>
                  <w:top w:w="0" w:type="dxa"/>
                  <w:left w:w="108" w:type="dxa"/>
                  <w:bottom w:w="0" w:type="dxa"/>
                  <w:right w:w="108" w:type="dxa"/>
                </w:tblCellMar>
              </w:tblPrEx>
              <w:trPr>
                <w:trHeight w:val="303" w:hRule="atLeast"/>
              </w:trPr>
              <w:tc>
                <w:tcPr>
                  <w:tcW w:w="0" w:type="auto"/>
                  <w:tcBorders>
                    <w:top w:val="nil"/>
                    <w:left w:val="single" w:color="000000" w:sz="8" w:space="0"/>
                    <w:bottom w:val="single" w:color="000000" w:sz="8" w:space="0"/>
                    <w:right w:val="single" w:color="000000" w:sz="8" w:space="0"/>
                  </w:tcBorders>
                  <w:shd w:val="clear" w:color="auto" w:fill="FFFFFF"/>
                  <w:vAlign w:val="center"/>
                </w:tcPr>
                <w:p w14:paraId="68E87B46">
                  <w:pPr>
                    <w:widowControl/>
                    <w:jc w:val="center"/>
                    <w:textAlignment w:val="center"/>
                    <w:rPr>
                      <w:color w:val="auto"/>
                      <w:kern w:val="21"/>
                      <w:szCs w:val="21"/>
                    </w:rPr>
                  </w:pPr>
                  <w:r>
                    <w:rPr>
                      <w:color w:val="auto"/>
                      <w:kern w:val="21"/>
                      <w:szCs w:val="21"/>
                      <w:lang w:bidi="ar"/>
                    </w:rPr>
                    <w:t>7</w:t>
                  </w:r>
                </w:p>
              </w:tc>
              <w:tc>
                <w:tcPr>
                  <w:tcW w:w="0" w:type="auto"/>
                  <w:vMerge w:val="continue"/>
                  <w:tcBorders>
                    <w:top w:val="nil"/>
                    <w:left w:val="single" w:color="000000" w:sz="8" w:space="0"/>
                    <w:bottom w:val="single" w:color="000000" w:sz="8" w:space="0"/>
                    <w:right w:val="single" w:color="000000" w:sz="8" w:space="0"/>
                  </w:tcBorders>
                  <w:shd w:val="clear" w:color="auto" w:fill="FFFFFF"/>
                  <w:vAlign w:val="center"/>
                </w:tcPr>
                <w:p w14:paraId="39CE21C5">
                  <w:pPr>
                    <w:widowControl/>
                    <w:jc w:val="center"/>
                    <w:rPr>
                      <w:color w:val="auto"/>
                      <w:kern w:val="21"/>
                      <w:szCs w:val="21"/>
                    </w:rPr>
                  </w:pP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33F24747">
                  <w:pPr>
                    <w:widowControl/>
                    <w:jc w:val="center"/>
                    <w:textAlignment w:val="center"/>
                    <w:rPr>
                      <w:color w:val="auto"/>
                      <w:kern w:val="21"/>
                      <w:szCs w:val="21"/>
                    </w:rPr>
                  </w:pPr>
                  <w:r>
                    <w:rPr>
                      <w:color w:val="auto"/>
                      <w:kern w:val="21"/>
                      <w:szCs w:val="21"/>
                      <w:lang w:bidi="ar"/>
                    </w:rPr>
                    <w:t>斗提机</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70A537EC">
                  <w:pPr>
                    <w:widowControl/>
                    <w:jc w:val="center"/>
                    <w:textAlignment w:val="center"/>
                    <w:rPr>
                      <w:color w:val="auto"/>
                      <w:kern w:val="21"/>
                      <w:szCs w:val="21"/>
                    </w:rPr>
                  </w:pPr>
                  <w:r>
                    <w:rPr>
                      <w:color w:val="auto"/>
                      <w:kern w:val="21"/>
                      <w:szCs w:val="21"/>
                      <w:lang w:bidi="ar"/>
                    </w:rPr>
                    <w:t>75</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D5F3D5E">
                  <w:pPr>
                    <w:widowControl/>
                    <w:jc w:val="center"/>
                    <w:textAlignment w:val="center"/>
                    <w:rPr>
                      <w:color w:val="auto"/>
                      <w:kern w:val="21"/>
                      <w:szCs w:val="21"/>
                    </w:rPr>
                  </w:pPr>
                  <w:r>
                    <w:rPr>
                      <w:color w:val="auto"/>
                      <w:kern w:val="21"/>
                      <w:szCs w:val="21"/>
                      <w:lang w:bidi="ar"/>
                    </w:rPr>
                    <w:t>-25.7</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19C1F087">
                  <w:pPr>
                    <w:widowControl/>
                    <w:jc w:val="center"/>
                    <w:textAlignment w:val="center"/>
                    <w:rPr>
                      <w:color w:val="auto"/>
                      <w:kern w:val="21"/>
                      <w:szCs w:val="21"/>
                    </w:rPr>
                  </w:pPr>
                  <w:r>
                    <w:rPr>
                      <w:color w:val="auto"/>
                      <w:kern w:val="21"/>
                      <w:szCs w:val="21"/>
                      <w:lang w:bidi="ar"/>
                    </w:rPr>
                    <w:t>43.7</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4035396B">
                  <w:pPr>
                    <w:widowControl/>
                    <w:jc w:val="center"/>
                    <w:textAlignment w:val="center"/>
                    <w:rPr>
                      <w:color w:val="auto"/>
                      <w:kern w:val="21"/>
                      <w:szCs w:val="21"/>
                    </w:rPr>
                  </w:pPr>
                  <w:r>
                    <w:rPr>
                      <w:color w:val="auto"/>
                      <w:kern w:val="21"/>
                      <w:szCs w:val="21"/>
                      <w:lang w:bidi="ar"/>
                    </w:rPr>
                    <w:t>1.2</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4E8978F">
                  <w:pPr>
                    <w:widowControl/>
                    <w:jc w:val="center"/>
                    <w:textAlignment w:val="center"/>
                    <w:rPr>
                      <w:color w:val="auto"/>
                      <w:kern w:val="21"/>
                      <w:szCs w:val="21"/>
                    </w:rPr>
                  </w:pPr>
                  <w:r>
                    <w:rPr>
                      <w:color w:val="auto"/>
                      <w:kern w:val="21"/>
                      <w:szCs w:val="21"/>
                      <w:lang w:bidi="ar"/>
                    </w:rPr>
                    <w:t>130.9</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7A0B330B">
                  <w:pPr>
                    <w:widowControl/>
                    <w:jc w:val="center"/>
                    <w:textAlignment w:val="center"/>
                    <w:rPr>
                      <w:color w:val="auto"/>
                      <w:kern w:val="21"/>
                      <w:szCs w:val="21"/>
                    </w:rPr>
                  </w:pPr>
                  <w:r>
                    <w:rPr>
                      <w:color w:val="auto"/>
                      <w:kern w:val="21"/>
                      <w:szCs w:val="21"/>
                      <w:lang w:bidi="ar"/>
                    </w:rPr>
                    <w:t>113</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1AB234FE">
                  <w:pPr>
                    <w:widowControl/>
                    <w:jc w:val="center"/>
                    <w:textAlignment w:val="center"/>
                    <w:rPr>
                      <w:color w:val="auto"/>
                      <w:kern w:val="21"/>
                      <w:szCs w:val="21"/>
                    </w:rPr>
                  </w:pPr>
                  <w:r>
                    <w:rPr>
                      <w:color w:val="auto"/>
                      <w:kern w:val="21"/>
                      <w:szCs w:val="21"/>
                      <w:lang w:bidi="ar"/>
                    </w:rPr>
                    <w:t>73</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41A7C1D3">
                  <w:pPr>
                    <w:widowControl/>
                    <w:jc w:val="center"/>
                    <w:textAlignment w:val="center"/>
                    <w:rPr>
                      <w:color w:val="auto"/>
                      <w:kern w:val="21"/>
                      <w:szCs w:val="21"/>
                    </w:rPr>
                  </w:pPr>
                  <w:r>
                    <w:rPr>
                      <w:color w:val="auto"/>
                      <w:kern w:val="21"/>
                      <w:szCs w:val="21"/>
                      <w:lang w:bidi="ar"/>
                    </w:rPr>
                    <w:t>76.9</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BC3956A">
                  <w:pPr>
                    <w:widowControl/>
                    <w:jc w:val="center"/>
                    <w:textAlignment w:val="center"/>
                    <w:rPr>
                      <w:color w:val="auto"/>
                      <w:kern w:val="21"/>
                      <w:szCs w:val="21"/>
                    </w:rPr>
                  </w:pPr>
                  <w:r>
                    <w:rPr>
                      <w:color w:val="auto"/>
                      <w:kern w:val="21"/>
                      <w:szCs w:val="21"/>
                      <w:lang w:bidi="ar"/>
                    </w:rPr>
                    <w:t>32.6</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7947F492">
                  <w:pPr>
                    <w:widowControl/>
                    <w:jc w:val="center"/>
                    <w:textAlignment w:val="center"/>
                    <w:rPr>
                      <w:color w:val="auto"/>
                      <w:kern w:val="21"/>
                      <w:szCs w:val="21"/>
                    </w:rPr>
                  </w:pPr>
                  <w:r>
                    <w:rPr>
                      <w:color w:val="auto"/>
                      <w:kern w:val="21"/>
                      <w:szCs w:val="21"/>
                      <w:lang w:bidi="ar"/>
                    </w:rPr>
                    <w:t>33.9</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87E88E9">
                  <w:pPr>
                    <w:widowControl/>
                    <w:jc w:val="center"/>
                    <w:textAlignment w:val="center"/>
                    <w:rPr>
                      <w:color w:val="auto"/>
                      <w:kern w:val="21"/>
                      <w:szCs w:val="21"/>
                    </w:rPr>
                  </w:pPr>
                  <w:r>
                    <w:rPr>
                      <w:color w:val="auto"/>
                      <w:kern w:val="21"/>
                      <w:szCs w:val="21"/>
                      <w:lang w:bidi="ar"/>
                    </w:rPr>
                    <w:t>37.7</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95746DD">
                  <w:pPr>
                    <w:widowControl/>
                    <w:jc w:val="center"/>
                    <w:textAlignment w:val="center"/>
                    <w:rPr>
                      <w:color w:val="auto"/>
                      <w:kern w:val="21"/>
                      <w:szCs w:val="21"/>
                    </w:rPr>
                  </w:pPr>
                  <w:r>
                    <w:rPr>
                      <w:color w:val="auto"/>
                      <w:kern w:val="21"/>
                      <w:szCs w:val="21"/>
                      <w:lang w:bidi="ar"/>
                    </w:rPr>
                    <w:t>37.2</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74463531">
                  <w:pPr>
                    <w:widowControl/>
                    <w:jc w:val="center"/>
                    <w:textAlignment w:val="center"/>
                    <w:rPr>
                      <w:color w:val="auto"/>
                      <w:kern w:val="21"/>
                      <w:szCs w:val="21"/>
                    </w:rPr>
                  </w:pPr>
                  <w:r>
                    <w:rPr>
                      <w:color w:val="auto"/>
                      <w:kern w:val="21"/>
                      <w:szCs w:val="21"/>
                      <w:lang w:bidi="ar"/>
                    </w:rPr>
                    <w:t>昼间</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44739FBF">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2C44179">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E1085B0">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3AE59CC3">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15BBA6EE">
                  <w:pPr>
                    <w:widowControl/>
                    <w:jc w:val="center"/>
                    <w:textAlignment w:val="center"/>
                    <w:rPr>
                      <w:color w:val="auto"/>
                      <w:kern w:val="21"/>
                      <w:szCs w:val="21"/>
                    </w:rPr>
                  </w:pPr>
                  <w:r>
                    <w:rPr>
                      <w:color w:val="auto"/>
                      <w:kern w:val="21"/>
                      <w:szCs w:val="21"/>
                      <w:lang w:bidi="ar"/>
                    </w:rPr>
                    <w:t>12.6</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AFFB3E1">
                  <w:pPr>
                    <w:widowControl/>
                    <w:jc w:val="center"/>
                    <w:textAlignment w:val="center"/>
                    <w:rPr>
                      <w:color w:val="auto"/>
                      <w:kern w:val="21"/>
                      <w:szCs w:val="21"/>
                    </w:rPr>
                  </w:pPr>
                  <w:r>
                    <w:rPr>
                      <w:color w:val="auto"/>
                      <w:kern w:val="21"/>
                      <w:szCs w:val="21"/>
                      <w:lang w:bidi="ar"/>
                    </w:rPr>
                    <w:t>13.9</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1EA49A27">
                  <w:pPr>
                    <w:widowControl/>
                    <w:jc w:val="center"/>
                    <w:textAlignment w:val="center"/>
                    <w:rPr>
                      <w:color w:val="auto"/>
                      <w:kern w:val="21"/>
                      <w:szCs w:val="21"/>
                    </w:rPr>
                  </w:pPr>
                  <w:r>
                    <w:rPr>
                      <w:color w:val="auto"/>
                      <w:kern w:val="21"/>
                      <w:szCs w:val="21"/>
                      <w:lang w:bidi="ar"/>
                    </w:rPr>
                    <w:t>17.7</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BBA94B9">
                  <w:pPr>
                    <w:widowControl/>
                    <w:jc w:val="center"/>
                    <w:textAlignment w:val="center"/>
                    <w:rPr>
                      <w:color w:val="auto"/>
                      <w:kern w:val="21"/>
                      <w:szCs w:val="21"/>
                    </w:rPr>
                  </w:pPr>
                  <w:r>
                    <w:rPr>
                      <w:color w:val="auto"/>
                      <w:kern w:val="21"/>
                      <w:szCs w:val="21"/>
                      <w:lang w:bidi="ar"/>
                    </w:rPr>
                    <w:t>17.2</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FE84CC8">
                  <w:pPr>
                    <w:widowControl/>
                    <w:jc w:val="center"/>
                    <w:textAlignment w:val="center"/>
                    <w:rPr>
                      <w:color w:val="auto"/>
                      <w:kern w:val="21"/>
                      <w:szCs w:val="21"/>
                    </w:rPr>
                  </w:pPr>
                  <w:r>
                    <w:rPr>
                      <w:color w:val="auto"/>
                      <w:kern w:val="21"/>
                      <w:szCs w:val="21"/>
                      <w:lang w:bidi="ar"/>
                    </w:rPr>
                    <w:t>1</w:t>
                  </w:r>
                </w:p>
              </w:tc>
            </w:tr>
            <w:tr w14:paraId="0298E9D5">
              <w:tblPrEx>
                <w:tblCellMar>
                  <w:top w:w="0" w:type="dxa"/>
                  <w:left w:w="108" w:type="dxa"/>
                  <w:bottom w:w="0" w:type="dxa"/>
                  <w:right w:w="108" w:type="dxa"/>
                </w:tblCellMar>
              </w:tblPrEx>
              <w:trPr>
                <w:trHeight w:val="591" w:hRule="atLeast"/>
              </w:trPr>
              <w:tc>
                <w:tcPr>
                  <w:tcW w:w="0" w:type="auto"/>
                  <w:tcBorders>
                    <w:top w:val="nil"/>
                    <w:left w:val="single" w:color="000000" w:sz="8" w:space="0"/>
                    <w:bottom w:val="single" w:color="000000" w:sz="8" w:space="0"/>
                    <w:right w:val="single" w:color="000000" w:sz="8" w:space="0"/>
                  </w:tcBorders>
                  <w:shd w:val="clear" w:color="auto" w:fill="FFFFFF"/>
                  <w:vAlign w:val="center"/>
                </w:tcPr>
                <w:p w14:paraId="25CA1647">
                  <w:pPr>
                    <w:widowControl/>
                    <w:jc w:val="center"/>
                    <w:textAlignment w:val="center"/>
                    <w:rPr>
                      <w:color w:val="auto"/>
                      <w:kern w:val="21"/>
                      <w:szCs w:val="21"/>
                    </w:rPr>
                  </w:pPr>
                  <w:r>
                    <w:rPr>
                      <w:color w:val="auto"/>
                      <w:kern w:val="21"/>
                      <w:szCs w:val="21"/>
                      <w:lang w:bidi="ar"/>
                    </w:rPr>
                    <w:t>8</w:t>
                  </w:r>
                </w:p>
              </w:tc>
              <w:tc>
                <w:tcPr>
                  <w:tcW w:w="0" w:type="auto"/>
                  <w:vMerge w:val="continue"/>
                  <w:tcBorders>
                    <w:top w:val="nil"/>
                    <w:left w:val="single" w:color="000000" w:sz="8" w:space="0"/>
                    <w:bottom w:val="single" w:color="000000" w:sz="8" w:space="0"/>
                    <w:right w:val="single" w:color="000000" w:sz="8" w:space="0"/>
                  </w:tcBorders>
                  <w:shd w:val="clear" w:color="auto" w:fill="FFFFFF"/>
                  <w:vAlign w:val="center"/>
                </w:tcPr>
                <w:p w14:paraId="54C5630E">
                  <w:pPr>
                    <w:widowControl/>
                    <w:jc w:val="center"/>
                    <w:rPr>
                      <w:color w:val="auto"/>
                      <w:kern w:val="21"/>
                      <w:szCs w:val="21"/>
                    </w:rPr>
                  </w:pP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3375F1F2">
                  <w:pPr>
                    <w:widowControl/>
                    <w:jc w:val="center"/>
                    <w:textAlignment w:val="center"/>
                    <w:rPr>
                      <w:color w:val="auto"/>
                      <w:kern w:val="21"/>
                      <w:szCs w:val="21"/>
                    </w:rPr>
                  </w:pPr>
                  <w:r>
                    <w:rPr>
                      <w:color w:val="auto"/>
                      <w:kern w:val="21"/>
                      <w:szCs w:val="21"/>
                      <w:lang w:bidi="ar"/>
                    </w:rPr>
                    <w:t>球磨机（干式）</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4ECF8CEE">
                  <w:pPr>
                    <w:widowControl/>
                    <w:jc w:val="center"/>
                    <w:textAlignment w:val="center"/>
                    <w:rPr>
                      <w:color w:val="auto"/>
                      <w:kern w:val="21"/>
                      <w:szCs w:val="21"/>
                    </w:rPr>
                  </w:pPr>
                  <w:r>
                    <w:rPr>
                      <w:color w:val="auto"/>
                      <w:kern w:val="21"/>
                      <w:szCs w:val="21"/>
                      <w:lang w:bidi="ar"/>
                    </w:rPr>
                    <w:t>80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B5E7343">
                  <w:pPr>
                    <w:widowControl/>
                    <w:jc w:val="center"/>
                    <w:textAlignment w:val="center"/>
                    <w:rPr>
                      <w:color w:val="auto"/>
                      <w:kern w:val="21"/>
                      <w:szCs w:val="21"/>
                    </w:rPr>
                  </w:pPr>
                  <w:r>
                    <w:rPr>
                      <w:color w:val="auto"/>
                      <w:kern w:val="21"/>
                      <w:szCs w:val="21"/>
                      <w:lang w:bidi="ar"/>
                    </w:rPr>
                    <w:t>-6.2</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41787AED">
                  <w:pPr>
                    <w:widowControl/>
                    <w:jc w:val="center"/>
                    <w:textAlignment w:val="center"/>
                    <w:rPr>
                      <w:color w:val="auto"/>
                      <w:kern w:val="21"/>
                      <w:szCs w:val="21"/>
                    </w:rPr>
                  </w:pPr>
                  <w:r>
                    <w:rPr>
                      <w:color w:val="auto"/>
                      <w:kern w:val="21"/>
                      <w:szCs w:val="21"/>
                      <w:lang w:bidi="ar"/>
                    </w:rPr>
                    <w:t>57.2</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4610A8AB">
                  <w:pPr>
                    <w:widowControl/>
                    <w:jc w:val="center"/>
                    <w:textAlignment w:val="center"/>
                    <w:rPr>
                      <w:color w:val="auto"/>
                      <w:kern w:val="21"/>
                      <w:szCs w:val="21"/>
                    </w:rPr>
                  </w:pPr>
                  <w:r>
                    <w:rPr>
                      <w:color w:val="auto"/>
                      <w:kern w:val="21"/>
                      <w:szCs w:val="21"/>
                      <w:lang w:bidi="ar"/>
                    </w:rPr>
                    <w:t>1.2</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8238868">
                  <w:pPr>
                    <w:widowControl/>
                    <w:jc w:val="center"/>
                    <w:textAlignment w:val="center"/>
                    <w:rPr>
                      <w:color w:val="auto"/>
                      <w:kern w:val="21"/>
                      <w:szCs w:val="21"/>
                    </w:rPr>
                  </w:pPr>
                  <w:r>
                    <w:rPr>
                      <w:color w:val="auto"/>
                      <w:kern w:val="21"/>
                      <w:szCs w:val="21"/>
                      <w:lang w:bidi="ar"/>
                    </w:rPr>
                    <w:t>115.5</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634C0EA">
                  <w:pPr>
                    <w:widowControl/>
                    <w:jc w:val="center"/>
                    <w:textAlignment w:val="center"/>
                    <w:rPr>
                      <w:color w:val="auto"/>
                      <w:kern w:val="21"/>
                      <w:szCs w:val="21"/>
                    </w:rPr>
                  </w:pPr>
                  <w:r>
                    <w:rPr>
                      <w:color w:val="auto"/>
                      <w:kern w:val="21"/>
                      <w:szCs w:val="21"/>
                      <w:lang w:bidi="ar"/>
                    </w:rPr>
                    <w:t>135</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40D9C79F">
                  <w:pPr>
                    <w:widowControl/>
                    <w:jc w:val="center"/>
                    <w:textAlignment w:val="center"/>
                    <w:rPr>
                      <w:color w:val="auto"/>
                      <w:kern w:val="21"/>
                      <w:szCs w:val="21"/>
                    </w:rPr>
                  </w:pPr>
                  <w:r>
                    <w:rPr>
                      <w:color w:val="auto"/>
                      <w:kern w:val="21"/>
                      <w:szCs w:val="21"/>
                      <w:lang w:bidi="ar"/>
                    </w:rPr>
                    <w:t>88.4</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7DCBE6D7">
                  <w:pPr>
                    <w:widowControl/>
                    <w:jc w:val="center"/>
                    <w:textAlignment w:val="center"/>
                    <w:rPr>
                      <w:color w:val="auto"/>
                      <w:kern w:val="21"/>
                      <w:szCs w:val="21"/>
                    </w:rPr>
                  </w:pPr>
                  <w:r>
                    <w:rPr>
                      <w:color w:val="auto"/>
                      <w:kern w:val="21"/>
                      <w:szCs w:val="21"/>
                      <w:lang w:bidi="ar"/>
                    </w:rPr>
                    <w:t>54.9</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1263BC45">
                  <w:pPr>
                    <w:widowControl/>
                    <w:jc w:val="center"/>
                    <w:textAlignment w:val="center"/>
                    <w:rPr>
                      <w:color w:val="auto"/>
                      <w:kern w:val="21"/>
                      <w:szCs w:val="21"/>
                    </w:rPr>
                  </w:pPr>
                  <w:r>
                    <w:rPr>
                      <w:color w:val="auto"/>
                      <w:kern w:val="21"/>
                      <w:szCs w:val="21"/>
                      <w:lang w:bidi="ar"/>
                    </w:rPr>
                    <w:t>38.7</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173A67C7">
                  <w:pPr>
                    <w:widowControl/>
                    <w:jc w:val="center"/>
                    <w:textAlignment w:val="center"/>
                    <w:rPr>
                      <w:color w:val="auto"/>
                      <w:kern w:val="21"/>
                      <w:szCs w:val="21"/>
                    </w:rPr>
                  </w:pPr>
                  <w:r>
                    <w:rPr>
                      <w:color w:val="auto"/>
                      <w:kern w:val="21"/>
                      <w:szCs w:val="21"/>
                      <w:lang w:bidi="ar"/>
                    </w:rPr>
                    <w:t>37.3</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36AC066D">
                  <w:pPr>
                    <w:widowControl/>
                    <w:jc w:val="center"/>
                    <w:textAlignment w:val="center"/>
                    <w:rPr>
                      <w:color w:val="auto"/>
                      <w:kern w:val="21"/>
                      <w:szCs w:val="21"/>
                    </w:rPr>
                  </w:pPr>
                  <w:r>
                    <w:rPr>
                      <w:color w:val="auto"/>
                      <w:kern w:val="21"/>
                      <w:szCs w:val="21"/>
                      <w:lang w:bidi="ar"/>
                    </w:rPr>
                    <w:t xml:space="preserve">41.0 </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07F41DE">
                  <w:pPr>
                    <w:widowControl/>
                    <w:jc w:val="center"/>
                    <w:textAlignment w:val="center"/>
                    <w:rPr>
                      <w:color w:val="auto"/>
                      <w:kern w:val="21"/>
                      <w:szCs w:val="21"/>
                    </w:rPr>
                  </w:pPr>
                  <w:r>
                    <w:rPr>
                      <w:color w:val="auto"/>
                      <w:kern w:val="21"/>
                      <w:szCs w:val="21"/>
                      <w:lang w:bidi="ar"/>
                    </w:rPr>
                    <w:t>45.2</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D0E92F4">
                  <w:pPr>
                    <w:widowControl/>
                    <w:jc w:val="center"/>
                    <w:textAlignment w:val="center"/>
                    <w:rPr>
                      <w:color w:val="auto"/>
                      <w:kern w:val="21"/>
                      <w:szCs w:val="21"/>
                    </w:rPr>
                  </w:pPr>
                  <w:r>
                    <w:rPr>
                      <w:color w:val="auto"/>
                      <w:kern w:val="21"/>
                      <w:szCs w:val="21"/>
                      <w:lang w:bidi="ar"/>
                    </w:rPr>
                    <w:t>昼间</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328620D">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F464FAB">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76B4B7F">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A3C0660">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4BCD7667">
                  <w:pPr>
                    <w:widowControl/>
                    <w:jc w:val="center"/>
                    <w:textAlignment w:val="center"/>
                    <w:rPr>
                      <w:color w:val="auto"/>
                      <w:kern w:val="21"/>
                      <w:szCs w:val="21"/>
                    </w:rPr>
                  </w:pPr>
                  <w:r>
                    <w:rPr>
                      <w:color w:val="auto"/>
                      <w:kern w:val="21"/>
                      <w:szCs w:val="21"/>
                      <w:lang w:bidi="ar"/>
                    </w:rPr>
                    <w:t>18.7</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4442BFB">
                  <w:pPr>
                    <w:widowControl/>
                    <w:jc w:val="center"/>
                    <w:textAlignment w:val="center"/>
                    <w:rPr>
                      <w:color w:val="auto"/>
                      <w:kern w:val="21"/>
                      <w:szCs w:val="21"/>
                    </w:rPr>
                  </w:pPr>
                  <w:r>
                    <w:rPr>
                      <w:color w:val="auto"/>
                      <w:kern w:val="21"/>
                      <w:szCs w:val="21"/>
                      <w:lang w:bidi="ar"/>
                    </w:rPr>
                    <w:t>17.3</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657F880">
                  <w:pPr>
                    <w:widowControl/>
                    <w:jc w:val="center"/>
                    <w:textAlignment w:val="center"/>
                    <w:rPr>
                      <w:color w:val="auto"/>
                      <w:kern w:val="21"/>
                      <w:szCs w:val="21"/>
                    </w:rPr>
                  </w:pPr>
                  <w:r>
                    <w:rPr>
                      <w:color w:val="auto"/>
                      <w:kern w:val="21"/>
                      <w:szCs w:val="21"/>
                      <w:lang w:bidi="ar"/>
                    </w:rPr>
                    <w:t xml:space="preserve">21.0 </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7E528CE">
                  <w:pPr>
                    <w:widowControl/>
                    <w:jc w:val="center"/>
                    <w:textAlignment w:val="center"/>
                    <w:rPr>
                      <w:color w:val="auto"/>
                      <w:kern w:val="21"/>
                      <w:szCs w:val="21"/>
                    </w:rPr>
                  </w:pPr>
                  <w:r>
                    <w:rPr>
                      <w:color w:val="auto"/>
                      <w:kern w:val="21"/>
                      <w:szCs w:val="21"/>
                      <w:lang w:bidi="ar"/>
                    </w:rPr>
                    <w:t>25.2</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D5B4CAB">
                  <w:pPr>
                    <w:widowControl/>
                    <w:jc w:val="center"/>
                    <w:textAlignment w:val="center"/>
                    <w:rPr>
                      <w:color w:val="auto"/>
                      <w:kern w:val="21"/>
                      <w:szCs w:val="21"/>
                    </w:rPr>
                  </w:pPr>
                  <w:r>
                    <w:rPr>
                      <w:color w:val="auto"/>
                      <w:kern w:val="21"/>
                      <w:szCs w:val="21"/>
                      <w:lang w:bidi="ar"/>
                    </w:rPr>
                    <w:t>1</w:t>
                  </w:r>
                </w:p>
              </w:tc>
            </w:tr>
            <w:tr w14:paraId="6471D631">
              <w:tblPrEx>
                <w:tblCellMar>
                  <w:top w:w="0" w:type="dxa"/>
                  <w:left w:w="108" w:type="dxa"/>
                  <w:bottom w:w="0" w:type="dxa"/>
                  <w:right w:w="108" w:type="dxa"/>
                </w:tblCellMar>
              </w:tblPrEx>
              <w:trPr>
                <w:trHeight w:val="591" w:hRule="atLeast"/>
              </w:trPr>
              <w:tc>
                <w:tcPr>
                  <w:tcW w:w="0" w:type="auto"/>
                  <w:tcBorders>
                    <w:top w:val="nil"/>
                    <w:left w:val="single" w:color="000000" w:sz="8" w:space="0"/>
                    <w:bottom w:val="single" w:color="000000" w:sz="8" w:space="0"/>
                    <w:right w:val="single" w:color="000000" w:sz="8" w:space="0"/>
                  </w:tcBorders>
                  <w:shd w:val="clear" w:color="auto" w:fill="FFFFFF"/>
                  <w:vAlign w:val="center"/>
                </w:tcPr>
                <w:p w14:paraId="3F4F3C36">
                  <w:pPr>
                    <w:widowControl/>
                    <w:jc w:val="center"/>
                    <w:textAlignment w:val="center"/>
                    <w:rPr>
                      <w:color w:val="auto"/>
                      <w:kern w:val="21"/>
                      <w:szCs w:val="21"/>
                    </w:rPr>
                  </w:pPr>
                  <w:r>
                    <w:rPr>
                      <w:color w:val="auto"/>
                      <w:kern w:val="21"/>
                      <w:szCs w:val="21"/>
                      <w:lang w:bidi="ar"/>
                    </w:rPr>
                    <w:t>9</w:t>
                  </w:r>
                </w:p>
              </w:tc>
              <w:tc>
                <w:tcPr>
                  <w:tcW w:w="0" w:type="auto"/>
                  <w:vMerge w:val="continue"/>
                  <w:tcBorders>
                    <w:top w:val="nil"/>
                    <w:left w:val="single" w:color="000000" w:sz="8" w:space="0"/>
                    <w:bottom w:val="single" w:color="000000" w:sz="8" w:space="0"/>
                    <w:right w:val="single" w:color="000000" w:sz="8" w:space="0"/>
                  </w:tcBorders>
                  <w:shd w:val="clear" w:color="auto" w:fill="FFFFFF"/>
                  <w:vAlign w:val="center"/>
                </w:tcPr>
                <w:p w14:paraId="5DC5C76C">
                  <w:pPr>
                    <w:widowControl/>
                    <w:jc w:val="center"/>
                    <w:rPr>
                      <w:color w:val="auto"/>
                      <w:kern w:val="21"/>
                      <w:szCs w:val="21"/>
                    </w:rPr>
                  </w:pP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78068FB">
                  <w:pPr>
                    <w:widowControl/>
                    <w:jc w:val="center"/>
                    <w:textAlignment w:val="center"/>
                    <w:rPr>
                      <w:color w:val="auto"/>
                      <w:kern w:val="21"/>
                      <w:szCs w:val="21"/>
                    </w:rPr>
                  </w:pPr>
                  <w:r>
                    <w:rPr>
                      <w:color w:val="auto"/>
                      <w:kern w:val="21"/>
                      <w:szCs w:val="21"/>
                      <w:lang w:bidi="ar"/>
                    </w:rPr>
                    <w:t>球磨机（湿式）</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4482A7E">
                  <w:pPr>
                    <w:widowControl/>
                    <w:jc w:val="center"/>
                    <w:textAlignment w:val="center"/>
                    <w:rPr>
                      <w:color w:val="auto"/>
                      <w:kern w:val="21"/>
                      <w:szCs w:val="21"/>
                    </w:rPr>
                  </w:pPr>
                  <w:r>
                    <w:rPr>
                      <w:color w:val="auto"/>
                      <w:kern w:val="21"/>
                      <w:szCs w:val="21"/>
                      <w:lang w:bidi="ar"/>
                    </w:rPr>
                    <w:t>80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3F92FE4A">
                  <w:pPr>
                    <w:widowControl/>
                    <w:jc w:val="center"/>
                    <w:textAlignment w:val="center"/>
                    <w:rPr>
                      <w:color w:val="auto"/>
                      <w:kern w:val="21"/>
                      <w:szCs w:val="21"/>
                    </w:rPr>
                  </w:pPr>
                  <w:r>
                    <w:rPr>
                      <w:color w:val="auto"/>
                      <w:kern w:val="21"/>
                      <w:szCs w:val="21"/>
                      <w:lang w:bidi="ar"/>
                    </w:rPr>
                    <w:t>4.9</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532208C">
                  <w:pPr>
                    <w:widowControl/>
                    <w:jc w:val="center"/>
                    <w:textAlignment w:val="center"/>
                    <w:rPr>
                      <w:color w:val="auto"/>
                      <w:kern w:val="21"/>
                      <w:szCs w:val="21"/>
                    </w:rPr>
                  </w:pPr>
                  <w:r>
                    <w:rPr>
                      <w:color w:val="auto"/>
                      <w:kern w:val="21"/>
                      <w:szCs w:val="21"/>
                      <w:lang w:bidi="ar"/>
                    </w:rPr>
                    <w:t>41.7</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F174F28">
                  <w:pPr>
                    <w:widowControl/>
                    <w:jc w:val="center"/>
                    <w:textAlignment w:val="center"/>
                    <w:rPr>
                      <w:color w:val="auto"/>
                      <w:kern w:val="21"/>
                      <w:szCs w:val="21"/>
                    </w:rPr>
                  </w:pPr>
                  <w:r>
                    <w:rPr>
                      <w:color w:val="auto"/>
                      <w:kern w:val="21"/>
                      <w:szCs w:val="21"/>
                      <w:lang w:bidi="ar"/>
                    </w:rPr>
                    <w:t>1.2</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C44A97D">
                  <w:pPr>
                    <w:widowControl/>
                    <w:jc w:val="center"/>
                    <w:textAlignment w:val="center"/>
                    <w:rPr>
                      <w:color w:val="auto"/>
                      <w:kern w:val="21"/>
                      <w:szCs w:val="21"/>
                    </w:rPr>
                  </w:pPr>
                  <w:r>
                    <w:rPr>
                      <w:color w:val="auto"/>
                      <w:kern w:val="21"/>
                      <w:szCs w:val="21"/>
                      <w:lang w:bidi="ar"/>
                    </w:rPr>
                    <w:t>100.8</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1271946">
                  <w:pPr>
                    <w:widowControl/>
                    <w:jc w:val="center"/>
                    <w:textAlignment w:val="center"/>
                    <w:rPr>
                      <w:color w:val="auto"/>
                      <w:kern w:val="21"/>
                      <w:szCs w:val="21"/>
                    </w:rPr>
                  </w:pPr>
                  <w:r>
                    <w:rPr>
                      <w:color w:val="auto"/>
                      <w:kern w:val="21"/>
                      <w:szCs w:val="21"/>
                      <w:lang w:bidi="ar"/>
                    </w:rPr>
                    <w:t>128.2</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74014574">
                  <w:pPr>
                    <w:widowControl/>
                    <w:jc w:val="center"/>
                    <w:textAlignment w:val="center"/>
                    <w:rPr>
                      <w:color w:val="auto"/>
                      <w:kern w:val="21"/>
                      <w:szCs w:val="21"/>
                    </w:rPr>
                  </w:pPr>
                  <w:r>
                    <w:rPr>
                      <w:color w:val="auto"/>
                      <w:kern w:val="21"/>
                      <w:szCs w:val="21"/>
                      <w:lang w:bidi="ar"/>
                    </w:rPr>
                    <w:t>103.1</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FD267BA">
                  <w:pPr>
                    <w:widowControl/>
                    <w:jc w:val="center"/>
                    <w:textAlignment w:val="center"/>
                    <w:rPr>
                      <w:color w:val="auto"/>
                      <w:kern w:val="21"/>
                      <w:szCs w:val="21"/>
                    </w:rPr>
                  </w:pPr>
                  <w:r>
                    <w:rPr>
                      <w:color w:val="auto"/>
                      <w:kern w:val="21"/>
                      <w:szCs w:val="21"/>
                      <w:lang w:bidi="ar"/>
                    </w:rPr>
                    <w:t>61.7</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75E23CAF">
                  <w:pPr>
                    <w:widowControl/>
                    <w:jc w:val="center"/>
                    <w:textAlignment w:val="center"/>
                    <w:rPr>
                      <w:color w:val="auto"/>
                      <w:kern w:val="21"/>
                      <w:szCs w:val="21"/>
                    </w:rPr>
                  </w:pPr>
                  <w:r>
                    <w:rPr>
                      <w:color w:val="auto"/>
                      <w:kern w:val="21"/>
                      <w:szCs w:val="21"/>
                      <w:lang w:bidi="ar"/>
                    </w:rPr>
                    <w:t>39.9</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33EF7FE">
                  <w:pPr>
                    <w:widowControl/>
                    <w:jc w:val="center"/>
                    <w:textAlignment w:val="center"/>
                    <w:rPr>
                      <w:color w:val="auto"/>
                      <w:kern w:val="21"/>
                      <w:szCs w:val="21"/>
                    </w:rPr>
                  </w:pPr>
                  <w:r>
                    <w:rPr>
                      <w:color w:val="auto"/>
                      <w:kern w:val="21"/>
                      <w:szCs w:val="21"/>
                      <w:lang w:bidi="ar"/>
                    </w:rPr>
                    <w:t>37.8</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1BC8CD6">
                  <w:pPr>
                    <w:widowControl/>
                    <w:jc w:val="center"/>
                    <w:textAlignment w:val="center"/>
                    <w:rPr>
                      <w:color w:val="auto"/>
                      <w:kern w:val="21"/>
                      <w:szCs w:val="21"/>
                    </w:rPr>
                  </w:pPr>
                  <w:r>
                    <w:rPr>
                      <w:color w:val="auto"/>
                      <w:kern w:val="21"/>
                      <w:szCs w:val="21"/>
                      <w:lang w:bidi="ar"/>
                    </w:rPr>
                    <w:t>39.7</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973C51C">
                  <w:pPr>
                    <w:widowControl/>
                    <w:jc w:val="center"/>
                    <w:textAlignment w:val="center"/>
                    <w:rPr>
                      <w:color w:val="auto"/>
                      <w:kern w:val="21"/>
                      <w:szCs w:val="21"/>
                    </w:rPr>
                  </w:pPr>
                  <w:r>
                    <w:rPr>
                      <w:color w:val="auto"/>
                      <w:kern w:val="21"/>
                      <w:szCs w:val="21"/>
                      <w:lang w:bidi="ar"/>
                    </w:rPr>
                    <w:t>44.1</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495DAC12">
                  <w:pPr>
                    <w:widowControl/>
                    <w:jc w:val="center"/>
                    <w:textAlignment w:val="center"/>
                    <w:rPr>
                      <w:color w:val="auto"/>
                      <w:kern w:val="21"/>
                      <w:szCs w:val="21"/>
                    </w:rPr>
                  </w:pPr>
                  <w:r>
                    <w:rPr>
                      <w:color w:val="auto"/>
                      <w:kern w:val="21"/>
                      <w:szCs w:val="21"/>
                      <w:lang w:bidi="ar"/>
                    </w:rPr>
                    <w:t>昼间</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99F13C5">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6C62F40">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C0F9D6B">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4E16CC51">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BA90CFA">
                  <w:pPr>
                    <w:widowControl/>
                    <w:jc w:val="center"/>
                    <w:textAlignment w:val="center"/>
                    <w:rPr>
                      <w:color w:val="auto"/>
                      <w:kern w:val="21"/>
                      <w:szCs w:val="21"/>
                    </w:rPr>
                  </w:pPr>
                  <w:r>
                    <w:rPr>
                      <w:color w:val="auto"/>
                      <w:kern w:val="21"/>
                      <w:szCs w:val="21"/>
                      <w:lang w:bidi="ar"/>
                    </w:rPr>
                    <w:t>19.9</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7F63AC95">
                  <w:pPr>
                    <w:widowControl/>
                    <w:jc w:val="center"/>
                    <w:textAlignment w:val="center"/>
                    <w:rPr>
                      <w:color w:val="auto"/>
                      <w:kern w:val="21"/>
                      <w:szCs w:val="21"/>
                    </w:rPr>
                  </w:pPr>
                  <w:r>
                    <w:rPr>
                      <w:color w:val="auto"/>
                      <w:kern w:val="21"/>
                      <w:szCs w:val="21"/>
                      <w:lang w:bidi="ar"/>
                    </w:rPr>
                    <w:t>17.8</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DE0C132">
                  <w:pPr>
                    <w:widowControl/>
                    <w:jc w:val="center"/>
                    <w:textAlignment w:val="center"/>
                    <w:rPr>
                      <w:color w:val="auto"/>
                      <w:kern w:val="21"/>
                      <w:szCs w:val="21"/>
                    </w:rPr>
                  </w:pPr>
                  <w:r>
                    <w:rPr>
                      <w:color w:val="auto"/>
                      <w:kern w:val="21"/>
                      <w:szCs w:val="21"/>
                      <w:lang w:bidi="ar"/>
                    </w:rPr>
                    <w:t>19.7</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26078C0">
                  <w:pPr>
                    <w:widowControl/>
                    <w:jc w:val="center"/>
                    <w:textAlignment w:val="center"/>
                    <w:rPr>
                      <w:color w:val="auto"/>
                      <w:kern w:val="21"/>
                      <w:szCs w:val="21"/>
                    </w:rPr>
                  </w:pPr>
                  <w:r>
                    <w:rPr>
                      <w:color w:val="auto"/>
                      <w:kern w:val="21"/>
                      <w:szCs w:val="21"/>
                      <w:lang w:bidi="ar"/>
                    </w:rPr>
                    <w:t>24.1</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A053291">
                  <w:pPr>
                    <w:widowControl/>
                    <w:jc w:val="center"/>
                    <w:textAlignment w:val="center"/>
                    <w:rPr>
                      <w:color w:val="auto"/>
                      <w:kern w:val="21"/>
                      <w:szCs w:val="21"/>
                    </w:rPr>
                  </w:pPr>
                  <w:r>
                    <w:rPr>
                      <w:color w:val="auto"/>
                      <w:kern w:val="21"/>
                      <w:szCs w:val="21"/>
                      <w:lang w:bidi="ar"/>
                    </w:rPr>
                    <w:t>1</w:t>
                  </w:r>
                </w:p>
              </w:tc>
            </w:tr>
            <w:tr w14:paraId="5F9A881C">
              <w:tblPrEx>
                <w:tblCellMar>
                  <w:top w:w="0" w:type="dxa"/>
                  <w:left w:w="108" w:type="dxa"/>
                  <w:bottom w:w="0" w:type="dxa"/>
                  <w:right w:w="108" w:type="dxa"/>
                </w:tblCellMar>
              </w:tblPrEx>
              <w:trPr>
                <w:trHeight w:val="591" w:hRule="atLeast"/>
              </w:trPr>
              <w:tc>
                <w:tcPr>
                  <w:tcW w:w="0" w:type="auto"/>
                  <w:tcBorders>
                    <w:top w:val="nil"/>
                    <w:left w:val="single" w:color="000000" w:sz="8" w:space="0"/>
                    <w:bottom w:val="single" w:color="000000" w:sz="8" w:space="0"/>
                    <w:right w:val="single" w:color="000000" w:sz="8" w:space="0"/>
                  </w:tcBorders>
                  <w:shd w:val="clear" w:color="auto" w:fill="FFFFFF"/>
                  <w:vAlign w:val="center"/>
                </w:tcPr>
                <w:p w14:paraId="7E32F6C1">
                  <w:pPr>
                    <w:widowControl/>
                    <w:jc w:val="center"/>
                    <w:textAlignment w:val="center"/>
                    <w:rPr>
                      <w:color w:val="auto"/>
                      <w:kern w:val="21"/>
                      <w:szCs w:val="21"/>
                    </w:rPr>
                  </w:pPr>
                  <w:r>
                    <w:rPr>
                      <w:color w:val="auto"/>
                      <w:kern w:val="21"/>
                      <w:szCs w:val="21"/>
                      <w:lang w:bidi="ar"/>
                    </w:rPr>
                    <w:t>10</w:t>
                  </w:r>
                </w:p>
              </w:tc>
              <w:tc>
                <w:tcPr>
                  <w:tcW w:w="0" w:type="auto"/>
                  <w:vMerge w:val="continue"/>
                  <w:tcBorders>
                    <w:top w:val="nil"/>
                    <w:left w:val="single" w:color="000000" w:sz="8" w:space="0"/>
                    <w:bottom w:val="single" w:color="000000" w:sz="8" w:space="0"/>
                    <w:right w:val="single" w:color="000000" w:sz="8" w:space="0"/>
                  </w:tcBorders>
                  <w:shd w:val="clear" w:color="auto" w:fill="FFFFFF"/>
                  <w:vAlign w:val="center"/>
                </w:tcPr>
                <w:p w14:paraId="04314BF8">
                  <w:pPr>
                    <w:widowControl/>
                    <w:jc w:val="center"/>
                    <w:rPr>
                      <w:color w:val="auto"/>
                      <w:kern w:val="21"/>
                      <w:szCs w:val="21"/>
                    </w:rPr>
                  </w:pP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723C1453">
                  <w:pPr>
                    <w:widowControl/>
                    <w:jc w:val="center"/>
                    <w:textAlignment w:val="center"/>
                    <w:rPr>
                      <w:color w:val="auto"/>
                      <w:kern w:val="21"/>
                      <w:szCs w:val="21"/>
                    </w:rPr>
                  </w:pPr>
                  <w:r>
                    <w:rPr>
                      <w:color w:val="auto"/>
                      <w:kern w:val="21"/>
                      <w:szCs w:val="21"/>
                      <w:lang w:bidi="ar"/>
                    </w:rPr>
                    <w:t>鄂式破碎机</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5E4ACF1">
                  <w:pPr>
                    <w:widowControl/>
                    <w:jc w:val="center"/>
                    <w:textAlignment w:val="center"/>
                    <w:rPr>
                      <w:color w:val="auto"/>
                      <w:kern w:val="21"/>
                      <w:szCs w:val="21"/>
                    </w:rPr>
                  </w:pPr>
                  <w:r>
                    <w:rPr>
                      <w:color w:val="auto"/>
                      <w:kern w:val="21"/>
                      <w:szCs w:val="21"/>
                      <w:lang w:bidi="ar"/>
                    </w:rPr>
                    <w:t>80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30CB4589">
                  <w:pPr>
                    <w:widowControl/>
                    <w:jc w:val="center"/>
                    <w:textAlignment w:val="center"/>
                    <w:rPr>
                      <w:color w:val="auto"/>
                      <w:kern w:val="21"/>
                      <w:szCs w:val="21"/>
                    </w:rPr>
                  </w:pPr>
                  <w:r>
                    <w:rPr>
                      <w:color w:val="auto"/>
                      <w:kern w:val="21"/>
                      <w:szCs w:val="21"/>
                      <w:lang w:bidi="ar"/>
                    </w:rPr>
                    <w:t>-8.2</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1376427">
                  <w:pPr>
                    <w:widowControl/>
                    <w:jc w:val="center"/>
                    <w:textAlignment w:val="center"/>
                    <w:rPr>
                      <w:color w:val="auto"/>
                      <w:kern w:val="21"/>
                      <w:szCs w:val="21"/>
                    </w:rPr>
                  </w:pPr>
                  <w:r>
                    <w:rPr>
                      <w:color w:val="auto"/>
                      <w:kern w:val="21"/>
                      <w:szCs w:val="21"/>
                      <w:lang w:bidi="ar"/>
                    </w:rPr>
                    <w:t>44.9</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4509D54E">
                  <w:pPr>
                    <w:widowControl/>
                    <w:jc w:val="center"/>
                    <w:textAlignment w:val="center"/>
                    <w:rPr>
                      <w:color w:val="auto"/>
                      <w:kern w:val="21"/>
                      <w:szCs w:val="21"/>
                    </w:rPr>
                  </w:pPr>
                  <w:r>
                    <w:rPr>
                      <w:color w:val="auto"/>
                      <w:kern w:val="21"/>
                      <w:szCs w:val="21"/>
                      <w:lang w:bidi="ar"/>
                    </w:rPr>
                    <w:t>1.2</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548E077">
                  <w:pPr>
                    <w:widowControl/>
                    <w:jc w:val="center"/>
                    <w:textAlignment w:val="center"/>
                    <w:rPr>
                      <w:color w:val="auto"/>
                      <w:kern w:val="21"/>
                      <w:szCs w:val="21"/>
                    </w:rPr>
                  </w:pPr>
                  <w:r>
                    <w:rPr>
                      <w:color w:val="auto"/>
                      <w:kern w:val="21"/>
                      <w:szCs w:val="21"/>
                      <w:lang w:bidi="ar"/>
                    </w:rPr>
                    <w:t>114.3</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77D7ECF9">
                  <w:pPr>
                    <w:widowControl/>
                    <w:jc w:val="center"/>
                    <w:textAlignment w:val="center"/>
                    <w:rPr>
                      <w:color w:val="auto"/>
                      <w:kern w:val="21"/>
                      <w:szCs w:val="21"/>
                    </w:rPr>
                  </w:pPr>
                  <w:r>
                    <w:rPr>
                      <w:color w:val="auto"/>
                      <w:kern w:val="21"/>
                      <w:szCs w:val="21"/>
                      <w:lang w:bidi="ar"/>
                    </w:rPr>
                    <w:t>123.7</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31AB120E">
                  <w:pPr>
                    <w:widowControl/>
                    <w:jc w:val="center"/>
                    <w:textAlignment w:val="center"/>
                    <w:rPr>
                      <w:color w:val="auto"/>
                      <w:kern w:val="21"/>
                      <w:szCs w:val="21"/>
                    </w:rPr>
                  </w:pPr>
                  <w:r>
                    <w:rPr>
                      <w:color w:val="auto"/>
                      <w:kern w:val="21"/>
                      <w:szCs w:val="21"/>
                      <w:lang w:bidi="ar"/>
                    </w:rPr>
                    <w:t>89.6</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AE077D5">
                  <w:pPr>
                    <w:widowControl/>
                    <w:jc w:val="center"/>
                    <w:textAlignment w:val="center"/>
                    <w:rPr>
                      <w:color w:val="auto"/>
                      <w:kern w:val="21"/>
                      <w:szCs w:val="21"/>
                    </w:rPr>
                  </w:pPr>
                  <w:r>
                    <w:rPr>
                      <w:color w:val="auto"/>
                      <w:kern w:val="21"/>
                      <w:szCs w:val="21"/>
                      <w:lang w:bidi="ar"/>
                    </w:rPr>
                    <w:t>66.2</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061EA90">
                  <w:pPr>
                    <w:widowControl/>
                    <w:jc w:val="center"/>
                    <w:textAlignment w:val="center"/>
                    <w:rPr>
                      <w:color w:val="auto"/>
                      <w:kern w:val="21"/>
                      <w:szCs w:val="21"/>
                    </w:rPr>
                  </w:pPr>
                  <w:r>
                    <w:rPr>
                      <w:color w:val="auto"/>
                      <w:kern w:val="21"/>
                      <w:szCs w:val="21"/>
                      <w:lang w:bidi="ar"/>
                    </w:rPr>
                    <w:t>38.8</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7707B65">
                  <w:pPr>
                    <w:widowControl/>
                    <w:jc w:val="center"/>
                    <w:textAlignment w:val="center"/>
                    <w:rPr>
                      <w:color w:val="auto"/>
                      <w:kern w:val="21"/>
                      <w:szCs w:val="21"/>
                    </w:rPr>
                  </w:pPr>
                  <w:r>
                    <w:rPr>
                      <w:color w:val="auto"/>
                      <w:kern w:val="21"/>
                      <w:szCs w:val="21"/>
                      <w:lang w:bidi="ar"/>
                    </w:rPr>
                    <w:t>38.1</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13A8671">
                  <w:pPr>
                    <w:widowControl/>
                    <w:jc w:val="center"/>
                    <w:textAlignment w:val="center"/>
                    <w:rPr>
                      <w:color w:val="auto"/>
                      <w:kern w:val="21"/>
                      <w:szCs w:val="21"/>
                    </w:rPr>
                  </w:pPr>
                  <w:r>
                    <w:rPr>
                      <w:color w:val="auto"/>
                      <w:kern w:val="21"/>
                      <w:szCs w:val="21"/>
                      <w:lang w:bidi="ar"/>
                    </w:rPr>
                    <w:t>40.9</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D447218">
                  <w:pPr>
                    <w:widowControl/>
                    <w:jc w:val="center"/>
                    <w:textAlignment w:val="center"/>
                    <w:rPr>
                      <w:color w:val="auto"/>
                      <w:kern w:val="21"/>
                      <w:szCs w:val="21"/>
                    </w:rPr>
                  </w:pPr>
                  <w:r>
                    <w:rPr>
                      <w:color w:val="auto"/>
                      <w:kern w:val="21"/>
                      <w:szCs w:val="21"/>
                      <w:lang w:bidi="ar"/>
                    </w:rPr>
                    <w:t>43.5</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5D9E2C7">
                  <w:pPr>
                    <w:widowControl/>
                    <w:jc w:val="center"/>
                    <w:textAlignment w:val="center"/>
                    <w:rPr>
                      <w:color w:val="auto"/>
                      <w:kern w:val="21"/>
                      <w:szCs w:val="21"/>
                    </w:rPr>
                  </w:pPr>
                  <w:r>
                    <w:rPr>
                      <w:color w:val="auto"/>
                      <w:kern w:val="21"/>
                      <w:szCs w:val="21"/>
                      <w:lang w:bidi="ar"/>
                    </w:rPr>
                    <w:t>昼间</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32DDC0E3">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03DA115">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7594339">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1674BC13">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175FE904">
                  <w:pPr>
                    <w:widowControl/>
                    <w:jc w:val="center"/>
                    <w:textAlignment w:val="center"/>
                    <w:rPr>
                      <w:color w:val="auto"/>
                      <w:kern w:val="21"/>
                      <w:szCs w:val="21"/>
                    </w:rPr>
                  </w:pPr>
                  <w:r>
                    <w:rPr>
                      <w:color w:val="auto"/>
                      <w:kern w:val="21"/>
                      <w:szCs w:val="21"/>
                      <w:lang w:bidi="ar"/>
                    </w:rPr>
                    <w:t>18.8</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57AF633">
                  <w:pPr>
                    <w:widowControl/>
                    <w:jc w:val="center"/>
                    <w:textAlignment w:val="center"/>
                    <w:rPr>
                      <w:color w:val="auto"/>
                      <w:kern w:val="21"/>
                      <w:szCs w:val="21"/>
                    </w:rPr>
                  </w:pPr>
                  <w:r>
                    <w:rPr>
                      <w:color w:val="auto"/>
                      <w:kern w:val="21"/>
                      <w:szCs w:val="21"/>
                      <w:lang w:bidi="ar"/>
                    </w:rPr>
                    <w:t>18.1</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943E1C2">
                  <w:pPr>
                    <w:widowControl/>
                    <w:jc w:val="center"/>
                    <w:textAlignment w:val="center"/>
                    <w:rPr>
                      <w:color w:val="auto"/>
                      <w:kern w:val="21"/>
                      <w:szCs w:val="21"/>
                    </w:rPr>
                  </w:pPr>
                  <w:r>
                    <w:rPr>
                      <w:color w:val="auto"/>
                      <w:kern w:val="21"/>
                      <w:szCs w:val="21"/>
                      <w:lang w:bidi="ar"/>
                    </w:rPr>
                    <w:t>20.9</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C38CA82">
                  <w:pPr>
                    <w:widowControl/>
                    <w:jc w:val="center"/>
                    <w:textAlignment w:val="center"/>
                    <w:rPr>
                      <w:color w:val="auto"/>
                      <w:kern w:val="21"/>
                      <w:szCs w:val="21"/>
                    </w:rPr>
                  </w:pPr>
                  <w:r>
                    <w:rPr>
                      <w:color w:val="auto"/>
                      <w:kern w:val="21"/>
                      <w:szCs w:val="21"/>
                      <w:lang w:bidi="ar"/>
                    </w:rPr>
                    <w:t>23.5</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9BDC0CE">
                  <w:pPr>
                    <w:widowControl/>
                    <w:jc w:val="center"/>
                    <w:textAlignment w:val="center"/>
                    <w:rPr>
                      <w:color w:val="auto"/>
                      <w:kern w:val="21"/>
                      <w:szCs w:val="21"/>
                    </w:rPr>
                  </w:pPr>
                  <w:r>
                    <w:rPr>
                      <w:color w:val="auto"/>
                      <w:kern w:val="21"/>
                      <w:szCs w:val="21"/>
                      <w:lang w:bidi="ar"/>
                    </w:rPr>
                    <w:t>1</w:t>
                  </w:r>
                </w:p>
              </w:tc>
            </w:tr>
            <w:tr w14:paraId="5159D05B">
              <w:tblPrEx>
                <w:tblCellMar>
                  <w:top w:w="0" w:type="dxa"/>
                  <w:left w:w="108" w:type="dxa"/>
                  <w:bottom w:w="0" w:type="dxa"/>
                  <w:right w:w="108" w:type="dxa"/>
                </w:tblCellMar>
              </w:tblPrEx>
              <w:trPr>
                <w:trHeight w:val="591" w:hRule="atLeast"/>
              </w:trPr>
              <w:tc>
                <w:tcPr>
                  <w:tcW w:w="0" w:type="auto"/>
                  <w:tcBorders>
                    <w:top w:val="nil"/>
                    <w:left w:val="single" w:color="000000" w:sz="8" w:space="0"/>
                    <w:bottom w:val="single" w:color="000000" w:sz="8" w:space="0"/>
                    <w:right w:val="single" w:color="000000" w:sz="8" w:space="0"/>
                  </w:tcBorders>
                  <w:shd w:val="clear" w:color="auto" w:fill="FFFFFF"/>
                  <w:vAlign w:val="center"/>
                </w:tcPr>
                <w:p w14:paraId="46647BE1">
                  <w:pPr>
                    <w:widowControl/>
                    <w:jc w:val="center"/>
                    <w:textAlignment w:val="center"/>
                    <w:rPr>
                      <w:color w:val="auto"/>
                      <w:kern w:val="21"/>
                      <w:szCs w:val="21"/>
                    </w:rPr>
                  </w:pPr>
                  <w:r>
                    <w:rPr>
                      <w:color w:val="auto"/>
                      <w:kern w:val="21"/>
                      <w:szCs w:val="21"/>
                      <w:lang w:bidi="ar"/>
                    </w:rPr>
                    <w:t>11</w:t>
                  </w:r>
                </w:p>
              </w:tc>
              <w:tc>
                <w:tcPr>
                  <w:tcW w:w="0" w:type="auto"/>
                  <w:vMerge w:val="continue"/>
                  <w:tcBorders>
                    <w:top w:val="nil"/>
                    <w:left w:val="single" w:color="000000" w:sz="8" w:space="0"/>
                    <w:bottom w:val="single" w:color="000000" w:sz="8" w:space="0"/>
                    <w:right w:val="single" w:color="000000" w:sz="8" w:space="0"/>
                  </w:tcBorders>
                  <w:shd w:val="clear" w:color="auto" w:fill="FFFFFF"/>
                  <w:vAlign w:val="center"/>
                </w:tcPr>
                <w:p w14:paraId="17F13B2F">
                  <w:pPr>
                    <w:widowControl/>
                    <w:jc w:val="center"/>
                    <w:rPr>
                      <w:color w:val="auto"/>
                      <w:kern w:val="21"/>
                      <w:szCs w:val="21"/>
                    </w:rPr>
                  </w:pP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1C7848C0">
                  <w:pPr>
                    <w:widowControl/>
                    <w:jc w:val="center"/>
                    <w:textAlignment w:val="center"/>
                    <w:rPr>
                      <w:color w:val="auto"/>
                      <w:kern w:val="21"/>
                      <w:szCs w:val="21"/>
                    </w:rPr>
                  </w:pPr>
                  <w:r>
                    <w:rPr>
                      <w:color w:val="auto"/>
                      <w:kern w:val="21"/>
                      <w:szCs w:val="21"/>
                      <w:lang w:bidi="ar"/>
                    </w:rPr>
                    <w:t>出釜摆渡车</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4D8BBCF3">
                  <w:pPr>
                    <w:widowControl/>
                    <w:jc w:val="center"/>
                    <w:textAlignment w:val="center"/>
                    <w:rPr>
                      <w:color w:val="auto"/>
                      <w:kern w:val="21"/>
                      <w:szCs w:val="21"/>
                    </w:rPr>
                  </w:pPr>
                  <w:r>
                    <w:rPr>
                      <w:color w:val="auto"/>
                      <w:kern w:val="21"/>
                      <w:szCs w:val="21"/>
                      <w:lang w:bidi="ar"/>
                    </w:rPr>
                    <w:t>75</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4DC8FE5">
                  <w:pPr>
                    <w:widowControl/>
                    <w:jc w:val="center"/>
                    <w:textAlignment w:val="center"/>
                    <w:rPr>
                      <w:color w:val="auto"/>
                      <w:kern w:val="21"/>
                      <w:szCs w:val="21"/>
                    </w:rPr>
                  </w:pPr>
                  <w:r>
                    <w:rPr>
                      <w:color w:val="auto"/>
                      <w:kern w:val="21"/>
                      <w:szCs w:val="21"/>
                      <w:lang w:bidi="ar"/>
                    </w:rPr>
                    <w:t>35.6</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1C8900F6">
                  <w:pPr>
                    <w:widowControl/>
                    <w:jc w:val="center"/>
                    <w:textAlignment w:val="center"/>
                    <w:rPr>
                      <w:color w:val="auto"/>
                      <w:kern w:val="21"/>
                      <w:szCs w:val="21"/>
                    </w:rPr>
                  </w:pPr>
                  <w:r>
                    <w:rPr>
                      <w:color w:val="auto"/>
                      <w:kern w:val="21"/>
                      <w:szCs w:val="21"/>
                      <w:lang w:bidi="ar"/>
                    </w:rPr>
                    <w:t>-8.5</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4EF69CC2">
                  <w:pPr>
                    <w:widowControl/>
                    <w:jc w:val="center"/>
                    <w:textAlignment w:val="center"/>
                    <w:rPr>
                      <w:color w:val="auto"/>
                      <w:kern w:val="21"/>
                      <w:szCs w:val="21"/>
                    </w:rPr>
                  </w:pPr>
                  <w:r>
                    <w:rPr>
                      <w:color w:val="auto"/>
                      <w:kern w:val="21"/>
                      <w:szCs w:val="21"/>
                      <w:lang w:bidi="ar"/>
                    </w:rPr>
                    <w:t>1.2</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5E88B93">
                  <w:pPr>
                    <w:widowControl/>
                    <w:jc w:val="center"/>
                    <w:textAlignment w:val="center"/>
                    <w:rPr>
                      <w:color w:val="auto"/>
                      <w:kern w:val="21"/>
                      <w:szCs w:val="21"/>
                    </w:rPr>
                  </w:pPr>
                  <w:r>
                    <w:rPr>
                      <w:color w:val="auto"/>
                      <w:kern w:val="21"/>
                      <w:szCs w:val="21"/>
                      <w:lang w:bidi="ar"/>
                    </w:rPr>
                    <w:t>58.3</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53F8316">
                  <w:pPr>
                    <w:widowControl/>
                    <w:jc w:val="center"/>
                    <w:textAlignment w:val="center"/>
                    <w:rPr>
                      <w:color w:val="auto"/>
                      <w:kern w:val="21"/>
                      <w:szCs w:val="21"/>
                    </w:rPr>
                  </w:pPr>
                  <w:r>
                    <w:rPr>
                      <w:color w:val="auto"/>
                      <w:kern w:val="21"/>
                      <w:szCs w:val="21"/>
                      <w:lang w:bidi="ar"/>
                    </w:rPr>
                    <w:t>103.1</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1094A010">
                  <w:pPr>
                    <w:widowControl/>
                    <w:jc w:val="center"/>
                    <w:textAlignment w:val="center"/>
                    <w:rPr>
                      <w:color w:val="auto"/>
                      <w:kern w:val="21"/>
                      <w:szCs w:val="21"/>
                    </w:rPr>
                  </w:pPr>
                  <w:r>
                    <w:rPr>
                      <w:color w:val="auto"/>
                      <w:kern w:val="21"/>
                      <w:szCs w:val="21"/>
                      <w:lang w:bidi="ar"/>
                    </w:rPr>
                    <w:t>145.6</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30CD3AB7">
                  <w:pPr>
                    <w:widowControl/>
                    <w:jc w:val="center"/>
                    <w:textAlignment w:val="center"/>
                    <w:rPr>
                      <w:color w:val="auto"/>
                      <w:kern w:val="21"/>
                      <w:szCs w:val="21"/>
                    </w:rPr>
                  </w:pPr>
                  <w:r>
                    <w:rPr>
                      <w:color w:val="auto"/>
                      <w:kern w:val="21"/>
                      <w:szCs w:val="21"/>
                      <w:lang w:bidi="ar"/>
                    </w:rPr>
                    <w:t>86.8</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4C523B19">
                  <w:pPr>
                    <w:widowControl/>
                    <w:jc w:val="center"/>
                    <w:textAlignment w:val="center"/>
                    <w:rPr>
                      <w:color w:val="auto"/>
                      <w:kern w:val="21"/>
                      <w:szCs w:val="21"/>
                    </w:rPr>
                  </w:pPr>
                  <w:r>
                    <w:rPr>
                      <w:color w:val="auto"/>
                      <w:kern w:val="21"/>
                      <w:szCs w:val="21"/>
                      <w:lang w:bidi="ar"/>
                    </w:rPr>
                    <w:t>39.6</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9B205E7">
                  <w:pPr>
                    <w:widowControl/>
                    <w:jc w:val="center"/>
                    <w:textAlignment w:val="center"/>
                    <w:rPr>
                      <w:color w:val="auto"/>
                      <w:kern w:val="21"/>
                      <w:szCs w:val="21"/>
                    </w:rPr>
                  </w:pPr>
                  <w:r>
                    <w:rPr>
                      <w:color w:val="auto"/>
                      <w:kern w:val="21"/>
                      <w:szCs w:val="21"/>
                      <w:lang w:bidi="ar"/>
                    </w:rPr>
                    <w:t>34.7</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D991DE7">
                  <w:pPr>
                    <w:widowControl/>
                    <w:jc w:val="center"/>
                    <w:textAlignment w:val="center"/>
                    <w:rPr>
                      <w:color w:val="auto"/>
                      <w:kern w:val="21"/>
                      <w:szCs w:val="21"/>
                    </w:rPr>
                  </w:pPr>
                  <w:r>
                    <w:rPr>
                      <w:color w:val="auto"/>
                      <w:kern w:val="21"/>
                      <w:szCs w:val="21"/>
                      <w:lang w:bidi="ar"/>
                    </w:rPr>
                    <w:t>31.7</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461CD61F">
                  <w:pPr>
                    <w:widowControl/>
                    <w:jc w:val="center"/>
                    <w:textAlignment w:val="center"/>
                    <w:rPr>
                      <w:color w:val="auto"/>
                      <w:kern w:val="21"/>
                      <w:szCs w:val="21"/>
                    </w:rPr>
                  </w:pPr>
                  <w:r>
                    <w:rPr>
                      <w:color w:val="auto"/>
                      <w:kern w:val="21"/>
                      <w:szCs w:val="21"/>
                      <w:lang w:bidi="ar"/>
                    </w:rPr>
                    <w:t>36.2</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B4F4DBC">
                  <w:pPr>
                    <w:widowControl/>
                    <w:jc w:val="center"/>
                    <w:textAlignment w:val="center"/>
                    <w:rPr>
                      <w:color w:val="auto"/>
                      <w:kern w:val="21"/>
                      <w:szCs w:val="21"/>
                    </w:rPr>
                  </w:pPr>
                  <w:r>
                    <w:rPr>
                      <w:color w:val="auto"/>
                      <w:kern w:val="21"/>
                      <w:szCs w:val="21"/>
                      <w:lang w:bidi="ar"/>
                    </w:rPr>
                    <w:t>昼间</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C660369">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409D8C04">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77114A1E">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D556AD7">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0F0A362">
                  <w:pPr>
                    <w:widowControl/>
                    <w:jc w:val="center"/>
                    <w:textAlignment w:val="center"/>
                    <w:rPr>
                      <w:color w:val="auto"/>
                      <w:kern w:val="21"/>
                      <w:szCs w:val="21"/>
                    </w:rPr>
                  </w:pPr>
                  <w:r>
                    <w:rPr>
                      <w:color w:val="auto"/>
                      <w:kern w:val="21"/>
                      <w:szCs w:val="21"/>
                      <w:lang w:bidi="ar"/>
                    </w:rPr>
                    <w:t>19.6</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AB8A205">
                  <w:pPr>
                    <w:widowControl/>
                    <w:jc w:val="center"/>
                    <w:textAlignment w:val="center"/>
                    <w:rPr>
                      <w:color w:val="auto"/>
                      <w:kern w:val="21"/>
                      <w:szCs w:val="21"/>
                    </w:rPr>
                  </w:pPr>
                  <w:r>
                    <w:rPr>
                      <w:color w:val="auto"/>
                      <w:kern w:val="21"/>
                      <w:szCs w:val="21"/>
                      <w:lang w:bidi="ar"/>
                    </w:rPr>
                    <w:t>14.7</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82C753C">
                  <w:pPr>
                    <w:widowControl/>
                    <w:jc w:val="center"/>
                    <w:textAlignment w:val="center"/>
                    <w:rPr>
                      <w:color w:val="auto"/>
                      <w:kern w:val="21"/>
                      <w:szCs w:val="21"/>
                    </w:rPr>
                  </w:pPr>
                  <w:r>
                    <w:rPr>
                      <w:color w:val="auto"/>
                      <w:kern w:val="21"/>
                      <w:szCs w:val="21"/>
                      <w:lang w:bidi="ar"/>
                    </w:rPr>
                    <w:t>11.7</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C9A2E7E">
                  <w:pPr>
                    <w:widowControl/>
                    <w:jc w:val="center"/>
                    <w:textAlignment w:val="center"/>
                    <w:rPr>
                      <w:color w:val="auto"/>
                      <w:kern w:val="21"/>
                      <w:szCs w:val="21"/>
                    </w:rPr>
                  </w:pPr>
                  <w:r>
                    <w:rPr>
                      <w:color w:val="auto"/>
                      <w:kern w:val="21"/>
                      <w:szCs w:val="21"/>
                      <w:lang w:bidi="ar"/>
                    </w:rPr>
                    <w:t>16.2</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31F64FA2">
                  <w:pPr>
                    <w:widowControl/>
                    <w:jc w:val="center"/>
                    <w:textAlignment w:val="center"/>
                    <w:rPr>
                      <w:color w:val="auto"/>
                      <w:kern w:val="21"/>
                      <w:szCs w:val="21"/>
                    </w:rPr>
                  </w:pPr>
                  <w:r>
                    <w:rPr>
                      <w:color w:val="auto"/>
                      <w:kern w:val="21"/>
                      <w:szCs w:val="21"/>
                      <w:lang w:bidi="ar"/>
                    </w:rPr>
                    <w:t>1</w:t>
                  </w:r>
                </w:p>
              </w:tc>
            </w:tr>
            <w:tr w14:paraId="486EABCD">
              <w:tblPrEx>
                <w:tblCellMar>
                  <w:top w:w="0" w:type="dxa"/>
                  <w:left w:w="108" w:type="dxa"/>
                  <w:bottom w:w="0" w:type="dxa"/>
                  <w:right w:w="108" w:type="dxa"/>
                </w:tblCellMar>
              </w:tblPrEx>
              <w:trPr>
                <w:trHeight w:val="591" w:hRule="atLeast"/>
              </w:trPr>
              <w:tc>
                <w:tcPr>
                  <w:tcW w:w="0" w:type="auto"/>
                  <w:tcBorders>
                    <w:top w:val="nil"/>
                    <w:left w:val="single" w:color="000000" w:sz="8" w:space="0"/>
                    <w:bottom w:val="single" w:color="000000" w:sz="8" w:space="0"/>
                    <w:right w:val="single" w:color="000000" w:sz="8" w:space="0"/>
                  </w:tcBorders>
                  <w:shd w:val="clear" w:color="auto" w:fill="FFFFFF"/>
                  <w:vAlign w:val="center"/>
                </w:tcPr>
                <w:p w14:paraId="7D9B14B9">
                  <w:pPr>
                    <w:widowControl/>
                    <w:jc w:val="center"/>
                    <w:textAlignment w:val="center"/>
                    <w:rPr>
                      <w:color w:val="auto"/>
                      <w:kern w:val="21"/>
                      <w:szCs w:val="21"/>
                    </w:rPr>
                  </w:pPr>
                  <w:r>
                    <w:rPr>
                      <w:color w:val="auto"/>
                      <w:kern w:val="21"/>
                      <w:szCs w:val="21"/>
                      <w:lang w:bidi="ar"/>
                    </w:rPr>
                    <w:t>12</w:t>
                  </w:r>
                </w:p>
              </w:tc>
              <w:tc>
                <w:tcPr>
                  <w:tcW w:w="0" w:type="auto"/>
                  <w:vMerge w:val="continue"/>
                  <w:tcBorders>
                    <w:top w:val="nil"/>
                    <w:left w:val="single" w:color="000000" w:sz="8" w:space="0"/>
                    <w:bottom w:val="single" w:color="000000" w:sz="8" w:space="0"/>
                    <w:right w:val="single" w:color="000000" w:sz="8" w:space="0"/>
                  </w:tcBorders>
                  <w:shd w:val="clear" w:color="auto" w:fill="FFFFFF"/>
                  <w:vAlign w:val="center"/>
                </w:tcPr>
                <w:p w14:paraId="417707AD">
                  <w:pPr>
                    <w:widowControl/>
                    <w:jc w:val="center"/>
                    <w:rPr>
                      <w:color w:val="auto"/>
                      <w:kern w:val="21"/>
                      <w:szCs w:val="21"/>
                    </w:rPr>
                  </w:pP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E6E451A">
                  <w:pPr>
                    <w:widowControl/>
                    <w:jc w:val="center"/>
                    <w:textAlignment w:val="center"/>
                    <w:rPr>
                      <w:color w:val="auto"/>
                      <w:kern w:val="21"/>
                      <w:szCs w:val="21"/>
                    </w:rPr>
                  </w:pPr>
                  <w:r>
                    <w:rPr>
                      <w:color w:val="auto"/>
                      <w:kern w:val="21"/>
                      <w:szCs w:val="21"/>
                      <w:lang w:bidi="ar"/>
                    </w:rPr>
                    <w:t>出模摆渡车</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375DB456">
                  <w:pPr>
                    <w:widowControl/>
                    <w:jc w:val="center"/>
                    <w:textAlignment w:val="center"/>
                    <w:rPr>
                      <w:color w:val="auto"/>
                      <w:kern w:val="21"/>
                      <w:szCs w:val="21"/>
                    </w:rPr>
                  </w:pPr>
                  <w:r>
                    <w:rPr>
                      <w:color w:val="auto"/>
                      <w:kern w:val="21"/>
                      <w:szCs w:val="21"/>
                      <w:lang w:bidi="ar"/>
                    </w:rPr>
                    <w:t>75</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0DC226F">
                  <w:pPr>
                    <w:widowControl/>
                    <w:jc w:val="center"/>
                    <w:textAlignment w:val="center"/>
                    <w:rPr>
                      <w:color w:val="auto"/>
                      <w:kern w:val="21"/>
                      <w:szCs w:val="21"/>
                    </w:rPr>
                  </w:pPr>
                  <w:r>
                    <w:rPr>
                      <w:color w:val="auto"/>
                      <w:kern w:val="21"/>
                      <w:szCs w:val="21"/>
                      <w:lang w:bidi="ar"/>
                    </w:rPr>
                    <w:t>27.2</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3821B1F9">
                  <w:pPr>
                    <w:widowControl/>
                    <w:jc w:val="center"/>
                    <w:textAlignment w:val="center"/>
                    <w:rPr>
                      <w:color w:val="auto"/>
                      <w:kern w:val="21"/>
                      <w:szCs w:val="21"/>
                    </w:rPr>
                  </w:pPr>
                  <w:r>
                    <w:rPr>
                      <w:color w:val="auto"/>
                      <w:kern w:val="21"/>
                      <w:szCs w:val="21"/>
                      <w:lang w:bidi="ar"/>
                    </w:rPr>
                    <w:t>14.2</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7FB57964">
                  <w:pPr>
                    <w:widowControl/>
                    <w:jc w:val="center"/>
                    <w:textAlignment w:val="center"/>
                    <w:rPr>
                      <w:color w:val="auto"/>
                      <w:kern w:val="21"/>
                      <w:szCs w:val="21"/>
                    </w:rPr>
                  </w:pPr>
                  <w:r>
                    <w:rPr>
                      <w:color w:val="auto"/>
                      <w:kern w:val="21"/>
                      <w:szCs w:val="21"/>
                      <w:lang w:bidi="ar"/>
                    </w:rPr>
                    <w:t>1.2</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FFEECA8">
                  <w:pPr>
                    <w:widowControl/>
                    <w:jc w:val="center"/>
                    <w:textAlignment w:val="center"/>
                    <w:rPr>
                      <w:color w:val="auto"/>
                      <w:kern w:val="21"/>
                      <w:szCs w:val="21"/>
                    </w:rPr>
                  </w:pPr>
                  <w:r>
                    <w:rPr>
                      <w:color w:val="auto"/>
                      <w:kern w:val="21"/>
                      <w:szCs w:val="21"/>
                      <w:lang w:bidi="ar"/>
                    </w:rPr>
                    <w:t>72.2</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1C9E8A3">
                  <w:pPr>
                    <w:widowControl/>
                    <w:jc w:val="center"/>
                    <w:textAlignment w:val="center"/>
                    <w:rPr>
                      <w:color w:val="auto"/>
                      <w:kern w:val="21"/>
                      <w:szCs w:val="21"/>
                    </w:rPr>
                  </w:pPr>
                  <w:r>
                    <w:rPr>
                      <w:color w:val="auto"/>
                      <w:kern w:val="21"/>
                      <w:szCs w:val="21"/>
                      <w:lang w:bidi="ar"/>
                    </w:rPr>
                    <w:t>117.5</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9EE7594">
                  <w:pPr>
                    <w:widowControl/>
                    <w:jc w:val="center"/>
                    <w:textAlignment w:val="center"/>
                    <w:rPr>
                      <w:color w:val="auto"/>
                      <w:kern w:val="21"/>
                      <w:szCs w:val="21"/>
                    </w:rPr>
                  </w:pPr>
                  <w:r>
                    <w:rPr>
                      <w:color w:val="auto"/>
                      <w:kern w:val="21"/>
                      <w:szCs w:val="21"/>
                      <w:lang w:bidi="ar"/>
                    </w:rPr>
                    <w:t>131.7</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C2189BB">
                  <w:pPr>
                    <w:widowControl/>
                    <w:jc w:val="center"/>
                    <w:textAlignment w:val="center"/>
                    <w:rPr>
                      <w:color w:val="auto"/>
                      <w:kern w:val="21"/>
                      <w:szCs w:val="21"/>
                    </w:rPr>
                  </w:pPr>
                  <w:r>
                    <w:rPr>
                      <w:color w:val="auto"/>
                      <w:kern w:val="21"/>
                      <w:szCs w:val="21"/>
                      <w:lang w:bidi="ar"/>
                    </w:rPr>
                    <w:t>72.4</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1DAD920B">
                  <w:pPr>
                    <w:widowControl/>
                    <w:jc w:val="center"/>
                    <w:textAlignment w:val="center"/>
                    <w:rPr>
                      <w:color w:val="auto"/>
                      <w:kern w:val="21"/>
                      <w:szCs w:val="21"/>
                    </w:rPr>
                  </w:pPr>
                  <w:r>
                    <w:rPr>
                      <w:color w:val="auto"/>
                      <w:kern w:val="21"/>
                      <w:szCs w:val="21"/>
                      <w:lang w:bidi="ar"/>
                    </w:rPr>
                    <w:t>37.8</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6C871EF">
                  <w:pPr>
                    <w:widowControl/>
                    <w:jc w:val="center"/>
                    <w:textAlignment w:val="center"/>
                    <w:rPr>
                      <w:color w:val="auto"/>
                      <w:kern w:val="21"/>
                      <w:szCs w:val="21"/>
                    </w:rPr>
                  </w:pPr>
                  <w:r>
                    <w:rPr>
                      <w:color w:val="auto"/>
                      <w:kern w:val="21"/>
                      <w:szCs w:val="21"/>
                      <w:lang w:bidi="ar"/>
                    </w:rPr>
                    <w:t>33.5</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72C7B1AB">
                  <w:pPr>
                    <w:widowControl/>
                    <w:jc w:val="center"/>
                    <w:textAlignment w:val="center"/>
                    <w:rPr>
                      <w:color w:val="auto"/>
                      <w:kern w:val="21"/>
                      <w:szCs w:val="21"/>
                    </w:rPr>
                  </w:pPr>
                  <w:r>
                    <w:rPr>
                      <w:color w:val="auto"/>
                      <w:kern w:val="21"/>
                      <w:szCs w:val="21"/>
                      <w:lang w:bidi="ar"/>
                    </w:rPr>
                    <w:t>32.6</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71F7D0C6">
                  <w:pPr>
                    <w:widowControl/>
                    <w:jc w:val="center"/>
                    <w:textAlignment w:val="center"/>
                    <w:rPr>
                      <w:color w:val="auto"/>
                      <w:kern w:val="21"/>
                      <w:szCs w:val="21"/>
                    </w:rPr>
                  </w:pPr>
                  <w:r>
                    <w:rPr>
                      <w:color w:val="auto"/>
                      <w:kern w:val="21"/>
                      <w:szCs w:val="21"/>
                      <w:lang w:bidi="ar"/>
                    </w:rPr>
                    <w:t>37.8</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4B112C3F">
                  <w:pPr>
                    <w:widowControl/>
                    <w:jc w:val="center"/>
                    <w:textAlignment w:val="center"/>
                    <w:rPr>
                      <w:color w:val="auto"/>
                      <w:kern w:val="21"/>
                      <w:szCs w:val="21"/>
                    </w:rPr>
                  </w:pPr>
                  <w:r>
                    <w:rPr>
                      <w:color w:val="auto"/>
                      <w:kern w:val="21"/>
                      <w:szCs w:val="21"/>
                      <w:lang w:bidi="ar"/>
                    </w:rPr>
                    <w:t>昼间</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CDB5183">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34D30C9F">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1F97F752">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3F7CA2D">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7413DB77">
                  <w:pPr>
                    <w:widowControl/>
                    <w:jc w:val="center"/>
                    <w:textAlignment w:val="center"/>
                    <w:rPr>
                      <w:color w:val="auto"/>
                      <w:kern w:val="21"/>
                      <w:szCs w:val="21"/>
                    </w:rPr>
                  </w:pPr>
                  <w:r>
                    <w:rPr>
                      <w:color w:val="auto"/>
                      <w:kern w:val="21"/>
                      <w:szCs w:val="21"/>
                      <w:lang w:bidi="ar"/>
                    </w:rPr>
                    <w:t>17.8</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38D74A22">
                  <w:pPr>
                    <w:widowControl/>
                    <w:jc w:val="center"/>
                    <w:textAlignment w:val="center"/>
                    <w:rPr>
                      <w:color w:val="auto"/>
                      <w:kern w:val="21"/>
                      <w:szCs w:val="21"/>
                    </w:rPr>
                  </w:pPr>
                  <w:r>
                    <w:rPr>
                      <w:color w:val="auto"/>
                      <w:kern w:val="21"/>
                      <w:szCs w:val="21"/>
                      <w:lang w:bidi="ar"/>
                    </w:rPr>
                    <w:t>13.5</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3643D564">
                  <w:pPr>
                    <w:widowControl/>
                    <w:jc w:val="center"/>
                    <w:textAlignment w:val="center"/>
                    <w:rPr>
                      <w:color w:val="auto"/>
                      <w:kern w:val="21"/>
                      <w:szCs w:val="21"/>
                    </w:rPr>
                  </w:pPr>
                  <w:r>
                    <w:rPr>
                      <w:color w:val="auto"/>
                      <w:kern w:val="21"/>
                      <w:szCs w:val="21"/>
                      <w:lang w:bidi="ar"/>
                    </w:rPr>
                    <w:t>12.6</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35E2B67">
                  <w:pPr>
                    <w:widowControl/>
                    <w:jc w:val="center"/>
                    <w:textAlignment w:val="center"/>
                    <w:rPr>
                      <w:color w:val="auto"/>
                      <w:kern w:val="21"/>
                      <w:szCs w:val="21"/>
                    </w:rPr>
                  </w:pPr>
                  <w:r>
                    <w:rPr>
                      <w:color w:val="auto"/>
                      <w:kern w:val="21"/>
                      <w:szCs w:val="21"/>
                      <w:lang w:bidi="ar"/>
                    </w:rPr>
                    <w:t>17.8</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EB3F299">
                  <w:pPr>
                    <w:widowControl/>
                    <w:jc w:val="center"/>
                    <w:textAlignment w:val="center"/>
                    <w:rPr>
                      <w:color w:val="auto"/>
                      <w:kern w:val="21"/>
                      <w:szCs w:val="21"/>
                    </w:rPr>
                  </w:pPr>
                  <w:r>
                    <w:rPr>
                      <w:color w:val="auto"/>
                      <w:kern w:val="21"/>
                      <w:szCs w:val="21"/>
                      <w:lang w:bidi="ar"/>
                    </w:rPr>
                    <w:t>1</w:t>
                  </w:r>
                </w:p>
              </w:tc>
            </w:tr>
            <w:tr w14:paraId="3F287082">
              <w:tblPrEx>
                <w:tblCellMar>
                  <w:top w:w="0" w:type="dxa"/>
                  <w:left w:w="108" w:type="dxa"/>
                  <w:bottom w:w="0" w:type="dxa"/>
                  <w:right w:w="108" w:type="dxa"/>
                </w:tblCellMar>
              </w:tblPrEx>
              <w:trPr>
                <w:trHeight w:val="591" w:hRule="atLeast"/>
              </w:trPr>
              <w:tc>
                <w:tcPr>
                  <w:tcW w:w="0" w:type="auto"/>
                  <w:tcBorders>
                    <w:top w:val="nil"/>
                    <w:left w:val="single" w:color="000000" w:sz="8" w:space="0"/>
                    <w:bottom w:val="single" w:color="000000" w:sz="8" w:space="0"/>
                    <w:right w:val="single" w:color="000000" w:sz="8" w:space="0"/>
                  </w:tcBorders>
                  <w:shd w:val="clear" w:color="auto" w:fill="FFFFFF"/>
                  <w:vAlign w:val="center"/>
                </w:tcPr>
                <w:p w14:paraId="58C1B79B">
                  <w:pPr>
                    <w:widowControl/>
                    <w:jc w:val="center"/>
                    <w:textAlignment w:val="center"/>
                    <w:rPr>
                      <w:color w:val="auto"/>
                      <w:kern w:val="21"/>
                      <w:szCs w:val="21"/>
                    </w:rPr>
                  </w:pPr>
                  <w:r>
                    <w:rPr>
                      <w:color w:val="auto"/>
                      <w:kern w:val="21"/>
                      <w:szCs w:val="21"/>
                      <w:lang w:bidi="ar"/>
                    </w:rPr>
                    <w:t>13</w:t>
                  </w:r>
                </w:p>
              </w:tc>
              <w:tc>
                <w:tcPr>
                  <w:tcW w:w="0" w:type="auto"/>
                  <w:vMerge w:val="continue"/>
                  <w:tcBorders>
                    <w:top w:val="nil"/>
                    <w:left w:val="single" w:color="000000" w:sz="8" w:space="0"/>
                    <w:bottom w:val="single" w:color="000000" w:sz="8" w:space="0"/>
                    <w:right w:val="single" w:color="000000" w:sz="8" w:space="0"/>
                  </w:tcBorders>
                  <w:shd w:val="clear" w:color="auto" w:fill="FFFFFF"/>
                  <w:vAlign w:val="center"/>
                </w:tcPr>
                <w:p w14:paraId="1AAD90E0">
                  <w:pPr>
                    <w:widowControl/>
                    <w:jc w:val="center"/>
                    <w:rPr>
                      <w:color w:val="auto"/>
                      <w:kern w:val="21"/>
                      <w:szCs w:val="21"/>
                    </w:rPr>
                  </w:pP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F9B9381">
                  <w:pPr>
                    <w:widowControl/>
                    <w:jc w:val="center"/>
                    <w:textAlignment w:val="center"/>
                    <w:rPr>
                      <w:color w:val="auto"/>
                      <w:kern w:val="21"/>
                      <w:szCs w:val="21"/>
                    </w:rPr>
                  </w:pPr>
                  <w:r>
                    <w:rPr>
                      <w:color w:val="auto"/>
                      <w:kern w:val="21"/>
                      <w:szCs w:val="21"/>
                      <w:lang w:bidi="ar"/>
                    </w:rPr>
                    <w:t>料浆破碎机</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E768332">
                  <w:pPr>
                    <w:widowControl/>
                    <w:jc w:val="center"/>
                    <w:textAlignment w:val="center"/>
                    <w:rPr>
                      <w:color w:val="auto"/>
                      <w:kern w:val="21"/>
                      <w:szCs w:val="21"/>
                    </w:rPr>
                  </w:pPr>
                  <w:r>
                    <w:rPr>
                      <w:color w:val="auto"/>
                      <w:kern w:val="21"/>
                      <w:szCs w:val="21"/>
                      <w:lang w:bidi="ar"/>
                    </w:rPr>
                    <w:t>80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393EC03">
                  <w:pPr>
                    <w:widowControl/>
                    <w:jc w:val="center"/>
                    <w:textAlignment w:val="center"/>
                    <w:rPr>
                      <w:color w:val="auto"/>
                      <w:kern w:val="21"/>
                      <w:szCs w:val="21"/>
                    </w:rPr>
                  </w:pPr>
                  <w:r>
                    <w:rPr>
                      <w:color w:val="auto"/>
                      <w:kern w:val="21"/>
                      <w:szCs w:val="21"/>
                      <w:lang w:bidi="ar"/>
                    </w:rPr>
                    <w:t>-70.3</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CD1D035">
                  <w:pPr>
                    <w:widowControl/>
                    <w:jc w:val="center"/>
                    <w:textAlignment w:val="center"/>
                    <w:rPr>
                      <w:color w:val="auto"/>
                      <w:kern w:val="21"/>
                      <w:szCs w:val="21"/>
                    </w:rPr>
                  </w:pPr>
                  <w:r>
                    <w:rPr>
                      <w:color w:val="auto"/>
                      <w:kern w:val="21"/>
                      <w:szCs w:val="21"/>
                      <w:lang w:bidi="ar"/>
                    </w:rPr>
                    <w:t>70.3</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782D6608">
                  <w:pPr>
                    <w:widowControl/>
                    <w:jc w:val="center"/>
                    <w:textAlignment w:val="center"/>
                    <w:rPr>
                      <w:color w:val="auto"/>
                      <w:kern w:val="21"/>
                      <w:szCs w:val="21"/>
                    </w:rPr>
                  </w:pPr>
                  <w:r>
                    <w:rPr>
                      <w:color w:val="auto"/>
                      <w:kern w:val="21"/>
                      <w:szCs w:val="21"/>
                      <w:lang w:bidi="ar"/>
                    </w:rPr>
                    <w:t>1.2</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0B02683">
                  <w:pPr>
                    <w:widowControl/>
                    <w:jc w:val="center"/>
                    <w:textAlignment w:val="center"/>
                    <w:rPr>
                      <w:color w:val="auto"/>
                      <w:kern w:val="21"/>
                      <w:szCs w:val="21"/>
                    </w:rPr>
                  </w:pPr>
                  <w:r>
                    <w:rPr>
                      <w:color w:val="auto"/>
                      <w:kern w:val="21"/>
                      <w:szCs w:val="21"/>
                      <w:lang w:bidi="ar"/>
                    </w:rPr>
                    <w:t>180.8</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0C22EC2">
                  <w:pPr>
                    <w:widowControl/>
                    <w:jc w:val="center"/>
                    <w:textAlignment w:val="center"/>
                    <w:rPr>
                      <w:color w:val="auto"/>
                      <w:kern w:val="21"/>
                      <w:szCs w:val="21"/>
                    </w:rPr>
                  </w:pPr>
                  <w:r>
                    <w:rPr>
                      <w:color w:val="auto"/>
                      <w:kern w:val="21"/>
                      <w:szCs w:val="21"/>
                      <w:lang w:bidi="ar"/>
                    </w:rPr>
                    <w:t>110.8</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348880AD">
                  <w:pPr>
                    <w:widowControl/>
                    <w:jc w:val="center"/>
                    <w:textAlignment w:val="center"/>
                    <w:rPr>
                      <w:color w:val="auto"/>
                      <w:kern w:val="21"/>
                      <w:szCs w:val="21"/>
                    </w:rPr>
                  </w:pPr>
                  <w:r>
                    <w:rPr>
                      <w:color w:val="auto"/>
                      <w:kern w:val="21"/>
                      <w:szCs w:val="21"/>
                      <w:lang w:bidi="ar"/>
                    </w:rPr>
                    <w:t>23.1</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73BD34A9">
                  <w:pPr>
                    <w:widowControl/>
                    <w:jc w:val="center"/>
                    <w:textAlignment w:val="center"/>
                    <w:rPr>
                      <w:color w:val="auto"/>
                      <w:kern w:val="21"/>
                      <w:szCs w:val="21"/>
                    </w:rPr>
                  </w:pPr>
                  <w:r>
                    <w:rPr>
                      <w:color w:val="auto"/>
                      <w:kern w:val="21"/>
                      <w:szCs w:val="21"/>
                      <w:lang w:bidi="ar"/>
                    </w:rPr>
                    <w:t>79.1</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3C9A37B6">
                  <w:pPr>
                    <w:widowControl/>
                    <w:jc w:val="center"/>
                    <w:textAlignment w:val="center"/>
                    <w:rPr>
                      <w:color w:val="auto"/>
                      <w:kern w:val="21"/>
                      <w:szCs w:val="21"/>
                    </w:rPr>
                  </w:pPr>
                  <w:r>
                    <w:rPr>
                      <w:color w:val="auto"/>
                      <w:kern w:val="21"/>
                      <w:szCs w:val="21"/>
                      <w:lang w:bidi="ar"/>
                    </w:rPr>
                    <w:t>34.8</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3580A2D">
                  <w:pPr>
                    <w:widowControl/>
                    <w:jc w:val="center"/>
                    <w:textAlignment w:val="center"/>
                    <w:rPr>
                      <w:color w:val="auto"/>
                      <w:kern w:val="21"/>
                      <w:szCs w:val="21"/>
                    </w:rPr>
                  </w:pPr>
                  <w:r>
                    <w:rPr>
                      <w:color w:val="auto"/>
                      <w:kern w:val="21"/>
                      <w:szCs w:val="21"/>
                      <w:lang w:bidi="ar"/>
                    </w:rPr>
                    <w:t>39.1</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38B17A5">
                  <w:pPr>
                    <w:widowControl/>
                    <w:jc w:val="center"/>
                    <w:textAlignment w:val="center"/>
                    <w:rPr>
                      <w:color w:val="auto"/>
                      <w:kern w:val="21"/>
                      <w:szCs w:val="21"/>
                    </w:rPr>
                  </w:pPr>
                  <w:r>
                    <w:rPr>
                      <w:color w:val="auto"/>
                      <w:kern w:val="21"/>
                      <w:szCs w:val="21"/>
                      <w:lang w:bidi="ar"/>
                    </w:rPr>
                    <w:t>52.7</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A16F0BA">
                  <w:pPr>
                    <w:widowControl/>
                    <w:jc w:val="center"/>
                    <w:textAlignment w:val="center"/>
                    <w:rPr>
                      <w:color w:val="auto"/>
                      <w:kern w:val="21"/>
                      <w:szCs w:val="21"/>
                    </w:rPr>
                  </w:pPr>
                  <w:r>
                    <w:rPr>
                      <w:color w:val="auto"/>
                      <w:kern w:val="21"/>
                      <w:szCs w:val="21"/>
                      <w:lang w:bidi="ar"/>
                    </w:rPr>
                    <w:t xml:space="preserve">42.0 </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D1DFCF8">
                  <w:pPr>
                    <w:widowControl/>
                    <w:jc w:val="center"/>
                    <w:textAlignment w:val="center"/>
                    <w:rPr>
                      <w:color w:val="auto"/>
                      <w:kern w:val="21"/>
                      <w:szCs w:val="21"/>
                    </w:rPr>
                  </w:pPr>
                  <w:r>
                    <w:rPr>
                      <w:color w:val="auto"/>
                      <w:kern w:val="21"/>
                      <w:szCs w:val="21"/>
                      <w:lang w:bidi="ar"/>
                    </w:rPr>
                    <w:t>昼间</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27E7110">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7C44AC7">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0759793">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A44AFBA">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18165DCC">
                  <w:pPr>
                    <w:widowControl/>
                    <w:jc w:val="center"/>
                    <w:textAlignment w:val="center"/>
                    <w:rPr>
                      <w:color w:val="auto"/>
                      <w:kern w:val="21"/>
                      <w:szCs w:val="21"/>
                    </w:rPr>
                  </w:pPr>
                  <w:r>
                    <w:rPr>
                      <w:color w:val="auto"/>
                      <w:kern w:val="21"/>
                      <w:szCs w:val="21"/>
                      <w:lang w:bidi="ar"/>
                    </w:rPr>
                    <w:t>14.8</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D190BD0">
                  <w:pPr>
                    <w:widowControl/>
                    <w:jc w:val="center"/>
                    <w:textAlignment w:val="center"/>
                    <w:rPr>
                      <w:color w:val="auto"/>
                      <w:kern w:val="21"/>
                      <w:szCs w:val="21"/>
                    </w:rPr>
                  </w:pPr>
                  <w:r>
                    <w:rPr>
                      <w:color w:val="auto"/>
                      <w:kern w:val="21"/>
                      <w:szCs w:val="21"/>
                      <w:lang w:bidi="ar"/>
                    </w:rPr>
                    <w:t>19.1</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34E706F3">
                  <w:pPr>
                    <w:widowControl/>
                    <w:jc w:val="center"/>
                    <w:textAlignment w:val="center"/>
                    <w:rPr>
                      <w:color w:val="auto"/>
                      <w:kern w:val="21"/>
                      <w:szCs w:val="21"/>
                    </w:rPr>
                  </w:pPr>
                  <w:r>
                    <w:rPr>
                      <w:color w:val="auto"/>
                      <w:kern w:val="21"/>
                      <w:szCs w:val="21"/>
                      <w:lang w:bidi="ar"/>
                    </w:rPr>
                    <w:t>32.7</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1E0270B2">
                  <w:pPr>
                    <w:widowControl/>
                    <w:jc w:val="center"/>
                    <w:textAlignment w:val="center"/>
                    <w:rPr>
                      <w:color w:val="auto"/>
                      <w:kern w:val="21"/>
                      <w:szCs w:val="21"/>
                    </w:rPr>
                  </w:pPr>
                  <w:r>
                    <w:rPr>
                      <w:color w:val="auto"/>
                      <w:kern w:val="21"/>
                      <w:szCs w:val="21"/>
                      <w:lang w:bidi="ar"/>
                    </w:rPr>
                    <w:t xml:space="preserve">22.0 </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EAA1D07">
                  <w:pPr>
                    <w:widowControl/>
                    <w:jc w:val="center"/>
                    <w:textAlignment w:val="center"/>
                    <w:rPr>
                      <w:color w:val="auto"/>
                      <w:kern w:val="21"/>
                      <w:szCs w:val="21"/>
                    </w:rPr>
                  </w:pPr>
                  <w:r>
                    <w:rPr>
                      <w:color w:val="auto"/>
                      <w:kern w:val="21"/>
                      <w:szCs w:val="21"/>
                      <w:lang w:bidi="ar"/>
                    </w:rPr>
                    <w:t>1</w:t>
                  </w:r>
                </w:p>
              </w:tc>
            </w:tr>
            <w:tr w14:paraId="695C36E6">
              <w:tblPrEx>
                <w:tblCellMar>
                  <w:top w:w="0" w:type="dxa"/>
                  <w:left w:w="108" w:type="dxa"/>
                  <w:bottom w:w="0" w:type="dxa"/>
                  <w:right w:w="108" w:type="dxa"/>
                </w:tblCellMar>
              </w:tblPrEx>
              <w:trPr>
                <w:trHeight w:val="303" w:hRule="atLeast"/>
              </w:trPr>
              <w:tc>
                <w:tcPr>
                  <w:tcW w:w="0" w:type="auto"/>
                  <w:tcBorders>
                    <w:top w:val="nil"/>
                    <w:left w:val="single" w:color="000000" w:sz="8" w:space="0"/>
                    <w:bottom w:val="single" w:color="000000" w:sz="8" w:space="0"/>
                    <w:right w:val="single" w:color="000000" w:sz="8" w:space="0"/>
                  </w:tcBorders>
                  <w:shd w:val="clear" w:color="auto" w:fill="FFFFFF"/>
                  <w:vAlign w:val="center"/>
                </w:tcPr>
                <w:p w14:paraId="0D70F256">
                  <w:pPr>
                    <w:widowControl/>
                    <w:jc w:val="center"/>
                    <w:textAlignment w:val="center"/>
                    <w:rPr>
                      <w:color w:val="auto"/>
                      <w:kern w:val="21"/>
                      <w:szCs w:val="21"/>
                    </w:rPr>
                  </w:pPr>
                  <w:r>
                    <w:rPr>
                      <w:color w:val="auto"/>
                      <w:kern w:val="21"/>
                      <w:szCs w:val="21"/>
                      <w:lang w:bidi="ar"/>
                    </w:rPr>
                    <w:t>14</w:t>
                  </w:r>
                </w:p>
              </w:tc>
              <w:tc>
                <w:tcPr>
                  <w:tcW w:w="0" w:type="auto"/>
                  <w:vMerge w:val="continue"/>
                  <w:tcBorders>
                    <w:top w:val="nil"/>
                    <w:left w:val="single" w:color="000000" w:sz="8" w:space="0"/>
                    <w:bottom w:val="single" w:color="000000" w:sz="8" w:space="0"/>
                    <w:right w:val="single" w:color="000000" w:sz="8" w:space="0"/>
                  </w:tcBorders>
                  <w:shd w:val="clear" w:color="auto" w:fill="FFFFFF"/>
                  <w:vAlign w:val="center"/>
                </w:tcPr>
                <w:p w14:paraId="410D8F2E">
                  <w:pPr>
                    <w:widowControl/>
                    <w:jc w:val="center"/>
                    <w:rPr>
                      <w:color w:val="auto"/>
                      <w:kern w:val="21"/>
                      <w:szCs w:val="21"/>
                    </w:rPr>
                  </w:pP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403AAB8E">
                  <w:pPr>
                    <w:widowControl/>
                    <w:jc w:val="center"/>
                    <w:textAlignment w:val="center"/>
                    <w:rPr>
                      <w:color w:val="auto"/>
                      <w:kern w:val="21"/>
                      <w:szCs w:val="21"/>
                    </w:rPr>
                  </w:pPr>
                  <w:r>
                    <w:rPr>
                      <w:color w:val="auto"/>
                      <w:kern w:val="21"/>
                      <w:szCs w:val="21"/>
                      <w:lang w:bidi="ar"/>
                    </w:rPr>
                    <w:t>滚动筛</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5D44A3E">
                  <w:pPr>
                    <w:widowControl/>
                    <w:jc w:val="center"/>
                    <w:textAlignment w:val="center"/>
                    <w:rPr>
                      <w:color w:val="auto"/>
                      <w:kern w:val="21"/>
                      <w:szCs w:val="21"/>
                    </w:rPr>
                  </w:pPr>
                  <w:r>
                    <w:rPr>
                      <w:color w:val="auto"/>
                      <w:kern w:val="21"/>
                      <w:szCs w:val="21"/>
                      <w:lang w:bidi="ar"/>
                    </w:rPr>
                    <w:t>80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C30F654">
                  <w:pPr>
                    <w:widowControl/>
                    <w:jc w:val="center"/>
                    <w:textAlignment w:val="center"/>
                    <w:rPr>
                      <w:color w:val="auto"/>
                      <w:kern w:val="21"/>
                      <w:szCs w:val="21"/>
                    </w:rPr>
                  </w:pPr>
                  <w:r>
                    <w:rPr>
                      <w:color w:val="auto"/>
                      <w:kern w:val="21"/>
                      <w:szCs w:val="21"/>
                      <w:lang w:bidi="ar"/>
                    </w:rPr>
                    <w:t>-67.1</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D66CB22">
                  <w:pPr>
                    <w:widowControl/>
                    <w:jc w:val="center"/>
                    <w:textAlignment w:val="center"/>
                    <w:rPr>
                      <w:color w:val="auto"/>
                      <w:kern w:val="21"/>
                      <w:szCs w:val="21"/>
                    </w:rPr>
                  </w:pPr>
                  <w:r>
                    <w:rPr>
                      <w:color w:val="auto"/>
                      <w:kern w:val="21"/>
                      <w:szCs w:val="21"/>
                      <w:lang w:bidi="ar"/>
                    </w:rPr>
                    <w:t>82.7</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4B8BB04B">
                  <w:pPr>
                    <w:widowControl/>
                    <w:jc w:val="center"/>
                    <w:textAlignment w:val="center"/>
                    <w:rPr>
                      <w:color w:val="auto"/>
                      <w:kern w:val="21"/>
                      <w:szCs w:val="21"/>
                    </w:rPr>
                  </w:pPr>
                  <w:r>
                    <w:rPr>
                      <w:color w:val="auto"/>
                      <w:kern w:val="21"/>
                      <w:szCs w:val="21"/>
                      <w:lang w:bidi="ar"/>
                    </w:rPr>
                    <w:t>1.2</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48F6F806">
                  <w:pPr>
                    <w:widowControl/>
                    <w:jc w:val="center"/>
                    <w:textAlignment w:val="center"/>
                    <w:rPr>
                      <w:color w:val="auto"/>
                      <w:kern w:val="21"/>
                      <w:szCs w:val="21"/>
                    </w:rPr>
                  </w:pPr>
                  <w:r>
                    <w:rPr>
                      <w:color w:val="auto"/>
                      <w:kern w:val="21"/>
                      <w:szCs w:val="21"/>
                      <w:lang w:bidi="ar"/>
                    </w:rPr>
                    <w:t>180.9</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4595E2A9">
                  <w:pPr>
                    <w:widowControl/>
                    <w:jc w:val="center"/>
                    <w:textAlignment w:val="center"/>
                    <w:rPr>
                      <w:color w:val="auto"/>
                      <w:kern w:val="21"/>
                      <w:szCs w:val="21"/>
                    </w:rPr>
                  </w:pPr>
                  <w:r>
                    <w:rPr>
                      <w:color w:val="auto"/>
                      <w:kern w:val="21"/>
                      <w:szCs w:val="21"/>
                      <w:lang w:bidi="ar"/>
                    </w:rPr>
                    <w:t>122.9</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2253720">
                  <w:pPr>
                    <w:widowControl/>
                    <w:jc w:val="center"/>
                    <w:textAlignment w:val="center"/>
                    <w:rPr>
                      <w:color w:val="auto"/>
                      <w:kern w:val="21"/>
                      <w:szCs w:val="21"/>
                    </w:rPr>
                  </w:pPr>
                  <w:r>
                    <w:rPr>
                      <w:color w:val="auto"/>
                      <w:kern w:val="21"/>
                      <w:szCs w:val="21"/>
                      <w:lang w:bidi="ar"/>
                    </w:rPr>
                    <w:t>23</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8C09647">
                  <w:pPr>
                    <w:widowControl/>
                    <w:jc w:val="center"/>
                    <w:textAlignment w:val="center"/>
                    <w:rPr>
                      <w:color w:val="auto"/>
                      <w:kern w:val="21"/>
                      <w:szCs w:val="21"/>
                    </w:rPr>
                  </w:pPr>
                  <w:r>
                    <w:rPr>
                      <w:color w:val="auto"/>
                      <w:kern w:val="21"/>
                      <w:szCs w:val="21"/>
                      <w:lang w:bidi="ar"/>
                    </w:rPr>
                    <w:t>67</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F51D87D">
                  <w:pPr>
                    <w:widowControl/>
                    <w:jc w:val="center"/>
                    <w:textAlignment w:val="center"/>
                    <w:rPr>
                      <w:color w:val="auto"/>
                      <w:kern w:val="21"/>
                      <w:szCs w:val="21"/>
                    </w:rPr>
                  </w:pPr>
                  <w:r>
                    <w:rPr>
                      <w:color w:val="auto"/>
                      <w:kern w:val="21"/>
                      <w:szCs w:val="21"/>
                      <w:lang w:bidi="ar"/>
                    </w:rPr>
                    <w:t>34.8</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1EB242D">
                  <w:pPr>
                    <w:widowControl/>
                    <w:jc w:val="center"/>
                    <w:textAlignment w:val="center"/>
                    <w:rPr>
                      <w:color w:val="auto"/>
                      <w:kern w:val="21"/>
                      <w:szCs w:val="21"/>
                    </w:rPr>
                  </w:pPr>
                  <w:r>
                    <w:rPr>
                      <w:color w:val="auto"/>
                      <w:kern w:val="21"/>
                      <w:szCs w:val="21"/>
                      <w:lang w:bidi="ar"/>
                    </w:rPr>
                    <w:t>38.2</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14D7BA5A">
                  <w:pPr>
                    <w:widowControl/>
                    <w:jc w:val="center"/>
                    <w:textAlignment w:val="center"/>
                    <w:rPr>
                      <w:color w:val="auto"/>
                      <w:kern w:val="21"/>
                      <w:szCs w:val="21"/>
                    </w:rPr>
                  </w:pPr>
                  <w:r>
                    <w:rPr>
                      <w:color w:val="auto"/>
                      <w:kern w:val="21"/>
                      <w:szCs w:val="21"/>
                      <w:lang w:bidi="ar"/>
                    </w:rPr>
                    <w:t>52.7</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3314C6AB">
                  <w:pPr>
                    <w:widowControl/>
                    <w:jc w:val="center"/>
                    <w:textAlignment w:val="center"/>
                    <w:rPr>
                      <w:color w:val="auto"/>
                      <w:kern w:val="21"/>
                      <w:szCs w:val="21"/>
                    </w:rPr>
                  </w:pPr>
                  <w:r>
                    <w:rPr>
                      <w:color w:val="auto"/>
                      <w:kern w:val="21"/>
                      <w:szCs w:val="21"/>
                      <w:lang w:bidi="ar"/>
                    </w:rPr>
                    <w:t>43.4</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3F165BE6">
                  <w:pPr>
                    <w:widowControl/>
                    <w:jc w:val="center"/>
                    <w:textAlignment w:val="center"/>
                    <w:rPr>
                      <w:color w:val="auto"/>
                      <w:kern w:val="21"/>
                      <w:szCs w:val="21"/>
                    </w:rPr>
                  </w:pPr>
                  <w:r>
                    <w:rPr>
                      <w:color w:val="auto"/>
                      <w:kern w:val="21"/>
                      <w:szCs w:val="21"/>
                      <w:lang w:bidi="ar"/>
                    </w:rPr>
                    <w:t>昼间</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7D04EDC">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D6E32A0">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379902C3">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40BB634">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059A7AE">
                  <w:pPr>
                    <w:widowControl/>
                    <w:jc w:val="center"/>
                    <w:textAlignment w:val="center"/>
                    <w:rPr>
                      <w:color w:val="auto"/>
                      <w:kern w:val="21"/>
                      <w:szCs w:val="21"/>
                    </w:rPr>
                  </w:pPr>
                  <w:r>
                    <w:rPr>
                      <w:color w:val="auto"/>
                      <w:kern w:val="21"/>
                      <w:szCs w:val="21"/>
                      <w:lang w:bidi="ar"/>
                    </w:rPr>
                    <w:t>14.8</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1A82A04B">
                  <w:pPr>
                    <w:widowControl/>
                    <w:jc w:val="center"/>
                    <w:textAlignment w:val="center"/>
                    <w:rPr>
                      <w:color w:val="auto"/>
                      <w:kern w:val="21"/>
                      <w:szCs w:val="21"/>
                    </w:rPr>
                  </w:pPr>
                  <w:r>
                    <w:rPr>
                      <w:color w:val="auto"/>
                      <w:kern w:val="21"/>
                      <w:szCs w:val="21"/>
                      <w:lang w:bidi="ar"/>
                    </w:rPr>
                    <w:t>18.2</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04C2E2C">
                  <w:pPr>
                    <w:widowControl/>
                    <w:jc w:val="center"/>
                    <w:textAlignment w:val="center"/>
                    <w:rPr>
                      <w:color w:val="auto"/>
                      <w:kern w:val="21"/>
                      <w:szCs w:val="21"/>
                    </w:rPr>
                  </w:pPr>
                  <w:r>
                    <w:rPr>
                      <w:color w:val="auto"/>
                      <w:kern w:val="21"/>
                      <w:szCs w:val="21"/>
                      <w:lang w:bidi="ar"/>
                    </w:rPr>
                    <w:t>32.7</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594080E">
                  <w:pPr>
                    <w:widowControl/>
                    <w:jc w:val="center"/>
                    <w:textAlignment w:val="center"/>
                    <w:rPr>
                      <w:color w:val="auto"/>
                      <w:kern w:val="21"/>
                      <w:szCs w:val="21"/>
                    </w:rPr>
                  </w:pPr>
                  <w:r>
                    <w:rPr>
                      <w:color w:val="auto"/>
                      <w:kern w:val="21"/>
                      <w:szCs w:val="21"/>
                      <w:lang w:bidi="ar"/>
                    </w:rPr>
                    <w:t>23.4</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3B05D229">
                  <w:pPr>
                    <w:widowControl/>
                    <w:jc w:val="center"/>
                    <w:textAlignment w:val="center"/>
                    <w:rPr>
                      <w:color w:val="auto"/>
                      <w:kern w:val="21"/>
                      <w:szCs w:val="21"/>
                    </w:rPr>
                  </w:pPr>
                  <w:r>
                    <w:rPr>
                      <w:color w:val="auto"/>
                      <w:kern w:val="21"/>
                      <w:szCs w:val="21"/>
                      <w:lang w:bidi="ar"/>
                    </w:rPr>
                    <w:t>1</w:t>
                  </w:r>
                </w:p>
              </w:tc>
            </w:tr>
            <w:tr w14:paraId="6C3C1AA5">
              <w:tblPrEx>
                <w:tblCellMar>
                  <w:top w:w="0" w:type="dxa"/>
                  <w:left w:w="108" w:type="dxa"/>
                  <w:bottom w:w="0" w:type="dxa"/>
                  <w:right w:w="108" w:type="dxa"/>
                </w:tblCellMar>
              </w:tblPrEx>
              <w:trPr>
                <w:trHeight w:val="591" w:hRule="atLeast"/>
              </w:trPr>
              <w:tc>
                <w:tcPr>
                  <w:tcW w:w="0" w:type="auto"/>
                  <w:tcBorders>
                    <w:top w:val="nil"/>
                    <w:left w:val="single" w:color="000000" w:sz="8" w:space="0"/>
                    <w:bottom w:val="single" w:color="000000" w:sz="8" w:space="0"/>
                    <w:right w:val="single" w:color="000000" w:sz="8" w:space="0"/>
                  </w:tcBorders>
                  <w:shd w:val="clear" w:color="auto" w:fill="FFFFFF"/>
                  <w:vAlign w:val="center"/>
                </w:tcPr>
                <w:p w14:paraId="11B304C0">
                  <w:pPr>
                    <w:widowControl/>
                    <w:jc w:val="center"/>
                    <w:textAlignment w:val="center"/>
                    <w:rPr>
                      <w:color w:val="auto"/>
                      <w:kern w:val="21"/>
                      <w:szCs w:val="21"/>
                    </w:rPr>
                  </w:pPr>
                  <w:r>
                    <w:rPr>
                      <w:color w:val="auto"/>
                      <w:kern w:val="21"/>
                      <w:szCs w:val="21"/>
                      <w:lang w:bidi="ar"/>
                    </w:rPr>
                    <w:t>15</w:t>
                  </w:r>
                </w:p>
              </w:tc>
              <w:tc>
                <w:tcPr>
                  <w:tcW w:w="0" w:type="auto"/>
                  <w:vMerge w:val="continue"/>
                  <w:tcBorders>
                    <w:top w:val="nil"/>
                    <w:left w:val="single" w:color="000000" w:sz="8" w:space="0"/>
                    <w:bottom w:val="single" w:color="000000" w:sz="8" w:space="0"/>
                    <w:right w:val="single" w:color="000000" w:sz="8" w:space="0"/>
                  </w:tcBorders>
                  <w:shd w:val="clear" w:color="auto" w:fill="FFFFFF"/>
                  <w:vAlign w:val="center"/>
                </w:tcPr>
                <w:p w14:paraId="1BCA0282">
                  <w:pPr>
                    <w:widowControl/>
                    <w:jc w:val="center"/>
                    <w:rPr>
                      <w:color w:val="auto"/>
                      <w:kern w:val="21"/>
                      <w:szCs w:val="21"/>
                    </w:rPr>
                  </w:pP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FCEF704">
                  <w:pPr>
                    <w:widowControl/>
                    <w:jc w:val="center"/>
                    <w:textAlignment w:val="center"/>
                    <w:rPr>
                      <w:color w:val="auto"/>
                      <w:kern w:val="21"/>
                      <w:szCs w:val="21"/>
                    </w:rPr>
                  </w:pPr>
                  <w:r>
                    <w:rPr>
                      <w:color w:val="auto"/>
                      <w:kern w:val="21"/>
                      <w:szCs w:val="21"/>
                      <w:lang w:bidi="ar"/>
                    </w:rPr>
                    <w:t>天然气锅炉</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31E71A5D">
                  <w:pPr>
                    <w:widowControl/>
                    <w:jc w:val="center"/>
                    <w:textAlignment w:val="center"/>
                    <w:rPr>
                      <w:color w:val="auto"/>
                      <w:kern w:val="21"/>
                      <w:szCs w:val="21"/>
                    </w:rPr>
                  </w:pPr>
                  <w:r>
                    <w:rPr>
                      <w:color w:val="auto"/>
                      <w:kern w:val="21"/>
                      <w:szCs w:val="21"/>
                      <w:lang w:bidi="ar"/>
                    </w:rPr>
                    <w:t>85</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9EB2752">
                  <w:pPr>
                    <w:widowControl/>
                    <w:jc w:val="center"/>
                    <w:textAlignment w:val="center"/>
                    <w:rPr>
                      <w:color w:val="auto"/>
                      <w:kern w:val="21"/>
                      <w:szCs w:val="21"/>
                    </w:rPr>
                  </w:pPr>
                  <w:r>
                    <w:rPr>
                      <w:color w:val="auto"/>
                      <w:kern w:val="21"/>
                      <w:szCs w:val="21"/>
                      <w:lang w:bidi="ar"/>
                    </w:rPr>
                    <w:t>-40.4</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1D503DD9">
                  <w:pPr>
                    <w:widowControl/>
                    <w:jc w:val="center"/>
                    <w:textAlignment w:val="center"/>
                    <w:rPr>
                      <w:color w:val="auto"/>
                      <w:kern w:val="21"/>
                      <w:szCs w:val="21"/>
                    </w:rPr>
                  </w:pPr>
                  <w:r>
                    <w:rPr>
                      <w:color w:val="auto"/>
                      <w:kern w:val="21"/>
                      <w:szCs w:val="21"/>
                      <w:lang w:bidi="ar"/>
                    </w:rPr>
                    <w:t>69.9</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A616521">
                  <w:pPr>
                    <w:widowControl/>
                    <w:jc w:val="center"/>
                    <w:textAlignment w:val="center"/>
                    <w:rPr>
                      <w:color w:val="auto"/>
                      <w:kern w:val="21"/>
                      <w:szCs w:val="21"/>
                    </w:rPr>
                  </w:pPr>
                  <w:r>
                    <w:rPr>
                      <w:color w:val="auto"/>
                      <w:kern w:val="21"/>
                      <w:szCs w:val="21"/>
                      <w:lang w:bidi="ar"/>
                    </w:rPr>
                    <w:t>1.2</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75717EC6">
                  <w:pPr>
                    <w:widowControl/>
                    <w:jc w:val="center"/>
                    <w:textAlignment w:val="center"/>
                    <w:rPr>
                      <w:color w:val="auto"/>
                      <w:kern w:val="21"/>
                      <w:szCs w:val="21"/>
                    </w:rPr>
                  </w:pPr>
                  <w:r>
                    <w:rPr>
                      <w:color w:val="auto"/>
                      <w:kern w:val="21"/>
                      <w:szCs w:val="21"/>
                      <w:lang w:bidi="ar"/>
                    </w:rPr>
                    <w:t>151.8</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1E195F54">
                  <w:pPr>
                    <w:widowControl/>
                    <w:jc w:val="center"/>
                    <w:textAlignment w:val="center"/>
                    <w:rPr>
                      <w:color w:val="auto"/>
                      <w:kern w:val="21"/>
                      <w:szCs w:val="21"/>
                    </w:rPr>
                  </w:pPr>
                  <w:r>
                    <w:rPr>
                      <w:color w:val="auto"/>
                      <w:kern w:val="21"/>
                      <w:szCs w:val="21"/>
                      <w:lang w:bidi="ar"/>
                    </w:rPr>
                    <w:t>126.9</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4E6AD47C">
                  <w:pPr>
                    <w:widowControl/>
                    <w:jc w:val="center"/>
                    <w:textAlignment w:val="center"/>
                    <w:rPr>
                      <w:color w:val="auto"/>
                      <w:kern w:val="21"/>
                      <w:szCs w:val="21"/>
                    </w:rPr>
                  </w:pPr>
                  <w:r>
                    <w:rPr>
                      <w:color w:val="auto"/>
                      <w:kern w:val="21"/>
                      <w:szCs w:val="21"/>
                      <w:lang w:bidi="ar"/>
                    </w:rPr>
                    <w:t>52.1</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73667103">
                  <w:pPr>
                    <w:widowControl/>
                    <w:jc w:val="center"/>
                    <w:textAlignment w:val="center"/>
                    <w:rPr>
                      <w:color w:val="auto"/>
                      <w:kern w:val="21"/>
                      <w:szCs w:val="21"/>
                    </w:rPr>
                  </w:pPr>
                  <w:r>
                    <w:rPr>
                      <w:color w:val="auto"/>
                      <w:kern w:val="21"/>
                      <w:szCs w:val="21"/>
                      <w:lang w:bidi="ar"/>
                    </w:rPr>
                    <w:t>63</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3C0A635F">
                  <w:pPr>
                    <w:widowControl/>
                    <w:jc w:val="center"/>
                    <w:textAlignment w:val="center"/>
                    <w:rPr>
                      <w:color w:val="auto"/>
                      <w:kern w:val="21"/>
                      <w:szCs w:val="21"/>
                    </w:rPr>
                  </w:pPr>
                  <w:r>
                    <w:rPr>
                      <w:color w:val="auto"/>
                      <w:kern w:val="21"/>
                      <w:szCs w:val="21"/>
                      <w:lang w:bidi="ar"/>
                    </w:rPr>
                    <w:t>41.4</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759300E9">
                  <w:pPr>
                    <w:widowControl/>
                    <w:jc w:val="center"/>
                    <w:textAlignment w:val="center"/>
                    <w:rPr>
                      <w:color w:val="auto"/>
                      <w:kern w:val="21"/>
                      <w:szCs w:val="21"/>
                    </w:rPr>
                  </w:pPr>
                  <w:r>
                    <w:rPr>
                      <w:color w:val="auto"/>
                      <w:kern w:val="21"/>
                      <w:szCs w:val="21"/>
                      <w:lang w:bidi="ar"/>
                    </w:rPr>
                    <w:t>42.9</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396DCD6">
                  <w:pPr>
                    <w:widowControl/>
                    <w:jc w:val="center"/>
                    <w:textAlignment w:val="center"/>
                    <w:rPr>
                      <w:color w:val="auto"/>
                      <w:kern w:val="21"/>
                      <w:szCs w:val="21"/>
                    </w:rPr>
                  </w:pPr>
                  <w:r>
                    <w:rPr>
                      <w:color w:val="auto"/>
                      <w:kern w:val="21"/>
                      <w:szCs w:val="21"/>
                      <w:lang w:bidi="ar"/>
                    </w:rPr>
                    <w:t>50.6</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DA2D0AF">
                  <w:pPr>
                    <w:widowControl/>
                    <w:jc w:val="center"/>
                    <w:textAlignment w:val="center"/>
                    <w:rPr>
                      <w:color w:val="auto"/>
                      <w:kern w:val="21"/>
                      <w:szCs w:val="21"/>
                    </w:rPr>
                  </w:pPr>
                  <w:r>
                    <w:rPr>
                      <w:color w:val="auto"/>
                      <w:kern w:val="21"/>
                      <w:szCs w:val="21"/>
                      <w:lang w:bidi="ar"/>
                    </w:rPr>
                    <w:t xml:space="preserve">49.0 </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1A2CCCB4">
                  <w:pPr>
                    <w:widowControl/>
                    <w:jc w:val="center"/>
                    <w:textAlignment w:val="center"/>
                    <w:rPr>
                      <w:color w:val="auto"/>
                      <w:kern w:val="21"/>
                      <w:szCs w:val="21"/>
                    </w:rPr>
                  </w:pPr>
                  <w:r>
                    <w:rPr>
                      <w:color w:val="auto"/>
                      <w:kern w:val="21"/>
                      <w:szCs w:val="21"/>
                      <w:lang w:bidi="ar"/>
                    </w:rPr>
                    <w:t>昼间</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43B5C412">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F2FC699">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6E2B02D">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18D8AF5">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3E18C653">
                  <w:pPr>
                    <w:widowControl/>
                    <w:jc w:val="center"/>
                    <w:textAlignment w:val="center"/>
                    <w:rPr>
                      <w:color w:val="auto"/>
                      <w:kern w:val="21"/>
                      <w:szCs w:val="21"/>
                    </w:rPr>
                  </w:pPr>
                  <w:r>
                    <w:rPr>
                      <w:color w:val="auto"/>
                      <w:kern w:val="21"/>
                      <w:szCs w:val="21"/>
                      <w:lang w:bidi="ar"/>
                    </w:rPr>
                    <w:t>21.4</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77D3884">
                  <w:pPr>
                    <w:widowControl/>
                    <w:jc w:val="center"/>
                    <w:textAlignment w:val="center"/>
                    <w:rPr>
                      <w:color w:val="auto"/>
                      <w:kern w:val="21"/>
                      <w:szCs w:val="21"/>
                    </w:rPr>
                  </w:pPr>
                  <w:r>
                    <w:rPr>
                      <w:color w:val="auto"/>
                      <w:kern w:val="21"/>
                      <w:szCs w:val="21"/>
                      <w:lang w:bidi="ar"/>
                    </w:rPr>
                    <w:t>22.9</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79EDFC09">
                  <w:pPr>
                    <w:widowControl/>
                    <w:jc w:val="center"/>
                    <w:textAlignment w:val="center"/>
                    <w:rPr>
                      <w:color w:val="auto"/>
                      <w:kern w:val="21"/>
                      <w:szCs w:val="21"/>
                    </w:rPr>
                  </w:pPr>
                  <w:r>
                    <w:rPr>
                      <w:color w:val="auto"/>
                      <w:kern w:val="21"/>
                      <w:szCs w:val="21"/>
                      <w:lang w:bidi="ar"/>
                    </w:rPr>
                    <w:t>20.6</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39EAEE8A">
                  <w:pPr>
                    <w:widowControl/>
                    <w:jc w:val="center"/>
                    <w:textAlignment w:val="center"/>
                    <w:rPr>
                      <w:color w:val="auto"/>
                      <w:kern w:val="21"/>
                      <w:szCs w:val="21"/>
                    </w:rPr>
                  </w:pPr>
                  <w:r>
                    <w:rPr>
                      <w:color w:val="auto"/>
                      <w:kern w:val="21"/>
                      <w:szCs w:val="21"/>
                      <w:lang w:bidi="ar"/>
                    </w:rPr>
                    <w:t xml:space="preserve">29.0 </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4CDF4FC">
                  <w:pPr>
                    <w:widowControl/>
                    <w:jc w:val="center"/>
                    <w:textAlignment w:val="center"/>
                    <w:rPr>
                      <w:color w:val="auto"/>
                      <w:kern w:val="21"/>
                      <w:szCs w:val="21"/>
                    </w:rPr>
                  </w:pPr>
                  <w:r>
                    <w:rPr>
                      <w:color w:val="auto"/>
                      <w:kern w:val="21"/>
                      <w:szCs w:val="21"/>
                      <w:lang w:bidi="ar"/>
                    </w:rPr>
                    <w:t>1</w:t>
                  </w:r>
                </w:p>
              </w:tc>
            </w:tr>
            <w:tr w14:paraId="44F4C38B">
              <w:tblPrEx>
                <w:tblCellMar>
                  <w:top w:w="0" w:type="dxa"/>
                  <w:left w:w="108" w:type="dxa"/>
                  <w:bottom w:w="0" w:type="dxa"/>
                  <w:right w:w="108" w:type="dxa"/>
                </w:tblCellMar>
              </w:tblPrEx>
              <w:trPr>
                <w:trHeight w:val="591" w:hRule="atLeast"/>
              </w:trPr>
              <w:tc>
                <w:tcPr>
                  <w:tcW w:w="0" w:type="auto"/>
                  <w:tcBorders>
                    <w:top w:val="nil"/>
                    <w:left w:val="single" w:color="000000" w:sz="8" w:space="0"/>
                    <w:bottom w:val="single" w:color="000000" w:sz="8" w:space="0"/>
                    <w:right w:val="single" w:color="000000" w:sz="8" w:space="0"/>
                  </w:tcBorders>
                  <w:shd w:val="clear" w:color="auto" w:fill="FFFFFF"/>
                  <w:vAlign w:val="center"/>
                </w:tcPr>
                <w:p w14:paraId="58D7277F">
                  <w:pPr>
                    <w:widowControl/>
                    <w:jc w:val="center"/>
                    <w:textAlignment w:val="center"/>
                    <w:rPr>
                      <w:color w:val="auto"/>
                      <w:kern w:val="21"/>
                      <w:szCs w:val="21"/>
                    </w:rPr>
                  </w:pPr>
                  <w:r>
                    <w:rPr>
                      <w:color w:val="auto"/>
                      <w:kern w:val="21"/>
                      <w:szCs w:val="21"/>
                      <w:lang w:bidi="ar"/>
                    </w:rPr>
                    <w:t>16</w:t>
                  </w:r>
                </w:p>
              </w:tc>
              <w:tc>
                <w:tcPr>
                  <w:tcW w:w="0" w:type="auto"/>
                  <w:vMerge w:val="continue"/>
                  <w:tcBorders>
                    <w:top w:val="nil"/>
                    <w:left w:val="single" w:color="000000" w:sz="8" w:space="0"/>
                    <w:bottom w:val="single" w:color="000000" w:sz="8" w:space="0"/>
                    <w:right w:val="single" w:color="000000" w:sz="8" w:space="0"/>
                  </w:tcBorders>
                  <w:shd w:val="clear" w:color="auto" w:fill="FFFFFF"/>
                  <w:vAlign w:val="center"/>
                </w:tcPr>
                <w:p w14:paraId="51132135">
                  <w:pPr>
                    <w:widowControl/>
                    <w:jc w:val="center"/>
                    <w:rPr>
                      <w:color w:val="auto"/>
                      <w:kern w:val="21"/>
                      <w:szCs w:val="21"/>
                    </w:rPr>
                  </w:pP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5EDC192">
                  <w:pPr>
                    <w:widowControl/>
                    <w:jc w:val="center"/>
                    <w:textAlignment w:val="center"/>
                    <w:rPr>
                      <w:color w:val="auto"/>
                      <w:kern w:val="21"/>
                      <w:szCs w:val="21"/>
                    </w:rPr>
                  </w:pPr>
                  <w:r>
                    <w:rPr>
                      <w:color w:val="auto"/>
                      <w:kern w:val="21"/>
                      <w:szCs w:val="21"/>
                      <w:lang w:bidi="ar"/>
                    </w:rPr>
                    <w:t>铝粉搅拌机</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D27FDA4">
                  <w:pPr>
                    <w:widowControl/>
                    <w:jc w:val="center"/>
                    <w:textAlignment w:val="center"/>
                    <w:rPr>
                      <w:color w:val="auto"/>
                      <w:kern w:val="21"/>
                      <w:szCs w:val="21"/>
                    </w:rPr>
                  </w:pPr>
                  <w:r>
                    <w:rPr>
                      <w:color w:val="auto"/>
                      <w:kern w:val="21"/>
                      <w:szCs w:val="21"/>
                      <w:lang w:bidi="ar"/>
                    </w:rPr>
                    <w:t>80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323A633B">
                  <w:pPr>
                    <w:widowControl/>
                    <w:jc w:val="center"/>
                    <w:textAlignment w:val="center"/>
                    <w:rPr>
                      <w:color w:val="auto"/>
                      <w:kern w:val="21"/>
                      <w:szCs w:val="21"/>
                    </w:rPr>
                  </w:pPr>
                  <w:r>
                    <w:rPr>
                      <w:color w:val="auto"/>
                      <w:kern w:val="21"/>
                      <w:szCs w:val="21"/>
                      <w:lang w:bidi="ar"/>
                    </w:rPr>
                    <w:t>22</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4FDA295">
                  <w:pPr>
                    <w:widowControl/>
                    <w:jc w:val="center"/>
                    <w:textAlignment w:val="center"/>
                    <w:rPr>
                      <w:color w:val="auto"/>
                      <w:kern w:val="21"/>
                      <w:szCs w:val="21"/>
                    </w:rPr>
                  </w:pPr>
                  <w:r>
                    <w:rPr>
                      <w:color w:val="auto"/>
                      <w:kern w:val="21"/>
                      <w:szCs w:val="21"/>
                      <w:lang w:bidi="ar"/>
                    </w:rPr>
                    <w:t>28.5</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1152E0EF">
                  <w:pPr>
                    <w:widowControl/>
                    <w:jc w:val="center"/>
                    <w:textAlignment w:val="center"/>
                    <w:rPr>
                      <w:color w:val="auto"/>
                      <w:kern w:val="21"/>
                      <w:szCs w:val="21"/>
                    </w:rPr>
                  </w:pPr>
                  <w:r>
                    <w:rPr>
                      <w:color w:val="auto"/>
                      <w:kern w:val="21"/>
                      <w:szCs w:val="21"/>
                      <w:lang w:bidi="ar"/>
                    </w:rPr>
                    <w:t>1.2</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338BEA25">
                  <w:pPr>
                    <w:widowControl/>
                    <w:jc w:val="center"/>
                    <w:textAlignment w:val="center"/>
                    <w:rPr>
                      <w:color w:val="auto"/>
                      <w:kern w:val="21"/>
                      <w:szCs w:val="21"/>
                    </w:rPr>
                  </w:pPr>
                  <w:r>
                    <w:rPr>
                      <w:color w:val="auto"/>
                      <w:kern w:val="21"/>
                      <w:szCs w:val="21"/>
                      <w:lang w:bidi="ar"/>
                    </w:rPr>
                    <w:t>80.9</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19A2658F">
                  <w:pPr>
                    <w:widowControl/>
                    <w:jc w:val="center"/>
                    <w:textAlignment w:val="center"/>
                    <w:rPr>
                      <w:color w:val="auto"/>
                      <w:kern w:val="21"/>
                      <w:szCs w:val="21"/>
                    </w:rPr>
                  </w:pPr>
                  <w:r>
                    <w:rPr>
                      <w:color w:val="auto"/>
                      <w:kern w:val="21"/>
                      <w:szCs w:val="21"/>
                      <w:lang w:bidi="ar"/>
                    </w:rPr>
                    <w:t>126.6</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61EE9CE">
                  <w:pPr>
                    <w:widowControl/>
                    <w:jc w:val="center"/>
                    <w:textAlignment w:val="center"/>
                    <w:rPr>
                      <w:color w:val="auto"/>
                      <w:kern w:val="21"/>
                      <w:szCs w:val="21"/>
                    </w:rPr>
                  </w:pPr>
                  <w:r>
                    <w:rPr>
                      <w:color w:val="auto"/>
                      <w:kern w:val="21"/>
                      <w:szCs w:val="21"/>
                      <w:lang w:bidi="ar"/>
                    </w:rPr>
                    <w:t>123</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AFC48EB">
                  <w:pPr>
                    <w:widowControl/>
                    <w:jc w:val="center"/>
                    <w:textAlignment w:val="center"/>
                    <w:rPr>
                      <w:color w:val="auto"/>
                      <w:kern w:val="21"/>
                      <w:szCs w:val="21"/>
                    </w:rPr>
                  </w:pPr>
                  <w:r>
                    <w:rPr>
                      <w:color w:val="auto"/>
                      <w:kern w:val="21"/>
                      <w:szCs w:val="21"/>
                      <w:lang w:bidi="ar"/>
                    </w:rPr>
                    <w:t>63.3</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B864B57">
                  <w:pPr>
                    <w:widowControl/>
                    <w:jc w:val="center"/>
                    <w:textAlignment w:val="center"/>
                    <w:rPr>
                      <w:color w:val="auto"/>
                      <w:kern w:val="21"/>
                      <w:szCs w:val="21"/>
                    </w:rPr>
                  </w:pPr>
                  <w:r>
                    <w:rPr>
                      <w:color w:val="auto"/>
                      <w:kern w:val="21"/>
                      <w:szCs w:val="21"/>
                      <w:lang w:bidi="ar"/>
                    </w:rPr>
                    <w:t>41.8</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1A053F12">
                  <w:pPr>
                    <w:widowControl/>
                    <w:jc w:val="center"/>
                    <w:textAlignment w:val="center"/>
                    <w:rPr>
                      <w:color w:val="auto"/>
                      <w:kern w:val="21"/>
                      <w:szCs w:val="21"/>
                    </w:rPr>
                  </w:pPr>
                  <w:r>
                    <w:rPr>
                      <w:color w:val="auto"/>
                      <w:kern w:val="21"/>
                      <w:szCs w:val="21"/>
                      <w:lang w:bidi="ar"/>
                    </w:rPr>
                    <w:t>37.9</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6514FC2">
                  <w:pPr>
                    <w:widowControl/>
                    <w:jc w:val="center"/>
                    <w:textAlignment w:val="center"/>
                    <w:rPr>
                      <w:color w:val="auto"/>
                      <w:kern w:val="21"/>
                      <w:szCs w:val="21"/>
                    </w:rPr>
                  </w:pPr>
                  <w:r>
                    <w:rPr>
                      <w:color w:val="auto"/>
                      <w:kern w:val="21"/>
                      <w:szCs w:val="21"/>
                      <w:lang w:bidi="ar"/>
                    </w:rPr>
                    <w:t>38.2</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86DA47D">
                  <w:pPr>
                    <w:widowControl/>
                    <w:jc w:val="center"/>
                    <w:textAlignment w:val="center"/>
                    <w:rPr>
                      <w:color w:val="auto"/>
                      <w:kern w:val="21"/>
                      <w:szCs w:val="21"/>
                    </w:rPr>
                  </w:pPr>
                  <w:r>
                    <w:rPr>
                      <w:color w:val="auto"/>
                      <w:kern w:val="21"/>
                      <w:szCs w:val="21"/>
                      <w:lang w:bidi="ar"/>
                    </w:rPr>
                    <w:t>43.9</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714C0F2C">
                  <w:pPr>
                    <w:widowControl/>
                    <w:jc w:val="center"/>
                    <w:textAlignment w:val="center"/>
                    <w:rPr>
                      <w:color w:val="auto"/>
                      <w:kern w:val="21"/>
                      <w:szCs w:val="21"/>
                    </w:rPr>
                  </w:pPr>
                  <w:r>
                    <w:rPr>
                      <w:color w:val="auto"/>
                      <w:kern w:val="21"/>
                      <w:szCs w:val="21"/>
                      <w:lang w:bidi="ar"/>
                    </w:rPr>
                    <w:t>昼间</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DEEFAEE">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41D3E53">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10ECC308">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602CB51">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143ED239">
                  <w:pPr>
                    <w:widowControl/>
                    <w:jc w:val="center"/>
                    <w:textAlignment w:val="center"/>
                    <w:rPr>
                      <w:color w:val="auto"/>
                      <w:kern w:val="21"/>
                      <w:szCs w:val="21"/>
                    </w:rPr>
                  </w:pPr>
                  <w:r>
                    <w:rPr>
                      <w:color w:val="auto"/>
                      <w:kern w:val="21"/>
                      <w:szCs w:val="21"/>
                      <w:lang w:bidi="ar"/>
                    </w:rPr>
                    <w:t>21.8</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4913887B">
                  <w:pPr>
                    <w:widowControl/>
                    <w:jc w:val="center"/>
                    <w:textAlignment w:val="center"/>
                    <w:rPr>
                      <w:color w:val="auto"/>
                      <w:kern w:val="21"/>
                      <w:szCs w:val="21"/>
                    </w:rPr>
                  </w:pPr>
                  <w:r>
                    <w:rPr>
                      <w:color w:val="auto"/>
                      <w:kern w:val="21"/>
                      <w:szCs w:val="21"/>
                      <w:lang w:bidi="ar"/>
                    </w:rPr>
                    <w:t>17.9</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D67C43B">
                  <w:pPr>
                    <w:widowControl/>
                    <w:jc w:val="center"/>
                    <w:textAlignment w:val="center"/>
                    <w:rPr>
                      <w:color w:val="auto"/>
                      <w:kern w:val="21"/>
                      <w:szCs w:val="21"/>
                    </w:rPr>
                  </w:pPr>
                  <w:r>
                    <w:rPr>
                      <w:color w:val="auto"/>
                      <w:kern w:val="21"/>
                      <w:szCs w:val="21"/>
                      <w:lang w:bidi="ar"/>
                    </w:rPr>
                    <w:t>18.2</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0DFD456">
                  <w:pPr>
                    <w:widowControl/>
                    <w:jc w:val="center"/>
                    <w:textAlignment w:val="center"/>
                    <w:rPr>
                      <w:color w:val="auto"/>
                      <w:kern w:val="21"/>
                      <w:szCs w:val="21"/>
                    </w:rPr>
                  </w:pPr>
                  <w:r>
                    <w:rPr>
                      <w:color w:val="auto"/>
                      <w:kern w:val="21"/>
                      <w:szCs w:val="21"/>
                      <w:lang w:bidi="ar"/>
                    </w:rPr>
                    <w:t>23.9</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05E1DD55">
                  <w:pPr>
                    <w:widowControl/>
                    <w:jc w:val="center"/>
                    <w:textAlignment w:val="center"/>
                    <w:rPr>
                      <w:color w:val="auto"/>
                      <w:kern w:val="21"/>
                      <w:szCs w:val="21"/>
                    </w:rPr>
                  </w:pPr>
                  <w:r>
                    <w:rPr>
                      <w:color w:val="auto"/>
                      <w:kern w:val="21"/>
                      <w:szCs w:val="21"/>
                      <w:lang w:bidi="ar"/>
                    </w:rPr>
                    <w:t>1</w:t>
                  </w:r>
                </w:p>
              </w:tc>
            </w:tr>
            <w:tr w14:paraId="4AA10860">
              <w:tblPrEx>
                <w:tblCellMar>
                  <w:top w:w="0" w:type="dxa"/>
                  <w:left w:w="108" w:type="dxa"/>
                  <w:bottom w:w="0" w:type="dxa"/>
                  <w:right w:w="108" w:type="dxa"/>
                </w:tblCellMar>
              </w:tblPrEx>
              <w:trPr>
                <w:trHeight w:val="303" w:hRule="atLeast"/>
              </w:trPr>
              <w:tc>
                <w:tcPr>
                  <w:tcW w:w="0" w:type="auto"/>
                  <w:tcBorders>
                    <w:top w:val="nil"/>
                    <w:left w:val="single" w:color="000000" w:sz="8" w:space="0"/>
                    <w:bottom w:val="single" w:color="000000" w:sz="8" w:space="0"/>
                    <w:right w:val="single" w:color="000000" w:sz="8" w:space="0"/>
                  </w:tcBorders>
                  <w:shd w:val="clear" w:color="auto" w:fill="FFFFFF"/>
                  <w:vAlign w:val="center"/>
                </w:tcPr>
                <w:p w14:paraId="7CFE9824">
                  <w:pPr>
                    <w:widowControl/>
                    <w:jc w:val="center"/>
                    <w:textAlignment w:val="center"/>
                    <w:rPr>
                      <w:color w:val="auto"/>
                      <w:kern w:val="21"/>
                      <w:szCs w:val="21"/>
                    </w:rPr>
                  </w:pPr>
                  <w:r>
                    <w:rPr>
                      <w:color w:val="auto"/>
                      <w:kern w:val="21"/>
                      <w:szCs w:val="21"/>
                      <w:lang w:bidi="ar"/>
                    </w:rPr>
                    <w:t>17</w:t>
                  </w:r>
                </w:p>
              </w:tc>
              <w:tc>
                <w:tcPr>
                  <w:tcW w:w="0" w:type="auto"/>
                  <w:vMerge w:val="continue"/>
                  <w:tcBorders>
                    <w:top w:val="nil"/>
                    <w:left w:val="single" w:color="000000" w:sz="8" w:space="0"/>
                    <w:bottom w:val="single" w:color="000000" w:sz="8" w:space="0"/>
                    <w:right w:val="single" w:color="000000" w:sz="8" w:space="0"/>
                  </w:tcBorders>
                  <w:shd w:val="clear" w:color="auto" w:fill="FFFFFF"/>
                  <w:vAlign w:val="center"/>
                </w:tcPr>
                <w:p w14:paraId="4E1F8574">
                  <w:pPr>
                    <w:widowControl/>
                    <w:jc w:val="center"/>
                    <w:rPr>
                      <w:color w:val="auto"/>
                      <w:kern w:val="21"/>
                      <w:szCs w:val="21"/>
                    </w:rPr>
                  </w:pP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A4F8E08">
                  <w:pPr>
                    <w:widowControl/>
                    <w:jc w:val="center"/>
                    <w:textAlignment w:val="center"/>
                    <w:rPr>
                      <w:color w:val="auto"/>
                      <w:kern w:val="21"/>
                      <w:szCs w:val="21"/>
                    </w:rPr>
                  </w:pPr>
                  <w:r>
                    <w:rPr>
                      <w:color w:val="auto"/>
                      <w:kern w:val="21"/>
                      <w:szCs w:val="21"/>
                      <w:lang w:bidi="ar"/>
                    </w:rPr>
                    <w:t>风机1</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4908890B">
                  <w:pPr>
                    <w:widowControl/>
                    <w:jc w:val="center"/>
                    <w:textAlignment w:val="center"/>
                    <w:rPr>
                      <w:color w:val="auto"/>
                      <w:kern w:val="21"/>
                      <w:szCs w:val="21"/>
                    </w:rPr>
                  </w:pPr>
                  <w:r>
                    <w:rPr>
                      <w:color w:val="auto"/>
                      <w:kern w:val="21"/>
                      <w:szCs w:val="21"/>
                      <w:lang w:bidi="ar"/>
                    </w:rPr>
                    <w:t>85</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77E576A">
                  <w:pPr>
                    <w:widowControl/>
                    <w:jc w:val="center"/>
                    <w:textAlignment w:val="center"/>
                    <w:rPr>
                      <w:color w:val="auto"/>
                      <w:kern w:val="21"/>
                      <w:szCs w:val="21"/>
                    </w:rPr>
                  </w:pPr>
                  <w:r>
                    <w:rPr>
                      <w:color w:val="auto"/>
                      <w:kern w:val="21"/>
                      <w:szCs w:val="21"/>
                      <w:lang w:bidi="ar"/>
                    </w:rPr>
                    <w:t>-3.8</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74EC7757">
                  <w:pPr>
                    <w:widowControl/>
                    <w:jc w:val="center"/>
                    <w:textAlignment w:val="center"/>
                    <w:rPr>
                      <w:color w:val="auto"/>
                      <w:kern w:val="21"/>
                      <w:szCs w:val="21"/>
                    </w:rPr>
                  </w:pPr>
                  <w:r>
                    <w:rPr>
                      <w:color w:val="auto"/>
                      <w:kern w:val="21"/>
                      <w:szCs w:val="21"/>
                      <w:lang w:bidi="ar"/>
                    </w:rPr>
                    <w:t>51.2</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EAB2BC8">
                  <w:pPr>
                    <w:widowControl/>
                    <w:jc w:val="center"/>
                    <w:textAlignment w:val="center"/>
                    <w:rPr>
                      <w:color w:val="auto"/>
                      <w:kern w:val="21"/>
                      <w:szCs w:val="21"/>
                    </w:rPr>
                  </w:pPr>
                  <w:r>
                    <w:rPr>
                      <w:color w:val="auto"/>
                      <w:kern w:val="21"/>
                      <w:szCs w:val="21"/>
                      <w:lang w:bidi="ar"/>
                    </w:rPr>
                    <w:t>1.2</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77BB7623">
                  <w:pPr>
                    <w:widowControl/>
                    <w:jc w:val="center"/>
                    <w:textAlignment w:val="center"/>
                    <w:rPr>
                      <w:color w:val="auto"/>
                      <w:kern w:val="21"/>
                      <w:szCs w:val="21"/>
                    </w:rPr>
                  </w:pPr>
                  <w:r>
                    <w:rPr>
                      <w:color w:val="auto"/>
                      <w:kern w:val="21"/>
                      <w:szCs w:val="21"/>
                      <w:lang w:bidi="ar"/>
                    </w:rPr>
                    <w:t>111.7</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DB01ECA">
                  <w:pPr>
                    <w:widowControl/>
                    <w:jc w:val="center"/>
                    <w:textAlignment w:val="center"/>
                    <w:rPr>
                      <w:color w:val="auto"/>
                      <w:kern w:val="21"/>
                      <w:szCs w:val="21"/>
                    </w:rPr>
                  </w:pPr>
                  <w:r>
                    <w:rPr>
                      <w:color w:val="auto"/>
                      <w:kern w:val="21"/>
                      <w:szCs w:val="21"/>
                      <w:lang w:bidi="ar"/>
                    </w:rPr>
                    <w:t>131.4</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189A11D0">
                  <w:pPr>
                    <w:widowControl/>
                    <w:jc w:val="center"/>
                    <w:textAlignment w:val="center"/>
                    <w:rPr>
                      <w:color w:val="auto"/>
                      <w:kern w:val="21"/>
                      <w:szCs w:val="21"/>
                    </w:rPr>
                  </w:pPr>
                  <w:r>
                    <w:rPr>
                      <w:color w:val="auto"/>
                      <w:kern w:val="21"/>
                      <w:szCs w:val="21"/>
                      <w:lang w:bidi="ar"/>
                    </w:rPr>
                    <w:t>92.2</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9AA17BA">
                  <w:pPr>
                    <w:widowControl/>
                    <w:jc w:val="center"/>
                    <w:textAlignment w:val="center"/>
                    <w:rPr>
                      <w:color w:val="auto"/>
                      <w:kern w:val="21"/>
                      <w:szCs w:val="21"/>
                    </w:rPr>
                  </w:pPr>
                  <w:r>
                    <w:rPr>
                      <w:color w:val="auto"/>
                      <w:kern w:val="21"/>
                      <w:szCs w:val="21"/>
                      <w:lang w:bidi="ar"/>
                    </w:rPr>
                    <w:t>58.5</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3D5D1921">
                  <w:pPr>
                    <w:widowControl/>
                    <w:jc w:val="center"/>
                    <w:textAlignment w:val="center"/>
                    <w:rPr>
                      <w:color w:val="auto"/>
                      <w:kern w:val="21"/>
                      <w:szCs w:val="21"/>
                    </w:rPr>
                  </w:pPr>
                  <w:r>
                    <w:rPr>
                      <w:color w:val="auto"/>
                      <w:kern w:val="21"/>
                      <w:szCs w:val="21"/>
                      <w:lang w:bidi="ar"/>
                    </w:rPr>
                    <w:t xml:space="preserve">44.0 </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3799E9AB">
                  <w:pPr>
                    <w:widowControl/>
                    <w:jc w:val="center"/>
                    <w:textAlignment w:val="center"/>
                    <w:rPr>
                      <w:color w:val="auto"/>
                      <w:kern w:val="21"/>
                      <w:szCs w:val="21"/>
                    </w:rPr>
                  </w:pPr>
                  <w:r>
                    <w:rPr>
                      <w:color w:val="auto"/>
                      <w:kern w:val="21"/>
                      <w:szCs w:val="21"/>
                      <w:lang w:bidi="ar"/>
                    </w:rPr>
                    <w:t>42.6</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26A6276E">
                  <w:pPr>
                    <w:widowControl/>
                    <w:jc w:val="center"/>
                    <w:textAlignment w:val="center"/>
                    <w:rPr>
                      <w:color w:val="auto"/>
                      <w:kern w:val="21"/>
                      <w:szCs w:val="21"/>
                    </w:rPr>
                  </w:pPr>
                  <w:r>
                    <w:rPr>
                      <w:color w:val="auto"/>
                      <w:kern w:val="21"/>
                      <w:szCs w:val="21"/>
                      <w:lang w:bidi="ar"/>
                    </w:rPr>
                    <w:t>45.7</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4F43666D">
                  <w:pPr>
                    <w:widowControl/>
                    <w:jc w:val="center"/>
                    <w:textAlignment w:val="center"/>
                    <w:rPr>
                      <w:color w:val="auto"/>
                      <w:kern w:val="21"/>
                      <w:szCs w:val="21"/>
                    </w:rPr>
                  </w:pPr>
                  <w:r>
                    <w:rPr>
                      <w:color w:val="auto"/>
                      <w:kern w:val="21"/>
                      <w:szCs w:val="21"/>
                      <w:lang w:bidi="ar"/>
                    </w:rPr>
                    <w:t>49.6</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7BD37AA">
                  <w:pPr>
                    <w:widowControl/>
                    <w:jc w:val="center"/>
                    <w:textAlignment w:val="center"/>
                    <w:rPr>
                      <w:color w:val="auto"/>
                      <w:kern w:val="21"/>
                      <w:szCs w:val="21"/>
                    </w:rPr>
                  </w:pPr>
                  <w:r>
                    <w:rPr>
                      <w:color w:val="auto"/>
                      <w:kern w:val="21"/>
                      <w:szCs w:val="21"/>
                      <w:lang w:bidi="ar"/>
                    </w:rPr>
                    <w:t>昼间</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10D6D51">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B27A03B">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1A3ACF2D">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D2ABFB9">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4C09F5E5">
                  <w:pPr>
                    <w:widowControl/>
                    <w:jc w:val="center"/>
                    <w:textAlignment w:val="center"/>
                    <w:rPr>
                      <w:color w:val="auto"/>
                      <w:kern w:val="21"/>
                      <w:szCs w:val="21"/>
                    </w:rPr>
                  </w:pPr>
                  <w:r>
                    <w:rPr>
                      <w:color w:val="auto"/>
                      <w:kern w:val="21"/>
                      <w:szCs w:val="21"/>
                      <w:lang w:bidi="ar"/>
                    </w:rPr>
                    <w:t xml:space="preserve">24.0 </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352B3C4A">
                  <w:pPr>
                    <w:widowControl/>
                    <w:jc w:val="center"/>
                    <w:textAlignment w:val="center"/>
                    <w:rPr>
                      <w:color w:val="auto"/>
                      <w:kern w:val="21"/>
                      <w:szCs w:val="21"/>
                    </w:rPr>
                  </w:pPr>
                  <w:r>
                    <w:rPr>
                      <w:color w:val="auto"/>
                      <w:kern w:val="21"/>
                      <w:szCs w:val="21"/>
                      <w:lang w:bidi="ar"/>
                    </w:rPr>
                    <w:t>22.6</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56B4C483">
                  <w:pPr>
                    <w:widowControl/>
                    <w:jc w:val="center"/>
                    <w:textAlignment w:val="center"/>
                    <w:rPr>
                      <w:color w:val="auto"/>
                      <w:kern w:val="21"/>
                      <w:szCs w:val="21"/>
                    </w:rPr>
                  </w:pPr>
                  <w:r>
                    <w:rPr>
                      <w:color w:val="auto"/>
                      <w:kern w:val="21"/>
                      <w:szCs w:val="21"/>
                      <w:lang w:bidi="ar"/>
                    </w:rPr>
                    <w:t>25.7</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6FE3C96D">
                  <w:pPr>
                    <w:widowControl/>
                    <w:jc w:val="center"/>
                    <w:textAlignment w:val="center"/>
                    <w:rPr>
                      <w:color w:val="auto"/>
                      <w:kern w:val="21"/>
                      <w:szCs w:val="21"/>
                    </w:rPr>
                  </w:pPr>
                  <w:r>
                    <w:rPr>
                      <w:color w:val="auto"/>
                      <w:kern w:val="21"/>
                      <w:szCs w:val="21"/>
                      <w:lang w:bidi="ar"/>
                    </w:rPr>
                    <w:t>29.6</w:t>
                  </w:r>
                </w:p>
              </w:tc>
              <w:tc>
                <w:tcPr>
                  <w:tcW w:w="0" w:type="auto"/>
                  <w:tcBorders>
                    <w:top w:val="nil"/>
                    <w:left w:val="single" w:color="000000" w:sz="8" w:space="0"/>
                    <w:bottom w:val="single" w:color="000000" w:sz="8" w:space="0"/>
                    <w:right w:val="single" w:color="000000" w:sz="8" w:space="0"/>
                  </w:tcBorders>
                  <w:shd w:val="clear" w:color="auto" w:fill="FFFFFF"/>
                  <w:vAlign w:val="center"/>
                </w:tcPr>
                <w:p w14:paraId="10B353C3">
                  <w:pPr>
                    <w:widowControl/>
                    <w:jc w:val="center"/>
                    <w:textAlignment w:val="center"/>
                    <w:rPr>
                      <w:color w:val="auto"/>
                      <w:kern w:val="21"/>
                      <w:szCs w:val="21"/>
                    </w:rPr>
                  </w:pPr>
                  <w:r>
                    <w:rPr>
                      <w:color w:val="auto"/>
                      <w:kern w:val="21"/>
                      <w:szCs w:val="21"/>
                      <w:lang w:bidi="ar"/>
                    </w:rPr>
                    <w:t>1</w:t>
                  </w:r>
                </w:p>
              </w:tc>
            </w:tr>
            <w:tr w14:paraId="026D08D7">
              <w:tblPrEx>
                <w:tblCellMar>
                  <w:top w:w="0" w:type="dxa"/>
                  <w:left w:w="108" w:type="dxa"/>
                  <w:bottom w:w="0" w:type="dxa"/>
                  <w:right w:w="108" w:type="dxa"/>
                </w:tblCellMar>
              </w:tblPrEx>
              <w:trPr>
                <w:trHeight w:val="303" w:hRule="atLeast"/>
              </w:trPr>
              <w:tc>
                <w:tcPr>
                  <w:tcW w:w="0" w:type="auto"/>
                  <w:tcBorders>
                    <w:top w:val="nil"/>
                    <w:left w:val="single" w:color="000000" w:sz="8" w:space="0"/>
                    <w:bottom w:val="single" w:color="auto" w:sz="4" w:space="0"/>
                    <w:right w:val="single" w:color="000000" w:sz="8" w:space="0"/>
                  </w:tcBorders>
                  <w:shd w:val="clear" w:color="auto" w:fill="FFFFFF"/>
                  <w:vAlign w:val="center"/>
                </w:tcPr>
                <w:p w14:paraId="1ECB2EFB">
                  <w:pPr>
                    <w:widowControl/>
                    <w:jc w:val="center"/>
                    <w:textAlignment w:val="center"/>
                    <w:rPr>
                      <w:color w:val="auto"/>
                      <w:kern w:val="21"/>
                      <w:szCs w:val="21"/>
                    </w:rPr>
                  </w:pPr>
                  <w:r>
                    <w:rPr>
                      <w:color w:val="auto"/>
                      <w:kern w:val="21"/>
                      <w:szCs w:val="21"/>
                      <w:lang w:bidi="ar"/>
                    </w:rPr>
                    <w:t>18</w:t>
                  </w:r>
                </w:p>
              </w:tc>
              <w:tc>
                <w:tcPr>
                  <w:tcW w:w="0" w:type="auto"/>
                  <w:vMerge w:val="continue"/>
                  <w:tcBorders>
                    <w:top w:val="nil"/>
                    <w:left w:val="single" w:color="000000" w:sz="8" w:space="0"/>
                    <w:bottom w:val="single" w:color="auto" w:sz="4" w:space="0"/>
                    <w:right w:val="single" w:color="000000" w:sz="8" w:space="0"/>
                  </w:tcBorders>
                  <w:shd w:val="clear" w:color="auto" w:fill="FFFFFF"/>
                  <w:vAlign w:val="center"/>
                </w:tcPr>
                <w:p w14:paraId="73D6206F">
                  <w:pPr>
                    <w:widowControl/>
                    <w:jc w:val="center"/>
                    <w:rPr>
                      <w:color w:val="auto"/>
                      <w:kern w:val="21"/>
                      <w:szCs w:val="21"/>
                    </w:rPr>
                  </w:pPr>
                </w:p>
              </w:tc>
              <w:tc>
                <w:tcPr>
                  <w:tcW w:w="0" w:type="auto"/>
                  <w:tcBorders>
                    <w:top w:val="nil"/>
                    <w:left w:val="single" w:color="000000" w:sz="8" w:space="0"/>
                    <w:bottom w:val="single" w:color="auto" w:sz="4" w:space="0"/>
                    <w:right w:val="single" w:color="000000" w:sz="8" w:space="0"/>
                  </w:tcBorders>
                  <w:shd w:val="clear" w:color="auto" w:fill="FFFFFF"/>
                  <w:vAlign w:val="center"/>
                </w:tcPr>
                <w:p w14:paraId="78A72693">
                  <w:pPr>
                    <w:widowControl/>
                    <w:jc w:val="center"/>
                    <w:textAlignment w:val="center"/>
                    <w:rPr>
                      <w:color w:val="auto"/>
                      <w:kern w:val="21"/>
                      <w:szCs w:val="21"/>
                    </w:rPr>
                  </w:pPr>
                  <w:r>
                    <w:rPr>
                      <w:color w:val="auto"/>
                      <w:kern w:val="21"/>
                      <w:szCs w:val="21"/>
                      <w:lang w:bidi="ar"/>
                    </w:rPr>
                    <w:t>风机2</w:t>
                  </w:r>
                </w:p>
              </w:tc>
              <w:tc>
                <w:tcPr>
                  <w:tcW w:w="0" w:type="auto"/>
                  <w:tcBorders>
                    <w:top w:val="nil"/>
                    <w:left w:val="single" w:color="000000" w:sz="8" w:space="0"/>
                    <w:bottom w:val="single" w:color="auto" w:sz="4" w:space="0"/>
                    <w:right w:val="single" w:color="000000" w:sz="8" w:space="0"/>
                  </w:tcBorders>
                  <w:shd w:val="clear" w:color="auto" w:fill="FFFFFF"/>
                  <w:vAlign w:val="center"/>
                </w:tcPr>
                <w:p w14:paraId="3F7FD71B">
                  <w:pPr>
                    <w:widowControl/>
                    <w:jc w:val="center"/>
                    <w:textAlignment w:val="center"/>
                    <w:rPr>
                      <w:color w:val="auto"/>
                      <w:kern w:val="21"/>
                      <w:szCs w:val="21"/>
                    </w:rPr>
                  </w:pPr>
                  <w:r>
                    <w:rPr>
                      <w:color w:val="auto"/>
                      <w:kern w:val="21"/>
                      <w:szCs w:val="21"/>
                      <w:lang w:bidi="ar"/>
                    </w:rPr>
                    <w:t>85</w:t>
                  </w:r>
                </w:p>
              </w:tc>
              <w:tc>
                <w:tcPr>
                  <w:tcW w:w="0" w:type="auto"/>
                  <w:tcBorders>
                    <w:top w:val="nil"/>
                    <w:left w:val="single" w:color="000000" w:sz="8" w:space="0"/>
                    <w:bottom w:val="single" w:color="auto" w:sz="4" w:space="0"/>
                    <w:right w:val="single" w:color="000000" w:sz="8" w:space="0"/>
                  </w:tcBorders>
                  <w:shd w:val="clear" w:color="auto" w:fill="FFFFFF"/>
                  <w:vAlign w:val="center"/>
                </w:tcPr>
                <w:p w14:paraId="266BEA79">
                  <w:pPr>
                    <w:widowControl/>
                    <w:jc w:val="center"/>
                    <w:textAlignment w:val="center"/>
                    <w:rPr>
                      <w:color w:val="auto"/>
                      <w:kern w:val="21"/>
                      <w:szCs w:val="21"/>
                    </w:rPr>
                  </w:pPr>
                  <w:r>
                    <w:rPr>
                      <w:color w:val="auto"/>
                      <w:kern w:val="21"/>
                      <w:szCs w:val="21"/>
                      <w:lang w:bidi="ar"/>
                    </w:rPr>
                    <w:t>27.2</w:t>
                  </w:r>
                </w:p>
              </w:tc>
              <w:tc>
                <w:tcPr>
                  <w:tcW w:w="0" w:type="auto"/>
                  <w:tcBorders>
                    <w:top w:val="nil"/>
                    <w:left w:val="single" w:color="000000" w:sz="8" w:space="0"/>
                    <w:bottom w:val="single" w:color="auto" w:sz="4" w:space="0"/>
                    <w:right w:val="single" w:color="000000" w:sz="8" w:space="0"/>
                  </w:tcBorders>
                  <w:shd w:val="clear" w:color="auto" w:fill="FFFFFF"/>
                  <w:vAlign w:val="center"/>
                </w:tcPr>
                <w:p w14:paraId="150ED843">
                  <w:pPr>
                    <w:widowControl/>
                    <w:jc w:val="center"/>
                    <w:textAlignment w:val="center"/>
                    <w:rPr>
                      <w:color w:val="auto"/>
                      <w:kern w:val="21"/>
                      <w:szCs w:val="21"/>
                    </w:rPr>
                  </w:pPr>
                  <w:r>
                    <w:rPr>
                      <w:color w:val="auto"/>
                      <w:kern w:val="21"/>
                      <w:szCs w:val="21"/>
                      <w:lang w:bidi="ar"/>
                    </w:rPr>
                    <w:t>33.3</w:t>
                  </w:r>
                </w:p>
              </w:tc>
              <w:tc>
                <w:tcPr>
                  <w:tcW w:w="0" w:type="auto"/>
                  <w:tcBorders>
                    <w:top w:val="nil"/>
                    <w:left w:val="single" w:color="000000" w:sz="8" w:space="0"/>
                    <w:bottom w:val="single" w:color="auto" w:sz="4" w:space="0"/>
                    <w:right w:val="single" w:color="000000" w:sz="8" w:space="0"/>
                  </w:tcBorders>
                  <w:shd w:val="clear" w:color="auto" w:fill="FFFFFF"/>
                  <w:vAlign w:val="center"/>
                </w:tcPr>
                <w:p w14:paraId="758B2D92">
                  <w:pPr>
                    <w:widowControl/>
                    <w:jc w:val="center"/>
                    <w:textAlignment w:val="center"/>
                    <w:rPr>
                      <w:color w:val="auto"/>
                      <w:kern w:val="21"/>
                      <w:szCs w:val="21"/>
                    </w:rPr>
                  </w:pPr>
                  <w:r>
                    <w:rPr>
                      <w:color w:val="auto"/>
                      <w:kern w:val="21"/>
                      <w:szCs w:val="21"/>
                      <w:lang w:bidi="ar"/>
                    </w:rPr>
                    <w:t>1.2</w:t>
                  </w:r>
                </w:p>
              </w:tc>
              <w:tc>
                <w:tcPr>
                  <w:tcW w:w="0" w:type="auto"/>
                  <w:tcBorders>
                    <w:top w:val="nil"/>
                    <w:left w:val="single" w:color="000000" w:sz="8" w:space="0"/>
                    <w:bottom w:val="single" w:color="auto" w:sz="4" w:space="0"/>
                    <w:right w:val="single" w:color="000000" w:sz="8" w:space="0"/>
                  </w:tcBorders>
                  <w:shd w:val="clear" w:color="auto" w:fill="FFFFFF"/>
                  <w:vAlign w:val="center"/>
                </w:tcPr>
                <w:p w14:paraId="776032D2">
                  <w:pPr>
                    <w:widowControl/>
                    <w:jc w:val="center"/>
                    <w:textAlignment w:val="center"/>
                    <w:rPr>
                      <w:color w:val="auto"/>
                      <w:kern w:val="21"/>
                      <w:szCs w:val="21"/>
                    </w:rPr>
                  </w:pPr>
                  <w:r>
                    <w:rPr>
                      <w:color w:val="auto"/>
                      <w:kern w:val="21"/>
                      <w:szCs w:val="21"/>
                      <w:lang w:bidi="ar"/>
                    </w:rPr>
                    <w:t>77.1</w:t>
                  </w:r>
                </w:p>
              </w:tc>
              <w:tc>
                <w:tcPr>
                  <w:tcW w:w="0" w:type="auto"/>
                  <w:tcBorders>
                    <w:top w:val="nil"/>
                    <w:left w:val="single" w:color="000000" w:sz="8" w:space="0"/>
                    <w:bottom w:val="single" w:color="auto" w:sz="4" w:space="0"/>
                    <w:right w:val="single" w:color="000000" w:sz="8" w:space="0"/>
                  </w:tcBorders>
                  <w:shd w:val="clear" w:color="auto" w:fill="FFFFFF"/>
                  <w:vAlign w:val="center"/>
                </w:tcPr>
                <w:p w14:paraId="408A9B00">
                  <w:pPr>
                    <w:widowControl/>
                    <w:jc w:val="center"/>
                    <w:textAlignment w:val="center"/>
                    <w:rPr>
                      <w:color w:val="auto"/>
                      <w:kern w:val="21"/>
                      <w:szCs w:val="21"/>
                    </w:rPr>
                  </w:pPr>
                  <w:r>
                    <w:rPr>
                      <w:color w:val="auto"/>
                      <w:kern w:val="21"/>
                      <w:szCs w:val="21"/>
                      <w:lang w:bidi="ar"/>
                    </w:rPr>
                    <w:t>133.4</w:t>
                  </w:r>
                </w:p>
              </w:tc>
              <w:tc>
                <w:tcPr>
                  <w:tcW w:w="0" w:type="auto"/>
                  <w:tcBorders>
                    <w:top w:val="nil"/>
                    <w:left w:val="single" w:color="000000" w:sz="8" w:space="0"/>
                    <w:bottom w:val="single" w:color="auto" w:sz="4" w:space="0"/>
                    <w:right w:val="single" w:color="000000" w:sz="8" w:space="0"/>
                  </w:tcBorders>
                  <w:shd w:val="clear" w:color="auto" w:fill="FFFFFF"/>
                  <w:vAlign w:val="center"/>
                </w:tcPr>
                <w:p w14:paraId="20691A74">
                  <w:pPr>
                    <w:widowControl/>
                    <w:jc w:val="center"/>
                    <w:textAlignment w:val="center"/>
                    <w:rPr>
                      <w:color w:val="auto"/>
                      <w:kern w:val="21"/>
                      <w:szCs w:val="21"/>
                    </w:rPr>
                  </w:pPr>
                  <w:r>
                    <w:rPr>
                      <w:color w:val="auto"/>
                      <w:kern w:val="21"/>
                      <w:szCs w:val="21"/>
                      <w:lang w:bidi="ar"/>
                    </w:rPr>
                    <w:t>126.8</w:t>
                  </w:r>
                </w:p>
              </w:tc>
              <w:tc>
                <w:tcPr>
                  <w:tcW w:w="0" w:type="auto"/>
                  <w:tcBorders>
                    <w:top w:val="nil"/>
                    <w:left w:val="single" w:color="000000" w:sz="8" w:space="0"/>
                    <w:bottom w:val="single" w:color="auto" w:sz="4" w:space="0"/>
                    <w:right w:val="single" w:color="000000" w:sz="8" w:space="0"/>
                  </w:tcBorders>
                  <w:shd w:val="clear" w:color="auto" w:fill="FFFFFF"/>
                  <w:vAlign w:val="center"/>
                </w:tcPr>
                <w:p w14:paraId="7B28AA9B">
                  <w:pPr>
                    <w:widowControl/>
                    <w:jc w:val="center"/>
                    <w:textAlignment w:val="center"/>
                    <w:rPr>
                      <w:color w:val="auto"/>
                      <w:kern w:val="21"/>
                      <w:szCs w:val="21"/>
                    </w:rPr>
                  </w:pPr>
                  <w:r>
                    <w:rPr>
                      <w:color w:val="auto"/>
                      <w:kern w:val="21"/>
                      <w:szCs w:val="21"/>
                      <w:lang w:bidi="ar"/>
                    </w:rPr>
                    <w:t>56.5</w:t>
                  </w:r>
                </w:p>
              </w:tc>
              <w:tc>
                <w:tcPr>
                  <w:tcW w:w="0" w:type="auto"/>
                  <w:tcBorders>
                    <w:top w:val="nil"/>
                    <w:left w:val="single" w:color="000000" w:sz="8" w:space="0"/>
                    <w:bottom w:val="single" w:color="auto" w:sz="4" w:space="0"/>
                    <w:right w:val="single" w:color="000000" w:sz="8" w:space="0"/>
                  </w:tcBorders>
                  <w:shd w:val="clear" w:color="auto" w:fill="FFFFFF"/>
                  <w:vAlign w:val="center"/>
                </w:tcPr>
                <w:p w14:paraId="6225EDAC">
                  <w:pPr>
                    <w:widowControl/>
                    <w:jc w:val="center"/>
                    <w:textAlignment w:val="center"/>
                    <w:rPr>
                      <w:color w:val="auto"/>
                      <w:kern w:val="21"/>
                      <w:szCs w:val="21"/>
                    </w:rPr>
                  </w:pPr>
                  <w:r>
                    <w:rPr>
                      <w:color w:val="auto"/>
                      <w:kern w:val="21"/>
                      <w:szCs w:val="21"/>
                      <w:lang w:bidi="ar"/>
                    </w:rPr>
                    <w:t>47.2</w:t>
                  </w:r>
                </w:p>
              </w:tc>
              <w:tc>
                <w:tcPr>
                  <w:tcW w:w="0" w:type="auto"/>
                  <w:tcBorders>
                    <w:top w:val="nil"/>
                    <w:left w:val="single" w:color="000000" w:sz="8" w:space="0"/>
                    <w:bottom w:val="single" w:color="auto" w:sz="4" w:space="0"/>
                    <w:right w:val="single" w:color="000000" w:sz="8" w:space="0"/>
                  </w:tcBorders>
                  <w:shd w:val="clear" w:color="auto" w:fill="FFFFFF"/>
                  <w:vAlign w:val="center"/>
                </w:tcPr>
                <w:p w14:paraId="641BD8F1">
                  <w:pPr>
                    <w:widowControl/>
                    <w:jc w:val="center"/>
                    <w:textAlignment w:val="center"/>
                    <w:rPr>
                      <w:color w:val="auto"/>
                      <w:kern w:val="21"/>
                      <w:szCs w:val="21"/>
                    </w:rPr>
                  </w:pPr>
                  <w:r>
                    <w:rPr>
                      <w:color w:val="auto"/>
                      <w:kern w:val="21"/>
                      <w:szCs w:val="21"/>
                      <w:lang w:bidi="ar"/>
                    </w:rPr>
                    <w:t>42.4</w:t>
                  </w:r>
                </w:p>
              </w:tc>
              <w:tc>
                <w:tcPr>
                  <w:tcW w:w="0" w:type="auto"/>
                  <w:tcBorders>
                    <w:top w:val="nil"/>
                    <w:left w:val="single" w:color="000000" w:sz="8" w:space="0"/>
                    <w:bottom w:val="single" w:color="auto" w:sz="4" w:space="0"/>
                    <w:right w:val="single" w:color="000000" w:sz="8" w:space="0"/>
                  </w:tcBorders>
                  <w:shd w:val="clear" w:color="auto" w:fill="FFFFFF"/>
                  <w:vAlign w:val="center"/>
                </w:tcPr>
                <w:p w14:paraId="1B5E8040">
                  <w:pPr>
                    <w:widowControl/>
                    <w:jc w:val="center"/>
                    <w:textAlignment w:val="center"/>
                    <w:rPr>
                      <w:color w:val="auto"/>
                      <w:kern w:val="21"/>
                      <w:szCs w:val="21"/>
                    </w:rPr>
                  </w:pPr>
                  <w:r>
                    <w:rPr>
                      <w:color w:val="auto"/>
                      <w:kern w:val="21"/>
                      <w:szCs w:val="21"/>
                      <w:lang w:bidi="ar"/>
                    </w:rPr>
                    <w:t>42.9</w:t>
                  </w:r>
                </w:p>
              </w:tc>
              <w:tc>
                <w:tcPr>
                  <w:tcW w:w="0" w:type="auto"/>
                  <w:tcBorders>
                    <w:top w:val="nil"/>
                    <w:left w:val="single" w:color="000000" w:sz="8" w:space="0"/>
                    <w:bottom w:val="single" w:color="auto" w:sz="4" w:space="0"/>
                    <w:right w:val="single" w:color="000000" w:sz="8" w:space="0"/>
                  </w:tcBorders>
                  <w:shd w:val="clear" w:color="auto" w:fill="FFFFFF"/>
                  <w:vAlign w:val="center"/>
                </w:tcPr>
                <w:p w14:paraId="136AE3E8">
                  <w:pPr>
                    <w:widowControl/>
                    <w:jc w:val="center"/>
                    <w:textAlignment w:val="center"/>
                    <w:rPr>
                      <w:color w:val="auto"/>
                      <w:kern w:val="21"/>
                      <w:szCs w:val="21"/>
                    </w:rPr>
                  </w:pPr>
                  <w:r>
                    <w:rPr>
                      <w:color w:val="auto"/>
                      <w:kern w:val="21"/>
                      <w:szCs w:val="21"/>
                      <w:lang w:bidi="ar"/>
                    </w:rPr>
                    <w:t>49.9</w:t>
                  </w:r>
                </w:p>
              </w:tc>
              <w:tc>
                <w:tcPr>
                  <w:tcW w:w="0" w:type="auto"/>
                  <w:tcBorders>
                    <w:top w:val="nil"/>
                    <w:left w:val="single" w:color="000000" w:sz="8" w:space="0"/>
                    <w:bottom w:val="single" w:color="auto" w:sz="4" w:space="0"/>
                    <w:right w:val="single" w:color="000000" w:sz="8" w:space="0"/>
                  </w:tcBorders>
                  <w:shd w:val="clear" w:color="auto" w:fill="FFFFFF"/>
                  <w:vAlign w:val="center"/>
                </w:tcPr>
                <w:p w14:paraId="06B5E7CB">
                  <w:pPr>
                    <w:widowControl/>
                    <w:jc w:val="center"/>
                    <w:textAlignment w:val="center"/>
                    <w:rPr>
                      <w:color w:val="auto"/>
                      <w:kern w:val="21"/>
                      <w:szCs w:val="21"/>
                    </w:rPr>
                  </w:pPr>
                  <w:r>
                    <w:rPr>
                      <w:color w:val="auto"/>
                      <w:kern w:val="21"/>
                      <w:szCs w:val="21"/>
                      <w:lang w:bidi="ar"/>
                    </w:rPr>
                    <w:t>昼间</w:t>
                  </w:r>
                </w:p>
              </w:tc>
              <w:tc>
                <w:tcPr>
                  <w:tcW w:w="0" w:type="auto"/>
                  <w:tcBorders>
                    <w:top w:val="nil"/>
                    <w:left w:val="single" w:color="000000" w:sz="8" w:space="0"/>
                    <w:bottom w:val="single" w:color="auto" w:sz="4" w:space="0"/>
                    <w:right w:val="single" w:color="000000" w:sz="8" w:space="0"/>
                  </w:tcBorders>
                  <w:shd w:val="clear" w:color="auto" w:fill="FFFFFF"/>
                  <w:vAlign w:val="center"/>
                </w:tcPr>
                <w:p w14:paraId="0B8A062E">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auto" w:sz="4" w:space="0"/>
                    <w:right w:val="single" w:color="000000" w:sz="8" w:space="0"/>
                  </w:tcBorders>
                  <w:shd w:val="clear" w:color="auto" w:fill="FFFFFF"/>
                  <w:vAlign w:val="center"/>
                </w:tcPr>
                <w:p w14:paraId="491BC55D">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auto" w:sz="4" w:space="0"/>
                    <w:right w:val="single" w:color="000000" w:sz="8" w:space="0"/>
                  </w:tcBorders>
                  <w:shd w:val="clear" w:color="auto" w:fill="FFFFFF"/>
                  <w:vAlign w:val="center"/>
                </w:tcPr>
                <w:p w14:paraId="496F5288">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auto" w:sz="4" w:space="0"/>
                    <w:right w:val="single" w:color="000000" w:sz="8" w:space="0"/>
                  </w:tcBorders>
                  <w:shd w:val="clear" w:color="auto" w:fill="FFFFFF"/>
                  <w:vAlign w:val="center"/>
                </w:tcPr>
                <w:p w14:paraId="4EBE0BC3">
                  <w:pPr>
                    <w:widowControl/>
                    <w:jc w:val="center"/>
                    <w:textAlignment w:val="center"/>
                    <w:rPr>
                      <w:color w:val="auto"/>
                      <w:kern w:val="21"/>
                      <w:szCs w:val="21"/>
                    </w:rPr>
                  </w:pPr>
                  <w:r>
                    <w:rPr>
                      <w:color w:val="auto"/>
                      <w:kern w:val="21"/>
                      <w:szCs w:val="21"/>
                      <w:lang w:bidi="ar"/>
                    </w:rPr>
                    <w:t>20</w:t>
                  </w:r>
                </w:p>
              </w:tc>
              <w:tc>
                <w:tcPr>
                  <w:tcW w:w="0" w:type="auto"/>
                  <w:tcBorders>
                    <w:top w:val="nil"/>
                    <w:left w:val="single" w:color="000000" w:sz="8" w:space="0"/>
                    <w:bottom w:val="single" w:color="auto" w:sz="4" w:space="0"/>
                    <w:right w:val="single" w:color="000000" w:sz="8" w:space="0"/>
                  </w:tcBorders>
                  <w:shd w:val="clear" w:color="auto" w:fill="FFFFFF"/>
                  <w:vAlign w:val="center"/>
                </w:tcPr>
                <w:p w14:paraId="6BD6284E">
                  <w:pPr>
                    <w:widowControl/>
                    <w:jc w:val="center"/>
                    <w:textAlignment w:val="center"/>
                    <w:rPr>
                      <w:color w:val="auto"/>
                      <w:kern w:val="21"/>
                      <w:szCs w:val="21"/>
                    </w:rPr>
                  </w:pPr>
                  <w:r>
                    <w:rPr>
                      <w:color w:val="auto"/>
                      <w:kern w:val="21"/>
                      <w:szCs w:val="21"/>
                      <w:lang w:bidi="ar"/>
                    </w:rPr>
                    <w:t>27.2</w:t>
                  </w:r>
                </w:p>
              </w:tc>
              <w:tc>
                <w:tcPr>
                  <w:tcW w:w="0" w:type="auto"/>
                  <w:tcBorders>
                    <w:top w:val="nil"/>
                    <w:left w:val="single" w:color="000000" w:sz="8" w:space="0"/>
                    <w:bottom w:val="single" w:color="auto" w:sz="4" w:space="0"/>
                    <w:right w:val="single" w:color="000000" w:sz="8" w:space="0"/>
                  </w:tcBorders>
                  <w:shd w:val="clear" w:color="auto" w:fill="FFFFFF"/>
                  <w:vAlign w:val="center"/>
                </w:tcPr>
                <w:p w14:paraId="11D52AD4">
                  <w:pPr>
                    <w:widowControl/>
                    <w:jc w:val="center"/>
                    <w:textAlignment w:val="center"/>
                    <w:rPr>
                      <w:color w:val="auto"/>
                      <w:kern w:val="21"/>
                      <w:szCs w:val="21"/>
                    </w:rPr>
                  </w:pPr>
                  <w:r>
                    <w:rPr>
                      <w:color w:val="auto"/>
                      <w:kern w:val="21"/>
                      <w:szCs w:val="21"/>
                      <w:lang w:bidi="ar"/>
                    </w:rPr>
                    <w:t>22.4</w:t>
                  </w:r>
                </w:p>
              </w:tc>
              <w:tc>
                <w:tcPr>
                  <w:tcW w:w="0" w:type="auto"/>
                  <w:tcBorders>
                    <w:top w:val="nil"/>
                    <w:left w:val="single" w:color="000000" w:sz="8" w:space="0"/>
                    <w:bottom w:val="single" w:color="auto" w:sz="4" w:space="0"/>
                    <w:right w:val="single" w:color="000000" w:sz="8" w:space="0"/>
                  </w:tcBorders>
                  <w:shd w:val="clear" w:color="auto" w:fill="FFFFFF"/>
                  <w:vAlign w:val="center"/>
                </w:tcPr>
                <w:p w14:paraId="39D8CF79">
                  <w:pPr>
                    <w:widowControl/>
                    <w:jc w:val="center"/>
                    <w:textAlignment w:val="center"/>
                    <w:rPr>
                      <w:color w:val="auto"/>
                      <w:kern w:val="21"/>
                      <w:szCs w:val="21"/>
                    </w:rPr>
                  </w:pPr>
                  <w:r>
                    <w:rPr>
                      <w:color w:val="auto"/>
                      <w:kern w:val="21"/>
                      <w:szCs w:val="21"/>
                      <w:lang w:bidi="ar"/>
                    </w:rPr>
                    <w:t>22.9</w:t>
                  </w:r>
                </w:p>
              </w:tc>
              <w:tc>
                <w:tcPr>
                  <w:tcW w:w="0" w:type="auto"/>
                  <w:tcBorders>
                    <w:top w:val="nil"/>
                    <w:left w:val="single" w:color="000000" w:sz="8" w:space="0"/>
                    <w:bottom w:val="single" w:color="auto" w:sz="4" w:space="0"/>
                    <w:right w:val="single" w:color="000000" w:sz="8" w:space="0"/>
                  </w:tcBorders>
                  <w:shd w:val="clear" w:color="auto" w:fill="FFFFFF"/>
                  <w:vAlign w:val="center"/>
                </w:tcPr>
                <w:p w14:paraId="4D9C213C">
                  <w:pPr>
                    <w:widowControl/>
                    <w:jc w:val="center"/>
                    <w:textAlignment w:val="center"/>
                    <w:rPr>
                      <w:color w:val="auto"/>
                      <w:kern w:val="21"/>
                      <w:szCs w:val="21"/>
                    </w:rPr>
                  </w:pPr>
                  <w:r>
                    <w:rPr>
                      <w:color w:val="auto"/>
                      <w:kern w:val="21"/>
                      <w:szCs w:val="21"/>
                      <w:lang w:bidi="ar"/>
                    </w:rPr>
                    <w:t>29.9</w:t>
                  </w:r>
                </w:p>
              </w:tc>
              <w:tc>
                <w:tcPr>
                  <w:tcW w:w="0" w:type="auto"/>
                  <w:tcBorders>
                    <w:top w:val="nil"/>
                    <w:left w:val="single" w:color="000000" w:sz="8" w:space="0"/>
                    <w:bottom w:val="single" w:color="auto" w:sz="4" w:space="0"/>
                    <w:right w:val="single" w:color="000000" w:sz="8" w:space="0"/>
                  </w:tcBorders>
                  <w:shd w:val="clear" w:color="auto" w:fill="FFFFFF"/>
                  <w:vAlign w:val="center"/>
                </w:tcPr>
                <w:p w14:paraId="79B3D130">
                  <w:pPr>
                    <w:widowControl/>
                    <w:jc w:val="center"/>
                    <w:textAlignment w:val="center"/>
                    <w:rPr>
                      <w:color w:val="auto"/>
                      <w:kern w:val="21"/>
                      <w:szCs w:val="21"/>
                    </w:rPr>
                  </w:pPr>
                  <w:r>
                    <w:rPr>
                      <w:color w:val="auto"/>
                      <w:kern w:val="21"/>
                      <w:szCs w:val="21"/>
                      <w:lang w:bidi="ar"/>
                    </w:rPr>
                    <w:t>1</w:t>
                  </w:r>
                </w:p>
              </w:tc>
            </w:tr>
            <w:tr w14:paraId="03725176">
              <w:tblPrEx>
                <w:tblCellMar>
                  <w:top w:w="0" w:type="dxa"/>
                  <w:left w:w="108" w:type="dxa"/>
                  <w:bottom w:w="0" w:type="dxa"/>
                  <w:right w:w="108" w:type="dxa"/>
                </w:tblCellMar>
              </w:tblPrEx>
              <w:trPr>
                <w:trHeight w:val="303" w:hRule="atLeast"/>
              </w:trPr>
              <w:tc>
                <w:tcPr>
                  <w:tcW w:w="0" w:type="auto"/>
                  <w:gridSpan w:val="25"/>
                  <w:tcBorders>
                    <w:top w:val="single" w:color="auto" w:sz="4" w:space="0"/>
                    <w:left w:val="single" w:color="auto" w:sz="4" w:space="0"/>
                    <w:bottom w:val="single" w:color="auto" w:sz="4" w:space="0"/>
                    <w:right w:val="single" w:color="auto" w:sz="4" w:space="0"/>
                  </w:tcBorders>
                  <w:shd w:val="clear" w:color="auto" w:fill="FFFFFF"/>
                  <w:vAlign w:val="center"/>
                </w:tcPr>
                <w:p w14:paraId="2BF8D0E3">
                  <w:pPr>
                    <w:widowControl/>
                    <w:textAlignment w:val="center"/>
                    <w:rPr>
                      <w:color w:val="auto"/>
                      <w:kern w:val="21"/>
                      <w:szCs w:val="21"/>
                      <w:lang w:bidi="ar"/>
                    </w:rPr>
                  </w:pPr>
                  <w:r>
                    <w:rPr>
                      <w:color w:val="auto"/>
                      <w:kern w:val="21"/>
                      <w:szCs w:val="21"/>
                      <w:lang w:bidi="ar"/>
                    </w:rPr>
                    <w:t>表中坐标以厂界中心（</w:t>
                  </w:r>
                  <w:bookmarkStart w:id="1" w:name="PO_7"/>
                  <w:r>
                    <w:rPr>
                      <w:color w:val="auto"/>
                      <w:kern w:val="21"/>
                      <w:szCs w:val="21"/>
                      <w:lang w:bidi="ar"/>
                    </w:rPr>
                    <w:t>117.087745</w:t>
                  </w:r>
                  <w:r>
                    <w:rPr>
                      <w:rFonts w:hint="eastAsia"/>
                      <w:color w:val="auto"/>
                      <w:kern w:val="21"/>
                      <w:szCs w:val="21"/>
                      <w:lang w:bidi="ar"/>
                    </w:rPr>
                    <w:t>，</w:t>
                  </w:r>
                  <w:r>
                    <w:rPr>
                      <w:color w:val="auto"/>
                      <w:kern w:val="21"/>
                      <w:szCs w:val="21"/>
                      <w:lang w:bidi="ar"/>
                    </w:rPr>
                    <w:t>33.614143</w:t>
                  </w:r>
                  <w:bookmarkEnd w:id="1"/>
                  <w:r>
                    <w:rPr>
                      <w:color w:val="auto"/>
                      <w:kern w:val="21"/>
                      <w:szCs w:val="21"/>
                      <w:lang w:bidi="ar"/>
                    </w:rPr>
                    <w:t>）为坐标原点，正东向为X轴正方向，正北向为Y轴正方向</w:t>
                  </w:r>
                </w:p>
              </w:tc>
            </w:tr>
          </w:tbl>
          <w:p w14:paraId="53ABE0CD">
            <w:pPr>
              <w:spacing w:line="360" w:lineRule="auto"/>
              <w:rPr>
                <w:rFonts w:eastAsia="黑体"/>
                <w:snapToGrid w:val="0"/>
                <w:color w:val="auto"/>
                <w:sz w:val="30"/>
                <w:szCs w:val="30"/>
              </w:rPr>
            </w:pPr>
          </w:p>
        </w:tc>
      </w:tr>
    </w:tbl>
    <w:p w14:paraId="288CB17E">
      <w:pPr>
        <w:pStyle w:val="14"/>
        <w:rPr>
          <w:rFonts w:ascii="Times New Roman" w:hAnsi="Times New Roman"/>
          <w:b/>
          <w:bCs/>
          <w:color w:val="auto"/>
          <w:sz w:val="30"/>
          <w:szCs w:val="30"/>
        </w:rPr>
        <w:sectPr>
          <w:pgSz w:w="16838" w:h="11906" w:orient="landscape"/>
          <w:pgMar w:top="1746" w:right="1440" w:bottom="1689" w:left="1440" w:header="851" w:footer="992" w:gutter="0"/>
          <w:cols w:space="425" w:num="1"/>
          <w:docGrid w:type="lines" w:linePitch="312" w:charSpace="0"/>
        </w:sectPr>
      </w:pPr>
    </w:p>
    <w:tbl>
      <w:tblPr>
        <w:tblStyle w:val="24"/>
        <w:tblW w:w="9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0"/>
        <w:gridCol w:w="9110"/>
      </w:tblGrid>
      <w:tr w14:paraId="77C3B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7" w:hRule="atLeast"/>
          <w:jc w:val="center"/>
        </w:trPr>
        <w:tc>
          <w:tcPr>
            <w:tcW w:w="630" w:type="dxa"/>
            <w:tcMar>
              <w:left w:w="28" w:type="dxa"/>
              <w:right w:w="28" w:type="dxa"/>
            </w:tcMar>
            <w:vAlign w:val="center"/>
          </w:tcPr>
          <w:p w14:paraId="38820790">
            <w:pPr>
              <w:adjustRightInd w:val="0"/>
              <w:snapToGrid w:val="0"/>
              <w:jc w:val="center"/>
              <w:rPr>
                <w:b/>
                <w:bCs/>
                <w:color w:val="auto"/>
                <w:sz w:val="24"/>
              </w:rPr>
            </w:pPr>
            <w:r>
              <w:rPr>
                <w:b/>
                <w:bCs/>
                <w:color w:val="auto"/>
                <w:sz w:val="24"/>
              </w:rPr>
              <w:t>运营</w:t>
            </w:r>
          </w:p>
          <w:p w14:paraId="6F690284">
            <w:pPr>
              <w:adjustRightInd w:val="0"/>
              <w:snapToGrid w:val="0"/>
              <w:jc w:val="center"/>
              <w:rPr>
                <w:b/>
                <w:bCs/>
                <w:color w:val="auto"/>
                <w:sz w:val="24"/>
              </w:rPr>
            </w:pPr>
            <w:r>
              <w:rPr>
                <w:b/>
                <w:bCs/>
                <w:color w:val="auto"/>
                <w:sz w:val="24"/>
              </w:rPr>
              <w:t>期环</w:t>
            </w:r>
          </w:p>
          <w:p w14:paraId="2A926EAD">
            <w:pPr>
              <w:adjustRightInd w:val="0"/>
              <w:snapToGrid w:val="0"/>
              <w:jc w:val="center"/>
              <w:rPr>
                <w:b/>
                <w:bCs/>
                <w:color w:val="auto"/>
                <w:sz w:val="24"/>
              </w:rPr>
            </w:pPr>
            <w:r>
              <w:rPr>
                <w:b/>
                <w:bCs/>
                <w:color w:val="auto"/>
                <w:sz w:val="24"/>
              </w:rPr>
              <w:t>境影</w:t>
            </w:r>
          </w:p>
          <w:p w14:paraId="4EACABE7">
            <w:pPr>
              <w:adjustRightInd w:val="0"/>
              <w:snapToGrid w:val="0"/>
              <w:jc w:val="center"/>
              <w:rPr>
                <w:b/>
                <w:bCs/>
                <w:color w:val="auto"/>
                <w:sz w:val="24"/>
              </w:rPr>
            </w:pPr>
            <w:r>
              <w:rPr>
                <w:b/>
                <w:bCs/>
                <w:color w:val="auto"/>
                <w:sz w:val="24"/>
              </w:rPr>
              <w:t>响和</w:t>
            </w:r>
          </w:p>
          <w:p w14:paraId="514B9A94">
            <w:pPr>
              <w:adjustRightInd w:val="0"/>
              <w:snapToGrid w:val="0"/>
              <w:jc w:val="center"/>
              <w:rPr>
                <w:b/>
                <w:bCs/>
                <w:color w:val="auto"/>
                <w:sz w:val="24"/>
              </w:rPr>
            </w:pPr>
            <w:r>
              <w:rPr>
                <w:b/>
                <w:bCs/>
                <w:color w:val="auto"/>
                <w:sz w:val="24"/>
              </w:rPr>
              <w:t>保护</w:t>
            </w:r>
          </w:p>
          <w:p w14:paraId="5C75FB8D">
            <w:pPr>
              <w:adjustRightInd w:val="0"/>
              <w:snapToGrid w:val="0"/>
              <w:jc w:val="center"/>
              <w:rPr>
                <w:bCs/>
                <w:color w:val="auto"/>
                <w:szCs w:val="21"/>
              </w:rPr>
            </w:pPr>
            <w:r>
              <w:rPr>
                <w:b/>
                <w:bCs/>
                <w:color w:val="auto"/>
                <w:sz w:val="24"/>
              </w:rPr>
              <w:t>措施</w:t>
            </w:r>
          </w:p>
        </w:tc>
        <w:tc>
          <w:tcPr>
            <w:tcW w:w="9110" w:type="dxa"/>
          </w:tcPr>
          <w:p w14:paraId="35403D9E">
            <w:pPr>
              <w:spacing w:line="360" w:lineRule="auto"/>
              <w:rPr>
                <w:b/>
                <w:color w:val="auto"/>
                <w:sz w:val="24"/>
              </w:rPr>
            </w:pPr>
            <w:r>
              <w:rPr>
                <w:b/>
                <w:color w:val="auto"/>
                <w:sz w:val="24"/>
              </w:rPr>
              <w:t>2、降噪措施及可行性分析</w:t>
            </w:r>
          </w:p>
          <w:p w14:paraId="7C88B7BA">
            <w:pPr>
              <w:pStyle w:val="65"/>
              <w:spacing w:before="0" w:line="360" w:lineRule="auto"/>
              <w:ind w:firstLine="480" w:firstLineChars="200"/>
              <w:rPr>
                <w:rFonts w:ascii="Times New Roman" w:hAnsi="Times New Roman"/>
                <w:color w:val="auto"/>
                <w:sz w:val="24"/>
              </w:rPr>
            </w:pPr>
            <w:r>
              <w:rPr>
                <w:rFonts w:ascii="Times New Roman" w:hAnsi="Times New Roman"/>
                <w:color w:val="auto"/>
                <w:sz w:val="24"/>
              </w:rPr>
              <w:t>本项目生产设备在运行期间均会产生噪声，建设单位采取以下措施来减轻生产设备运行噪声的环境影响。</w:t>
            </w:r>
          </w:p>
          <w:p w14:paraId="23FD58E7">
            <w:pPr>
              <w:pStyle w:val="65"/>
              <w:spacing w:before="0" w:line="360" w:lineRule="auto"/>
              <w:ind w:firstLine="480" w:firstLineChars="200"/>
              <w:rPr>
                <w:rFonts w:ascii="Times New Roman" w:hAnsi="Times New Roman"/>
                <w:color w:val="auto"/>
                <w:sz w:val="24"/>
              </w:rPr>
            </w:pPr>
            <w:r>
              <w:rPr>
                <w:rFonts w:ascii="Times New Roman" w:hAnsi="Times New Roman"/>
                <w:color w:val="auto"/>
                <w:sz w:val="24"/>
              </w:rPr>
              <w:t>（1）选用低噪声设备或</w:t>
            </w:r>
            <w:r>
              <w:rPr>
                <w:rFonts w:hint="eastAsia" w:ascii="Times New Roman" w:hAnsi="Times New Roman"/>
                <w:color w:val="auto"/>
                <w:sz w:val="24"/>
              </w:rPr>
              <w:t>基础减振等措施</w:t>
            </w:r>
            <w:r>
              <w:rPr>
                <w:rFonts w:ascii="Times New Roman" w:hAnsi="Times New Roman"/>
                <w:color w:val="auto"/>
                <w:sz w:val="24"/>
              </w:rPr>
              <w:t>，从源头减少噪声的产生。</w:t>
            </w:r>
          </w:p>
          <w:p w14:paraId="494852FC">
            <w:pPr>
              <w:pStyle w:val="65"/>
              <w:spacing w:before="0" w:line="360" w:lineRule="auto"/>
              <w:ind w:firstLine="480" w:firstLineChars="200"/>
              <w:rPr>
                <w:rFonts w:ascii="Times New Roman" w:hAnsi="Times New Roman"/>
                <w:color w:val="auto"/>
                <w:sz w:val="24"/>
              </w:rPr>
            </w:pPr>
            <w:r>
              <w:rPr>
                <w:rFonts w:ascii="Times New Roman" w:hAnsi="Times New Roman"/>
                <w:color w:val="auto"/>
                <w:sz w:val="24"/>
              </w:rPr>
              <w:t>（2）合理布局设备位置，并对产生高噪声设备采取基座减振措施，降低噪声值。</w:t>
            </w:r>
          </w:p>
          <w:p w14:paraId="76A468CE">
            <w:pPr>
              <w:pStyle w:val="65"/>
              <w:spacing w:before="0" w:line="360" w:lineRule="auto"/>
              <w:ind w:firstLine="480" w:firstLineChars="200"/>
              <w:rPr>
                <w:rFonts w:ascii="Times New Roman" w:hAnsi="Times New Roman"/>
                <w:color w:val="auto"/>
                <w:sz w:val="24"/>
              </w:rPr>
            </w:pPr>
            <w:r>
              <w:rPr>
                <w:rFonts w:ascii="Times New Roman" w:hAnsi="Times New Roman"/>
                <w:color w:val="auto"/>
                <w:sz w:val="24"/>
              </w:rPr>
              <w:t>（3）对室外风机采取减振、加装隔音罩等措施降低噪声值。</w:t>
            </w:r>
          </w:p>
          <w:p w14:paraId="1C55B02F">
            <w:pPr>
              <w:pStyle w:val="65"/>
              <w:spacing w:before="0" w:line="360" w:lineRule="auto"/>
              <w:ind w:firstLine="480" w:firstLineChars="200"/>
              <w:rPr>
                <w:rFonts w:hint="eastAsia"/>
                <w:b/>
                <w:bCs/>
                <w:color w:val="auto"/>
                <w:sz w:val="24"/>
              </w:rPr>
            </w:pPr>
            <w:r>
              <w:rPr>
                <w:rFonts w:ascii="Times New Roman" w:hAnsi="Times New Roman"/>
                <w:color w:val="auto"/>
                <w:sz w:val="24"/>
              </w:rPr>
              <w:t>（4）定期对生产设备进行保养维修，保证生产设备维持良好使用状态，并严格遵守生产设备的操作规范。</w:t>
            </w:r>
          </w:p>
          <w:p w14:paraId="1E54AC9B">
            <w:pPr>
              <w:spacing w:line="360" w:lineRule="auto"/>
              <w:rPr>
                <w:b/>
                <w:bCs/>
                <w:color w:val="auto"/>
                <w:sz w:val="24"/>
              </w:rPr>
            </w:pPr>
            <w:r>
              <w:rPr>
                <w:b/>
                <w:bCs/>
                <w:color w:val="auto"/>
                <w:sz w:val="24"/>
              </w:rPr>
              <w:t>3、噪声影响及达标分析</w:t>
            </w:r>
          </w:p>
          <w:p w14:paraId="316E6C42">
            <w:pPr>
              <w:spacing w:line="360" w:lineRule="auto"/>
              <w:ind w:firstLine="482"/>
              <w:rPr>
                <w:color w:val="auto"/>
                <w:sz w:val="24"/>
              </w:rPr>
            </w:pPr>
            <w:r>
              <w:rPr>
                <w:color w:val="auto"/>
                <w:sz w:val="24"/>
              </w:rPr>
              <w:t>（1）噪声影响预测与评价</w:t>
            </w:r>
          </w:p>
          <w:p w14:paraId="743BF16C">
            <w:pPr>
              <w:widowControl/>
              <w:kinsoku w:val="0"/>
              <w:autoSpaceDE w:val="0"/>
              <w:autoSpaceDN w:val="0"/>
              <w:spacing w:line="360" w:lineRule="auto"/>
              <w:ind w:firstLine="480" w:firstLineChars="200"/>
              <w:textAlignment w:val="baseline"/>
              <w:rPr>
                <w:bCs/>
                <w:color w:val="auto"/>
                <w:sz w:val="24"/>
              </w:rPr>
            </w:pPr>
            <w:r>
              <w:rPr>
                <w:color w:val="auto"/>
                <w:kern w:val="0"/>
                <w:sz w:val="24"/>
              </w:rPr>
              <w:t>预测模式采用《环境影响评价技术导则 声环境》（HJ 2.4—2021）中推荐的模型。根据建设项目噪声源和环境特征，预测过程中考虑了厂房等建筑物的屏障作用、空气吸收效应。</w:t>
            </w:r>
          </w:p>
          <w:p w14:paraId="3AA9A715">
            <w:pPr>
              <w:spacing w:line="360" w:lineRule="auto"/>
              <w:ind w:firstLine="480" w:firstLineChars="200"/>
              <w:rPr>
                <w:color w:val="auto"/>
                <w:sz w:val="24"/>
              </w:rPr>
            </w:pPr>
            <w:r>
              <w:rPr>
                <w:color w:val="auto"/>
                <w:sz w:val="24"/>
              </w:rPr>
              <w:t>（1）室外声源</w:t>
            </w:r>
          </w:p>
          <w:p w14:paraId="197BAB5F">
            <w:pPr>
              <w:autoSpaceDE w:val="0"/>
              <w:autoSpaceDN w:val="0"/>
              <w:spacing w:line="360" w:lineRule="auto"/>
              <w:ind w:firstLine="480" w:firstLineChars="200"/>
              <w:rPr>
                <w:color w:val="auto"/>
                <w:sz w:val="24"/>
              </w:rPr>
            </w:pPr>
            <w:r>
              <w:rPr>
                <w:color w:val="auto"/>
                <w:sz w:val="24"/>
              </w:rPr>
              <w:t>① 计算某个声源在预测点的倍频带声压级</w:t>
            </w:r>
          </w:p>
          <w:p w14:paraId="386A0DB7">
            <w:pPr>
              <w:spacing w:line="360" w:lineRule="auto"/>
              <w:jc w:val="center"/>
              <w:rPr>
                <w:color w:val="auto"/>
                <w:lang w:val="zh-CN"/>
              </w:rPr>
            </w:pPr>
            <w:r>
              <w:rPr>
                <w:color w:val="auto"/>
              </w:rPr>
              <w:drawing>
                <wp:inline distT="0" distB="0" distL="114300" distR="114300">
                  <wp:extent cx="2016760" cy="436880"/>
                  <wp:effectExtent l="0" t="0" r="10160" b="444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2016760" cy="436880"/>
                          </a:xfrm>
                          <a:prstGeom prst="rect">
                            <a:avLst/>
                          </a:prstGeom>
                          <a:noFill/>
                          <a:ln>
                            <a:noFill/>
                          </a:ln>
                        </pic:spPr>
                      </pic:pic>
                    </a:graphicData>
                  </a:graphic>
                </wp:inline>
              </w:drawing>
            </w:r>
          </w:p>
          <w:p w14:paraId="579CF3C8">
            <w:pPr>
              <w:autoSpaceDE w:val="0"/>
              <w:autoSpaceDN w:val="0"/>
              <w:spacing w:line="360" w:lineRule="auto"/>
              <w:ind w:firstLine="480" w:firstLineChars="200"/>
              <w:rPr>
                <w:iCs/>
                <w:color w:val="auto"/>
                <w:sz w:val="24"/>
                <w:lang w:val="zh-CN"/>
              </w:rPr>
            </w:pPr>
            <w:r>
              <w:rPr>
                <w:iCs/>
                <w:color w:val="auto"/>
                <w:sz w:val="24"/>
                <w:lang w:val="zh-CN"/>
              </w:rPr>
              <w:t>式中：</w:t>
            </w:r>
          </w:p>
          <w:p w14:paraId="3B411261">
            <w:pPr>
              <w:autoSpaceDE w:val="0"/>
              <w:autoSpaceDN w:val="0"/>
              <w:spacing w:line="360" w:lineRule="auto"/>
              <w:ind w:firstLine="480" w:firstLineChars="200"/>
              <w:rPr>
                <w:color w:val="auto"/>
                <w:sz w:val="24"/>
              </w:rPr>
            </w:pPr>
            <w:r>
              <w:rPr>
                <w:i/>
                <w:iCs/>
                <w:color w:val="auto"/>
                <w:sz w:val="24"/>
                <w:lang w:val="zh-CN"/>
              </w:rPr>
              <w:t>L</w:t>
            </w:r>
            <w:r>
              <w:rPr>
                <w:color w:val="auto"/>
                <w:sz w:val="24"/>
                <w:vertAlign w:val="subscript"/>
              </w:rPr>
              <w:t>oct</w:t>
            </w:r>
            <w:r>
              <w:rPr>
                <w:i/>
                <w:iCs/>
                <w:color w:val="auto"/>
                <w:sz w:val="24"/>
              </w:rPr>
              <w:t>(r)</w:t>
            </w:r>
            <w:r>
              <w:rPr>
                <w:color w:val="auto"/>
                <w:sz w:val="24"/>
              </w:rPr>
              <w:t>——点声源在预测点产生的倍频带声压级；</w:t>
            </w:r>
          </w:p>
          <w:p w14:paraId="4A6ADB18">
            <w:pPr>
              <w:autoSpaceDE w:val="0"/>
              <w:autoSpaceDN w:val="0"/>
              <w:spacing w:line="360" w:lineRule="auto"/>
              <w:ind w:firstLine="480" w:firstLineChars="200"/>
              <w:rPr>
                <w:color w:val="auto"/>
                <w:sz w:val="24"/>
              </w:rPr>
            </w:pPr>
            <w:r>
              <w:rPr>
                <w:i/>
                <w:iCs/>
                <w:color w:val="auto"/>
                <w:sz w:val="24"/>
              </w:rPr>
              <w:t>L</w:t>
            </w:r>
            <w:r>
              <w:rPr>
                <w:color w:val="auto"/>
                <w:sz w:val="24"/>
                <w:vertAlign w:val="subscript"/>
              </w:rPr>
              <w:t>oct</w:t>
            </w:r>
            <w:r>
              <w:rPr>
                <w:i/>
                <w:iCs/>
                <w:color w:val="auto"/>
                <w:sz w:val="24"/>
              </w:rPr>
              <w:t>(r</w:t>
            </w:r>
            <w:r>
              <w:rPr>
                <w:i/>
                <w:iCs/>
                <w:color w:val="auto"/>
                <w:sz w:val="24"/>
                <w:vertAlign w:val="subscript"/>
              </w:rPr>
              <w:t>0</w:t>
            </w:r>
            <w:r>
              <w:rPr>
                <w:i/>
                <w:iCs/>
                <w:color w:val="auto"/>
                <w:sz w:val="24"/>
              </w:rPr>
              <w:t>)</w:t>
            </w:r>
            <w:r>
              <w:rPr>
                <w:color w:val="auto"/>
                <w:sz w:val="24"/>
              </w:rPr>
              <w:t>——参考位置</w:t>
            </w:r>
            <w:r>
              <w:rPr>
                <w:i/>
                <w:iCs/>
                <w:color w:val="auto"/>
                <w:sz w:val="24"/>
              </w:rPr>
              <w:t>r</w:t>
            </w:r>
            <w:r>
              <w:rPr>
                <w:i/>
                <w:iCs/>
                <w:color w:val="auto"/>
                <w:sz w:val="24"/>
                <w:vertAlign w:val="subscript"/>
              </w:rPr>
              <w:t>0</w:t>
            </w:r>
            <w:r>
              <w:rPr>
                <w:color w:val="auto"/>
                <w:sz w:val="24"/>
              </w:rPr>
              <w:t>处的倍频带声压级；</w:t>
            </w:r>
          </w:p>
          <w:p w14:paraId="006408FB">
            <w:pPr>
              <w:autoSpaceDE w:val="0"/>
              <w:autoSpaceDN w:val="0"/>
              <w:spacing w:line="360" w:lineRule="auto"/>
              <w:ind w:firstLine="480" w:firstLineChars="200"/>
              <w:rPr>
                <w:color w:val="auto"/>
                <w:sz w:val="24"/>
              </w:rPr>
            </w:pPr>
            <w:r>
              <w:rPr>
                <w:i/>
                <w:iCs/>
                <w:color w:val="auto"/>
                <w:sz w:val="24"/>
              </w:rPr>
              <w:t>r</w:t>
            </w:r>
            <w:r>
              <w:rPr>
                <w:color w:val="auto"/>
                <w:sz w:val="24"/>
              </w:rPr>
              <w:t>——预测点距声源的距离，m；</w:t>
            </w:r>
          </w:p>
          <w:p w14:paraId="18B92FD2">
            <w:pPr>
              <w:autoSpaceDE w:val="0"/>
              <w:autoSpaceDN w:val="0"/>
              <w:spacing w:line="360" w:lineRule="auto"/>
              <w:ind w:firstLine="480" w:firstLineChars="200"/>
              <w:rPr>
                <w:color w:val="auto"/>
                <w:sz w:val="24"/>
              </w:rPr>
            </w:pPr>
            <w:r>
              <w:rPr>
                <w:i/>
                <w:iCs/>
                <w:color w:val="auto"/>
                <w:sz w:val="24"/>
              </w:rPr>
              <w:t>r</w:t>
            </w:r>
            <w:r>
              <w:rPr>
                <w:i/>
                <w:iCs/>
                <w:color w:val="auto"/>
                <w:sz w:val="24"/>
                <w:vertAlign w:val="subscript"/>
              </w:rPr>
              <w:t>0</w:t>
            </w:r>
            <w:r>
              <w:rPr>
                <w:color w:val="auto"/>
                <w:sz w:val="24"/>
              </w:rPr>
              <w:t>——参考位置距声源的距离，m；</w:t>
            </w:r>
          </w:p>
          <w:p w14:paraId="136C4C55">
            <w:pPr>
              <w:autoSpaceDE w:val="0"/>
              <w:autoSpaceDN w:val="0"/>
              <w:spacing w:line="360" w:lineRule="auto"/>
              <w:ind w:firstLine="480" w:firstLineChars="200"/>
              <w:rPr>
                <w:color w:val="auto"/>
                <w:sz w:val="24"/>
              </w:rPr>
            </w:pPr>
            <w:r>
              <w:rPr>
                <w:i/>
                <w:iCs/>
                <w:color w:val="auto"/>
                <w:sz w:val="24"/>
              </w:rPr>
              <w:t>ΔL</w:t>
            </w:r>
            <w:r>
              <w:rPr>
                <w:i/>
                <w:iCs/>
                <w:color w:val="auto"/>
                <w:sz w:val="24"/>
                <w:vertAlign w:val="subscript"/>
              </w:rPr>
              <w:t>oct</w:t>
            </w:r>
            <w:r>
              <w:rPr>
                <w:color w:val="auto"/>
                <w:sz w:val="24"/>
              </w:rPr>
              <w:t>——各种因素引起的衰减量（包括声屏障、遮挡物、空气吸收、地面效应等引起的衰减量，其计算方法详见“导则”正文）。</w:t>
            </w:r>
          </w:p>
          <w:p w14:paraId="3CB90DD6">
            <w:pPr>
              <w:autoSpaceDE w:val="0"/>
              <w:autoSpaceDN w:val="0"/>
              <w:spacing w:line="360" w:lineRule="auto"/>
              <w:ind w:firstLine="480" w:firstLineChars="200"/>
              <w:rPr>
                <w:color w:val="auto"/>
                <w:sz w:val="24"/>
              </w:rPr>
            </w:pPr>
            <w:r>
              <w:rPr>
                <w:color w:val="auto"/>
                <w:sz w:val="24"/>
              </w:rPr>
              <w:t>如果已知声源的倍频带声功率级</w:t>
            </w:r>
            <w:r>
              <w:rPr>
                <w:i/>
                <w:iCs/>
                <w:color w:val="auto"/>
                <w:sz w:val="24"/>
              </w:rPr>
              <w:t>L</w:t>
            </w:r>
            <w:r>
              <w:rPr>
                <w:i/>
                <w:iCs/>
                <w:color w:val="auto"/>
                <w:sz w:val="24"/>
                <w:vertAlign w:val="subscript"/>
              </w:rPr>
              <w:t>w oct</w:t>
            </w:r>
            <w:r>
              <w:rPr>
                <w:color w:val="auto"/>
                <w:sz w:val="24"/>
              </w:rPr>
              <w:t>，且声源可看作是位于地面上的，则</w:t>
            </w:r>
          </w:p>
          <w:p w14:paraId="2254962E">
            <w:pPr>
              <w:autoSpaceDE w:val="0"/>
              <w:autoSpaceDN w:val="0"/>
              <w:spacing w:line="360" w:lineRule="auto"/>
              <w:jc w:val="center"/>
              <w:rPr>
                <w:color w:val="auto"/>
                <w:sz w:val="24"/>
                <w:lang w:val="zh-CN"/>
              </w:rPr>
            </w:pPr>
            <w:r>
              <w:rPr>
                <w:color w:val="auto"/>
                <w:kern w:val="0"/>
                <w:sz w:val="24"/>
              </w:rPr>
              <w:drawing>
                <wp:inline distT="0" distB="0" distL="114300" distR="114300">
                  <wp:extent cx="1795780" cy="23050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1795780" cy="230505"/>
                          </a:xfrm>
                          <a:prstGeom prst="rect">
                            <a:avLst/>
                          </a:prstGeom>
                          <a:noFill/>
                          <a:ln>
                            <a:noFill/>
                          </a:ln>
                        </pic:spPr>
                      </pic:pic>
                    </a:graphicData>
                  </a:graphic>
                </wp:inline>
              </w:drawing>
            </w:r>
          </w:p>
          <w:p w14:paraId="22121AAF">
            <w:pPr>
              <w:autoSpaceDE w:val="0"/>
              <w:autoSpaceDN w:val="0"/>
              <w:spacing w:line="360" w:lineRule="auto"/>
              <w:ind w:firstLine="480" w:firstLineChars="200"/>
              <w:rPr>
                <w:color w:val="auto"/>
                <w:sz w:val="24"/>
              </w:rPr>
            </w:pPr>
            <w:r>
              <w:rPr>
                <w:color w:val="auto"/>
                <w:sz w:val="24"/>
              </w:rPr>
              <w:t>② 由各倍频带声压级合成计算出该声源产生的声级</w:t>
            </w:r>
            <w:r>
              <w:rPr>
                <w:i/>
                <w:iCs/>
                <w:color w:val="auto"/>
                <w:sz w:val="24"/>
              </w:rPr>
              <w:t>L</w:t>
            </w:r>
            <w:r>
              <w:rPr>
                <w:i/>
                <w:iCs/>
                <w:color w:val="auto"/>
                <w:sz w:val="24"/>
                <w:vertAlign w:val="subscript"/>
              </w:rPr>
              <w:t>A</w:t>
            </w:r>
            <w:r>
              <w:rPr>
                <w:color w:val="auto"/>
                <w:sz w:val="24"/>
              </w:rPr>
              <w:t>。</w:t>
            </w:r>
          </w:p>
          <w:p w14:paraId="2B96795A">
            <w:pPr>
              <w:autoSpaceDE w:val="0"/>
              <w:autoSpaceDN w:val="0"/>
              <w:spacing w:line="360" w:lineRule="auto"/>
              <w:ind w:firstLine="480" w:firstLineChars="200"/>
              <w:rPr>
                <w:color w:val="auto"/>
                <w:sz w:val="24"/>
              </w:rPr>
            </w:pPr>
            <w:r>
              <w:rPr>
                <w:bCs/>
                <w:color w:val="auto"/>
                <w:sz w:val="24"/>
              </w:rPr>
              <w:t>（2）室内声源</w:t>
            </w:r>
          </w:p>
          <w:p w14:paraId="46BA3A00">
            <w:pPr>
              <w:autoSpaceDE w:val="0"/>
              <w:autoSpaceDN w:val="0"/>
              <w:spacing w:line="360" w:lineRule="auto"/>
              <w:ind w:firstLine="480" w:firstLineChars="200"/>
              <w:rPr>
                <w:color w:val="auto"/>
                <w:sz w:val="24"/>
              </w:rPr>
            </w:pPr>
            <w:r>
              <w:rPr>
                <w:color w:val="auto"/>
                <w:sz w:val="24"/>
              </w:rPr>
              <w:t>① 首先计算出某个室内靠近围护结构处的倍频带声压级：</w:t>
            </w:r>
          </w:p>
          <w:p w14:paraId="714FF6B3">
            <w:pPr>
              <w:spacing w:line="360" w:lineRule="auto"/>
              <w:jc w:val="center"/>
              <w:rPr>
                <w:color w:val="auto"/>
                <w:lang w:val="zh-CN"/>
              </w:rPr>
            </w:pPr>
            <w:r>
              <w:rPr>
                <w:color w:val="auto"/>
              </w:rPr>
              <w:drawing>
                <wp:inline distT="0" distB="0" distL="114300" distR="114300">
                  <wp:extent cx="2017395" cy="485775"/>
                  <wp:effectExtent l="0" t="0" r="9525"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2017395" cy="485775"/>
                          </a:xfrm>
                          <a:prstGeom prst="rect">
                            <a:avLst/>
                          </a:prstGeom>
                          <a:noFill/>
                          <a:ln>
                            <a:noFill/>
                          </a:ln>
                        </pic:spPr>
                      </pic:pic>
                    </a:graphicData>
                  </a:graphic>
                </wp:inline>
              </w:drawing>
            </w:r>
          </w:p>
          <w:p w14:paraId="23B83607">
            <w:pPr>
              <w:autoSpaceDE w:val="0"/>
              <w:autoSpaceDN w:val="0"/>
              <w:spacing w:line="360" w:lineRule="auto"/>
              <w:ind w:firstLine="480" w:firstLineChars="200"/>
              <w:rPr>
                <w:color w:val="auto"/>
                <w:sz w:val="24"/>
              </w:rPr>
            </w:pPr>
            <w:r>
              <w:rPr>
                <w:color w:val="auto"/>
                <w:sz w:val="24"/>
                <w:lang w:val="zh-CN"/>
              </w:rPr>
              <w:t>式中：</w:t>
            </w:r>
            <w:r>
              <w:rPr>
                <w:i/>
                <w:iCs/>
                <w:color w:val="auto"/>
                <w:sz w:val="24"/>
                <w:lang w:val="zh-CN"/>
              </w:rPr>
              <w:t>L</w:t>
            </w:r>
            <w:r>
              <w:rPr>
                <w:i/>
                <w:iCs/>
                <w:color w:val="auto"/>
                <w:sz w:val="24"/>
                <w:vertAlign w:val="subscript"/>
              </w:rPr>
              <w:t>oct,1</w:t>
            </w:r>
            <w:r>
              <w:rPr>
                <w:color w:val="auto"/>
                <w:sz w:val="24"/>
              </w:rPr>
              <w:t>为某个室内声源在靠近围护结构处产生的倍频带声压级，</w:t>
            </w:r>
            <w:r>
              <w:rPr>
                <w:i/>
                <w:iCs/>
                <w:color w:val="auto"/>
                <w:sz w:val="24"/>
              </w:rPr>
              <w:t>L</w:t>
            </w:r>
            <w:r>
              <w:rPr>
                <w:i/>
                <w:iCs/>
                <w:color w:val="auto"/>
                <w:sz w:val="24"/>
                <w:vertAlign w:val="subscript"/>
              </w:rPr>
              <w:t>w oct</w:t>
            </w:r>
            <w:r>
              <w:rPr>
                <w:color w:val="auto"/>
                <w:sz w:val="24"/>
              </w:rPr>
              <w:t>为某个声源的倍频带声功率级，r</w:t>
            </w:r>
            <w:r>
              <w:rPr>
                <w:color w:val="auto"/>
                <w:sz w:val="24"/>
                <w:vertAlign w:val="subscript"/>
              </w:rPr>
              <w:t>1</w:t>
            </w:r>
            <w:r>
              <w:rPr>
                <w:color w:val="auto"/>
                <w:sz w:val="24"/>
              </w:rPr>
              <w:t>为室内某个声源与靠近围护结构处的距离，R为房间常数，Q为方向因子。</w:t>
            </w:r>
          </w:p>
          <w:p w14:paraId="6CFD6DE7">
            <w:pPr>
              <w:autoSpaceDE w:val="0"/>
              <w:autoSpaceDN w:val="0"/>
              <w:spacing w:line="360" w:lineRule="auto"/>
              <w:ind w:firstLine="480" w:firstLineChars="200"/>
              <w:rPr>
                <w:color w:val="auto"/>
                <w:sz w:val="24"/>
              </w:rPr>
            </w:pPr>
            <w:r>
              <w:rPr>
                <w:color w:val="auto"/>
                <w:sz w:val="24"/>
              </w:rPr>
              <w:t>② 计算出所有室内声源在靠近围护结构处产生的总倍频带声压级：</w:t>
            </w:r>
          </w:p>
          <w:p w14:paraId="516E1C12">
            <w:pPr>
              <w:spacing w:line="360" w:lineRule="auto"/>
              <w:jc w:val="center"/>
              <w:rPr>
                <w:color w:val="auto"/>
              </w:rPr>
            </w:pPr>
            <w:r>
              <w:rPr>
                <w:color w:val="auto"/>
              </w:rPr>
              <w:drawing>
                <wp:inline distT="0" distB="0" distL="114300" distR="114300">
                  <wp:extent cx="1837690" cy="461010"/>
                  <wp:effectExtent l="0" t="0" r="6350" b="1143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6"/>
                          <a:stretch>
                            <a:fillRect/>
                          </a:stretch>
                        </pic:blipFill>
                        <pic:spPr>
                          <a:xfrm>
                            <a:off x="0" y="0"/>
                            <a:ext cx="1837690" cy="461010"/>
                          </a:xfrm>
                          <a:prstGeom prst="rect">
                            <a:avLst/>
                          </a:prstGeom>
                          <a:noFill/>
                          <a:ln>
                            <a:noFill/>
                          </a:ln>
                        </pic:spPr>
                      </pic:pic>
                    </a:graphicData>
                  </a:graphic>
                </wp:inline>
              </w:drawing>
            </w:r>
          </w:p>
          <w:p w14:paraId="0837C0C6">
            <w:pPr>
              <w:autoSpaceDE w:val="0"/>
              <w:autoSpaceDN w:val="0"/>
              <w:spacing w:line="360" w:lineRule="auto"/>
              <w:ind w:firstLine="480" w:firstLineChars="200"/>
              <w:rPr>
                <w:color w:val="auto"/>
                <w:sz w:val="24"/>
              </w:rPr>
            </w:pPr>
            <w:r>
              <w:rPr>
                <w:color w:val="auto"/>
                <w:sz w:val="24"/>
              </w:rPr>
              <w:t>③ 计算出室外靠近围护结构处的声压级：</w:t>
            </w:r>
          </w:p>
          <w:p w14:paraId="5DEB246D">
            <w:pPr>
              <w:autoSpaceDE w:val="0"/>
              <w:autoSpaceDN w:val="0"/>
              <w:spacing w:line="360" w:lineRule="auto"/>
              <w:ind w:firstLine="360" w:firstLineChars="200"/>
              <w:jc w:val="center"/>
              <w:rPr>
                <w:color w:val="auto"/>
              </w:rPr>
            </w:pPr>
            <w:r>
              <w:rPr>
                <w:color w:val="auto"/>
                <w:kern w:val="0"/>
                <w:sz w:val="18"/>
                <w:szCs w:val="18"/>
              </w:rPr>
              <w:drawing>
                <wp:inline distT="0" distB="0" distL="114300" distR="114300">
                  <wp:extent cx="1952625" cy="230505"/>
                  <wp:effectExtent l="0" t="0" r="13335" b="139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1952625" cy="230505"/>
                          </a:xfrm>
                          <a:prstGeom prst="rect">
                            <a:avLst/>
                          </a:prstGeom>
                          <a:noFill/>
                          <a:ln>
                            <a:noFill/>
                          </a:ln>
                        </pic:spPr>
                      </pic:pic>
                    </a:graphicData>
                  </a:graphic>
                </wp:inline>
              </w:drawing>
            </w:r>
          </w:p>
          <w:p w14:paraId="20E141CA">
            <w:pPr>
              <w:autoSpaceDE w:val="0"/>
              <w:autoSpaceDN w:val="0"/>
              <w:spacing w:line="360" w:lineRule="auto"/>
              <w:ind w:firstLine="480" w:firstLineChars="200"/>
              <w:jc w:val="left"/>
              <w:rPr>
                <w:color w:val="auto"/>
                <w:sz w:val="24"/>
              </w:rPr>
            </w:pPr>
            <w:r>
              <w:rPr>
                <w:color w:val="auto"/>
                <w:sz w:val="24"/>
              </w:rPr>
              <w:t>④ 将室外声级</w:t>
            </w:r>
            <w:r>
              <w:rPr>
                <w:i/>
                <w:iCs/>
                <w:color w:val="auto"/>
                <w:sz w:val="24"/>
              </w:rPr>
              <w:t>L</w:t>
            </w:r>
            <w:r>
              <w:rPr>
                <w:i/>
                <w:iCs/>
                <w:color w:val="auto"/>
                <w:sz w:val="24"/>
                <w:vertAlign w:val="subscript"/>
              </w:rPr>
              <w:t>oct,2</w:t>
            </w:r>
            <w:r>
              <w:rPr>
                <w:i/>
                <w:iCs/>
                <w:color w:val="auto"/>
                <w:sz w:val="24"/>
              </w:rPr>
              <w:t>(T)</w:t>
            </w:r>
            <w:r>
              <w:rPr>
                <w:color w:val="auto"/>
                <w:sz w:val="24"/>
              </w:rPr>
              <w:t>和透声面积换算成等效的室外声源，计算出等效声源第i个倍频带的声功率级</w:t>
            </w:r>
            <w:r>
              <w:rPr>
                <w:i/>
                <w:iCs/>
                <w:color w:val="auto"/>
                <w:sz w:val="24"/>
              </w:rPr>
              <w:t>L</w:t>
            </w:r>
            <w:r>
              <w:rPr>
                <w:i/>
                <w:iCs/>
                <w:color w:val="auto"/>
                <w:sz w:val="24"/>
                <w:vertAlign w:val="subscript"/>
              </w:rPr>
              <w:t>w oct</w:t>
            </w:r>
            <w:r>
              <w:rPr>
                <w:color w:val="auto"/>
                <w:sz w:val="24"/>
              </w:rPr>
              <w:t>：</w:t>
            </w:r>
          </w:p>
          <w:p w14:paraId="7CA5B433">
            <w:pPr>
              <w:spacing w:line="360" w:lineRule="auto"/>
              <w:jc w:val="center"/>
              <w:rPr>
                <w:color w:val="auto"/>
              </w:rPr>
            </w:pPr>
            <w:r>
              <w:rPr>
                <w:color w:val="auto"/>
              </w:rPr>
              <w:drawing>
                <wp:inline distT="0" distB="0" distL="114300" distR="114300">
                  <wp:extent cx="1929765" cy="273685"/>
                  <wp:effectExtent l="0" t="0" r="5715"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8"/>
                          <a:stretch>
                            <a:fillRect/>
                          </a:stretch>
                        </pic:blipFill>
                        <pic:spPr>
                          <a:xfrm>
                            <a:off x="0" y="0"/>
                            <a:ext cx="1929765" cy="273685"/>
                          </a:xfrm>
                          <a:prstGeom prst="rect">
                            <a:avLst/>
                          </a:prstGeom>
                          <a:noFill/>
                          <a:ln>
                            <a:noFill/>
                          </a:ln>
                        </pic:spPr>
                      </pic:pic>
                    </a:graphicData>
                  </a:graphic>
                </wp:inline>
              </w:drawing>
            </w:r>
          </w:p>
          <w:p w14:paraId="7BFF1637">
            <w:pPr>
              <w:autoSpaceDE w:val="0"/>
              <w:autoSpaceDN w:val="0"/>
              <w:spacing w:line="360" w:lineRule="auto"/>
              <w:ind w:firstLine="480" w:firstLineChars="200"/>
              <w:jc w:val="left"/>
              <w:rPr>
                <w:color w:val="auto"/>
                <w:sz w:val="24"/>
              </w:rPr>
            </w:pPr>
            <w:r>
              <w:rPr>
                <w:color w:val="auto"/>
                <w:sz w:val="24"/>
              </w:rPr>
              <w:t>式中：S为透声面积，m</w:t>
            </w:r>
            <w:r>
              <w:rPr>
                <w:color w:val="auto"/>
                <w:sz w:val="24"/>
                <w:vertAlign w:val="superscript"/>
              </w:rPr>
              <w:t>2</w:t>
            </w:r>
            <w:r>
              <w:rPr>
                <w:color w:val="auto"/>
                <w:sz w:val="24"/>
              </w:rPr>
              <w:t>。</w:t>
            </w:r>
          </w:p>
          <w:p w14:paraId="04042868">
            <w:pPr>
              <w:autoSpaceDE w:val="0"/>
              <w:autoSpaceDN w:val="0"/>
              <w:spacing w:line="360" w:lineRule="auto"/>
              <w:ind w:firstLine="480" w:firstLineChars="200"/>
              <w:jc w:val="left"/>
              <w:rPr>
                <w:color w:val="auto"/>
                <w:sz w:val="24"/>
              </w:rPr>
            </w:pPr>
            <w:r>
              <w:rPr>
                <w:color w:val="auto"/>
                <w:sz w:val="24"/>
              </w:rPr>
              <w:t>⑤ 等效室外声源的位置为围护结构的位置，其倍频带声功率级为</w:t>
            </w:r>
            <w:r>
              <w:rPr>
                <w:i/>
                <w:iCs/>
                <w:color w:val="auto"/>
                <w:sz w:val="24"/>
              </w:rPr>
              <w:t>L</w:t>
            </w:r>
            <w:r>
              <w:rPr>
                <w:i/>
                <w:iCs/>
                <w:color w:val="auto"/>
                <w:sz w:val="24"/>
                <w:vertAlign w:val="subscript"/>
              </w:rPr>
              <w:t>w oct</w:t>
            </w:r>
            <w:r>
              <w:rPr>
                <w:color w:val="auto"/>
                <w:sz w:val="24"/>
              </w:rPr>
              <w:t>，由此按室外声源方法计算等效室外声源在预测点产生的声级。</w:t>
            </w:r>
          </w:p>
          <w:p w14:paraId="2E8ECAF7">
            <w:pPr>
              <w:autoSpaceDE w:val="0"/>
              <w:autoSpaceDN w:val="0"/>
              <w:spacing w:line="360" w:lineRule="auto"/>
              <w:ind w:firstLine="480" w:firstLineChars="200"/>
              <w:jc w:val="left"/>
              <w:rPr>
                <w:color w:val="auto"/>
                <w:sz w:val="24"/>
              </w:rPr>
            </w:pPr>
            <w:r>
              <w:rPr>
                <w:bCs/>
                <w:color w:val="auto"/>
                <w:sz w:val="24"/>
              </w:rPr>
              <w:t>（3）计算总声压级</w:t>
            </w:r>
          </w:p>
          <w:p w14:paraId="370D2D83">
            <w:pPr>
              <w:autoSpaceDE w:val="0"/>
              <w:autoSpaceDN w:val="0"/>
              <w:spacing w:line="360" w:lineRule="auto"/>
              <w:ind w:firstLine="480" w:firstLineChars="200"/>
              <w:jc w:val="left"/>
              <w:rPr>
                <w:color w:val="auto"/>
                <w:sz w:val="24"/>
              </w:rPr>
            </w:pPr>
            <w:r>
              <w:rPr>
                <w:color w:val="auto"/>
                <w:sz w:val="24"/>
              </w:rPr>
              <w:t>设第i个室外声源在预测点产生的A声级为</w:t>
            </w:r>
            <w:r>
              <w:rPr>
                <w:i/>
                <w:iCs/>
                <w:color w:val="auto"/>
                <w:sz w:val="24"/>
              </w:rPr>
              <w:t>L</w:t>
            </w:r>
            <w:r>
              <w:rPr>
                <w:i/>
                <w:iCs/>
                <w:color w:val="auto"/>
                <w:sz w:val="24"/>
                <w:vertAlign w:val="subscript"/>
              </w:rPr>
              <w:t>A in,i</w:t>
            </w:r>
            <w:r>
              <w:rPr>
                <w:color w:val="auto"/>
                <w:sz w:val="24"/>
              </w:rPr>
              <w:t>，在T时间内该声源工作时间为</w:t>
            </w:r>
            <w:r>
              <w:rPr>
                <w:i/>
                <w:iCs/>
                <w:color w:val="auto"/>
                <w:sz w:val="24"/>
              </w:rPr>
              <w:t>t</w:t>
            </w:r>
            <w:r>
              <w:rPr>
                <w:i/>
                <w:iCs/>
                <w:color w:val="auto"/>
                <w:sz w:val="24"/>
                <w:vertAlign w:val="subscript"/>
              </w:rPr>
              <w:t>in,i</w:t>
            </w:r>
            <w:r>
              <w:rPr>
                <w:color w:val="auto"/>
                <w:sz w:val="24"/>
              </w:rPr>
              <w:t>；第j个等效室外声源在预测点产生的A声级为</w:t>
            </w:r>
            <w:r>
              <w:rPr>
                <w:i/>
                <w:iCs/>
                <w:color w:val="auto"/>
                <w:sz w:val="24"/>
              </w:rPr>
              <w:t>L</w:t>
            </w:r>
            <w:r>
              <w:rPr>
                <w:i/>
                <w:iCs/>
                <w:color w:val="auto"/>
                <w:sz w:val="24"/>
                <w:vertAlign w:val="subscript"/>
              </w:rPr>
              <w:t>A out,j</w:t>
            </w:r>
            <w:r>
              <w:rPr>
                <w:color w:val="auto"/>
                <w:sz w:val="24"/>
              </w:rPr>
              <w:t>，在T时间内该声源工作时间为</w:t>
            </w:r>
            <w:r>
              <w:rPr>
                <w:i/>
                <w:iCs/>
                <w:color w:val="auto"/>
                <w:sz w:val="24"/>
              </w:rPr>
              <w:t>t</w:t>
            </w:r>
            <w:r>
              <w:rPr>
                <w:i/>
                <w:iCs/>
                <w:color w:val="auto"/>
                <w:sz w:val="24"/>
                <w:vertAlign w:val="subscript"/>
              </w:rPr>
              <w:t>out,j</w:t>
            </w:r>
            <w:r>
              <w:rPr>
                <w:color w:val="auto"/>
                <w:sz w:val="24"/>
              </w:rPr>
              <w:t>，则预测点的总等效声级为：</w:t>
            </w:r>
          </w:p>
          <w:p w14:paraId="0F97D4E2">
            <w:pPr>
              <w:spacing w:line="360" w:lineRule="auto"/>
              <w:jc w:val="center"/>
              <w:rPr>
                <w:color w:val="auto"/>
              </w:rPr>
            </w:pPr>
            <w:r>
              <w:rPr>
                <w:color w:val="auto"/>
              </w:rPr>
              <w:drawing>
                <wp:inline distT="0" distB="0" distL="114300" distR="114300">
                  <wp:extent cx="3409315" cy="485775"/>
                  <wp:effectExtent l="0" t="0" r="4445" b="190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9"/>
                          <a:stretch>
                            <a:fillRect/>
                          </a:stretch>
                        </pic:blipFill>
                        <pic:spPr>
                          <a:xfrm>
                            <a:off x="0" y="0"/>
                            <a:ext cx="3409315" cy="485775"/>
                          </a:xfrm>
                          <a:prstGeom prst="rect">
                            <a:avLst/>
                          </a:prstGeom>
                          <a:noFill/>
                          <a:ln>
                            <a:noFill/>
                          </a:ln>
                        </pic:spPr>
                      </pic:pic>
                    </a:graphicData>
                  </a:graphic>
                </wp:inline>
              </w:drawing>
            </w:r>
          </w:p>
          <w:p w14:paraId="4ECE90DB">
            <w:pPr>
              <w:widowControl/>
              <w:spacing w:line="360" w:lineRule="auto"/>
              <w:jc w:val="left"/>
              <w:rPr>
                <w:bCs/>
                <w:color w:val="auto"/>
                <w:sz w:val="24"/>
              </w:rPr>
            </w:pPr>
            <w:r>
              <w:rPr>
                <w:color w:val="auto"/>
                <w:sz w:val="24"/>
              </w:rPr>
              <w:t>式中：T为计算等效声级的时间，N为室外声源个数，M为等效室外声源个数。</w:t>
            </w:r>
          </w:p>
          <w:p w14:paraId="65980895">
            <w:pPr>
              <w:pStyle w:val="37"/>
              <w:widowControl/>
              <w:tabs>
                <w:tab w:val="left" w:pos="420"/>
              </w:tabs>
              <w:spacing w:line="360" w:lineRule="auto"/>
              <w:ind w:firstLine="0" w:firstLineChars="0"/>
              <w:jc w:val="center"/>
              <w:rPr>
                <w:b/>
                <w:bCs/>
                <w:vanish/>
                <w:color w:val="auto"/>
                <w:sz w:val="24"/>
              </w:rPr>
            </w:pPr>
          </w:p>
          <w:p w14:paraId="148E32F8">
            <w:pPr>
              <w:pStyle w:val="37"/>
              <w:widowControl/>
              <w:tabs>
                <w:tab w:val="left" w:pos="420"/>
              </w:tabs>
              <w:spacing w:line="360" w:lineRule="auto"/>
              <w:ind w:firstLine="0" w:firstLineChars="0"/>
              <w:jc w:val="center"/>
              <w:rPr>
                <w:b/>
                <w:bCs/>
                <w:vanish/>
                <w:color w:val="auto"/>
                <w:sz w:val="24"/>
              </w:rPr>
            </w:pPr>
          </w:p>
          <w:p w14:paraId="2E460AB8">
            <w:pPr>
              <w:pStyle w:val="37"/>
              <w:widowControl/>
              <w:tabs>
                <w:tab w:val="left" w:pos="420"/>
              </w:tabs>
              <w:spacing w:line="360" w:lineRule="auto"/>
              <w:ind w:firstLine="0" w:firstLineChars="0"/>
              <w:jc w:val="center"/>
              <w:rPr>
                <w:rStyle w:val="62"/>
                <w:bCs/>
                <w:vanish/>
                <w:color w:val="auto"/>
                <w:sz w:val="24"/>
                <w:szCs w:val="24"/>
              </w:rPr>
            </w:pPr>
            <w:r>
              <w:rPr>
                <w:b/>
                <w:bCs/>
                <w:vanish/>
                <w:color w:val="auto"/>
                <w:sz w:val="24"/>
              </w:rPr>
              <w:t xml:space="preserve">表4-15  </w:t>
            </w:r>
          </w:p>
          <w:p w14:paraId="5015F847">
            <w:pPr>
              <w:pStyle w:val="37"/>
              <w:widowControl/>
              <w:tabs>
                <w:tab w:val="left" w:pos="420"/>
              </w:tabs>
              <w:spacing w:line="360" w:lineRule="auto"/>
              <w:ind w:firstLine="0" w:firstLineChars="0"/>
              <w:jc w:val="center"/>
              <w:rPr>
                <w:rStyle w:val="62"/>
                <w:bCs/>
                <w:vanish/>
                <w:color w:val="auto"/>
                <w:sz w:val="24"/>
                <w:szCs w:val="24"/>
              </w:rPr>
            </w:pPr>
            <w:r>
              <w:rPr>
                <w:b/>
                <w:bCs/>
                <w:vanish/>
                <w:color w:val="auto"/>
                <w:sz w:val="24"/>
              </w:rPr>
              <w:t xml:space="preserve">表4-16  </w:t>
            </w:r>
          </w:p>
          <w:p w14:paraId="75E2A7E9">
            <w:pPr>
              <w:pStyle w:val="65"/>
              <w:spacing w:before="0" w:line="360" w:lineRule="auto"/>
              <w:ind w:firstLine="480" w:firstLineChars="200"/>
              <w:rPr>
                <w:rFonts w:ascii="Times New Roman" w:hAnsi="Times New Roman"/>
                <w:color w:val="auto"/>
                <w:sz w:val="24"/>
              </w:rPr>
            </w:pPr>
            <w:r>
              <w:rPr>
                <w:rFonts w:ascii="Times New Roman" w:hAnsi="Times New Roman"/>
                <w:color w:val="auto"/>
                <w:sz w:val="24"/>
              </w:rPr>
              <w:t>（4）预测结果</w:t>
            </w:r>
          </w:p>
          <w:p w14:paraId="135099F9">
            <w:pPr>
              <w:pStyle w:val="65"/>
              <w:spacing w:before="0" w:line="360" w:lineRule="auto"/>
              <w:ind w:firstLine="480" w:firstLineChars="200"/>
              <w:rPr>
                <w:rStyle w:val="62"/>
                <w:bCs/>
                <w:color w:val="auto"/>
                <w:sz w:val="24"/>
                <w:szCs w:val="24"/>
              </w:rPr>
            </w:pPr>
            <w:r>
              <w:rPr>
                <w:rFonts w:ascii="Times New Roman" w:hAnsi="Times New Roman"/>
                <w:color w:val="auto"/>
                <w:sz w:val="24"/>
              </w:rPr>
              <w:t>项目噪声预测结果见下表</w:t>
            </w:r>
            <w:r>
              <w:rPr>
                <w:rFonts w:hint="eastAsia" w:ascii="Times New Roman" w:hAnsi="Times New Roman"/>
                <w:color w:val="auto"/>
                <w:sz w:val="24"/>
              </w:rPr>
              <w:t>，项目噪声背景值依据2024年例行检测报告中的厂界噪声。</w:t>
            </w:r>
          </w:p>
          <w:p w14:paraId="162F908B">
            <w:pPr>
              <w:widowControl/>
              <w:tabs>
                <w:tab w:val="left" w:pos="420"/>
              </w:tabs>
              <w:jc w:val="center"/>
              <w:rPr>
                <w:rStyle w:val="62"/>
                <w:bCs/>
                <w:color w:val="auto"/>
                <w:sz w:val="24"/>
                <w:szCs w:val="24"/>
              </w:rPr>
            </w:pPr>
            <w:r>
              <w:rPr>
                <w:rStyle w:val="62"/>
                <w:bCs/>
                <w:color w:val="auto"/>
                <w:sz w:val="24"/>
                <w:szCs w:val="24"/>
              </w:rPr>
              <w:t>表4-</w:t>
            </w:r>
            <w:r>
              <w:rPr>
                <w:rStyle w:val="62"/>
                <w:rFonts w:hint="eastAsia"/>
                <w:bCs/>
                <w:color w:val="auto"/>
                <w:sz w:val="24"/>
                <w:szCs w:val="24"/>
              </w:rPr>
              <w:t>10</w:t>
            </w:r>
            <w:r>
              <w:rPr>
                <w:rStyle w:val="62"/>
                <w:bCs/>
                <w:color w:val="auto"/>
                <w:sz w:val="24"/>
                <w:szCs w:val="24"/>
              </w:rPr>
              <w:t xml:space="preserve">  项目厂界噪声预测结果一览表（单位：dB(A)）</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4"/>
              <w:gridCol w:w="2052"/>
              <w:gridCol w:w="2090"/>
              <w:gridCol w:w="2614"/>
            </w:tblGrid>
            <w:tr w14:paraId="5070C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pct"/>
                  <w:vMerge w:val="restart"/>
                  <w:tcMar>
                    <w:left w:w="0" w:type="dxa"/>
                    <w:right w:w="0" w:type="dxa"/>
                  </w:tcMar>
                  <w:vAlign w:val="center"/>
                </w:tcPr>
                <w:p w14:paraId="39C8E8FB">
                  <w:pPr>
                    <w:adjustRightInd w:val="0"/>
                    <w:snapToGrid w:val="0"/>
                    <w:jc w:val="center"/>
                    <w:rPr>
                      <w:color w:val="auto"/>
                      <w:szCs w:val="21"/>
                    </w:rPr>
                  </w:pPr>
                  <w:r>
                    <w:rPr>
                      <w:color w:val="auto"/>
                      <w:szCs w:val="21"/>
                    </w:rPr>
                    <w:t>位点</w:t>
                  </w:r>
                </w:p>
              </w:tc>
              <w:tc>
                <w:tcPr>
                  <w:tcW w:w="1155" w:type="pct"/>
                  <w:tcMar>
                    <w:left w:w="0" w:type="dxa"/>
                    <w:right w:w="0" w:type="dxa"/>
                  </w:tcMar>
                  <w:vAlign w:val="center"/>
                </w:tcPr>
                <w:p w14:paraId="6B9EBFC5">
                  <w:pPr>
                    <w:adjustRightInd w:val="0"/>
                    <w:snapToGrid w:val="0"/>
                    <w:jc w:val="center"/>
                    <w:rPr>
                      <w:color w:val="auto"/>
                      <w:szCs w:val="21"/>
                    </w:rPr>
                  </w:pPr>
                  <w:r>
                    <w:rPr>
                      <w:color w:val="auto"/>
                      <w:szCs w:val="21"/>
                    </w:rPr>
                    <w:t>贡献值</w:t>
                  </w:r>
                </w:p>
              </w:tc>
              <w:tc>
                <w:tcPr>
                  <w:tcW w:w="1176" w:type="pct"/>
                  <w:tcMar>
                    <w:left w:w="0" w:type="dxa"/>
                    <w:right w:w="0" w:type="dxa"/>
                  </w:tcMar>
                  <w:vAlign w:val="center"/>
                </w:tcPr>
                <w:p w14:paraId="442FD98F">
                  <w:pPr>
                    <w:adjustRightInd w:val="0"/>
                    <w:snapToGrid w:val="0"/>
                    <w:jc w:val="center"/>
                    <w:rPr>
                      <w:color w:val="auto"/>
                      <w:szCs w:val="21"/>
                    </w:rPr>
                  </w:pPr>
                  <w:r>
                    <w:rPr>
                      <w:color w:val="auto"/>
                      <w:szCs w:val="21"/>
                    </w:rPr>
                    <w:t>标准值</w:t>
                  </w:r>
                </w:p>
              </w:tc>
              <w:tc>
                <w:tcPr>
                  <w:tcW w:w="1471" w:type="pct"/>
                  <w:vMerge w:val="restart"/>
                  <w:tcMar>
                    <w:left w:w="0" w:type="dxa"/>
                    <w:right w:w="0" w:type="dxa"/>
                  </w:tcMar>
                  <w:vAlign w:val="center"/>
                </w:tcPr>
                <w:p w14:paraId="7ABA197D">
                  <w:pPr>
                    <w:adjustRightInd w:val="0"/>
                    <w:snapToGrid w:val="0"/>
                    <w:jc w:val="center"/>
                    <w:rPr>
                      <w:color w:val="auto"/>
                      <w:szCs w:val="21"/>
                    </w:rPr>
                  </w:pPr>
                  <w:r>
                    <w:rPr>
                      <w:color w:val="auto"/>
                      <w:szCs w:val="21"/>
                    </w:rPr>
                    <w:t>评价结果</w:t>
                  </w:r>
                </w:p>
              </w:tc>
            </w:tr>
            <w:tr w14:paraId="32069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pct"/>
                  <w:vMerge w:val="continue"/>
                  <w:tcMar>
                    <w:left w:w="0" w:type="dxa"/>
                    <w:right w:w="0" w:type="dxa"/>
                  </w:tcMar>
                  <w:vAlign w:val="center"/>
                </w:tcPr>
                <w:p w14:paraId="11D21670">
                  <w:pPr>
                    <w:adjustRightInd w:val="0"/>
                    <w:snapToGrid w:val="0"/>
                    <w:jc w:val="center"/>
                    <w:rPr>
                      <w:color w:val="auto"/>
                      <w:szCs w:val="21"/>
                    </w:rPr>
                  </w:pPr>
                </w:p>
              </w:tc>
              <w:tc>
                <w:tcPr>
                  <w:tcW w:w="1155" w:type="pct"/>
                  <w:tcMar>
                    <w:left w:w="0" w:type="dxa"/>
                    <w:right w:w="0" w:type="dxa"/>
                  </w:tcMar>
                  <w:vAlign w:val="center"/>
                </w:tcPr>
                <w:p w14:paraId="43B3925D">
                  <w:pPr>
                    <w:adjustRightInd w:val="0"/>
                    <w:snapToGrid w:val="0"/>
                    <w:jc w:val="center"/>
                    <w:rPr>
                      <w:color w:val="auto"/>
                      <w:szCs w:val="21"/>
                    </w:rPr>
                  </w:pPr>
                  <w:r>
                    <w:rPr>
                      <w:color w:val="auto"/>
                      <w:szCs w:val="21"/>
                    </w:rPr>
                    <w:t>昼间</w:t>
                  </w:r>
                </w:p>
              </w:tc>
              <w:tc>
                <w:tcPr>
                  <w:tcW w:w="1176" w:type="pct"/>
                  <w:tcMar>
                    <w:left w:w="0" w:type="dxa"/>
                    <w:right w:w="0" w:type="dxa"/>
                  </w:tcMar>
                  <w:vAlign w:val="center"/>
                </w:tcPr>
                <w:p w14:paraId="5B02E528">
                  <w:pPr>
                    <w:adjustRightInd w:val="0"/>
                    <w:snapToGrid w:val="0"/>
                    <w:jc w:val="center"/>
                    <w:rPr>
                      <w:color w:val="auto"/>
                      <w:szCs w:val="21"/>
                    </w:rPr>
                  </w:pPr>
                  <w:r>
                    <w:rPr>
                      <w:color w:val="auto"/>
                      <w:szCs w:val="21"/>
                    </w:rPr>
                    <w:t>昼间</w:t>
                  </w:r>
                </w:p>
              </w:tc>
              <w:tc>
                <w:tcPr>
                  <w:tcW w:w="1471" w:type="pct"/>
                  <w:vMerge w:val="continue"/>
                  <w:tcMar>
                    <w:left w:w="0" w:type="dxa"/>
                    <w:right w:w="0" w:type="dxa"/>
                  </w:tcMar>
                  <w:vAlign w:val="center"/>
                </w:tcPr>
                <w:p w14:paraId="191E148A">
                  <w:pPr>
                    <w:adjustRightInd w:val="0"/>
                    <w:snapToGrid w:val="0"/>
                    <w:jc w:val="center"/>
                    <w:rPr>
                      <w:color w:val="auto"/>
                      <w:szCs w:val="21"/>
                    </w:rPr>
                  </w:pPr>
                </w:p>
              </w:tc>
            </w:tr>
            <w:tr w14:paraId="3CCDF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196" w:type="pct"/>
                  <w:tcMar>
                    <w:left w:w="0" w:type="dxa"/>
                    <w:right w:w="0" w:type="dxa"/>
                  </w:tcMar>
                  <w:vAlign w:val="center"/>
                </w:tcPr>
                <w:p w14:paraId="4331AD2C">
                  <w:pPr>
                    <w:pStyle w:val="71"/>
                    <w:adjustRightInd w:val="0"/>
                    <w:snapToGrid w:val="0"/>
                    <w:rPr>
                      <w:rFonts w:cs="Times New Roman"/>
                      <w:color w:val="auto"/>
                      <w:szCs w:val="21"/>
                    </w:rPr>
                  </w:pPr>
                  <w:r>
                    <w:rPr>
                      <w:rFonts w:cs="Times New Roman"/>
                      <w:color w:val="auto"/>
                      <w:szCs w:val="21"/>
                    </w:rPr>
                    <w:t>东厂界</w:t>
                  </w:r>
                </w:p>
              </w:tc>
              <w:tc>
                <w:tcPr>
                  <w:tcW w:w="2052" w:type="dxa"/>
                  <w:tcMar>
                    <w:left w:w="0" w:type="dxa"/>
                    <w:right w:w="0" w:type="dxa"/>
                  </w:tcMar>
                  <w:vAlign w:val="center"/>
                </w:tcPr>
                <w:p w14:paraId="63CD50AA">
                  <w:pPr>
                    <w:pStyle w:val="71"/>
                    <w:adjustRightInd w:val="0"/>
                    <w:snapToGrid w:val="0"/>
                    <w:rPr>
                      <w:rFonts w:cs="Times New Roman"/>
                      <w:color w:val="auto"/>
                      <w:szCs w:val="21"/>
                      <w:highlight w:val="yellow"/>
                    </w:rPr>
                  </w:pPr>
                  <w:r>
                    <w:rPr>
                      <w:rFonts w:hint="eastAsia" w:cs="Times New Roman"/>
                      <w:color w:val="auto"/>
                      <w:szCs w:val="21"/>
                    </w:rPr>
                    <w:t>57.3</w:t>
                  </w:r>
                </w:p>
              </w:tc>
              <w:tc>
                <w:tcPr>
                  <w:tcW w:w="1176" w:type="pct"/>
                  <w:tcMar>
                    <w:left w:w="0" w:type="dxa"/>
                    <w:right w:w="0" w:type="dxa"/>
                  </w:tcMar>
                  <w:vAlign w:val="center"/>
                </w:tcPr>
                <w:p w14:paraId="569C883C">
                  <w:pPr>
                    <w:pStyle w:val="71"/>
                    <w:adjustRightInd w:val="0"/>
                    <w:snapToGrid w:val="0"/>
                    <w:rPr>
                      <w:rFonts w:cs="Times New Roman"/>
                      <w:color w:val="auto"/>
                      <w:szCs w:val="21"/>
                    </w:rPr>
                  </w:pPr>
                  <w:r>
                    <w:rPr>
                      <w:rFonts w:cs="Times New Roman"/>
                      <w:color w:val="auto"/>
                      <w:szCs w:val="21"/>
                    </w:rPr>
                    <w:t>6</w:t>
                  </w:r>
                  <w:r>
                    <w:rPr>
                      <w:rFonts w:hint="eastAsia" w:cs="Times New Roman"/>
                      <w:color w:val="auto"/>
                      <w:szCs w:val="21"/>
                    </w:rPr>
                    <w:t>0</w:t>
                  </w:r>
                </w:p>
              </w:tc>
              <w:tc>
                <w:tcPr>
                  <w:tcW w:w="1471" w:type="pct"/>
                  <w:tcMar>
                    <w:left w:w="0" w:type="dxa"/>
                    <w:right w:w="0" w:type="dxa"/>
                  </w:tcMar>
                  <w:vAlign w:val="center"/>
                </w:tcPr>
                <w:p w14:paraId="4E235703">
                  <w:pPr>
                    <w:pStyle w:val="71"/>
                    <w:adjustRightInd w:val="0"/>
                    <w:snapToGrid w:val="0"/>
                    <w:rPr>
                      <w:rFonts w:cs="Times New Roman"/>
                      <w:color w:val="auto"/>
                      <w:szCs w:val="21"/>
                    </w:rPr>
                  </w:pPr>
                  <w:r>
                    <w:rPr>
                      <w:rFonts w:cs="Times New Roman"/>
                      <w:color w:val="auto"/>
                      <w:szCs w:val="21"/>
                    </w:rPr>
                    <w:t>达标</w:t>
                  </w:r>
                </w:p>
              </w:tc>
            </w:tr>
            <w:tr w14:paraId="65F1F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pct"/>
                  <w:tcMar>
                    <w:left w:w="0" w:type="dxa"/>
                    <w:right w:w="0" w:type="dxa"/>
                  </w:tcMar>
                  <w:vAlign w:val="center"/>
                </w:tcPr>
                <w:p w14:paraId="44EAE8BE">
                  <w:pPr>
                    <w:pStyle w:val="71"/>
                    <w:adjustRightInd w:val="0"/>
                    <w:snapToGrid w:val="0"/>
                    <w:rPr>
                      <w:rFonts w:cs="Times New Roman"/>
                      <w:color w:val="auto"/>
                      <w:szCs w:val="21"/>
                    </w:rPr>
                  </w:pPr>
                  <w:r>
                    <w:rPr>
                      <w:rFonts w:cs="Times New Roman"/>
                      <w:color w:val="auto"/>
                      <w:szCs w:val="21"/>
                    </w:rPr>
                    <w:t>南厂界</w:t>
                  </w:r>
                </w:p>
              </w:tc>
              <w:tc>
                <w:tcPr>
                  <w:tcW w:w="2052" w:type="dxa"/>
                  <w:tcMar>
                    <w:left w:w="0" w:type="dxa"/>
                    <w:right w:w="0" w:type="dxa"/>
                  </w:tcMar>
                  <w:vAlign w:val="center"/>
                </w:tcPr>
                <w:p w14:paraId="02EF910D">
                  <w:pPr>
                    <w:pStyle w:val="71"/>
                    <w:adjustRightInd w:val="0"/>
                    <w:snapToGrid w:val="0"/>
                    <w:rPr>
                      <w:rFonts w:cs="Times New Roman"/>
                      <w:color w:val="auto"/>
                      <w:szCs w:val="21"/>
                      <w:highlight w:val="yellow"/>
                    </w:rPr>
                  </w:pPr>
                  <w:r>
                    <w:rPr>
                      <w:rFonts w:hint="eastAsia" w:cs="Times New Roman"/>
                      <w:color w:val="auto"/>
                      <w:szCs w:val="21"/>
                    </w:rPr>
                    <w:t>52.9</w:t>
                  </w:r>
                </w:p>
              </w:tc>
              <w:tc>
                <w:tcPr>
                  <w:tcW w:w="1176" w:type="pct"/>
                  <w:tcMar>
                    <w:left w:w="0" w:type="dxa"/>
                    <w:right w:w="0" w:type="dxa"/>
                  </w:tcMar>
                  <w:vAlign w:val="center"/>
                </w:tcPr>
                <w:p w14:paraId="3B9C52E6">
                  <w:pPr>
                    <w:pStyle w:val="71"/>
                    <w:adjustRightInd w:val="0"/>
                    <w:snapToGrid w:val="0"/>
                    <w:rPr>
                      <w:rFonts w:cs="Times New Roman"/>
                      <w:color w:val="auto"/>
                      <w:szCs w:val="21"/>
                    </w:rPr>
                  </w:pPr>
                  <w:r>
                    <w:rPr>
                      <w:rFonts w:cs="Times New Roman"/>
                      <w:color w:val="auto"/>
                      <w:szCs w:val="21"/>
                    </w:rPr>
                    <w:t>6</w:t>
                  </w:r>
                  <w:r>
                    <w:rPr>
                      <w:rFonts w:hint="eastAsia" w:cs="Times New Roman"/>
                      <w:color w:val="auto"/>
                      <w:szCs w:val="21"/>
                    </w:rPr>
                    <w:t>0</w:t>
                  </w:r>
                </w:p>
              </w:tc>
              <w:tc>
                <w:tcPr>
                  <w:tcW w:w="1471" w:type="pct"/>
                  <w:tcMar>
                    <w:left w:w="0" w:type="dxa"/>
                    <w:right w:w="0" w:type="dxa"/>
                  </w:tcMar>
                  <w:vAlign w:val="center"/>
                </w:tcPr>
                <w:p w14:paraId="77251DB7">
                  <w:pPr>
                    <w:pStyle w:val="71"/>
                    <w:adjustRightInd w:val="0"/>
                    <w:snapToGrid w:val="0"/>
                    <w:rPr>
                      <w:rFonts w:cs="Times New Roman"/>
                      <w:color w:val="auto"/>
                      <w:szCs w:val="21"/>
                    </w:rPr>
                  </w:pPr>
                  <w:r>
                    <w:rPr>
                      <w:rFonts w:cs="Times New Roman"/>
                      <w:color w:val="auto"/>
                      <w:szCs w:val="21"/>
                    </w:rPr>
                    <w:t>达标</w:t>
                  </w:r>
                </w:p>
              </w:tc>
            </w:tr>
            <w:tr w14:paraId="66534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pct"/>
                  <w:tcMar>
                    <w:left w:w="0" w:type="dxa"/>
                    <w:right w:w="0" w:type="dxa"/>
                  </w:tcMar>
                  <w:vAlign w:val="center"/>
                </w:tcPr>
                <w:p w14:paraId="0E84EB16">
                  <w:pPr>
                    <w:pStyle w:val="71"/>
                    <w:adjustRightInd w:val="0"/>
                    <w:snapToGrid w:val="0"/>
                    <w:rPr>
                      <w:rFonts w:cs="Times New Roman"/>
                      <w:color w:val="auto"/>
                      <w:szCs w:val="21"/>
                    </w:rPr>
                  </w:pPr>
                  <w:r>
                    <w:rPr>
                      <w:rFonts w:cs="Times New Roman"/>
                      <w:color w:val="auto"/>
                      <w:szCs w:val="21"/>
                    </w:rPr>
                    <w:t>西厂界</w:t>
                  </w:r>
                </w:p>
              </w:tc>
              <w:tc>
                <w:tcPr>
                  <w:tcW w:w="2052" w:type="dxa"/>
                  <w:tcMar>
                    <w:left w:w="0" w:type="dxa"/>
                    <w:right w:w="0" w:type="dxa"/>
                  </w:tcMar>
                  <w:vAlign w:val="center"/>
                </w:tcPr>
                <w:p w14:paraId="1C3B5F4B">
                  <w:pPr>
                    <w:pStyle w:val="71"/>
                    <w:adjustRightInd w:val="0"/>
                    <w:snapToGrid w:val="0"/>
                    <w:rPr>
                      <w:rFonts w:cs="Times New Roman"/>
                      <w:color w:val="auto"/>
                      <w:szCs w:val="21"/>
                      <w:highlight w:val="yellow"/>
                    </w:rPr>
                  </w:pPr>
                  <w:r>
                    <w:rPr>
                      <w:rFonts w:hint="eastAsia" w:cs="Times New Roman"/>
                      <w:color w:val="auto"/>
                      <w:szCs w:val="21"/>
                    </w:rPr>
                    <w:t>58.5</w:t>
                  </w:r>
                </w:p>
              </w:tc>
              <w:tc>
                <w:tcPr>
                  <w:tcW w:w="1176" w:type="pct"/>
                  <w:tcMar>
                    <w:left w:w="0" w:type="dxa"/>
                    <w:right w:w="0" w:type="dxa"/>
                  </w:tcMar>
                  <w:vAlign w:val="center"/>
                </w:tcPr>
                <w:p w14:paraId="2CC391D8">
                  <w:pPr>
                    <w:pStyle w:val="71"/>
                    <w:adjustRightInd w:val="0"/>
                    <w:snapToGrid w:val="0"/>
                    <w:rPr>
                      <w:rFonts w:cs="Times New Roman"/>
                      <w:color w:val="auto"/>
                      <w:szCs w:val="21"/>
                    </w:rPr>
                  </w:pPr>
                  <w:r>
                    <w:rPr>
                      <w:rFonts w:cs="Times New Roman"/>
                      <w:color w:val="auto"/>
                      <w:szCs w:val="21"/>
                    </w:rPr>
                    <w:t>6</w:t>
                  </w:r>
                  <w:r>
                    <w:rPr>
                      <w:rFonts w:hint="eastAsia" w:cs="Times New Roman"/>
                      <w:color w:val="auto"/>
                      <w:szCs w:val="21"/>
                    </w:rPr>
                    <w:t>0</w:t>
                  </w:r>
                </w:p>
              </w:tc>
              <w:tc>
                <w:tcPr>
                  <w:tcW w:w="1471" w:type="pct"/>
                  <w:tcMar>
                    <w:left w:w="0" w:type="dxa"/>
                    <w:right w:w="0" w:type="dxa"/>
                  </w:tcMar>
                  <w:vAlign w:val="center"/>
                </w:tcPr>
                <w:p w14:paraId="65BEDDE3">
                  <w:pPr>
                    <w:pStyle w:val="71"/>
                    <w:adjustRightInd w:val="0"/>
                    <w:snapToGrid w:val="0"/>
                    <w:rPr>
                      <w:rFonts w:cs="Times New Roman"/>
                      <w:color w:val="auto"/>
                      <w:szCs w:val="21"/>
                    </w:rPr>
                  </w:pPr>
                  <w:r>
                    <w:rPr>
                      <w:rFonts w:cs="Times New Roman"/>
                      <w:color w:val="auto"/>
                      <w:szCs w:val="21"/>
                    </w:rPr>
                    <w:t>达标</w:t>
                  </w:r>
                </w:p>
              </w:tc>
            </w:tr>
            <w:tr w14:paraId="32CC4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pct"/>
                  <w:tcMar>
                    <w:left w:w="0" w:type="dxa"/>
                    <w:right w:w="0" w:type="dxa"/>
                  </w:tcMar>
                  <w:vAlign w:val="center"/>
                </w:tcPr>
                <w:p w14:paraId="23B7F7BA">
                  <w:pPr>
                    <w:pStyle w:val="71"/>
                    <w:adjustRightInd w:val="0"/>
                    <w:snapToGrid w:val="0"/>
                    <w:rPr>
                      <w:rFonts w:cs="Times New Roman"/>
                      <w:color w:val="auto"/>
                      <w:szCs w:val="21"/>
                    </w:rPr>
                  </w:pPr>
                  <w:r>
                    <w:rPr>
                      <w:rFonts w:cs="Times New Roman"/>
                      <w:color w:val="auto"/>
                      <w:szCs w:val="21"/>
                    </w:rPr>
                    <w:t>北厂界</w:t>
                  </w:r>
                </w:p>
              </w:tc>
              <w:tc>
                <w:tcPr>
                  <w:tcW w:w="2052" w:type="dxa"/>
                  <w:tcMar>
                    <w:left w:w="0" w:type="dxa"/>
                    <w:right w:w="0" w:type="dxa"/>
                  </w:tcMar>
                  <w:vAlign w:val="center"/>
                </w:tcPr>
                <w:p w14:paraId="63A76A11">
                  <w:pPr>
                    <w:pStyle w:val="71"/>
                    <w:adjustRightInd w:val="0"/>
                    <w:snapToGrid w:val="0"/>
                    <w:rPr>
                      <w:rFonts w:cs="Times New Roman"/>
                      <w:color w:val="auto"/>
                      <w:szCs w:val="21"/>
                      <w:highlight w:val="yellow"/>
                    </w:rPr>
                  </w:pPr>
                  <w:r>
                    <w:rPr>
                      <w:rFonts w:hint="eastAsia" w:cs="Times New Roman"/>
                      <w:color w:val="auto"/>
                      <w:szCs w:val="21"/>
                    </w:rPr>
                    <w:t>57.8</w:t>
                  </w:r>
                </w:p>
              </w:tc>
              <w:tc>
                <w:tcPr>
                  <w:tcW w:w="1176" w:type="pct"/>
                  <w:tcMar>
                    <w:left w:w="0" w:type="dxa"/>
                    <w:right w:w="0" w:type="dxa"/>
                  </w:tcMar>
                  <w:vAlign w:val="center"/>
                </w:tcPr>
                <w:p w14:paraId="289D03AA">
                  <w:pPr>
                    <w:pStyle w:val="71"/>
                    <w:adjustRightInd w:val="0"/>
                    <w:snapToGrid w:val="0"/>
                    <w:rPr>
                      <w:rFonts w:cs="Times New Roman"/>
                      <w:color w:val="auto"/>
                      <w:szCs w:val="21"/>
                    </w:rPr>
                  </w:pPr>
                  <w:r>
                    <w:rPr>
                      <w:rFonts w:cs="Times New Roman"/>
                      <w:color w:val="auto"/>
                      <w:szCs w:val="21"/>
                    </w:rPr>
                    <w:t>6</w:t>
                  </w:r>
                  <w:r>
                    <w:rPr>
                      <w:rFonts w:hint="eastAsia" w:cs="Times New Roman"/>
                      <w:color w:val="auto"/>
                      <w:szCs w:val="21"/>
                    </w:rPr>
                    <w:t>0</w:t>
                  </w:r>
                </w:p>
              </w:tc>
              <w:tc>
                <w:tcPr>
                  <w:tcW w:w="1471" w:type="pct"/>
                  <w:tcMar>
                    <w:left w:w="0" w:type="dxa"/>
                    <w:right w:w="0" w:type="dxa"/>
                  </w:tcMar>
                  <w:vAlign w:val="center"/>
                </w:tcPr>
                <w:p w14:paraId="2AA26368">
                  <w:pPr>
                    <w:pStyle w:val="71"/>
                    <w:adjustRightInd w:val="0"/>
                    <w:snapToGrid w:val="0"/>
                    <w:rPr>
                      <w:rFonts w:cs="Times New Roman"/>
                      <w:color w:val="auto"/>
                      <w:szCs w:val="21"/>
                    </w:rPr>
                  </w:pPr>
                  <w:r>
                    <w:rPr>
                      <w:rFonts w:cs="Times New Roman"/>
                      <w:color w:val="auto"/>
                      <w:szCs w:val="21"/>
                    </w:rPr>
                    <w:t>达标</w:t>
                  </w:r>
                </w:p>
              </w:tc>
            </w:tr>
            <w:tr w14:paraId="7186A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pct"/>
                  <w:tcMar>
                    <w:left w:w="0" w:type="dxa"/>
                    <w:right w:w="0" w:type="dxa"/>
                  </w:tcMar>
                  <w:vAlign w:val="center"/>
                </w:tcPr>
                <w:p w14:paraId="368BB2D9">
                  <w:pPr>
                    <w:pStyle w:val="71"/>
                    <w:adjustRightInd w:val="0"/>
                    <w:snapToGrid w:val="0"/>
                    <w:rPr>
                      <w:rFonts w:hint="default" w:eastAsia="宋体" w:cs="Times New Roman"/>
                      <w:color w:val="auto"/>
                      <w:szCs w:val="21"/>
                      <w:lang w:val="en-US" w:eastAsia="zh-CN"/>
                    </w:rPr>
                  </w:pPr>
                  <w:r>
                    <w:rPr>
                      <w:rFonts w:hint="eastAsia" w:ascii="Times New Roman" w:hAnsi="Times New Roman" w:eastAsia="宋体" w:cs="Times New Roman"/>
                      <w:color w:val="auto"/>
                      <w:szCs w:val="21"/>
                      <w:lang w:val="en-US" w:eastAsia="zh-CN"/>
                    </w:rPr>
                    <w:t>朱仙庄镇零星居民点</w:t>
                  </w:r>
                </w:p>
              </w:tc>
              <w:tc>
                <w:tcPr>
                  <w:tcW w:w="2052" w:type="dxa"/>
                  <w:tcMar>
                    <w:left w:w="0" w:type="dxa"/>
                    <w:right w:w="0" w:type="dxa"/>
                  </w:tcMar>
                  <w:vAlign w:val="center"/>
                </w:tcPr>
                <w:p w14:paraId="035100A6">
                  <w:pPr>
                    <w:pStyle w:val="71"/>
                    <w:adjustRightInd w:val="0"/>
                    <w:snapToGrid w:val="0"/>
                    <w:rPr>
                      <w:rFonts w:hint="default" w:eastAsia="宋体" w:cs="Times New Roman"/>
                      <w:color w:val="auto"/>
                      <w:szCs w:val="21"/>
                      <w:lang w:val="en-US" w:eastAsia="zh-CN"/>
                    </w:rPr>
                  </w:pPr>
                  <w:r>
                    <w:rPr>
                      <w:rFonts w:hint="eastAsia" w:cs="Times New Roman"/>
                      <w:color w:val="auto"/>
                      <w:szCs w:val="21"/>
                      <w:lang w:val="en-US" w:eastAsia="zh-CN"/>
                    </w:rPr>
                    <w:t>53.7</w:t>
                  </w:r>
                </w:p>
              </w:tc>
              <w:tc>
                <w:tcPr>
                  <w:tcW w:w="1176" w:type="pct"/>
                  <w:tcMar>
                    <w:left w:w="0" w:type="dxa"/>
                    <w:right w:w="0" w:type="dxa"/>
                  </w:tcMar>
                  <w:vAlign w:val="center"/>
                </w:tcPr>
                <w:p w14:paraId="22AED429">
                  <w:pPr>
                    <w:pStyle w:val="71"/>
                    <w:adjustRightInd w:val="0"/>
                    <w:snapToGrid w:val="0"/>
                    <w:rPr>
                      <w:rFonts w:hint="default" w:eastAsia="宋体" w:cs="Times New Roman"/>
                      <w:color w:val="auto"/>
                      <w:szCs w:val="21"/>
                      <w:lang w:val="en-US" w:eastAsia="zh-CN"/>
                    </w:rPr>
                  </w:pPr>
                  <w:r>
                    <w:rPr>
                      <w:rFonts w:hint="eastAsia" w:cs="Times New Roman"/>
                      <w:color w:val="auto"/>
                      <w:szCs w:val="21"/>
                      <w:lang w:val="en-US" w:eastAsia="zh-CN"/>
                    </w:rPr>
                    <w:t>60</w:t>
                  </w:r>
                </w:p>
              </w:tc>
              <w:tc>
                <w:tcPr>
                  <w:tcW w:w="1471" w:type="pct"/>
                  <w:tcMar>
                    <w:left w:w="0" w:type="dxa"/>
                    <w:right w:w="0" w:type="dxa"/>
                  </w:tcMar>
                  <w:vAlign w:val="center"/>
                </w:tcPr>
                <w:p w14:paraId="215CC2B5">
                  <w:pPr>
                    <w:pStyle w:val="71"/>
                    <w:adjustRightInd w:val="0"/>
                    <w:snapToGrid w:val="0"/>
                    <w:rPr>
                      <w:rFonts w:cs="Times New Roman"/>
                      <w:color w:val="auto"/>
                      <w:szCs w:val="21"/>
                    </w:rPr>
                  </w:pPr>
                  <w:r>
                    <w:rPr>
                      <w:rFonts w:cs="Times New Roman"/>
                      <w:color w:val="auto"/>
                      <w:szCs w:val="21"/>
                    </w:rPr>
                    <w:t>达标</w:t>
                  </w:r>
                </w:p>
              </w:tc>
            </w:tr>
          </w:tbl>
          <w:p w14:paraId="62CC7E7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eastAsia="宋体"/>
                <w:iCs/>
                <w:color w:val="auto"/>
                <w:sz w:val="24"/>
                <w:lang w:val="en-US" w:eastAsia="zh-CN"/>
              </w:rPr>
            </w:pPr>
            <w:r>
              <w:rPr>
                <w:rFonts w:hint="eastAsia"/>
                <w:color w:val="auto"/>
                <w:sz w:val="24"/>
              </w:rPr>
              <w:t>本项目运行时间均在昼间，夜间不生产。</w:t>
            </w:r>
            <w:r>
              <w:rPr>
                <w:color w:val="auto"/>
                <w:sz w:val="24"/>
              </w:rPr>
              <w:t>根据噪声预测分析，本项目各噪声源在加强采取相应的噪声污染治理措施后，厂界昼间噪声预测值</w:t>
            </w:r>
            <w:r>
              <w:rPr>
                <w:iCs/>
                <w:color w:val="auto"/>
                <w:sz w:val="24"/>
              </w:rPr>
              <w:t>均能</w:t>
            </w:r>
            <w:r>
              <w:rPr>
                <w:color w:val="auto"/>
                <w:sz w:val="24"/>
              </w:rPr>
              <w:t>达到《工业企业厂界环境噪声排放标准》（GB12348-2008）</w:t>
            </w:r>
            <w:r>
              <w:rPr>
                <w:rFonts w:hint="eastAsia"/>
                <w:color w:val="auto"/>
                <w:sz w:val="24"/>
              </w:rPr>
              <w:t>2</w:t>
            </w:r>
            <w:r>
              <w:rPr>
                <w:color w:val="auto"/>
                <w:sz w:val="24"/>
              </w:rPr>
              <w:t>类区标准要求</w:t>
            </w:r>
            <w:r>
              <w:rPr>
                <w:iCs/>
                <w:color w:val="auto"/>
                <w:sz w:val="24"/>
              </w:rPr>
              <w:t>。</w:t>
            </w:r>
            <w:r>
              <w:rPr>
                <w:rFonts w:hint="eastAsia"/>
                <w:iCs/>
                <w:color w:val="auto"/>
                <w:sz w:val="24"/>
                <w:lang w:val="en-US" w:eastAsia="zh-CN"/>
              </w:rPr>
              <w:t>敏感点噪声预测值满足</w:t>
            </w:r>
            <w:r>
              <w:rPr>
                <w:rFonts w:hint="eastAsia" w:ascii="宋体" w:hAnsi="宋体" w:eastAsia="宋体" w:cs="宋体"/>
                <w:color w:val="auto"/>
                <w:kern w:val="0"/>
                <w:sz w:val="24"/>
                <w:szCs w:val="24"/>
                <w:lang w:val="en-US" w:eastAsia="zh-CN" w:bidi="ar"/>
              </w:rPr>
              <w:t>《声环境质量标准》（</w:t>
            </w:r>
            <w:r>
              <w:rPr>
                <w:rFonts w:hint="default" w:ascii="Times New Roman" w:hAnsi="Times New Roman" w:eastAsia="宋体" w:cs="Times New Roman"/>
                <w:color w:val="auto"/>
                <w:kern w:val="0"/>
                <w:sz w:val="24"/>
                <w:szCs w:val="24"/>
                <w:lang w:val="en-US" w:eastAsia="zh-CN" w:bidi="ar"/>
              </w:rPr>
              <w:t>GB3096-2008</w:t>
            </w:r>
            <w:r>
              <w:rPr>
                <w:rFonts w:hint="eastAsia" w:ascii="宋体" w:hAnsi="宋体" w:eastAsia="宋体" w:cs="宋体"/>
                <w:color w:val="auto"/>
                <w:kern w:val="0"/>
                <w:sz w:val="24"/>
                <w:szCs w:val="24"/>
                <w:lang w:val="en-US" w:eastAsia="zh-CN" w:bidi="ar"/>
              </w:rPr>
              <w:t xml:space="preserve">）中 </w:t>
            </w:r>
            <w:r>
              <w:rPr>
                <w:rFonts w:hint="default" w:ascii="Times New Roman" w:hAnsi="Times New Roman" w:eastAsia="宋体" w:cs="Times New Roman"/>
                <w:color w:val="auto"/>
                <w:kern w:val="0"/>
                <w:sz w:val="24"/>
                <w:szCs w:val="24"/>
                <w:lang w:val="en-US" w:eastAsia="zh-CN" w:bidi="ar"/>
              </w:rPr>
              <w:t xml:space="preserve">2 </w:t>
            </w:r>
            <w:r>
              <w:rPr>
                <w:rFonts w:hint="eastAsia" w:ascii="宋体" w:hAnsi="宋体" w:eastAsia="宋体" w:cs="宋体"/>
                <w:color w:val="auto"/>
                <w:kern w:val="0"/>
                <w:sz w:val="24"/>
                <w:szCs w:val="24"/>
                <w:lang w:val="en-US" w:eastAsia="zh-CN" w:bidi="ar"/>
              </w:rPr>
              <w:t>类标准</w:t>
            </w:r>
            <w:r>
              <w:rPr>
                <w:rFonts w:hint="eastAsia" w:ascii="宋体" w:hAnsi="宋体" w:cs="宋体"/>
                <w:color w:val="auto"/>
                <w:kern w:val="0"/>
                <w:sz w:val="24"/>
                <w:szCs w:val="24"/>
                <w:lang w:val="en-US" w:eastAsia="zh-CN" w:bidi="ar"/>
              </w:rPr>
              <w:t>。</w:t>
            </w:r>
          </w:p>
          <w:p w14:paraId="5A1DC51F">
            <w:pPr>
              <w:spacing w:line="360" w:lineRule="auto"/>
              <w:rPr>
                <w:b/>
                <w:color w:val="auto"/>
                <w:sz w:val="24"/>
              </w:rPr>
            </w:pPr>
            <w:r>
              <w:rPr>
                <w:rFonts w:hint="eastAsia"/>
                <w:b/>
                <w:color w:val="auto"/>
                <w:sz w:val="24"/>
              </w:rPr>
              <w:t>4</w:t>
            </w:r>
            <w:r>
              <w:rPr>
                <w:b/>
                <w:color w:val="auto"/>
                <w:sz w:val="24"/>
              </w:rPr>
              <w:t>、噪声降噪具体措施</w:t>
            </w:r>
          </w:p>
          <w:p w14:paraId="4320212F">
            <w:pPr>
              <w:spacing w:line="360" w:lineRule="auto"/>
              <w:ind w:firstLine="480" w:firstLineChars="200"/>
              <w:rPr>
                <w:bCs/>
                <w:color w:val="auto"/>
                <w:sz w:val="24"/>
              </w:rPr>
            </w:pPr>
            <w:r>
              <w:rPr>
                <w:bCs/>
                <w:color w:val="auto"/>
                <w:sz w:val="24"/>
              </w:rPr>
              <w:t>（1）合理安排整体布局；选用低噪声设备，高噪声设备布置在隔声房内；合理安排作业时间。</w:t>
            </w:r>
          </w:p>
          <w:p w14:paraId="42A5E9A2">
            <w:pPr>
              <w:spacing w:line="360" w:lineRule="auto"/>
              <w:ind w:firstLine="480" w:firstLineChars="200"/>
              <w:rPr>
                <w:bCs/>
                <w:color w:val="auto"/>
                <w:sz w:val="24"/>
              </w:rPr>
            </w:pPr>
            <w:r>
              <w:rPr>
                <w:bCs/>
                <w:color w:val="auto"/>
                <w:sz w:val="24"/>
              </w:rPr>
              <w:t>（2）设置减振、隔振基础，对有振动的设备设置减振台；</w:t>
            </w:r>
          </w:p>
          <w:p w14:paraId="7200B25B">
            <w:pPr>
              <w:spacing w:line="360" w:lineRule="auto"/>
              <w:ind w:firstLine="480" w:firstLineChars="200"/>
              <w:rPr>
                <w:b/>
                <w:color w:val="auto"/>
                <w:sz w:val="24"/>
              </w:rPr>
            </w:pPr>
            <w:r>
              <w:rPr>
                <w:bCs/>
                <w:color w:val="auto"/>
                <w:sz w:val="24"/>
              </w:rPr>
              <w:t>（3）对设备进行经常性维护，保持设备处于良好的运转状态，同时加强内部管理，合理作业，避免不必要的突发性噪声。</w:t>
            </w:r>
          </w:p>
          <w:p w14:paraId="1FC74A57">
            <w:pPr>
              <w:pStyle w:val="61"/>
              <w:adjustRightInd/>
              <w:snapToGrid/>
              <w:ind w:firstLine="0" w:firstLineChars="0"/>
              <w:rPr>
                <w:b/>
                <w:bCs w:val="0"/>
                <w:color w:val="auto"/>
                <w:sz w:val="24"/>
                <w:szCs w:val="24"/>
              </w:rPr>
            </w:pPr>
            <w:r>
              <w:rPr>
                <w:rFonts w:hint="eastAsia"/>
                <w:b/>
                <w:bCs w:val="0"/>
                <w:color w:val="auto"/>
                <w:sz w:val="24"/>
                <w:szCs w:val="24"/>
              </w:rPr>
              <w:t>5</w:t>
            </w:r>
            <w:r>
              <w:rPr>
                <w:b/>
                <w:bCs w:val="0"/>
                <w:color w:val="auto"/>
                <w:sz w:val="24"/>
                <w:szCs w:val="24"/>
              </w:rPr>
              <w:t>、环境噪声监测计划</w:t>
            </w:r>
          </w:p>
          <w:p w14:paraId="3B7BBA0E">
            <w:pPr>
              <w:pStyle w:val="8"/>
              <w:spacing w:line="360" w:lineRule="auto"/>
              <w:ind w:firstLine="480" w:firstLineChars="200"/>
              <w:rPr>
                <w:color w:val="auto"/>
              </w:rPr>
            </w:pPr>
            <w:r>
              <w:rPr>
                <w:color w:val="auto"/>
              </w:rPr>
              <w:t>项目营运期的噪声环境监测</w:t>
            </w:r>
            <w:r>
              <w:rPr>
                <w:rFonts w:hint="eastAsia"/>
                <w:color w:val="auto"/>
              </w:rPr>
              <w:t>根据</w:t>
            </w:r>
            <w:r>
              <w:rPr>
                <w:color w:val="auto"/>
              </w:rPr>
              <w:t>《排污许可证申请与核发技术规范 工业噪声》（HJ1301-2023）等文件，具体监测工作可委托有资质单位进行，执行本项目环境影响评价中的标准，营运期噪声环境监测计划如下：</w:t>
            </w:r>
          </w:p>
          <w:p w14:paraId="149D8BBF">
            <w:pPr>
              <w:widowControl/>
              <w:tabs>
                <w:tab w:val="left" w:pos="420"/>
              </w:tabs>
              <w:jc w:val="center"/>
              <w:rPr>
                <w:rStyle w:val="62"/>
                <w:bCs/>
                <w:color w:val="auto"/>
                <w:sz w:val="24"/>
                <w:szCs w:val="24"/>
              </w:rPr>
            </w:pPr>
            <w:r>
              <w:rPr>
                <w:rFonts w:hint="eastAsia"/>
                <w:b/>
                <w:bCs/>
                <w:color w:val="auto"/>
                <w:sz w:val="24"/>
              </w:rPr>
              <w:t>表</w:t>
            </w:r>
            <w:r>
              <w:rPr>
                <w:b/>
                <w:bCs/>
                <w:color w:val="auto"/>
                <w:sz w:val="24"/>
              </w:rPr>
              <w:t>4-1</w:t>
            </w:r>
            <w:r>
              <w:rPr>
                <w:rFonts w:hint="eastAsia"/>
                <w:b/>
                <w:bCs/>
                <w:color w:val="auto"/>
                <w:sz w:val="24"/>
              </w:rPr>
              <w:t>1</w:t>
            </w:r>
            <w:r>
              <w:rPr>
                <w:b/>
                <w:bCs/>
                <w:color w:val="auto"/>
                <w:sz w:val="24"/>
              </w:rPr>
              <w:t xml:space="preserve">  </w:t>
            </w:r>
            <w:r>
              <w:rPr>
                <w:rStyle w:val="62"/>
                <w:bCs/>
                <w:color w:val="auto"/>
                <w:sz w:val="24"/>
                <w:szCs w:val="24"/>
              </w:rPr>
              <w:t>噪声排放监测计划一览表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1552"/>
              <w:gridCol w:w="844"/>
              <w:gridCol w:w="982"/>
              <w:gridCol w:w="1268"/>
              <w:gridCol w:w="3501"/>
            </w:tblGrid>
            <w:tr w14:paraId="4DF46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3" w:type="pct"/>
                  <w:vAlign w:val="center"/>
                </w:tcPr>
                <w:p w14:paraId="7B06DDFF">
                  <w:pPr>
                    <w:pStyle w:val="55"/>
                    <w:adjustRightInd/>
                    <w:snapToGrid/>
                    <w:ind w:left="0" w:leftChars="0" w:firstLine="0" w:firstLineChars="0"/>
                    <w:rPr>
                      <w:color w:val="auto"/>
                    </w:rPr>
                  </w:pPr>
                  <w:r>
                    <w:rPr>
                      <w:color w:val="auto"/>
                    </w:rPr>
                    <w:t>序号</w:t>
                  </w:r>
                </w:p>
              </w:tc>
              <w:tc>
                <w:tcPr>
                  <w:tcW w:w="874" w:type="pct"/>
                  <w:vAlign w:val="center"/>
                </w:tcPr>
                <w:p w14:paraId="517F8801">
                  <w:pPr>
                    <w:pStyle w:val="55"/>
                    <w:adjustRightInd/>
                    <w:snapToGrid/>
                    <w:ind w:left="0" w:leftChars="0" w:firstLine="0" w:firstLineChars="0"/>
                    <w:rPr>
                      <w:color w:val="auto"/>
                    </w:rPr>
                  </w:pPr>
                  <w:r>
                    <w:rPr>
                      <w:color w:val="auto"/>
                    </w:rPr>
                    <w:t>监测点位</w:t>
                  </w:r>
                </w:p>
              </w:tc>
              <w:tc>
                <w:tcPr>
                  <w:tcW w:w="475" w:type="pct"/>
                  <w:vAlign w:val="center"/>
                </w:tcPr>
                <w:p w14:paraId="24917EAF">
                  <w:pPr>
                    <w:pStyle w:val="55"/>
                    <w:adjustRightInd/>
                    <w:snapToGrid/>
                    <w:ind w:left="0" w:leftChars="0" w:firstLine="0" w:firstLineChars="0"/>
                    <w:rPr>
                      <w:color w:val="auto"/>
                    </w:rPr>
                  </w:pPr>
                  <w:r>
                    <w:rPr>
                      <w:color w:val="auto"/>
                    </w:rPr>
                    <w:t>监测</w:t>
                  </w:r>
                </w:p>
                <w:p w14:paraId="7CB5BDC3">
                  <w:pPr>
                    <w:pStyle w:val="55"/>
                    <w:adjustRightInd/>
                    <w:snapToGrid/>
                    <w:ind w:left="0" w:leftChars="0" w:firstLine="0" w:firstLineChars="0"/>
                    <w:rPr>
                      <w:color w:val="auto"/>
                    </w:rPr>
                  </w:pPr>
                  <w:r>
                    <w:rPr>
                      <w:color w:val="auto"/>
                    </w:rPr>
                    <w:t>项目</w:t>
                  </w:r>
                </w:p>
              </w:tc>
              <w:tc>
                <w:tcPr>
                  <w:tcW w:w="553" w:type="pct"/>
                  <w:vAlign w:val="center"/>
                </w:tcPr>
                <w:p w14:paraId="633DD8E6">
                  <w:pPr>
                    <w:pStyle w:val="55"/>
                    <w:adjustRightInd/>
                    <w:snapToGrid/>
                    <w:ind w:left="0" w:leftChars="0" w:firstLine="0" w:firstLineChars="0"/>
                    <w:rPr>
                      <w:color w:val="auto"/>
                    </w:rPr>
                  </w:pPr>
                  <w:r>
                    <w:rPr>
                      <w:color w:val="auto"/>
                    </w:rPr>
                    <w:t>频率</w:t>
                  </w:r>
                </w:p>
              </w:tc>
              <w:tc>
                <w:tcPr>
                  <w:tcW w:w="714" w:type="pct"/>
                  <w:vAlign w:val="center"/>
                </w:tcPr>
                <w:p w14:paraId="56B6E185">
                  <w:pPr>
                    <w:pStyle w:val="55"/>
                    <w:adjustRightInd/>
                    <w:snapToGrid/>
                    <w:ind w:left="0" w:leftChars="0" w:firstLine="0" w:firstLineChars="0"/>
                    <w:rPr>
                      <w:color w:val="auto"/>
                    </w:rPr>
                  </w:pPr>
                  <w:r>
                    <w:rPr>
                      <w:color w:val="auto"/>
                    </w:rPr>
                    <w:t>实施单位</w:t>
                  </w:r>
                </w:p>
              </w:tc>
              <w:tc>
                <w:tcPr>
                  <w:tcW w:w="1971" w:type="pct"/>
                  <w:vAlign w:val="center"/>
                </w:tcPr>
                <w:p w14:paraId="40F68FB8">
                  <w:pPr>
                    <w:pStyle w:val="55"/>
                    <w:adjustRightInd/>
                    <w:snapToGrid/>
                    <w:ind w:left="0" w:leftChars="0" w:firstLine="0" w:firstLineChars="0"/>
                    <w:rPr>
                      <w:color w:val="auto"/>
                    </w:rPr>
                  </w:pPr>
                  <w:r>
                    <w:rPr>
                      <w:color w:val="auto"/>
                    </w:rPr>
                    <w:t>执行标准</w:t>
                  </w:r>
                </w:p>
              </w:tc>
            </w:tr>
            <w:tr w14:paraId="45C73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3" w:type="pct"/>
                  <w:vAlign w:val="center"/>
                </w:tcPr>
                <w:p w14:paraId="3551F3DD">
                  <w:pPr>
                    <w:pStyle w:val="55"/>
                    <w:adjustRightInd/>
                    <w:snapToGrid/>
                    <w:ind w:left="0" w:leftChars="0" w:firstLine="0" w:firstLineChars="0"/>
                    <w:rPr>
                      <w:bCs/>
                      <w:color w:val="auto"/>
                    </w:rPr>
                  </w:pPr>
                  <w:r>
                    <w:rPr>
                      <w:bCs/>
                      <w:color w:val="auto"/>
                    </w:rPr>
                    <w:t>1</w:t>
                  </w:r>
                </w:p>
              </w:tc>
              <w:tc>
                <w:tcPr>
                  <w:tcW w:w="874" w:type="pct"/>
                  <w:vAlign w:val="center"/>
                </w:tcPr>
                <w:p w14:paraId="240541F9">
                  <w:pPr>
                    <w:pStyle w:val="55"/>
                    <w:adjustRightInd/>
                    <w:snapToGrid/>
                    <w:ind w:left="0" w:leftChars="0" w:firstLine="0" w:firstLineChars="0"/>
                    <w:rPr>
                      <w:rStyle w:val="27"/>
                      <w:color w:val="auto"/>
                    </w:rPr>
                  </w:pPr>
                  <w:r>
                    <w:rPr>
                      <w:rStyle w:val="27"/>
                      <w:color w:val="auto"/>
                    </w:rPr>
                    <w:t>厂界四周各一个点位</w:t>
                  </w:r>
                </w:p>
              </w:tc>
              <w:tc>
                <w:tcPr>
                  <w:tcW w:w="475" w:type="pct"/>
                  <w:vAlign w:val="center"/>
                </w:tcPr>
                <w:p w14:paraId="78C0BB61">
                  <w:pPr>
                    <w:pStyle w:val="55"/>
                    <w:adjustRightInd/>
                    <w:snapToGrid/>
                    <w:ind w:left="0" w:leftChars="0" w:firstLine="0" w:firstLineChars="0"/>
                    <w:rPr>
                      <w:bCs/>
                      <w:color w:val="auto"/>
                    </w:rPr>
                  </w:pPr>
                  <w:r>
                    <w:rPr>
                      <w:bCs/>
                      <w:color w:val="auto"/>
                    </w:rPr>
                    <w:t>厂界噪声</w:t>
                  </w:r>
                </w:p>
              </w:tc>
              <w:tc>
                <w:tcPr>
                  <w:tcW w:w="553" w:type="pct"/>
                  <w:vAlign w:val="center"/>
                </w:tcPr>
                <w:p w14:paraId="14E174D9">
                  <w:pPr>
                    <w:pStyle w:val="55"/>
                    <w:adjustRightInd/>
                    <w:snapToGrid/>
                    <w:ind w:left="0" w:leftChars="0" w:firstLine="0" w:firstLineChars="0"/>
                    <w:rPr>
                      <w:bCs/>
                      <w:color w:val="auto"/>
                    </w:rPr>
                  </w:pPr>
                  <w:r>
                    <w:rPr>
                      <w:bCs/>
                      <w:color w:val="auto"/>
                    </w:rPr>
                    <w:t>1次/季</w:t>
                  </w:r>
                </w:p>
              </w:tc>
              <w:tc>
                <w:tcPr>
                  <w:tcW w:w="714" w:type="pct"/>
                  <w:vAlign w:val="center"/>
                </w:tcPr>
                <w:p w14:paraId="284C5F02">
                  <w:pPr>
                    <w:pStyle w:val="55"/>
                    <w:adjustRightInd/>
                    <w:snapToGrid/>
                    <w:ind w:left="0" w:leftChars="0" w:firstLine="0" w:firstLineChars="0"/>
                    <w:rPr>
                      <w:bCs/>
                      <w:color w:val="auto"/>
                    </w:rPr>
                  </w:pPr>
                  <w:r>
                    <w:rPr>
                      <w:bCs/>
                      <w:color w:val="auto"/>
                    </w:rPr>
                    <w:t>有资质的监测单位</w:t>
                  </w:r>
                </w:p>
              </w:tc>
              <w:tc>
                <w:tcPr>
                  <w:tcW w:w="1971" w:type="pct"/>
                  <w:vAlign w:val="center"/>
                </w:tcPr>
                <w:p w14:paraId="14E58FB8">
                  <w:pPr>
                    <w:pStyle w:val="55"/>
                    <w:adjustRightInd/>
                    <w:snapToGrid/>
                    <w:ind w:left="0" w:leftChars="0" w:firstLine="0" w:firstLineChars="0"/>
                    <w:rPr>
                      <w:bCs/>
                      <w:color w:val="auto"/>
                    </w:rPr>
                  </w:pPr>
                  <w:r>
                    <w:rPr>
                      <w:color w:val="auto"/>
                    </w:rPr>
                    <w:t>《工业企业厂界环境噪声排放标准》（GB12348-2008）</w:t>
                  </w:r>
                  <w:r>
                    <w:rPr>
                      <w:rFonts w:hint="eastAsia"/>
                      <w:color w:val="auto"/>
                    </w:rPr>
                    <w:t>2</w:t>
                  </w:r>
                  <w:r>
                    <w:rPr>
                      <w:color w:val="auto"/>
                    </w:rPr>
                    <w:t>类标准要求</w:t>
                  </w:r>
                </w:p>
              </w:tc>
            </w:tr>
          </w:tbl>
          <w:p w14:paraId="07A10872">
            <w:pPr>
              <w:spacing w:line="360" w:lineRule="auto"/>
              <w:rPr>
                <w:b/>
                <w:color w:val="auto"/>
                <w:sz w:val="24"/>
              </w:rPr>
            </w:pPr>
            <w:r>
              <w:rPr>
                <w:b/>
                <w:color w:val="auto"/>
                <w:sz w:val="24"/>
              </w:rPr>
              <w:t>四、运营期固体废物影响分析</w:t>
            </w:r>
          </w:p>
          <w:p w14:paraId="47CDBD7A">
            <w:pPr>
              <w:pStyle w:val="32"/>
              <w:spacing w:line="360" w:lineRule="auto"/>
              <w:ind w:firstLine="488" w:firstLineChars="200"/>
              <w:rPr>
                <w:rFonts w:ascii="Times New Roman" w:hAnsi="Times New Roman" w:cs="Times New Roman"/>
                <w:color w:val="auto"/>
                <w:spacing w:val="2"/>
                <w:lang w:eastAsia="zh-CN"/>
              </w:rPr>
            </w:pPr>
            <w:r>
              <w:rPr>
                <w:rFonts w:hint="eastAsia" w:ascii="Times New Roman" w:hAnsi="Times New Roman" w:cs="Times New Roman"/>
                <w:color w:val="auto"/>
                <w:spacing w:val="2"/>
                <w:lang w:eastAsia="zh-CN"/>
              </w:rPr>
              <w:t>技改</w:t>
            </w:r>
            <w:r>
              <w:rPr>
                <w:rFonts w:ascii="Times New Roman" w:hAnsi="Times New Roman" w:cs="Times New Roman"/>
                <w:color w:val="auto"/>
                <w:spacing w:val="2"/>
                <w:lang w:eastAsia="zh-CN"/>
              </w:rPr>
              <w:t>项目运营期间的固体废物主要包括一般工业固废、危险废物等。</w:t>
            </w:r>
          </w:p>
          <w:p w14:paraId="3AEAD6C6">
            <w:pPr>
              <w:pStyle w:val="32"/>
              <w:numPr>
                <w:ilvl w:val="0"/>
                <w:numId w:val="5"/>
              </w:numPr>
              <w:spacing w:line="360" w:lineRule="auto"/>
              <w:ind w:firstLine="488" w:firstLineChars="200"/>
              <w:rPr>
                <w:rFonts w:ascii="Times New Roman" w:hAnsi="Times New Roman" w:cs="Times New Roman"/>
                <w:color w:val="auto"/>
                <w:spacing w:val="2"/>
                <w:lang w:eastAsia="zh-CN"/>
              </w:rPr>
            </w:pPr>
            <w:r>
              <w:rPr>
                <w:rFonts w:ascii="Times New Roman" w:hAnsi="Times New Roman" w:cs="Times New Roman"/>
                <w:color w:val="auto"/>
                <w:spacing w:val="2"/>
                <w:lang w:eastAsia="zh-CN"/>
              </w:rPr>
              <w:t>除尘器收集的粉尘：项目破碎、筛分</w:t>
            </w:r>
            <w:r>
              <w:rPr>
                <w:rFonts w:hint="eastAsia" w:ascii="Times New Roman" w:hAnsi="Times New Roman" w:cs="Times New Roman"/>
                <w:color w:val="auto"/>
                <w:spacing w:val="2"/>
                <w:lang w:eastAsia="zh-CN"/>
              </w:rPr>
              <w:t>、搅拌</w:t>
            </w:r>
            <w:r>
              <w:rPr>
                <w:rFonts w:ascii="Times New Roman" w:hAnsi="Times New Roman" w:cs="Times New Roman"/>
                <w:color w:val="auto"/>
                <w:spacing w:val="2"/>
                <w:lang w:eastAsia="zh-CN"/>
              </w:rPr>
              <w:t>工序将会产生粉尘，根据前文核算，除尘器收集的粉尘产生量约为</w:t>
            </w:r>
            <w:r>
              <w:rPr>
                <w:rFonts w:hint="eastAsia" w:ascii="Times New Roman" w:hAnsi="Times New Roman" w:cs="Times New Roman"/>
                <w:color w:val="auto"/>
                <w:spacing w:val="2"/>
                <w:lang w:eastAsia="zh-CN"/>
              </w:rPr>
              <w:t>190.447t</w:t>
            </w:r>
            <w:r>
              <w:rPr>
                <w:rFonts w:ascii="Times New Roman" w:hAnsi="Times New Roman" w:cs="Times New Roman"/>
                <w:color w:val="auto"/>
                <w:spacing w:val="2"/>
                <w:lang w:eastAsia="zh-CN"/>
              </w:rPr>
              <w:t>/a ，统一收集回用于生产。</w:t>
            </w:r>
          </w:p>
          <w:p w14:paraId="5E3E4185">
            <w:pPr>
              <w:pStyle w:val="32"/>
              <w:numPr>
                <w:ilvl w:val="0"/>
                <w:numId w:val="5"/>
              </w:numPr>
              <w:spacing w:line="360" w:lineRule="auto"/>
              <w:ind w:firstLine="488" w:firstLineChars="200"/>
              <w:rPr>
                <w:rFonts w:ascii="Times New Roman" w:hAnsi="Times New Roman" w:cs="Times New Roman"/>
                <w:color w:val="auto"/>
                <w:spacing w:val="2"/>
                <w:lang w:eastAsia="zh-CN"/>
              </w:rPr>
            </w:pPr>
            <w:r>
              <w:rPr>
                <w:rFonts w:hint="eastAsia" w:ascii="Times New Roman" w:hAnsi="Times New Roman" w:cs="Times New Roman"/>
                <w:color w:val="auto"/>
                <w:spacing w:val="2"/>
                <w:lang w:eastAsia="zh-CN"/>
              </w:rPr>
              <w:t>筛分杂质：项目粉煤灰需进行筛分工序，筛分杂质年产生量约1.0t/a。</w:t>
            </w:r>
          </w:p>
          <w:p w14:paraId="1564721F">
            <w:pPr>
              <w:pStyle w:val="32"/>
              <w:spacing w:line="360" w:lineRule="auto"/>
              <w:ind w:firstLine="488" w:firstLineChars="200"/>
              <w:rPr>
                <w:rFonts w:ascii="Times New Roman" w:hAnsi="Times New Roman" w:cs="Times New Roman"/>
                <w:color w:val="auto"/>
                <w:spacing w:val="2"/>
                <w:lang w:eastAsia="zh-CN"/>
              </w:rPr>
            </w:pPr>
            <w:r>
              <w:rPr>
                <w:rFonts w:hint="eastAsia" w:ascii="Times New Roman" w:hAnsi="Times New Roman" w:cs="Times New Roman"/>
                <w:color w:val="auto"/>
                <w:spacing w:val="2"/>
                <w:lang w:eastAsia="zh-CN"/>
              </w:rPr>
              <w:t>（3）沉淀池污泥</w:t>
            </w:r>
            <w:r>
              <w:rPr>
                <w:rFonts w:ascii="Times New Roman" w:hAnsi="Times New Roman" w:cs="Times New Roman"/>
                <w:color w:val="auto"/>
                <w:spacing w:val="2"/>
                <w:lang w:eastAsia="zh-CN"/>
              </w:rPr>
              <w:t>：</w:t>
            </w:r>
            <w:r>
              <w:rPr>
                <w:rFonts w:hint="eastAsia" w:ascii="Times New Roman" w:hAnsi="Times New Roman" w:cs="Times New Roman"/>
                <w:color w:val="auto"/>
                <w:spacing w:val="2"/>
                <w:lang w:eastAsia="zh-CN"/>
              </w:rPr>
              <w:t>项目沉淀池污泥年产生量约0.5t/a</w:t>
            </w:r>
            <w:r>
              <w:rPr>
                <w:rFonts w:ascii="Times New Roman" w:hAnsi="Times New Roman" w:cs="Times New Roman"/>
                <w:color w:val="auto"/>
                <w:spacing w:val="2"/>
                <w:lang w:eastAsia="zh-CN"/>
              </w:rPr>
              <w:t>。</w:t>
            </w:r>
            <w:r>
              <w:rPr>
                <w:rFonts w:hint="eastAsia" w:ascii="Times New Roman" w:hAnsi="Times New Roman" w:cs="Times New Roman"/>
                <w:color w:val="auto"/>
                <w:spacing w:val="2"/>
                <w:lang w:eastAsia="zh-CN"/>
              </w:rPr>
              <w:t>污泥经</w:t>
            </w:r>
            <w:r>
              <w:rPr>
                <w:rFonts w:ascii="Times New Roman" w:hAnsi="Times New Roman" w:cs="Times New Roman"/>
                <w:color w:val="auto"/>
                <w:spacing w:val="2"/>
                <w:lang w:eastAsia="zh-CN"/>
              </w:rPr>
              <w:t>脱水后</w:t>
            </w:r>
            <w:r>
              <w:rPr>
                <w:rFonts w:hint="eastAsia" w:ascii="Times New Roman" w:hAnsi="Times New Roman" w:cs="Times New Roman"/>
                <w:color w:val="auto"/>
                <w:spacing w:val="2"/>
                <w:lang w:eastAsia="zh-CN"/>
              </w:rPr>
              <w:t>收集外售综合利用</w:t>
            </w:r>
            <w:r>
              <w:rPr>
                <w:rFonts w:ascii="Times New Roman" w:hAnsi="Times New Roman" w:cs="Times New Roman"/>
                <w:color w:val="auto"/>
                <w:spacing w:val="2"/>
                <w:lang w:eastAsia="zh-CN"/>
              </w:rPr>
              <w:t>。</w:t>
            </w:r>
          </w:p>
          <w:p w14:paraId="497ACAD4">
            <w:pPr>
              <w:pStyle w:val="32"/>
              <w:spacing w:line="360" w:lineRule="auto"/>
              <w:ind w:firstLine="480" w:firstLineChars="200"/>
              <w:rPr>
                <w:rFonts w:ascii="Times New Roman" w:hAnsi="Times New Roman" w:cs="Times New Roman"/>
                <w:color w:val="auto"/>
                <w:lang w:eastAsia="zh-CN"/>
              </w:rPr>
            </w:pPr>
            <w:r>
              <w:rPr>
                <w:rFonts w:ascii="Times New Roman" w:hAnsi="Times New Roman" w:cs="Times New Roman"/>
                <w:color w:val="auto"/>
                <w:lang w:eastAsia="zh-CN"/>
              </w:rPr>
              <w:t>（4）不合格品：本项目在检验过程中会产生不合格品，产生量约占产品的1‰，</w:t>
            </w:r>
            <w:r>
              <w:rPr>
                <w:rFonts w:hint="eastAsia" w:ascii="Times New Roman" w:hAnsi="Times New Roman" w:cs="Times New Roman"/>
                <w:color w:val="auto"/>
                <w:lang w:eastAsia="zh-CN"/>
              </w:rPr>
              <w:t>根据前文分析，则本项目不合格品产生量为955.5t/a。不合格品收集后回用于生产。</w:t>
            </w:r>
          </w:p>
          <w:p w14:paraId="06C4105E">
            <w:pPr>
              <w:pStyle w:val="32"/>
              <w:spacing w:line="360" w:lineRule="auto"/>
              <w:ind w:firstLine="480" w:firstLineChars="200"/>
              <w:rPr>
                <w:rFonts w:ascii="Times New Roman" w:hAnsi="Times New Roman" w:cs="Times New Roman"/>
                <w:color w:val="auto"/>
                <w:lang w:eastAsia="zh-CN"/>
              </w:rPr>
            </w:pPr>
            <w:r>
              <w:rPr>
                <w:rFonts w:hint="eastAsia" w:ascii="Times New Roman" w:hAnsi="Times New Roman" w:cs="Times New Roman"/>
                <w:color w:val="auto"/>
                <w:lang w:eastAsia="zh-CN"/>
              </w:rPr>
              <w:t>（5）废包装材料：本项目在铝粉等原料使用过程中会产生废弃的包装袋，废包装袋产生量约为2.0t/a。废包装袋收集后外售。</w:t>
            </w:r>
          </w:p>
          <w:p w14:paraId="2AB4A876">
            <w:pPr>
              <w:pStyle w:val="32"/>
              <w:spacing w:line="360" w:lineRule="auto"/>
              <w:ind w:firstLine="480" w:firstLineChars="200"/>
              <w:rPr>
                <w:rFonts w:ascii="Times New Roman" w:hAnsi="Times New Roman" w:cs="Times New Roman"/>
                <w:color w:val="auto"/>
                <w:lang w:eastAsia="zh-CN"/>
              </w:rPr>
            </w:pPr>
            <w:r>
              <w:rPr>
                <w:rFonts w:hint="eastAsia" w:ascii="Times New Roman" w:hAnsi="Times New Roman" w:cs="Times New Roman"/>
                <w:color w:val="auto"/>
                <w:lang w:eastAsia="zh-CN"/>
              </w:rPr>
              <w:t>（6）废模框：本项目脱模过程中会产生废模框，产生了约0.9t/a，废模框收集后外售。</w:t>
            </w:r>
          </w:p>
          <w:p w14:paraId="6FAF8730">
            <w:pPr>
              <w:tabs>
                <w:tab w:val="left" w:pos="2976"/>
              </w:tabs>
              <w:spacing w:line="360" w:lineRule="auto"/>
              <w:ind w:firstLine="480" w:firstLineChars="200"/>
              <w:rPr>
                <w:color w:val="auto"/>
                <w:sz w:val="24"/>
                <w:szCs w:val="22"/>
              </w:rPr>
            </w:pPr>
            <w:r>
              <w:rPr>
                <w:rFonts w:hint="eastAsia"/>
                <w:color w:val="auto"/>
                <w:sz w:val="24"/>
                <w:szCs w:val="22"/>
              </w:rPr>
              <w:t>（7）</w:t>
            </w:r>
            <w:r>
              <w:rPr>
                <w:color w:val="auto"/>
                <w:sz w:val="24"/>
                <w:szCs w:val="22"/>
              </w:rPr>
              <w:t>废机油、废机油桶：项目营运期设备维修中产生的废机油量约</w:t>
            </w:r>
            <w:r>
              <w:rPr>
                <w:rFonts w:hint="eastAsia"/>
                <w:color w:val="auto"/>
                <w:sz w:val="24"/>
                <w:szCs w:val="22"/>
              </w:rPr>
              <w:t>0.5</w:t>
            </w:r>
            <w:r>
              <w:rPr>
                <w:color w:val="auto"/>
                <w:sz w:val="24"/>
                <w:szCs w:val="22"/>
              </w:rPr>
              <w:t>t/a，废机油桶量</w:t>
            </w:r>
            <w:r>
              <w:rPr>
                <w:rFonts w:hint="eastAsia"/>
                <w:color w:val="auto"/>
                <w:sz w:val="24"/>
                <w:szCs w:val="22"/>
              </w:rPr>
              <w:t>1.0</w:t>
            </w:r>
            <w:r>
              <w:rPr>
                <w:color w:val="auto"/>
                <w:sz w:val="24"/>
                <w:szCs w:val="22"/>
              </w:rPr>
              <w:t>t/a。废机油桶、废机油属于危险废物，废机油</w:t>
            </w:r>
            <w:r>
              <w:rPr>
                <w:rFonts w:hint="eastAsia"/>
                <w:color w:val="auto"/>
                <w:sz w:val="24"/>
                <w:szCs w:val="22"/>
              </w:rPr>
              <w:t>、</w:t>
            </w:r>
            <w:r>
              <w:rPr>
                <w:color w:val="auto"/>
                <w:sz w:val="24"/>
                <w:szCs w:val="22"/>
              </w:rPr>
              <w:t>废机油桶废物类别为HW08，危废代码为900-249-08，要求委托有资质单位处置。</w:t>
            </w:r>
          </w:p>
          <w:p w14:paraId="3BE231DA">
            <w:pPr>
              <w:widowControl/>
              <w:tabs>
                <w:tab w:val="left" w:pos="420"/>
              </w:tabs>
              <w:spacing w:line="360" w:lineRule="auto"/>
              <w:ind w:firstLine="480" w:firstLineChars="200"/>
              <w:rPr>
                <w:color w:val="auto"/>
                <w:sz w:val="24"/>
                <w:lang w:bidi="zh-CN"/>
              </w:rPr>
            </w:pPr>
            <w:r>
              <w:rPr>
                <w:color w:val="auto"/>
                <w:sz w:val="24"/>
                <w:lang w:bidi="zh-CN"/>
              </w:rPr>
              <w:t>项目运营期固体废物产生情况见表4-1</w:t>
            </w:r>
            <w:r>
              <w:rPr>
                <w:rFonts w:hint="eastAsia"/>
                <w:color w:val="auto"/>
                <w:sz w:val="24"/>
                <w:lang w:bidi="zh-CN"/>
              </w:rPr>
              <w:t>2。</w:t>
            </w:r>
          </w:p>
          <w:p w14:paraId="6F9F43F2">
            <w:pPr>
              <w:widowControl/>
              <w:tabs>
                <w:tab w:val="left" w:pos="420"/>
              </w:tabs>
              <w:jc w:val="center"/>
              <w:rPr>
                <w:b/>
                <w:color w:val="auto"/>
                <w:sz w:val="24"/>
              </w:rPr>
            </w:pPr>
            <w:r>
              <w:rPr>
                <w:b/>
                <w:color w:val="auto"/>
                <w:sz w:val="24"/>
              </w:rPr>
              <w:t>表4-1</w:t>
            </w:r>
            <w:r>
              <w:rPr>
                <w:rFonts w:hint="eastAsia"/>
                <w:b/>
                <w:color w:val="auto"/>
                <w:sz w:val="24"/>
              </w:rPr>
              <w:t>2</w:t>
            </w:r>
            <w:r>
              <w:rPr>
                <w:b/>
                <w:color w:val="auto"/>
                <w:sz w:val="24"/>
              </w:rPr>
              <w:t xml:space="preserve">  项目一般固体废物产生及处置一览表</w:t>
            </w:r>
          </w:p>
          <w:tbl>
            <w:tblPr>
              <w:tblStyle w:val="2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25"/>
              <w:gridCol w:w="999"/>
              <w:gridCol w:w="1054"/>
              <w:gridCol w:w="505"/>
              <w:gridCol w:w="578"/>
              <w:gridCol w:w="948"/>
              <w:gridCol w:w="693"/>
              <w:gridCol w:w="779"/>
              <w:gridCol w:w="1165"/>
              <w:gridCol w:w="615"/>
              <w:gridCol w:w="1223"/>
            </w:tblGrid>
            <w:tr w14:paraId="1F2093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3" w:type="pct"/>
                  <w:tcBorders>
                    <w:tl2br w:val="nil"/>
                    <w:tr2bl w:val="nil"/>
                  </w:tcBorders>
                  <w:vAlign w:val="center"/>
                </w:tcPr>
                <w:p w14:paraId="4BFE8D41">
                  <w:pPr>
                    <w:jc w:val="center"/>
                    <w:rPr>
                      <w:color w:val="auto"/>
                      <w:szCs w:val="21"/>
                    </w:rPr>
                  </w:pPr>
                  <w:r>
                    <w:rPr>
                      <w:color w:val="auto"/>
                      <w:szCs w:val="21"/>
                    </w:rPr>
                    <w:t>序号</w:t>
                  </w:r>
                </w:p>
              </w:tc>
              <w:tc>
                <w:tcPr>
                  <w:tcW w:w="562" w:type="pct"/>
                  <w:tcBorders>
                    <w:tl2br w:val="nil"/>
                    <w:tr2bl w:val="nil"/>
                  </w:tcBorders>
                  <w:vAlign w:val="center"/>
                </w:tcPr>
                <w:p w14:paraId="7F7DD7A4">
                  <w:pPr>
                    <w:jc w:val="center"/>
                    <w:rPr>
                      <w:color w:val="auto"/>
                      <w:szCs w:val="21"/>
                    </w:rPr>
                  </w:pPr>
                  <w:r>
                    <w:rPr>
                      <w:color w:val="auto"/>
                      <w:szCs w:val="21"/>
                    </w:rPr>
                    <w:t>固废名称</w:t>
                  </w:r>
                </w:p>
              </w:tc>
              <w:tc>
                <w:tcPr>
                  <w:tcW w:w="593" w:type="pct"/>
                  <w:tcBorders>
                    <w:tl2br w:val="nil"/>
                    <w:tr2bl w:val="nil"/>
                  </w:tcBorders>
                  <w:vAlign w:val="center"/>
                </w:tcPr>
                <w:p w14:paraId="19C6B766">
                  <w:pPr>
                    <w:jc w:val="center"/>
                    <w:rPr>
                      <w:color w:val="auto"/>
                      <w:szCs w:val="21"/>
                    </w:rPr>
                  </w:pPr>
                  <w:r>
                    <w:rPr>
                      <w:color w:val="auto"/>
                      <w:szCs w:val="21"/>
                    </w:rPr>
                    <w:t>产生工序</w:t>
                  </w:r>
                </w:p>
              </w:tc>
              <w:tc>
                <w:tcPr>
                  <w:tcW w:w="284" w:type="pct"/>
                  <w:tcBorders>
                    <w:tl2br w:val="nil"/>
                    <w:tr2bl w:val="nil"/>
                  </w:tcBorders>
                  <w:vAlign w:val="center"/>
                </w:tcPr>
                <w:p w14:paraId="7776919A">
                  <w:pPr>
                    <w:jc w:val="center"/>
                    <w:rPr>
                      <w:color w:val="auto"/>
                      <w:szCs w:val="21"/>
                    </w:rPr>
                  </w:pPr>
                  <w:r>
                    <w:rPr>
                      <w:color w:val="auto"/>
                      <w:szCs w:val="21"/>
                    </w:rPr>
                    <w:t>属性</w:t>
                  </w:r>
                </w:p>
              </w:tc>
              <w:tc>
                <w:tcPr>
                  <w:tcW w:w="325" w:type="pct"/>
                  <w:tcBorders>
                    <w:tl2br w:val="nil"/>
                    <w:tr2bl w:val="nil"/>
                  </w:tcBorders>
                  <w:vAlign w:val="center"/>
                </w:tcPr>
                <w:p w14:paraId="1ABCC113">
                  <w:pPr>
                    <w:jc w:val="center"/>
                    <w:rPr>
                      <w:color w:val="auto"/>
                      <w:szCs w:val="21"/>
                    </w:rPr>
                  </w:pPr>
                  <w:r>
                    <w:rPr>
                      <w:color w:val="auto"/>
                      <w:szCs w:val="21"/>
                    </w:rPr>
                    <w:t>形态</w:t>
                  </w:r>
                </w:p>
              </w:tc>
              <w:tc>
                <w:tcPr>
                  <w:tcW w:w="533" w:type="pct"/>
                  <w:tcBorders>
                    <w:tl2br w:val="nil"/>
                    <w:tr2bl w:val="nil"/>
                  </w:tcBorders>
                  <w:vAlign w:val="center"/>
                </w:tcPr>
                <w:p w14:paraId="5647C0C1">
                  <w:pPr>
                    <w:jc w:val="center"/>
                    <w:rPr>
                      <w:color w:val="auto"/>
                      <w:szCs w:val="21"/>
                    </w:rPr>
                  </w:pPr>
                  <w:r>
                    <w:rPr>
                      <w:color w:val="auto"/>
                      <w:szCs w:val="21"/>
                    </w:rPr>
                    <w:t>主要成分</w:t>
                  </w:r>
                </w:p>
              </w:tc>
              <w:tc>
                <w:tcPr>
                  <w:tcW w:w="390" w:type="pct"/>
                  <w:tcBorders>
                    <w:tl2br w:val="nil"/>
                    <w:tr2bl w:val="nil"/>
                  </w:tcBorders>
                  <w:vAlign w:val="center"/>
                </w:tcPr>
                <w:p w14:paraId="19BA9790">
                  <w:pPr>
                    <w:jc w:val="center"/>
                    <w:rPr>
                      <w:color w:val="auto"/>
                      <w:szCs w:val="21"/>
                    </w:rPr>
                  </w:pPr>
                  <w:r>
                    <w:rPr>
                      <w:color w:val="auto"/>
                      <w:szCs w:val="21"/>
                    </w:rPr>
                    <w:t>产生量t/a</w:t>
                  </w:r>
                </w:p>
              </w:tc>
              <w:tc>
                <w:tcPr>
                  <w:tcW w:w="438" w:type="pct"/>
                  <w:tcBorders>
                    <w:tl2br w:val="nil"/>
                    <w:tr2bl w:val="nil"/>
                  </w:tcBorders>
                  <w:vAlign w:val="center"/>
                </w:tcPr>
                <w:p w14:paraId="265534EC">
                  <w:pPr>
                    <w:jc w:val="center"/>
                    <w:rPr>
                      <w:color w:val="auto"/>
                      <w:szCs w:val="21"/>
                    </w:rPr>
                  </w:pPr>
                  <w:r>
                    <w:rPr>
                      <w:color w:val="auto"/>
                      <w:szCs w:val="21"/>
                    </w:rPr>
                    <w:t>废物类别</w:t>
                  </w:r>
                </w:p>
              </w:tc>
              <w:tc>
                <w:tcPr>
                  <w:tcW w:w="655" w:type="pct"/>
                  <w:tcBorders>
                    <w:tl2br w:val="nil"/>
                    <w:tr2bl w:val="nil"/>
                  </w:tcBorders>
                  <w:vAlign w:val="center"/>
                </w:tcPr>
                <w:p w14:paraId="2DDC11C2">
                  <w:pPr>
                    <w:jc w:val="center"/>
                    <w:rPr>
                      <w:color w:val="auto"/>
                      <w:szCs w:val="21"/>
                    </w:rPr>
                  </w:pPr>
                  <w:r>
                    <w:rPr>
                      <w:color w:val="auto"/>
                      <w:szCs w:val="21"/>
                    </w:rPr>
                    <w:t>废物代码</w:t>
                  </w:r>
                </w:p>
              </w:tc>
              <w:tc>
                <w:tcPr>
                  <w:tcW w:w="346" w:type="pct"/>
                  <w:tcBorders>
                    <w:tl2br w:val="nil"/>
                    <w:tr2bl w:val="nil"/>
                  </w:tcBorders>
                  <w:vAlign w:val="center"/>
                </w:tcPr>
                <w:p w14:paraId="6EA21903">
                  <w:pPr>
                    <w:jc w:val="center"/>
                    <w:rPr>
                      <w:color w:val="auto"/>
                      <w:szCs w:val="21"/>
                    </w:rPr>
                  </w:pPr>
                  <w:r>
                    <w:rPr>
                      <w:color w:val="auto"/>
                      <w:szCs w:val="21"/>
                    </w:rPr>
                    <w:t>危险特性</w:t>
                  </w:r>
                </w:p>
              </w:tc>
              <w:tc>
                <w:tcPr>
                  <w:tcW w:w="687" w:type="pct"/>
                  <w:tcBorders>
                    <w:tl2br w:val="nil"/>
                    <w:tr2bl w:val="nil"/>
                  </w:tcBorders>
                  <w:vAlign w:val="center"/>
                </w:tcPr>
                <w:p w14:paraId="5BA68A9D">
                  <w:pPr>
                    <w:jc w:val="center"/>
                    <w:rPr>
                      <w:color w:val="auto"/>
                      <w:szCs w:val="21"/>
                    </w:rPr>
                  </w:pPr>
                  <w:r>
                    <w:rPr>
                      <w:color w:val="auto"/>
                      <w:szCs w:val="21"/>
                    </w:rPr>
                    <w:t>利用处置方式</w:t>
                  </w:r>
                </w:p>
              </w:tc>
            </w:tr>
            <w:tr w14:paraId="720E7E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3" w:type="pct"/>
                  <w:tcBorders>
                    <w:tl2br w:val="nil"/>
                    <w:tr2bl w:val="nil"/>
                  </w:tcBorders>
                  <w:vAlign w:val="center"/>
                </w:tcPr>
                <w:p w14:paraId="3FB6811D">
                  <w:pPr>
                    <w:jc w:val="center"/>
                    <w:rPr>
                      <w:color w:val="auto"/>
                      <w:szCs w:val="21"/>
                    </w:rPr>
                  </w:pPr>
                  <w:r>
                    <w:rPr>
                      <w:color w:val="auto"/>
                      <w:szCs w:val="21"/>
                    </w:rPr>
                    <w:t>1</w:t>
                  </w:r>
                </w:p>
              </w:tc>
              <w:tc>
                <w:tcPr>
                  <w:tcW w:w="562" w:type="pct"/>
                  <w:tcBorders>
                    <w:tl2br w:val="nil"/>
                    <w:tr2bl w:val="nil"/>
                  </w:tcBorders>
                  <w:vAlign w:val="center"/>
                </w:tcPr>
                <w:p w14:paraId="57840722">
                  <w:pPr>
                    <w:pStyle w:val="39"/>
                    <w:rPr>
                      <w:color w:val="auto"/>
                    </w:rPr>
                  </w:pPr>
                  <w:r>
                    <w:rPr>
                      <w:color w:val="auto"/>
                    </w:rPr>
                    <w:t>布袋除尘器收尘</w:t>
                  </w:r>
                </w:p>
              </w:tc>
              <w:tc>
                <w:tcPr>
                  <w:tcW w:w="593" w:type="pct"/>
                  <w:tcBorders>
                    <w:tl2br w:val="nil"/>
                    <w:tr2bl w:val="nil"/>
                  </w:tcBorders>
                  <w:vAlign w:val="center"/>
                </w:tcPr>
                <w:p w14:paraId="7F1275C5">
                  <w:pPr>
                    <w:pStyle w:val="39"/>
                    <w:rPr>
                      <w:color w:val="auto"/>
                    </w:rPr>
                  </w:pPr>
                  <w:r>
                    <w:rPr>
                      <w:color w:val="auto"/>
                    </w:rPr>
                    <w:t>破碎、筛分</w:t>
                  </w:r>
                  <w:r>
                    <w:rPr>
                      <w:rFonts w:hint="eastAsia"/>
                      <w:color w:val="auto"/>
                    </w:rPr>
                    <w:t>、搅拌</w:t>
                  </w:r>
                </w:p>
              </w:tc>
              <w:tc>
                <w:tcPr>
                  <w:tcW w:w="284" w:type="pct"/>
                  <w:tcBorders>
                    <w:tl2br w:val="nil"/>
                    <w:tr2bl w:val="nil"/>
                  </w:tcBorders>
                  <w:vAlign w:val="center"/>
                </w:tcPr>
                <w:p w14:paraId="023CFF48">
                  <w:pPr>
                    <w:jc w:val="center"/>
                    <w:rPr>
                      <w:color w:val="auto"/>
                      <w:szCs w:val="21"/>
                    </w:rPr>
                  </w:pPr>
                  <w:r>
                    <w:rPr>
                      <w:color w:val="auto"/>
                      <w:szCs w:val="21"/>
                    </w:rPr>
                    <w:t>一般固废</w:t>
                  </w:r>
                </w:p>
              </w:tc>
              <w:tc>
                <w:tcPr>
                  <w:tcW w:w="325" w:type="pct"/>
                  <w:tcBorders>
                    <w:tl2br w:val="nil"/>
                    <w:tr2bl w:val="nil"/>
                  </w:tcBorders>
                  <w:vAlign w:val="center"/>
                </w:tcPr>
                <w:p w14:paraId="791A123E">
                  <w:pPr>
                    <w:jc w:val="center"/>
                    <w:rPr>
                      <w:color w:val="auto"/>
                      <w:szCs w:val="21"/>
                    </w:rPr>
                  </w:pPr>
                  <w:r>
                    <w:rPr>
                      <w:color w:val="auto"/>
                      <w:szCs w:val="21"/>
                    </w:rPr>
                    <w:t>固态</w:t>
                  </w:r>
                </w:p>
              </w:tc>
              <w:tc>
                <w:tcPr>
                  <w:tcW w:w="533" w:type="pct"/>
                  <w:tcBorders>
                    <w:tl2br w:val="nil"/>
                    <w:tr2bl w:val="nil"/>
                  </w:tcBorders>
                  <w:vAlign w:val="center"/>
                </w:tcPr>
                <w:p w14:paraId="783AD15A">
                  <w:pPr>
                    <w:jc w:val="center"/>
                    <w:rPr>
                      <w:color w:val="auto"/>
                      <w:szCs w:val="21"/>
                    </w:rPr>
                  </w:pPr>
                  <w:r>
                    <w:rPr>
                      <w:color w:val="auto"/>
                      <w:szCs w:val="21"/>
                    </w:rPr>
                    <w:t>粉尘</w:t>
                  </w:r>
                </w:p>
              </w:tc>
              <w:tc>
                <w:tcPr>
                  <w:tcW w:w="390" w:type="pct"/>
                  <w:tcBorders>
                    <w:tl2br w:val="nil"/>
                    <w:tr2bl w:val="nil"/>
                  </w:tcBorders>
                  <w:vAlign w:val="center"/>
                </w:tcPr>
                <w:p w14:paraId="037E7225">
                  <w:pPr>
                    <w:jc w:val="center"/>
                    <w:rPr>
                      <w:color w:val="auto"/>
                      <w:szCs w:val="21"/>
                    </w:rPr>
                  </w:pPr>
                  <w:r>
                    <w:rPr>
                      <w:rFonts w:hint="eastAsia"/>
                      <w:color w:val="auto"/>
                      <w:szCs w:val="21"/>
                    </w:rPr>
                    <w:t>190.447</w:t>
                  </w:r>
                </w:p>
              </w:tc>
              <w:tc>
                <w:tcPr>
                  <w:tcW w:w="438" w:type="pct"/>
                  <w:tcBorders>
                    <w:tl2br w:val="nil"/>
                    <w:tr2bl w:val="nil"/>
                  </w:tcBorders>
                  <w:vAlign w:val="center"/>
                </w:tcPr>
                <w:p w14:paraId="24EDA014">
                  <w:pPr>
                    <w:jc w:val="center"/>
                    <w:rPr>
                      <w:color w:val="auto"/>
                      <w:szCs w:val="21"/>
                    </w:rPr>
                  </w:pPr>
                  <w:r>
                    <w:rPr>
                      <w:color w:val="auto"/>
                      <w:szCs w:val="21"/>
                    </w:rPr>
                    <w:t>/</w:t>
                  </w:r>
                </w:p>
              </w:tc>
              <w:tc>
                <w:tcPr>
                  <w:tcW w:w="655" w:type="pct"/>
                  <w:tcBorders>
                    <w:tl2br w:val="nil"/>
                    <w:tr2bl w:val="nil"/>
                  </w:tcBorders>
                  <w:vAlign w:val="center"/>
                </w:tcPr>
                <w:p w14:paraId="4B22E04E">
                  <w:pPr>
                    <w:widowControl/>
                    <w:jc w:val="center"/>
                    <w:rPr>
                      <w:color w:val="auto"/>
                      <w:szCs w:val="21"/>
                    </w:rPr>
                  </w:pPr>
                  <w:r>
                    <w:rPr>
                      <w:rFonts w:hint="eastAsia"/>
                      <w:color w:val="auto"/>
                      <w:spacing w:val="-2"/>
                      <w:szCs w:val="21"/>
                    </w:rPr>
                    <w:t>/</w:t>
                  </w:r>
                </w:p>
              </w:tc>
              <w:tc>
                <w:tcPr>
                  <w:tcW w:w="346" w:type="pct"/>
                  <w:tcBorders>
                    <w:tl2br w:val="nil"/>
                    <w:tr2bl w:val="nil"/>
                  </w:tcBorders>
                  <w:vAlign w:val="center"/>
                </w:tcPr>
                <w:p w14:paraId="1403DD4A">
                  <w:pPr>
                    <w:jc w:val="center"/>
                    <w:rPr>
                      <w:color w:val="auto"/>
                      <w:szCs w:val="21"/>
                    </w:rPr>
                  </w:pPr>
                  <w:r>
                    <w:rPr>
                      <w:color w:val="auto"/>
                      <w:szCs w:val="21"/>
                    </w:rPr>
                    <w:t>/</w:t>
                  </w:r>
                </w:p>
              </w:tc>
              <w:tc>
                <w:tcPr>
                  <w:tcW w:w="687" w:type="pct"/>
                  <w:tcBorders>
                    <w:tl2br w:val="nil"/>
                    <w:tr2bl w:val="nil"/>
                  </w:tcBorders>
                  <w:vAlign w:val="center"/>
                </w:tcPr>
                <w:p w14:paraId="734D2843">
                  <w:pPr>
                    <w:jc w:val="center"/>
                    <w:rPr>
                      <w:color w:val="auto"/>
                      <w:szCs w:val="21"/>
                    </w:rPr>
                  </w:pPr>
                  <w:r>
                    <w:rPr>
                      <w:color w:val="auto"/>
                      <w:szCs w:val="21"/>
                    </w:rPr>
                    <w:t>回用生产</w:t>
                  </w:r>
                </w:p>
              </w:tc>
            </w:tr>
            <w:tr w14:paraId="465333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3" w:type="pct"/>
                  <w:tcBorders>
                    <w:tl2br w:val="nil"/>
                    <w:tr2bl w:val="nil"/>
                  </w:tcBorders>
                  <w:vAlign w:val="center"/>
                </w:tcPr>
                <w:p w14:paraId="310513AE">
                  <w:pPr>
                    <w:jc w:val="center"/>
                    <w:rPr>
                      <w:color w:val="auto"/>
                      <w:szCs w:val="21"/>
                    </w:rPr>
                  </w:pPr>
                  <w:r>
                    <w:rPr>
                      <w:rFonts w:hint="eastAsia"/>
                      <w:color w:val="auto"/>
                      <w:szCs w:val="21"/>
                    </w:rPr>
                    <w:t>2</w:t>
                  </w:r>
                </w:p>
              </w:tc>
              <w:tc>
                <w:tcPr>
                  <w:tcW w:w="562" w:type="pct"/>
                  <w:tcBorders>
                    <w:tl2br w:val="nil"/>
                    <w:tr2bl w:val="nil"/>
                  </w:tcBorders>
                  <w:vAlign w:val="center"/>
                </w:tcPr>
                <w:p w14:paraId="2AD0C4EB">
                  <w:pPr>
                    <w:pStyle w:val="39"/>
                    <w:rPr>
                      <w:color w:val="auto"/>
                    </w:rPr>
                  </w:pPr>
                  <w:r>
                    <w:rPr>
                      <w:rFonts w:hint="eastAsia"/>
                      <w:color w:val="auto"/>
                    </w:rPr>
                    <w:t>筛分杂质</w:t>
                  </w:r>
                </w:p>
              </w:tc>
              <w:tc>
                <w:tcPr>
                  <w:tcW w:w="593" w:type="pct"/>
                  <w:tcBorders>
                    <w:tl2br w:val="nil"/>
                    <w:tr2bl w:val="nil"/>
                  </w:tcBorders>
                  <w:vAlign w:val="center"/>
                </w:tcPr>
                <w:p w14:paraId="261F2285">
                  <w:pPr>
                    <w:pStyle w:val="39"/>
                    <w:rPr>
                      <w:color w:val="auto"/>
                    </w:rPr>
                  </w:pPr>
                  <w:r>
                    <w:rPr>
                      <w:rFonts w:hint="eastAsia"/>
                      <w:color w:val="auto"/>
                    </w:rPr>
                    <w:t>筛分</w:t>
                  </w:r>
                </w:p>
              </w:tc>
              <w:tc>
                <w:tcPr>
                  <w:tcW w:w="284" w:type="pct"/>
                  <w:tcBorders>
                    <w:tl2br w:val="nil"/>
                    <w:tr2bl w:val="nil"/>
                  </w:tcBorders>
                  <w:vAlign w:val="center"/>
                </w:tcPr>
                <w:p w14:paraId="137C162C">
                  <w:pPr>
                    <w:jc w:val="center"/>
                    <w:rPr>
                      <w:color w:val="auto"/>
                      <w:szCs w:val="21"/>
                    </w:rPr>
                  </w:pPr>
                  <w:r>
                    <w:rPr>
                      <w:rFonts w:hint="eastAsia"/>
                      <w:color w:val="auto"/>
                      <w:szCs w:val="21"/>
                    </w:rPr>
                    <w:t>一般固废</w:t>
                  </w:r>
                </w:p>
              </w:tc>
              <w:tc>
                <w:tcPr>
                  <w:tcW w:w="325" w:type="pct"/>
                  <w:tcBorders>
                    <w:tl2br w:val="nil"/>
                    <w:tr2bl w:val="nil"/>
                  </w:tcBorders>
                  <w:vAlign w:val="center"/>
                </w:tcPr>
                <w:p w14:paraId="1A6B3EE6">
                  <w:pPr>
                    <w:jc w:val="center"/>
                    <w:rPr>
                      <w:color w:val="auto"/>
                      <w:szCs w:val="21"/>
                    </w:rPr>
                  </w:pPr>
                  <w:r>
                    <w:rPr>
                      <w:rFonts w:hint="eastAsia"/>
                      <w:color w:val="auto"/>
                      <w:szCs w:val="21"/>
                    </w:rPr>
                    <w:t>固态</w:t>
                  </w:r>
                </w:p>
              </w:tc>
              <w:tc>
                <w:tcPr>
                  <w:tcW w:w="533" w:type="pct"/>
                  <w:tcBorders>
                    <w:tl2br w:val="nil"/>
                    <w:tr2bl w:val="nil"/>
                  </w:tcBorders>
                  <w:vAlign w:val="center"/>
                </w:tcPr>
                <w:p w14:paraId="1F58B7C7">
                  <w:pPr>
                    <w:jc w:val="center"/>
                    <w:rPr>
                      <w:color w:val="auto"/>
                      <w:szCs w:val="21"/>
                    </w:rPr>
                  </w:pPr>
                  <w:r>
                    <w:rPr>
                      <w:rFonts w:hint="eastAsia"/>
                      <w:color w:val="auto"/>
                      <w:szCs w:val="21"/>
                    </w:rPr>
                    <w:t>泥块</w:t>
                  </w:r>
                </w:p>
              </w:tc>
              <w:tc>
                <w:tcPr>
                  <w:tcW w:w="390" w:type="pct"/>
                  <w:tcBorders>
                    <w:tl2br w:val="nil"/>
                    <w:tr2bl w:val="nil"/>
                  </w:tcBorders>
                  <w:vAlign w:val="center"/>
                </w:tcPr>
                <w:p w14:paraId="298F05F1">
                  <w:pPr>
                    <w:jc w:val="center"/>
                    <w:rPr>
                      <w:color w:val="auto"/>
                      <w:szCs w:val="21"/>
                    </w:rPr>
                  </w:pPr>
                  <w:r>
                    <w:rPr>
                      <w:rFonts w:hint="eastAsia"/>
                      <w:color w:val="auto"/>
                      <w:szCs w:val="21"/>
                    </w:rPr>
                    <w:t>1.0</w:t>
                  </w:r>
                </w:p>
              </w:tc>
              <w:tc>
                <w:tcPr>
                  <w:tcW w:w="438" w:type="pct"/>
                  <w:tcBorders>
                    <w:tl2br w:val="nil"/>
                    <w:tr2bl w:val="nil"/>
                  </w:tcBorders>
                  <w:vAlign w:val="center"/>
                </w:tcPr>
                <w:p w14:paraId="6EE3AE50">
                  <w:pPr>
                    <w:jc w:val="center"/>
                    <w:rPr>
                      <w:color w:val="auto"/>
                      <w:szCs w:val="21"/>
                    </w:rPr>
                  </w:pPr>
                  <w:r>
                    <w:rPr>
                      <w:rFonts w:hint="eastAsia"/>
                      <w:color w:val="auto"/>
                      <w:szCs w:val="21"/>
                    </w:rPr>
                    <w:t>/</w:t>
                  </w:r>
                </w:p>
              </w:tc>
              <w:tc>
                <w:tcPr>
                  <w:tcW w:w="655" w:type="pct"/>
                  <w:tcBorders>
                    <w:tl2br w:val="nil"/>
                    <w:tr2bl w:val="nil"/>
                  </w:tcBorders>
                  <w:vAlign w:val="center"/>
                </w:tcPr>
                <w:p w14:paraId="2FA32302">
                  <w:pPr>
                    <w:widowControl/>
                    <w:jc w:val="center"/>
                    <w:rPr>
                      <w:color w:val="auto"/>
                      <w:spacing w:val="-2"/>
                      <w:szCs w:val="21"/>
                    </w:rPr>
                  </w:pPr>
                  <w:r>
                    <w:rPr>
                      <w:rFonts w:hint="eastAsia"/>
                      <w:color w:val="auto"/>
                      <w:spacing w:val="-2"/>
                      <w:szCs w:val="21"/>
                    </w:rPr>
                    <w:t>/</w:t>
                  </w:r>
                </w:p>
              </w:tc>
              <w:tc>
                <w:tcPr>
                  <w:tcW w:w="346" w:type="pct"/>
                  <w:tcBorders>
                    <w:tl2br w:val="nil"/>
                    <w:tr2bl w:val="nil"/>
                  </w:tcBorders>
                  <w:vAlign w:val="center"/>
                </w:tcPr>
                <w:p w14:paraId="2082C597">
                  <w:pPr>
                    <w:jc w:val="center"/>
                    <w:rPr>
                      <w:color w:val="auto"/>
                      <w:szCs w:val="21"/>
                    </w:rPr>
                  </w:pPr>
                  <w:r>
                    <w:rPr>
                      <w:rFonts w:hint="eastAsia"/>
                      <w:color w:val="auto"/>
                      <w:szCs w:val="21"/>
                    </w:rPr>
                    <w:t>/</w:t>
                  </w:r>
                </w:p>
              </w:tc>
              <w:tc>
                <w:tcPr>
                  <w:tcW w:w="687" w:type="pct"/>
                  <w:tcBorders>
                    <w:tl2br w:val="nil"/>
                    <w:tr2bl w:val="nil"/>
                  </w:tcBorders>
                  <w:vAlign w:val="center"/>
                </w:tcPr>
                <w:p w14:paraId="53E2FEBB">
                  <w:pPr>
                    <w:jc w:val="center"/>
                    <w:rPr>
                      <w:color w:val="auto"/>
                      <w:szCs w:val="21"/>
                    </w:rPr>
                  </w:pPr>
                  <w:r>
                    <w:rPr>
                      <w:rFonts w:hint="eastAsia"/>
                      <w:color w:val="auto"/>
                      <w:szCs w:val="21"/>
                    </w:rPr>
                    <w:t>外售综合利用</w:t>
                  </w:r>
                </w:p>
              </w:tc>
            </w:tr>
            <w:tr w14:paraId="07D87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3" w:type="pct"/>
                  <w:tcBorders>
                    <w:tl2br w:val="nil"/>
                    <w:tr2bl w:val="nil"/>
                  </w:tcBorders>
                  <w:vAlign w:val="center"/>
                </w:tcPr>
                <w:p w14:paraId="00F3968D">
                  <w:pPr>
                    <w:jc w:val="center"/>
                    <w:rPr>
                      <w:color w:val="auto"/>
                      <w:szCs w:val="21"/>
                    </w:rPr>
                  </w:pPr>
                  <w:r>
                    <w:rPr>
                      <w:rFonts w:hint="eastAsia"/>
                      <w:color w:val="auto"/>
                      <w:szCs w:val="21"/>
                    </w:rPr>
                    <w:t>3</w:t>
                  </w:r>
                </w:p>
              </w:tc>
              <w:tc>
                <w:tcPr>
                  <w:tcW w:w="562" w:type="pct"/>
                  <w:tcBorders>
                    <w:tl2br w:val="nil"/>
                    <w:tr2bl w:val="nil"/>
                  </w:tcBorders>
                  <w:vAlign w:val="center"/>
                </w:tcPr>
                <w:p w14:paraId="1BE35300">
                  <w:pPr>
                    <w:pStyle w:val="39"/>
                    <w:rPr>
                      <w:color w:val="auto"/>
                    </w:rPr>
                  </w:pPr>
                  <w:r>
                    <w:rPr>
                      <w:rFonts w:hint="eastAsia"/>
                      <w:color w:val="auto"/>
                    </w:rPr>
                    <w:t>沉淀池污泥</w:t>
                  </w:r>
                </w:p>
              </w:tc>
              <w:tc>
                <w:tcPr>
                  <w:tcW w:w="593" w:type="pct"/>
                  <w:tcBorders>
                    <w:tl2br w:val="nil"/>
                    <w:tr2bl w:val="nil"/>
                  </w:tcBorders>
                  <w:vAlign w:val="center"/>
                </w:tcPr>
                <w:p w14:paraId="7AF3EE2E">
                  <w:pPr>
                    <w:pStyle w:val="39"/>
                    <w:rPr>
                      <w:color w:val="auto"/>
                    </w:rPr>
                  </w:pPr>
                  <w:r>
                    <w:rPr>
                      <w:color w:val="auto"/>
                    </w:rPr>
                    <w:t>沉淀</w:t>
                  </w:r>
                </w:p>
              </w:tc>
              <w:tc>
                <w:tcPr>
                  <w:tcW w:w="284" w:type="pct"/>
                  <w:tcBorders>
                    <w:tl2br w:val="nil"/>
                    <w:tr2bl w:val="nil"/>
                  </w:tcBorders>
                  <w:vAlign w:val="center"/>
                </w:tcPr>
                <w:p w14:paraId="7B05557A">
                  <w:pPr>
                    <w:jc w:val="center"/>
                    <w:rPr>
                      <w:color w:val="auto"/>
                      <w:szCs w:val="21"/>
                    </w:rPr>
                  </w:pPr>
                  <w:r>
                    <w:rPr>
                      <w:color w:val="auto"/>
                      <w:szCs w:val="21"/>
                    </w:rPr>
                    <w:t>一般固废</w:t>
                  </w:r>
                </w:p>
              </w:tc>
              <w:tc>
                <w:tcPr>
                  <w:tcW w:w="325" w:type="pct"/>
                  <w:tcBorders>
                    <w:tl2br w:val="nil"/>
                    <w:tr2bl w:val="nil"/>
                  </w:tcBorders>
                  <w:vAlign w:val="center"/>
                </w:tcPr>
                <w:p w14:paraId="16AD2E2C">
                  <w:pPr>
                    <w:jc w:val="center"/>
                    <w:rPr>
                      <w:color w:val="auto"/>
                      <w:szCs w:val="21"/>
                    </w:rPr>
                  </w:pPr>
                  <w:r>
                    <w:rPr>
                      <w:color w:val="auto"/>
                      <w:szCs w:val="21"/>
                    </w:rPr>
                    <w:t>固态</w:t>
                  </w:r>
                </w:p>
              </w:tc>
              <w:tc>
                <w:tcPr>
                  <w:tcW w:w="533" w:type="pct"/>
                  <w:tcBorders>
                    <w:tl2br w:val="nil"/>
                    <w:tr2bl w:val="nil"/>
                  </w:tcBorders>
                  <w:vAlign w:val="center"/>
                </w:tcPr>
                <w:p w14:paraId="0CD10369">
                  <w:pPr>
                    <w:jc w:val="center"/>
                    <w:rPr>
                      <w:color w:val="auto"/>
                      <w:szCs w:val="21"/>
                    </w:rPr>
                  </w:pPr>
                  <w:r>
                    <w:rPr>
                      <w:color w:val="auto"/>
                      <w:szCs w:val="21"/>
                    </w:rPr>
                    <w:t>泥沙混合物</w:t>
                  </w:r>
                </w:p>
              </w:tc>
              <w:tc>
                <w:tcPr>
                  <w:tcW w:w="390" w:type="pct"/>
                  <w:tcBorders>
                    <w:tl2br w:val="nil"/>
                    <w:tr2bl w:val="nil"/>
                  </w:tcBorders>
                  <w:vAlign w:val="center"/>
                </w:tcPr>
                <w:p w14:paraId="497C9A2D">
                  <w:pPr>
                    <w:jc w:val="center"/>
                    <w:rPr>
                      <w:color w:val="auto"/>
                      <w:szCs w:val="21"/>
                    </w:rPr>
                  </w:pPr>
                  <w:r>
                    <w:rPr>
                      <w:rFonts w:hint="eastAsia"/>
                      <w:color w:val="auto"/>
                      <w:szCs w:val="21"/>
                    </w:rPr>
                    <w:t>0.5</w:t>
                  </w:r>
                </w:p>
              </w:tc>
              <w:tc>
                <w:tcPr>
                  <w:tcW w:w="438" w:type="pct"/>
                  <w:tcBorders>
                    <w:tl2br w:val="nil"/>
                    <w:tr2bl w:val="nil"/>
                  </w:tcBorders>
                  <w:vAlign w:val="center"/>
                </w:tcPr>
                <w:p w14:paraId="4C3391AE">
                  <w:pPr>
                    <w:jc w:val="center"/>
                    <w:rPr>
                      <w:color w:val="auto"/>
                      <w:szCs w:val="21"/>
                    </w:rPr>
                  </w:pPr>
                  <w:r>
                    <w:rPr>
                      <w:color w:val="auto"/>
                      <w:szCs w:val="21"/>
                    </w:rPr>
                    <w:t>/</w:t>
                  </w:r>
                </w:p>
              </w:tc>
              <w:tc>
                <w:tcPr>
                  <w:tcW w:w="655" w:type="pct"/>
                  <w:tcBorders>
                    <w:tl2br w:val="nil"/>
                    <w:tr2bl w:val="nil"/>
                  </w:tcBorders>
                  <w:vAlign w:val="center"/>
                </w:tcPr>
                <w:p w14:paraId="7168982D">
                  <w:pPr>
                    <w:widowControl/>
                    <w:jc w:val="center"/>
                    <w:rPr>
                      <w:color w:val="auto"/>
                      <w:szCs w:val="21"/>
                    </w:rPr>
                  </w:pPr>
                  <w:r>
                    <w:rPr>
                      <w:rFonts w:hint="eastAsia"/>
                      <w:color w:val="auto"/>
                      <w:spacing w:val="-2"/>
                      <w:szCs w:val="21"/>
                    </w:rPr>
                    <w:t>/</w:t>
                  </w:r>
                </w:p>
              </w:tc>
              <w:tc>
                <w:tcPr>
                  <w:tcW w:w="346" w:type="pct"/>
                  <w:tcBorders>
                    <w:tl2br w:val="nil"/>
                    <w:tr2bl w:val="nil"/>
                  </w:tcBorders>
                  <w:vAlign w:val="center"/>
                </w:tcPr>
                <w:p w14:paraId="54A2D9A0">
                  <w:pPr>
                    <w:jc w:val="center"/>
                    <w:rPr>
                      <w:color w:val="auto"/>
                      <w:szCs w:val="21"/>
                    </w:rPr>
                  </w:pPr>
                  <w:r>
                    <w:rPr>
                      <w:color w:val="auto"/>
                      <w:szCs w:val="21"/>
                    </w:rPr>
                    <w:t>/</w:t>
                  </w:r>
                </w:p>
              </w:tc>
              <w:tc>
                <w:tcPr>
                  <w:tcW w:w="687" w:type="pct"/>
                  <w:tcBorders>
                    <w:tl2br w:val="nil"/>
                    <w:tr2bl w:val="nil"/>
                  </w:tcBorders>
                  <w:vAlign w:val="center"/>
                </w:tcPr>
                <w:p w14:paraId="0683C2E5">
                  <w:pPr>
                    <w:jc w:val="center"/>
                    <w:rPr>
                      <w:color w:val="auto"/>
                      <w:szCs w:val="21"/>
                    </w:rPr>
                  </w:pPr>
                  <w:r>
                    <w:rPr>
                      <w:color w:val="auto"/>
                      <w:szCs w:val="21"/>
                    </w:rPr>
                    <w:t>外售综合利用</w:t>
                  </w:r>
                </w:p>
              </w:tc>
            </w:tr>
            <w:tr w14:paraId="6B1947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3" w:type="pct"/>
                  <w:tcBorders>
                    <w:tl2br w:val="nil"/>
                    <w:tr2bl w:val="nil"/>
                  </w:tcBorders>
                  <w:vAlign w:val="center"/>
                </w:tcPr>
                <w:p w14:paraId="1566AFFB">
                  <w:pPr>
                    <w:jc w:val="center"/>
                    <w:rPr>
                      <w:color w:val="auto"/>
                      <w:szCs w:val="21"/>
                    </w:rPr>
                  </w:pPr>
                  <w:r>
                    <w:rPr>
                      <w:rFonts w:hint="eastAsia"/>
                      <w:color w:val="auto"/>
                      <w:szCs w:val="21"/>
                    </w:rPr>
                    <w:t>4</w:t>
                  </w:r>
                </w:p>
              </w:tc>
              <w:tc>
                <w:tcPr>
                  <w:tcW w:w="562" w:type="pct"/>
                  <w:tcBorders>
                    <w:tl2br w:val="nil"/>
                    <w:tr2bl w:val="nil"/>
                  </w:tcBorders>
                  <w:vAlign w:val="center"/>
                </w:tcPr>
                <w:p w14:paraId="1F79E695">
                  <w:pPr>
                    <w:pStyle w:val="39"/>
                    <w:rPr>
                      <w:color w:val="auto"/>
                    </w:rPr>
                  </w:pPr>
                  <w:r>
                    <w:rPr>
                      <w:rFonts w:hint="eastAsia"/>
                      <w:color w:val="auto"/>
                    </w:rPr>
                    <w:t>不合格品</w:t>
                  </w:r>
                </w:p>
              </w:tc>
              <w:tc>
                <w:tcPr>
                  <w:tcW w:w="593" w:type="pct"/>
                  <w:tcBorders>
                    <w:tl2br w:val="nil"/>
                    <w:tr2bl w:val="nil"/>
                  </w:tcBorders>
                  <w:vAlign w:val="center"/>
                </w:tcPr>
                <w:p w14:paraId="228FB706">
                  <w:pPr>
                    <w:pStyle w:val="39"/>
                    <w:rPr>
                      <w:color w:val="auto"/>
                    </w:rPr>
                  </w:pPr>
                  <w:r>
                    <w:rPr>
                      <w:rFonts w:hint="eastAsia"/>
                      <w:color w:val="auto"/>
                    </w:rPr>
                    <w:t>检验</w:t>
                  </w:r>
                </w:p>
              </w:tc>
              <w:tc>
                <w:tcPr>
                  <w:tcW w:w="284" w:type="pct"/>
                  <w:tcBorders>
                    <w:tl2br w:val="nil"/>
                    <w:tr2bl w:val="nil"/>
                  </w:tcBorders>
                  <w:vAlign w:val="center"/>
                </w:tcPr>
                <w:p w14:paraId="7E6D334C">
                  <w:pPr>
                    <w:jc w:val="center"/>
                    <w:rPr>
                      <w:color w:val="auto"/>
                      <w:szCs w:val="21"/>
                    </w:rPr>
                  </w:pPr>
                  <w:r>
                    <w:rPr>
                      <w:rFonts w:hint="eastAsia"/>
                      <w:color w:val="auto"/>
                      <w:szCs w:val="21"/>
                    </w:rPr>
                    <w:t>一般固废</w:t>
                  </w:r>
                </w:p>
              </w:tc>
              <w:tc>
                <w:tcPr>
                  <w:tcW w:w="325" w:type="pct"/>
                  <w:tcBorders>
                    <w:tl2br w:val="nil"/>
                    <w:tr2bl w:val="nil"/>
                  </w:tcBorders>
                  <w:vAlign w:val="center"/>
                </w:tcPr>
                <w:p w14:paraId="3E55EDCF">
                  <w:pPr>
                    <w:jc w:val="center"/>
                    <w:rPr>
                      <w:color w:val="auto"/>
                      <w:szCs w:val="21"/>
                    </w:rPr>
                  </w:pPr>
                  <w:r>
                    <w:rPr>
                      <w:rFonts w:hint="eastAsia"/>
                      <w:color w:val="auto"/>
                      <w:szCs w:val="21"/>
                    </w:rPr>
                    <w:t>固态</w:t>
                  </w:r>
                </w:p>
              </w:tc>
              <w:tc>
                <w:tcPr>
                  <w:tcW w:w="533" w:type="pct"/>
                  <w:tcBorders>
                    <w:tl2br w:val="nil"/>
                    <w:tr2bl w:val="nil"/>
                  </w:tcBorders>
                  <w:vAlign w:val="center"/>
                </w:tcPr>
                <w:p w14:paraId="0190FA24">
                  <w:pPr>
                    <w:jc w:val="center"/>
                    <w:rPr>
                      <w:color w:val="auto"/>
                      <w:szCs w:val="21"/>
                    </w:rPr>
                  </w:pPr>
                  <w:r>
                    <w:rPr>
                      <w:rFonts w:hint="eastAsia"/>
                      <w:color w:val="auto"/>
                      <w:szCs w:val="21"/>
                    </w:rPr>
                    <w:t>不合格品</w:t>
                  </w:r>
                </w:p>
              </w:tc>
              <w:tc>
                <w:tcPr>
                  <w:tcW w:w="390" w:type="pct"/>
                  <w:tcBorders>
                    <w:tl2br w:val="nil"/>
                    <w:tr2bl w:val="nil"/>
                  </w:tcBorders>
                  <w:vAlign w:val="center"/>
                </w:tcPr>
                <w:p w14:paraId="31D8E5AF">
                  <w:pPr>
                    <w:jc w:val="center"/>
                    <w:rPr>
                      <w:color w:val="auto"/>
                      <w:szCs w:val="21"/>
                    </w:rPr>
                  </w:pPr>
                  <w:r>
                    <w:rPr>
                      <w:rFonts w:hint="eastAsia"/>
                      <w:color w:val="auto"/>
                      <w:szCs w:val="21"/>
                    </w:rPr>
                    <w:t>955.5</w:t>
                  </w:r>
                </w:p>
              </w:tc>
              <w:tc>
                <w:tcPr>
                  <w:tcW w:w="438" w:type="pct"/>
                  <w:tcBorders>
                    <w:tl2br w:val="nil"/>
                    <w:tr2bl w:val="nil"/>
                  </w:tcBorders>
                  <w:vAlign w:val="center"/>
                </w:tcPr>
                <w:p w14:paraId="68F043AA">
                  <w:pPr>
                    <w:jc w:val="center"/>
                    <w:rPr>
                      <w:color w:val="auto"/>
                      <w:szCs w:val="21"/>
                    </w:rPr>
                  </w:pPr>
                  <w:r>
                    <w:rPr>
                      <w:color w:val="auto"/>
                      <w:szCs w:val="21"/>
                    </w:rPr>
                    <w:t>/</w:t>
                  </w:r>
                </w:p>
              </w:tc>
              <w:tc>
                <w:tcPr>
                  <w:tcW w:w="655" w:type="pct"/>
                  <w:tcBorders>
                    <w:tl2br w:val="nil"/>
                    <w:tr2bl w:val="nil"/>
                  </w:tcBorders>
                  <w:vAlign w:val="center"/>
                </w:tcPr>
                <w:p w14:paraId="6460B4F9">
                  <w:pPr>
                    <w:widowControl/>
                    <w:jc w:val="center"/>
                    <w:rPr>
                      <w:color w:val="auto"/>
                      <w:spacing w:val="-2"/>
                      <w:szCs w:val="21"/>
                    </w:rPr>
                  </w:pPr>
                  <w:r>
                    <w:rPr>
                      <w:color w:val="auto"/>
                      <w:szCs w:val="21"/>
                    </w:rPr>
                    <w:t>/</w:t>
                  </w:r>
                </w:p>
              </w:tc>
              <w:tc>
                <w:tcPr>
                  <w:tcW w:w="346" w:type="pct"/>
                  <w:tcBorders>
                    <w:tl2br w:val="nil"/>
                    <w:tr2bl w:val="nil"/>
                  </w:tcBorders>
                  <w:vAlign w:val="center"/>
                </w:tcPr>
                <w:p w14:paraId="6D0B9F4D">
                  <w:pPr>
                    <w:jc w:val="center"/>
                    <w:rPr>
                      <w:color w:val="auto"/>
                      <w:szCs w:val="21"/>
                    </w:rPr>
                  </w:pPr>
                  <w:r>
                    <w:rPr>
                      <w:color w:val="auto"/>
                      <w:szCs w:val="21"/>
                    </w:rPr>
                    <w:t>/</w:t>
                  </w:r>
                </w:p>
              </w:tc>
              <w:tc>
                <w:tcPr>
                  <w:tcW w:w="687" w:type="pct"/>
                  <w:tcBorders>
                    <w:tl2br w:val="nil"/>
                    <w:tr2bl w:val="nil"/>
                  </w:tcBorders>
                  <w:vAlign w:val="center"/>
                </w:tcPr>
                <w:p w14:paraId="71EB4DEC">
                  <w:pPr>
                    <w:jc w:val="center"/>
                    <w:rPr>
                      <w:color w:val="auto"/>
                      <w:szCs w:val="21"/>
                    </w:rPr>
                  </w:pPr>
                  <w:r>
                    <w:rPr>
                      <w:rFonts w:hint="eastAsia"/>
                      <w:color w:val="auto"/>
                      <w:szCs w:val="21"/>
                    </w:rPr>
                    <w:t>回用于生产</w:t>
                  </w:r>
                </w:p>
              </w:tc>
            </w:tr>
            <w:tr w14:paraId="53BDA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3" w:type="pct"/>
                  <w:tcBorders>
                    <w:tl2br w:val="nil"/>
                    <w:tr2bl w:val="nil"/>
                  </w:tcBorders>
                  <w:vAlign w:val="center"/>
                </w:tcPr>
                <w:p w14:paraId="43E4610F">
                  <w:pPr>
                    <w:jc w:val="center"/>
                    <w:rPr>
                      <w:color w:val="auto"/>
                      <w:szCs w:val="21"/>
                    </w:rPr>
                  </w:pPr>
                  <w:r>
                    <w:rPr>
                      <w:rFonts w:hint="eastAsia"/>
                      <w:color w:val="auto"/>
                      <w:szCs w:val="21"/>
                    </w:rPr>
                    <w:t>5</w:t>
                  </w:r>
                </w:p>
              </w:tc>
              <w:tc>
                <w:tcPr>
                  <w:tcW w:w="562" w:type="pct"/>
                  <w:tcBorders>
                    <w:tl2br w:val="nil"/>
                    <w:tr2bl w:val="nil"/>
                  </w:tcBorders>
                  <w:vAlign w:val="center"/>
                </w:tcPr>
                <w:p w14:paraId="2B6C5158">
                  <w:pPr>
                    <w:pStyle w:val="39"/>
                    <w:rPr>
                      <w:color w:val="auto"/>
                    </w:rPr>
                  </w:pPr>
                  <w:r>
                    <w:rPr>
                      <w:rFonts w:hint="eastAsia"/>
                      <w:color w:val="auto"/>
                    </w:rPr>
                    <w:t>废包装材料</w:t>
                  </w:r>
                </w:p>
              </w:tc>
              <w:tc>
                <w:tcPr>
                  <w:tcW w:w="593" w:type="pct"/>
                  <w:tcBorders>
                    <w:tl2br w:val="nil"/>
                    <w:tr2bl w:val="nil"/>
                  </w:tcBorders>
                  <w:vAlign w:val="center"/>
                </w:tcPr>
                <w:p w14:paraId="75796F16">
                  <w:pPr>
                    <w:pStyle w:val="39"/>
                    <w:rPr>
                      <w:color w:val="auto"/>
                    </w:rPr>
                  </w:pPr>
                  <w:r>
                    <w:rPr>
                      <w:rFonts w:hint="eastAsia"/>
                      <w:color w:val="auto"/>
                    </w:rPr>
                    <w:t>生产工序</w:t>
                  </w:r>
                </w:p>
              </w:tc>
              <w:tc>
                <w:tcPr>
                  <w:tcW w:w="284" w:type="pct"/>
                  <w:tcBorders>
                    <w:tl2br w:val="nil"/>
                    <w:tr2bl w:val="nil"/>
                  </w:tcBorders>
                  <w:vAlign w:val="center"/>
                </w:tcPr>
                <w:p w14:paraId="4EA7A231">
                  <w:pPr>
                    <w:jc w:val="center"/>
                    <w:rPr>
                      <w:color w:val="auto"/>
                      <w:szCs w:val="21"/>
                    </w:rPr>
                  </w:pPr>
                  <w:r>
                    <w:rPr>
                      <w:rFonts w:hint="eastAsia"/>
                      <w:color w:val="auto"/>
                      <w:szCs w:val="21"/>
                    </w:rPr>
                    <w:t>一般固废</w:t>
                  </w:r>
                </w:p>
              </w:tc>
              <w:tc>
                <w:tcPr>
                  <w:tcW w:w="325" w:type="pct"/>
                  <w:tcBorders>
                    <w:tl2br w:val="nil"/>
                    <w:tr2bl w:val="nil"/>
                  </w:tcBorders>
                  <w:vAlign w:val="center"/>
                </w:tcPr>
                <w:p w14:paraId="10060DBE">
                  <w:pPr>
                    <w:jc w:val="center"/>
                    <w:rPr>
                      <w:color w:val="auto"/>
                      <w:szCs w:val="21"/>
                    </w:rPr>
                  </w:pPr>
                  <w:r>
                    <w:rPr>
                      <w:rFonts w:hint="eastAsia"/>
                      <w:color w:val="auto"/>
                      <w:szCs w:val="21"/>
                    </w:rPr>
                    <w:t>固态</w:t>
                  </w:r>
                </w:p>
              </w:tc>
              <w:tc>
                <w:tcPr>
                  <w:tcW w:w="533" w:type="pct"/>
                  <w:tcBorders>
                    <w:tl2br w:val="nil"/>
                    <w:tr2bl w:val="nil"/>
                  </w:tcBorders>
                  <w:vAlign w:val="center"/>
                </w:tcPr>
                <w:p w14:paraId="5349E0A1">
                  <w:pPr>
                    <w:jc w:val="center"/>
                    <w:rPr>
                      <w:color w:val="auto"/>
                      <w:szCs w:val="21"/>
                    </w:rPr>
                  </w:pPr>
                  <w:r>
                    <w:rPr>
                      <w:rFonts w:hint="eastAsia"/>
                      <w:color w:val="auto"/>
                      <w:szCs w:val="21"/>
                    </w:rPr>
                    <w:t>废包材</w:t>
                  </w:r>
                </w:p>
              </w:tc>
              <w:tc>
                <w:tcPr>
                  <w:tcW w:w="390" w:type="pct"/>
                  <w:tcBorders>
                    <w:tl2br w:val="nil"/>
                    <w:tr2bl w:val="nil"/>
                  </w:tcBorders>
                  <w:vAlign w:val="center"/>
                </w:tcPr>
                <w:p w14:paraId="543B5994">
                  <w:pPr>
                    <w:jc w:val="center"/>
                    <w:rPr>
                      <w:color w:val="auto"/>
                      <w:szCs w:val="21"/>
                    </w:rPr>
                  </w:pPr>
                  <w:r>
                    <w:rPr>
                      <w:rFonts w:hint="eastAsia"/>
                      <w:color w:val="auto"/>
                      <w:szCs w:val="21"/>
                    </w:rPr>
                    <w:t>2.0</w:t>
                  </w:r>
                </w:p>
              </w:tc>
              <w:tc>
                <w:tcPr>
                  <w:tcW w:w="438" w:type="pct"/>
                  <w:tcBorders>
                    <w:tl2br w:val="nil"/>
                    <w:tr2bl w:val="nil"/>
                  </w:tcBorders>
                  <w:vAlign w:val="center"/>
                </w:tcPr>
                <w:p w14:paraId="03E85B7C">
                  <w:pPr>
                    <w:jc w:val="center"/>
                    <w:rPr>
                      <w:color w:val="auto"/>
                      <w:szCs w:val="21"/>
                    </w:rPr>
                  </w:pPr>
                  <w:r>
                    <w:rPr>
                      <w:color w:val="auto"/>
                      <w:szCs w:val="21"/>
                    </w:rPr>
                    <w:t>/</w:t>
                  </w:r>
                </w:p>
              </w:tc>
              <w:tc>
                <w:tcPr>
                  <w:tcW w:w="655" w:type="pct"/>
                  <w:tcBorders>
                    <w:tl2br w:val="nil"/>
                    <w:tr2bl w:val="nil"/>
                  </w:tcBorders>
                  <w:vAlign w:val="center"/>
                </w:tcPr>
                <w:p w14:paraId="040A59ED">
                  <w:pPr>
                    <w:widowControl/>
                    <w:jc w:val="center"/>
                    <w:rPr>
                      <w:color w:val="auto"/>
                      <w:spacing w:val="-2"/>
                      <w:szCs w:val="21"/>
                    </w:rPr>
                  </w:pPr>
                  <w:r>
                    <w:rPr>
                      <w:color w:val="auto"/>
                      <w:szCs w:val="21"/>
                    </w:rPr>
                    <w:t>/</w:t>
                  </w:r>
                </w:p>
              </w:tc>
              <w:tc>
                <w:tcPr>
                  <w:tcW w:w="346" w:type="pct"/>
                  <w:tcBorders>
                    <w:tl2br w:val="nil"/>
                    <w:tr2bl w:val="nil"/>
                  </w:tcBorders>
                  <w:vAlign w:val="center"/>
                </w:tcPr>
                <w:p w14:paraId="1C287D37">
                  <w:pPr>
                    <w:jc w:val="center"/>
                    <w:rPr>
                      <w:color w:val="auto"/>
                      <w:szCs w:val="21"/>
                    </w:rPr>
                  </w:pPr>
                  <w:r>
                    <w:rPr>
                      <w:color w:val="auto"/>
                      <w:szCs w:val="21"/>
                    </w:rPr>
                    <w:t>/</w:t>
                  </w:r>
                </w:p>
              </w:tc>
              <w:tc>
                <w:tcPr>
                  <w:tcW w:w="687" w:type="pct"/>
                  <w:tcBorders>
                    <w:tl2br w:val="nil"/>
                    <w:tr2bl w:val="nil"/>
                  </w:tcBorders>
                  <w:vAlign w:val="center"/>
                </w:tcPr>
                <w:p w14:paraId="58586F96">
                  <w:pPr>
                    <w:jc w:val="center"/>
                    <w:rPr>
                      <w:color w:val="auto"/>
                      <w:szCs w:val="21"/>
                    </w:rPr>
                  </w:pPr>
                  <w:r>
                    <w:rPr>
                      <w:color w:val="auto"/>
                      <w:szCs w:val="21"/>
                    </w:rPr>
                    <w:t>外售综合利用</w:t>
                  </w:r>
                </w:p>
              </w:tc>
            </w:tr>
            <w:tr w14:paraId="7DE65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3" w:type="pct"/>
                  <w:tcBorders>
                    <w:tl2br w:val="nil"/>
                    <w:tr2bl w:val="nil"/>
                  </w:tcBorders>
                  <w:vAlign w:val="center"/>
                </w:tcPr>
                <w:p w14:paraId="2DD798E8">
                  <w:pPr>
                    <w:jc w:val="center"/>
                    <w:rPr>
                      <w:color w:val="auto"/>
                      <w:szCs w:val="21"/>
                    </w:rPr>
                  </w:pPr>
                  <w:r>
                    <w:rPr>
                      <w:rFonts w:hint="eastAsia"/>
                      <w:color w:val="auto"/>
                      <w:szCs w:val="21"/>
                    </w:rPr>
                    <w:t>6</w:t>
                  </w:r>
                </w:p>
              </w:tc>
              <w:tc>
                <w:tcPr>
                  <w:tcW w:w="562" w:type="pct"/>
                  <w:tcBorders>
                    <w:tl2br w:val="nil"/>
                    <w:tr2bl w:val="nil"/>
                  </w:tcBorders>
                  <w:vAlign w:val="center"/>
                </w:tcPr>
                <w:p w14:paraId="4311C111">
                  <w:pPr>
                    <w:pStyle w:val="39"/>
                    <w:rPr>
                      <w:color w:val="auto"/>
                    </w:rPr>
                  </w:pPr>
                  <w:r>
                    <w:rPr>
                      <w:rFonts w:hint="eastAsia"/>
                      <w:color w:val="auto"/>
                    </w:rPr>
                    <w:t>废模框</w:t>
                  </w:r>
                </w:p>
              </w:tc>
              <w:tc>
                <w:tcPr>
                  <w:tcW w:w="593" w:type="pct"/>
                  <w:tcBorders>
                    <w:tl2br w:val="nil"/>
                    <w:tr2bl w:val="nil"/>
                  </w:tcBorders>
                  <w:vAlign w:val="center"/>
                </w:tcPr>
                <w:p w14:paraId="1B287947">
                  <w:pPr>
                    <w:pStyle w:val="39"/>
                    <w:rPr>
                      <w:color w:val="auto"/>
                    </w:rPr>
                  </w:pPr>
                  <w:r>
                    <w:rPr>
                      <w:rFonts w:hint="eastAsia"/>
                      <w:color w:val="auto"/>
                    </w:rPr>
                    <w:t>脱模</w:t>
                  </w:r>
                </w:p>
              </w:tc>
              <w:tc>
                <w:tcPr>
                  <w:tcW w:w="284" w:type="pct"/>
                  <w:tcBorders>
                    <w:tl2br w:val="nil"/>
                    <w:tr2bl w:val="nil"/>
                  </w:tcBorders>
                  <w:vAlign w:val="center"/>
                </w:tcPr>
                <w:p w14:paraId="7AC152EF">
                  <w:pPr>
                    <w:jc w:val="center"/>
                    <w:rPr>
                      <w:color w:val="auto"/>
                      <w:szCs w:val="21"/>
                    </w:rPr>
                  </w:pPr>
                  <w:r>
                    <w:rPr>
                      <w:rFonts w:hint="eastAsia"/>
                      <w:color w:val="auto"/>
                      <w:szCs w:val="21"/>
                    </w:rPr>
                    <w:t>一般固废</w:t>
                  </w:r>
                </w:p>
              </w:tc>
              <w:tc>
                <w:tcPr>
                  <w:tcW w:w="325" w:type="pct"/>
                  <w:tcBorders>
                    <w:tl2br w:val="nil"/>
                    <w:tr2bl w:val="nil"/>
                  </w:tcBorders>
                  <w:vAlign w:val="center"/>
                </w:tcPr>
                <w:p w14:paraId="6597993A">
                  <w:pPr>
                    <w:jc w:val="center"/>
                    <w:rPr>
                      <w:color w:val="auto"/>
                      <w:szCs w:val="21"/>
                    </w:rPr>
                  </w:pPr>
                  <w:r>
                    <w:rPr>
                      <w:rFonts w:hint="eastAsia"/>
                      <w:color w:val="auto"/>
                      <w:szCs w:val="21"/>
                    </w:rPr>
                    <w:t>固态</w:t>
                  </w:r>
                </w:p>
              </w:tc>
              <w:tc>
                <w:tcPr>
                  <w:tcW w:w="533" w:type="pct"/>
                  <w:tcBorders>
                    <w:tl2br w:val="nil"/>
                    <w:tr2bl w:val="nil"/>
                  </w:tcBorders>
                  <w:vAlign w:val="center"/>
                </w:tcPr>
                <w:p w14:paraId="03DE3066">
                  <w:pPr>
                    <w:jc w:val="center"/>
                    <w:rPr>
                      <w:color w:val="auto"/>
                      <w:szCs w:val="21"/>
                    </w:rPr>
                  </w:pPr>
                  <w:r>
                    <w:rPr>
                      <w:rFonts w:hint="eastAsia"/>
                      <w:color w:val="auto"/>
                      <w:szCs w:val="21"/>
                    </w:rPr>
                    <w:t>模具</w:t>
                  </w:r>
                </w:p>
              </w:tc>
              <w:tc>
                <w:tcPr>
                  <w:tcW w:w="390" w:type="pct"/>
                  <w:tcBorders>
                    <w:tl2br w:val="nil"/>
                    <w:tr2bl w:val="nil"/>
                  </w:tcBorders>
                  <w:vAlign w:val="center"/>
                </w:tcPr>
                <w:p w14:paraId="7DF362DC">
                  <w:pPr>
                    <w:jc w:val="center"/>
                    <w:rPr>
                      <w:color w:val="auto"/>
                      <w:szCs w:val="21"/>
                    </w:rPr>
                  </w:pPr>
                  <w:r>
                    <w:rPr>
                      <w:rFonts w:hint="eastAsia"/>
                      <w:color w:val="auto"/>
                      <w:szCs w:val="21"/>
                    </w:rPr>
                    <w:t>0.9</w:t>
                  </w:r>
                </w:p>
              </w:tc>
              <w:tc>
                <w:tcPr>
                  <w:tcW w:w="438" w:type="pct"/>
                  <w:tcBorders>
                    <w:tl2br w:val="nil"/>
                    <w:tr2bl w:val="nil"/>
                  </w:tcBorders>
                  <w:vAlign w:val="center"/>
                </w:tcPr>
                <w:p w14:paraId="7D249FC2">
                  <w:pPr>
                    <w:jc w:val="center"/>
                    <w:rPr>
                      <w:color w:val="auto"/>
                      <w:szCs w:val="21"/>
                    </w:rPr>
                  </w:pPr>
                  <w:r>
                    <w:rPr>
                      <w:color w:val="auto"/>
                      <w:szCs w:val="21"/>
                    </w:rPr>
                    <w:t>/</w:t>
                  </w:r>
                </w:p>
              </w:tc>
              <w:tc>
                <w:tcPr>
                  <w:tcW w:w="655" w:type="pct"/>
                  <w:tcBorders>
                    <w:tl2br w:val="nil"/>
                    <w:tr2bl w:val="nil"/>
                  </w:tcBorders>
                  <w:vAlign w:val="center"/>
                </w:tcPr>
                <w:p w14:paraId="0111CFD7">
                  <w:pPr>
                    <w:widowControl/>
                    <w:jc w:val="center"/>
                    <w:rPr>
                      <w:color w:val="auto"/>
                      <w:spacing w:val="-2"/>
                      <w:szCs w:val="21"/>
                    </w:rPr>
                  </w:pPr>
                  <w:r>
                    <w:rPr>
                      <w:color w:val="auto"/>
                      <w:szCs w:val="21"/>
                    </w:rPr>
                    <w:t>/</w:t>
                  </w:r>
                </w:p>
              </w:tc>
              <w:tc>
                <w:tcPr>
                  <w:tcW w:w="346" w:type="pct"/>
                  <w:tcBorders>
                    <w:tl2br w:val="nil"/>
                    <w:tr2bl w:val="nil"/>
                  </w:tcBorders>
                  <w:vAlign w:val="center"/>
                </w:tcPr>
                <w:p w14:paraId="235F100C">
                  <w:pPr>
                    <w:jc w:val="center"/>
                    <w:rPr>
                      <w:color w:val="auto"/>
                      <w:szCs w:val="21"/>
                    </w:rPr>
                  </w:pPr>
                  <w:r>
                    <w:rPr>
                      <w:color w:val="auto"/>
                      <w:szCs w:val="21"/>
                    </w:rPr>
                    <w:t>/</w:t>
                  </w:r>
                </w:p>
              </w:tc>
              <w:tc>
                <w:tcPr>
                  <w:tcW w:w="687" w:type="pct"/>
                  <w:tcBorders>
                    <w:tl2br w:val="nil"/>
                    <w:tr2bl w:val="nil"/>
                  </w:tcBorders>
                  <w:vAlign w:val="center"/>
                </w:tcPr>
                <w:p w14:paraId="10F764E5">
                  <w:pPr>
                    <w:jc w:val="center"/>
                    <w:rPr>
                      <w:color w:val="auto"/>
                      <w:szCs w:val="21"/>
                    </w:rPr>
                  </w:pPr>
                  <w:r>
                    <w:rPr>
                      <w:color w:val="auto"/>
                      <w:szCs w:val="21"/>
                    </w:rPr>
                    <w:t>外售综合利用</w:t>
                  </w:r>
                </w:p>
              </w:tc>
            </w:tr>
            <w:tr w14:paraId="6B1031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3" w:type="pct"/>
                  <w:tcBorders>
                    <w:tl2br w:val="nil"/>
                    <w:tr2bl w:val="nil"/>
                  </w:tcBorders>
                  <w:vAlign w:val="center"/>
                </w:tcPr>
                <w:p w14:paraId="09A0B153">
                  <w:pPr>
                    <w:jc w:val="center"/>
                    <w:rPr>
                      <w:color w:val="auto"/>
                      <w:szCs w:val="21"/>
                    </w:rPr>
                  </w:pPr>
                  <w:r>
                    <w:rPr>
                      <w:rFonts w:hint="eastAsia"/>
                      <w:color w:val="auto"/>
                      <w:szCs w:val="21"/>
                    </w:rPr>
                    <w:t>4</w:t>
                  </w:r>
                </w:p>
              </w:tc>
              <w:tc>
                <w:tcPr>
                  <w:tcW w:w="562" w:type="pct"/>
                  <w:tcBorders>
                    <w:tl2br w:val="nil"/>
                    <w:tr2bl w:val="nil"/>
                  </w:tcBorders>
                  <w:vAlign w:val="center"/>
                </w:tcPr>
                <w:p w14:paraId="74BF8202">
                  <w:pPr>
                    <w:pStyle w:val="39"/>
                    <w:rPr>
                      <w:color w:val="auto"/>
                    </w:rPr>
                  </w:pPr>
                  <w:r>
                    <w:rPr>
                      <w:color w:val="auto"/>
                    </w:rPr>
                    <w:t>废机油</w:t>
                  </w:r>
                </w:p>
              </w:tc>
              <w:tc>
                <w:tcPr>
                  <w:tcW w:w="593" w:type="pct"/>
                  <w:tcBorders>
                    <w:tl2br w:val="nil"/>
                    <w:tr2bl w:val="nil"/>
                  </w:tcBorders>
                  <w:vAlign w:val="center"/>
                </w:tcPr>
                <w:p w14:paraId="71EB8427">
                  <w:pPr>
                    <w:pStyle w:val="39"/>
                    <w:rPr>
                      <w:color w:val="auto"/>
                    </w:rPr>
                  </w:pPr>
                  <w:r>
                    <w:rPr>
                      <w:color w:val="auto"/>
                    </w:rPr>
                    <w:t>维修保养</w:t>
                  </w:r>
                </w:p>
              </w:tc>
              <w:tc>
                <w:tcPr>
                  <w:tcW w:w="284" w:type="pct"/>
                  <w:tcBorders>
                    <w:tl2br w:val="nil"/>
                    <w:tr2bl w:val="nil"/>
                  </w:tcBorders>
                  <w:vAlign w:val="center"/>
                </w:tcPr>
                <w:p w14:paraId="7339CF11">
                  <w:pPr>
                    <w:jc w:val="center"/>
                    <w:rPr>
                      <w:color w:val="auto"/>
                      <w:szCs w:val="21"/>
                    </w:rPr>
                  </w:pPr>
                  <w:r>
                    <w:rPr>
                      <w:color w:val="auto"/>
                      <w:szCs w:val="21"/>
                    </w:rPr>
                    <w:t>危险废物</w:t>
                  </w:r>
                </w:p>
              </w:tc>
              <w:tc>
                <w:tcPr>
                  <w:tcW w:w="325" w:type="pct"/>
                  <w:tcBorders>
                    <w:tl2br w:val="nil"/>
                    <w:tr2bl w:val="nil"/>
                  </w:tcBorders>
                  <w:vAlign w:val="center"/>
                </w:tcPr>
                <w:p w14:paraId="0BC9A59B">
                  <w:pPr>
                    <w:jc w:val="center"/>
                    <w:rPr>
                      <w:color w:val="auto"/>
                      <w:szCs w:val="21"/>
                    </w:rPr>
                  </w:pPr>
                  <w:r>
                    <w:rPr>
                      <w:color w:val="auto"/>
                      <w:szCs w:val="21"/>
                    </w:rPr>
                    <w:t>液态</w:t>
                  </w:r>
                </w:p>
              </w:tc>
              <w:tc>
                <w:tcPr>
                  <w:tcW w:w="533" w:type="pct"/>
                  <w:tcBorders>
                    <w:tl2br w:val="nil"/>
                    <w:tr2bl w:val="nil"/>
                  </w:tcBorders>
                  <w:vAlign w:val="center"/>
                </w:tcPr>
                <w:p w14:paraId="51E2EA79">
                  <w:pPr>
                    <w:jc w:val="center"/>
                    <w:rPr>
                      <w:color w:val="auto"/>
                      <w:szCs w:val="21"/>
                    </w:rPr>
                  </w:pPr>
                  <w:r>
                    <w:rPr>
                      <w:color w:val="auto"/>
                      <w:szCs w:val="21"/>
                    </w:rPr>
                    <w:t>矿物油</w:t>
                  </w:r>
                </w:p>
              </w:tc>
              <w:tc>
                <w:tcPr>
                  <w:tcW w:w="390" w:type="pct"/>
                  <w:tcBorders>
                    <w:tl2br w:val="nil"/>
                    <w:tr2bl w:val="nil"/>
                  </w:tcBorders>
                  <w:vAlign w:val="center"/>
                </w:tcPr>
                <w:p w14:paraId="094A0285">
                  <w:pPr>
                    <w:jc w:val="center"/>
                    <w:rPr>
                      <w:color w:val="auto"/>
                      <w:szCs w:val="21"/>
                    </w:rPr>
                  </w:pPr>
                  <w:r>
                    <w:rPr>
                      <w:color w:val="auto"/>
                      <w:szCs w:val="21"/>
                    </w:rPr>
                    <w:t>0.</w:t>
                  </w:r>
                  <w:r>
                    <w:rPr>
                      <w:rFonts w:hint="eastAsia"/>
                      <w:color w:val="auto"/>
                      <w:szCs w:val="21"/>
                    </w:rPr>
                    <w:t>5</w:t>
                  </w:r>
                </w:p>
              </w:tc>
              <w:tc>
                <w:tcPr>
                  <w:tcW w:w="438" w:type="pct"/>
                  <w:tcBorders>
                    <w:tl2br w:val="nil"/>
                    <w:tr2bl w:val="nil"/>
                  </w:tcBorders>
                  <w:vAlign w:val="center"/>
                </w:tcPr>
                <w:p w14:paraId="774F64A1">
                  <w:pPr>
                    <w:jc w:val="center"/>
                    <w:rPr>
                      <w:color w:val="auto"/>
                      <w:szCs w:val="21"/>
                    </w:rPr>
                  </w:pPr>
                  <w:r>
                    <w:rPr>
                      <w:rFonts w:eastAsia="Times New Roman"/>
                      <w:color w:val="auto"/>
                      <w:szCs w:val="21"/>
                    </w:rPr>
                    <w:t>HW</w:t>
                  </w:r>
                  <w:r>
                    <w:rPr>
                      <w:rFonts w:eastAsia="Times New Roman"/>
                      <w:color w:val="auto"/>
                      <w:spacing w:val="10"/>
                      <w:szCs w:val="21"/>
                    </w:rPr>
                    <w:t>08</w:t>
                  </w:r>
                </w:p>
              </w:tc>
              <w:tc>
                <w:tcPr>
                  <w:tcW w:w="655" w:type="pct"/>
                  <w:tcBorders>
                    <w:tl2br w:val="nil"/>
                    <w:tr2bl w:val="nil"/>
                  </w:tcBorders>
                  <w:vAlign w:val="center"/>
                </w:tcPr>
                <w:p w14:paraId="3BD47D28">
                  <w:pPr>
                    <w:rPr>
                      <w:color w:val="auto"/>
                      <w:kern w:val="0"/>
                      <w:szCs w:val="21"/>
                      <w:lang w:bidi="ar"/>
                    </w:rPr>
                  </w:pPr>
                  <w:r>
                    <w:rPr>
                      <w:rFonts w:eastAsia="Times New Roman"/>
                      <w:color w:val="auto"/>
                      <w:spacing w:val="3"/>
                      <w:szCs w:val="21"/>
                    </w:rPr>
                    <w:t>900-2</w:t>
                  </w:r>
                  <w:r>
                    <w:rPr>
                      <w:rFonts w:hint="eastAsia"/>
                      <w:color w:val="auto"/>
                      <w:spacing w:val="3"/>
                      <w:szCs w:val="21"/>
                    </w:rPr>
                    <w:t>49</w:t>
                  </w:r>
                  <w:r>
                    <w:rPr>
                      <w:rFonts w:eastAsia="Times New Roman"/>
                      <w:color w:val="auto"/>
                      <w:spacing w:val="3"/>
                      <w:szCs w:val="21"/>
                    </w:rPr>
                    <w:t>-</w:t>
                  </w:r>
                  <w:r>
                    <w:rPr>
                      <w:rFonts w:eastAsia="Times New Roman"/>
                      <w:color w:val="auto"/>
                      <w:spacing w:val="1"/>
                      <w:szCs w:val="21"/>
                    </w:rPr>
                    <w:t>08</w:t>
                  </w:r>
                </w:p>
              </w:tc>
              <w:tc>
                <w:tcPr>
                  <w:tcW w:w="346" w:type="pct"/>
                  <w:tcBorders>
                    <w:tl2br w:val="nil"/>
                    <w:tr2bl w:val="nil"/>
                  </w:tcBorders>
                  <w:vAlign w:val="center"/>
                </w:tcPr>
                <w:p w14:paraId="61D24D5B">
                  <w:pPr>
                    <w:pStyle w:val="32"/>
                    <w:jc w:val="center"/>
                    <w:rPr>
                      <w:rFonts w:ascii="Times New Roman" w:hAnsi="Times New Roman" w:cs="Times New Roman"/>
                      <w:color w:val="auto"/>
                      <w:sz w:val="21"/>
                      <w:szCs w:val="21"/>
                      <w:lang w:eastAsia="zh-CN"/>
                    </w:rPr>
                  </w:pPr>
                  <w:r>
                    <w:rPr>
                      <w:rFonts w:ascii="Times New Roman" w:hAnsi="Times New Roman" w:eastAsia="Times New Roman" w:cs="Times New Roman"/>
                      <w:color w:val="auto"/>
                      <w:spacing w:val="-4"/>
                      <w:sz w:val="21"/>
                      <w:szCs w:val="21"/>
                      <w:lang w:eastAsia="zh-CN"/>
                    </w:rPr>
                    <w:t>T</w:t>
                  </w:r>
                  <w:r>
                    <w:rPr>
                      <w:rFonts w:ascii="Times New Roman" w:hAnsi="Times New Roman" w:eastAsia="Times New Roman" w:cs="Times New Roman"/>
                      <w:color w:val="auto"/>
                      <w:spacing w:val="-24"/>
                      <w:sz w:val="21"/>
                      <w:szCs w:val="21"/>
                      <w:lang w:eastAsia="zh-CN"/>
                    </w:rPr>
                    <w:t xml:space="preserve"> </w:t>
                  </w:r>
                  <w:r>
                    <w:rPr>
                      <w:rFonts w:ascii="Times New Roman" w:hAnsi="Times New Roman" w:cs="Times New Roman"/>
                      <w:color w:val="auto"/>
                      <w:spacing w:val="-4"/>
                      <w:sz w:val="21"/>
                      <w:szCs w:val="21"/>
                      <w:lang w:eastAsia="zh-CN"/>
                    </w:rPr>
                    <w:t>，</w:t>
                  </w:r>
                  <w:r>
                    <w:rPr>
                      <w:rFonts w:ascii="Times New Roman" w:hAnsi="Times New Roman" w:eastAsia="Times New Roman" w:cs="Times New Roman"/>
                      <w:color w:val="auto"/>
                      <w:spacing w:val="-4"/>
                      <w:sz w:val="21"/>
                      <w:szCs w:val="21"/>
                      <w:lang w:eastAsia="zh-CN"/>
                    </w:rPr>
                    <w:t>I</w:t>
                  </w:r>
                </w:p>
              </w:tc>
              <w:tc>
                <w:tcPr>
                  <w:tcW w:w="687" w:type="pct"/>
                  <w:vMerge w:val="restart"/>
                  <w:tcBorders>
                    <w:tl2br w:val="nil"/>
                    <w:tr2bl w:val="nil"/>
                  </w:tcBorders>
                  <w:vAlign w:val="center"/>
                </w:tcPr>
                <w:p w14:paraId="5BEE967D">
                  <w:pPr>
                    <w:jc w:val="center"/>
                    <w:rPr>
                      <w:color w:val="auto"/>
                      <w:szCs w:val="21"/>
                    </w:rPr>
                  </w:pPr>
                  <w:r>
                    <w:rPr>
                      <w:color w:val="auto"/>
                      <w:spacing w:val="7"/>
                      <w:szCs w:val="21"/>
                    </w:rPr>
                    <w:t>委托有</w:t>
                  </w:r>
                  <w:r>
                    <w:rPr>
                      <w:color w:val="auto"/>
                      <w:spacing w:val="6"/>
                      <w:szCs w:val="21"/>
                    </w:rPr>
                    <w:t>资质单位处理</w:t>
                  </w:r>
                </w:p>
              </w:tc>
            </w:tr>
            <w:tr w14:paraId="6CED34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3" w:type="pct"/>
                  <w:tcBorders>
                    <w:tl2br w:val="nil"/>
                    <w:tr2bl w:val="nil"/>
                  </w:tcBorders>
                  <w:vAlign w:val="center"/>
                </w:tcPr>
                <w:p w14:paraId="6759DAE5">
                  <w:pPr>
                    <w:jc w:val="center"/>
                    <w:rPr>
                      <w:color w:val="auto"/>
                      <w:szCs w:val="21"/>
                    </w:rPr>
                  </w:pPr>
                  <w:r>
                    <w:rPr>
                      <w:rFonts w:hint="eastAsia"/>
                      <w:color w:val="auto"/>
                      <w:szCs w:val="21"/>
                    </w:rPr>
                    <w:t>5</w:t>
                  </w:r>
                </w:p>
              </w:tc>
              <w:tc>
                <w:tcPr>
                  <w:tcW w:w="562" w:type="pct"/>
                  <w:tcBorders>
                    <w:tl2br w:val="nil"/>
                    <w:tr2bl w:val="nil"/>
                  </w:tcBorders>
                  <w:vAlign w:val="center"/>
                </w:tcPr>
                <w:p w14:paraId="7D2F814B">
                  <w:pPr>
                    <w:pStyle w:val="39"/>
                    <w:rPr>
                      <w:color w:val="auto"/>
                    </w:rPr>
                  </w:pPr>
                  <w:r>
                    <w:rPr>
                      <w:color w:val="auto"/>
                    </w:rPr>
                    <w:t>废机油桶</w:t>
                  </w:r>
                </w:p>
              </w:tc>
              <w:tc>
                <w:tcPr>
                  <w:tcW w:w="593" w:type="pct"/>
                  <w:tcBorders>
                    <w:tl2br w:val="nil"/>
                    <w:tr2bl w:val="nil"/>
                  </w:tcBorders>
                  <w:vAlign w:val="center"/>
                </w:tcPr>
                <w:p w14:paraId="22800EFD">
                  <w:pPr>
                    <w:jc w:val="center"/>
                    <w:rPr>
                      <w:color w:val="auto"/>
                      <w:szCs w:val="21"/>
                    </w:rPr>
                  </w:pPr>
                  <w:r>
                    <w:rPr>
                      <w:color w:val="auto"/>
                      <w:szCs w:val="21"/>
                    </w:rPr>
                    <w:t>维修保养</w:t>
                  </w:r>
                </w:p>
              </w:tc>
              <w:tc>
                <w:tcPr>
                  <w:tcW w:w="284" w:type="pct"/>
                  <w:tcBorders>
                    <w:tl2br w:val="nil"/>
                    <w:tr2bl w:val="nil"/>
                  </w:tcBorders>
                  <w:vAlign w:val="center"/>
                </w:tcPr>
                <w:p w14:paraId="25CBB363">
                  <w:pPr>
                    <w:jc w:val="center"/>
                    <w:rPr>
                      <w:color w:val="auto"/>
                      <w:szCs w:val="21"/>
                    </w:rPr>
                  </w:pPr>
                  <w:r>
                    <w:rPr>
                      <w:color w:val="auto"/>
                      <w:szCs w:val="21"/>
                    </w:rPr>
                    <w:t>危险废物</w:t>
                  </w:r>
                </w:p>
              </w:tc>
              <w:tc>
                <w:tcPr>
                  <w:tcW w:w="325" w:type="pct"/>
                  <w:tcBorders>
                    <w:tl2br w:val="nil"/>
                    <w:tr2bl w:val="nil"/>
                  </w:tcBorders>
                  <w:vAlign w:val="center"/>
                </w:tcPr>
                <w:p w14:paraId="12ADAEA4">
                  <w:pPr>
                    <w:jc w:val="center"/>
                    <w:rPr>
                      <w:color w:val="auto"/>
                      <w:szCs w:val="21"/>
                    </w:rPr>
                  </w:pPr>
                  <w:r>
                    <w:rPr>
                      <w:color w:val="auto"/>
                      <w:szCs w:val="21"/>
                    </w:rPr>
                    <w:t>固态</w:t>
                  </w:r>
                </w:p>
              </w:tc>
              <w:tc>
                <w:tcPr>
                  <w:tcW w:w="533" w:type="pct"/>
                  <w:tcBorders>
                    <w:tl2br w:val="nil"/>
                    <w:tr2bl w:val="nil"/>
                  </w:tcBorders>
                  <w:vAlign w:val="center"/>
                </w:tcPr>
                <w:p w14:paraId="2C117C9B">
                  <w:pPr>
                    <w:jc w:val="center"/>
                    <w:rPr>
                      <w:color w:val="auto"/>
                      <w:szCs w:val="21"/>
                    </w:rPr>
                  </w:pPr>
                  <w:r>
                    <w:rPr>
                      <w:color w:val="auto"/>
                      <w:szCs w:val="21"/>
                    </w:rPr>
                    <w:t>矿物油</w:t>
                  </w:r>
                </w:p>
              </w:tc>
              <w:tc>
                <w:tcPr>
                  <w:tcW w:w="390" w:type="pct"/>
                  <w:tcBorders>
                    <w:tl2br w:val="nil"/>
                    <w:tr2bl w:val="nil"/>
                  </w:tcBorders>
                  <w:vAlign w:val="center"/>
                </w:tcPr>
                <w:p w14:paraId="35E61489">
                  <w:pPr>
                    <w:jc w:val="center"/>
                    <w:rPr>
                      <w:color w:val="auto"/>
                      <w:szCs w:val="21"/>
                    </w:rPr>
                  </w:pPr>
                  <w:r>
                    <w:rPr>
                      <w:rFonts w:hint="eastAsia"/>
                      <w:color w:val="auto"/>
                      <w:szCs w:val="21"/>
                    </w:rPr>
                    <w:t>1.0</w:t>
                  </w:r>
                </w:p>
              </w:tc>
              <w:tc>
                <w:tcPr>
                  <w:tcW w:w="438" w:type="pct"/>
                  <w:tcBorders>
                    <w:tl2br w:val="nil"/>
                    <w:tr2bl w:val="nil"/>
                  </w:tcBorders>
                  <w:vAlign w:val="center"/>
                </w:tcPr>
                <w:p w14:paraId="56AE9785">
                  <w:pPr>
                    <w:jc w:val="center"/>
                    <w:rPr>
                      <w:color w:val="auto"/>
                      <w:szCs w:val="21"/>
                    </w:rPr>
                  </w:pPr>
                  <w:r>
                    <w:rPr>
                      <w:rFonts w:eastAsia="Times New Roman"/>
                      <w:color w:val="auto"/>
                      <w:szCs w:val="21"/>
                    </w:rPr>
                    <w:t>HW</w:t>
                  </w:r>
                  <w:r>
                    <w:rPr>
                      <w:rFonts w:eastAsia="Times New Roman"/>
                      <w:color w:val="auto"/>
                      <w:spacing w:val="10"/>
                      <w:szCs w:val="21"/>
                    </w:rPr>
                    <w:t>08</w:t>
                  </w:r>
                </w:p>
              </w:tc>
              <w:tc>
                <w:tcPr>
                  <w:tcW w:w="655" w:type="pct"/>
                  <w:tcBorders>
                    <w:tl2br w:val="nil"/>
                    <w:tr2bl w:val="nil"/>
                  </w:tcBorders>
                  <w:vAlign w:val="center"/>
                </w:tcPr>
                <w:p w14:paraId="02F7BBA9">
                  <w:pPr>
                    <w:rPr>
                      <w:color w:val="auto"/>
                      <w:kern w:val="0"/>
                      <w:szCs w:val="21"/>
                      <w:lang w:bidi="ar"/>
                    </w:rPr>
                  </w:pPr>
                  <w:r>
                    <w:rPr>
                      <w:rFonts w:eastAsia="Times New Roman"/>
                      <w:color w:val="auto"/>
                      <w:spacing w:val="3"/>
                      <w:szCs w:val="21"/>
                    </w:rPr>
                    <w:t>900-249-</w:t>
                  </w:r>
                  <w:r>
                    <w:rPr>
                      <w:rFonts w:eastAsia="Times New Roman"/>
                      <w:color w:val="auto"/>
                      <w:spacing w:val="1"/>
                      <w:szCs w:val="21"/>
                    </w:rPr>
                    <w:t>08</w:t>
                  </w:r>
                </w:p>
              </w:tc>
              <w:tc>
                <w:tcPr>
                  <w:tcW w:w="346" w:type="pct"/>
                  <w:tcBorders>
                    <w:tl2br w:val="nil"/>
                    <w:tr2bl w:val="nil"/>
                  </w:tcBorders>
                  <w:vAlign w:val="center"/>
                </w:tcPr>
                <w:p w14:paraId="74E6FCE9">
                  <w:pPr>
                    <w:pStyle w:val="32"/>
                    <w:jc w:val="center"/>
                    <w:rPr>
                      <w:rFonts w:ascii="Times New Roman" w:hAnsi="Times New Roman" w:cs="Times New Roman"/>
                      <w:color w:val="auto"/>
                      <w:sz w:val="21"/>
                      <w:szCs w:val="21"/>
                      <w:lang w:eastAsia="zh-CN"/>
                    </w:rPr>
                  </w:pPr>
                  <w:r>
                    <w:rPr>
                      <w:rFonts w:ascii="Times New Roman" w:hAnsi="Times New Roman" w:eastAsia="Times New Roman" w:cs="Times New Roman"/>
                      <w:color w:val="auto"/>
                      <w:spacing w:val="-4"/>
                      <w:sz w:val="21"/>
                      <w:szCs w:val="21"/>
                      <w:lang w:eastAsia="zh-CN"/>
                    </w:rPr>
                    <w:t>T</w:t>
                  </w:r>
                  <w:r>
                    <w:rPr>
                      <w:rFonts w:ascii="Times New Roman" w:hAnsi="Times New Roman" w:eastAsia="Times New Roman" w:cs="Times New Roman"/>
                      <w:color w:val="auto"/>
                      <w:spacing w:val="-24"/>
                      <w:sz w:val="21"/>
                      <w:szCs w:val="21"/>
                      <w:lang w:eastAsia="zh-CN"/>
                    </w:rPr>
                    <w:t xml:space="preserve"> </w:t>
                  </w:r>
                  <w:r>
                    <w:rPr>
                      <w:rFonts w:ascii="Times New Roman" w:hAnsi="Times New Roman" w:cs="Times New Roman"/>
                      <w:color w:val="auto"/>
                      <w:spacing w:val="-4"/>
                      <w:sz w:val="21"/>
                      <w:szCs w:val="21"/>
                      <w:lang w:eastAsia="zh-CN"/>
                    </w:rPr>
                    <w:t>，</w:t>
                  </w:r>
                  <w:r>
                    <w:rPr>
                      <w:rFonts w:ascii="Times New Roman" w:hAnsi="Times New Roman" w:eastAsia="Times New Roman" w:cs="Times New Roman"/>
                      <w:color w:val="auto"/>
                      <w:spacing w:val="-4"/>
                      <w:sz w:val="21"/>
                      <w:szCs w:val="21"/>
                      <w:lang w:eastAsia="zh-CN"/>
                    </w:rPr>
                    <w:t>I</w:t>
                  </w:r>
                </w:p>
              </w:tc>
              <w:tc>
                <w:tcPr>
                  <w:tcW w:w="687" w:type="pct"/>
                  <w:vMerge w:val="continue"/>
                  <w:tcBorders>
                    <w:tl2br w:val="nil"/>
                    <w:tr2bl w:val="nil"/>
                  </w:tcBorders>
                  <w:vAlign w:val="center"/>
                </w:tcPr>
                <w:p w14:paraId="5C817187">
                  <w:pPr>
                    <w:jc w:val="center"/>
                    <w:rPr>
                      <w:color w:val="auto"/>
                      <w:szCs w:val="21"/>
                    </w:rPr>
                  </w:pPr>
                </w:p>
              </w:tc>
            </w:tr>
          </w:tbl>
          <w:p w14:paraId="630E0C2E">
            <w:pPr>
              <w:pStyle w:val="28"/>
              <w:numPr>
                <w:ilvl w:val="1"/>
                <w:numId w:val="0"/>
              </w:numPr>
              <w:spacing w:line="360" w:lineRule="auto"/>
              <w:ind w:firstLine="480" w:firstLineChars="200"/>
              <w:rPr>
                <w:rFonts w:cs="Times New Roman"/>
                <w:color w:val="auto"/>
                <w:szCs w:val="21"/>
              </w:rPr>
            </w:pPr>
            <w:r>
              <w:rPr>
                <w:rFonts w:cs="Times New Roman"/>
                <w:color w:val="auto"/>
                <w:szCs w:val="21"/>
              </w:rPr>
              <w:t>对照《国家危险废物名录》（2025版）相关文件判定，汇总本项目危险废物如下。</w:t>
            </w:r>
          </w:p>
          <w:p w14:paraId="3F2791EE">
            <w:pPr>
              <w:widowControl/>
              <w:tabs>
                <w:tab w:val="left" w:pos="420"/>
              </w:tabs>
              <w:jc w:val="center"/>
              <w:rPr>
                <w:b/>
                <w:color w:val="auto"/>
                <w:sz w:val="24"/>
              </w:rPr>
            </w:pPr>
          </w:p>
          <w:p w14:paraId="34227302">
            <w:pPr>
              <w:widowControl/>
              <w:tabs>
                <w:tab w:val="left" w:pos="420"/>
              </w:tabs>
              <w:jc w:val="center"/>
              <w:rPr>
                <w:b/>
                <w:color w:val="auto"/>
                <w:sz w:val="24"/>
              </w:rPr>
            </w:pPr>
          </w:p>
          <w:p w14:paraId="2CF63DEB">
            <w:pPr>
              <w:widowControl/>
              <w:tabs>
                <w:tab w:val="left" w:pos="420"/>
              </w:tabs>
              <w:jc w:val="center"/>
              <w:rPr>
                <w:b/>
                <w:color w:val="auto"/>
                <w:sz w:val="24"/>
              </w:rPr>
            </w:pPr>
            <w:r>
              <w:rPr>
                <w:b/>
                <w:color w:val="auto"/>
                <w:sz w:val="24"/>
              </w:rPr>
              <w:t>表4-1</w:t>
            </w:r>
            <w:r>
              <w:rPr>
                <w:rFonts w:hint="eastAsia"/>
                <w:b/>
                <w:color w:val="auto"/>
                <w:sz w:val="24"/>
              </w:rPr>
              <w:t>3</w:t>
            </w:r>
            <w:r>
              <w:rPr>
                <w:b/>
                <w:color w:val="auto"/>
                <w:sz w:val="24"/>
              </w:rPr>
              <w:t xml:space="preserve">  </w:t>
            </w:r>
            <w:r>
              <w:rPr>
                <w:b/>
                <w:color w:val="auto"/>
                <w:kern w:val="0"/>
                <w:sz w:val="24"/>
              </w:rPr>
              <w:t>项目危险废物汇总表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9"/>
              <w:gridCol w:w="1181"/>
              <w:gridCol w:w="964"/>
              <w:gridCol w:w="1268"/>
              <w:gridCol w:w="672"/>
              <w:gridCol w:w="775"/>
              <w:gridCol w:w="425"/>
              <w:gridCol w:w="718"/>
              <w:gridCol w:w="608"/>
              <w:gridCol w:w="505"/>
              <w:gridCol w:w="473"/>
              <w:gridCol w:w="896"/>
            </w:tblGrid>
            <w:tr w14:paraId="48439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25" w:type="pct"/>
                  <w:vAlign w:val="center"/>
                </w:tcPr>
                <w:p w14:paraId="7DB227D9">
                  <w:pPr>
                    <w:topLinePunct/>
                    <w:adjustRightInd w:val="0"/>
                    <w:snapToGrid w:val="0"/>
                    <w:ind w:left="-84" w:leftChars="-40" w:right="-84" w:rightChars="-40"/>
                    <w:jc w:val="center"/>
                    <w:rPr>
                      <w:bCs/>
                      <w:color w:val="auto"/>
                      <w:kern w:val="0"/>
                      <w:szCs w:val="21"/>
                    </w:rPr>
                  </w:pPr>
                  <w:r>
                    <w:rPr>
                      <w:bCs/>
                      <w:color w:val="auto"/>
                      <w:kern w:val="0"/>
                      <w:szCs w:val="21"/>
                    </w:rPr>
                    <w:t>序号</w:t>
                  </w:r>
                </w:p>
              </w:tc>
              <w:tc>
                <w:tcPr>
                  <w:tcW w:w="665" w:type="pct"/>
                  <w:vAlign w:val="center"/>
                </w:tcPr>
                <w:p w14:paraId="36AFBAFA">
                  <w:pPr>
                    <w:topLinePunct/>
                    <w:adjustRightInd w:val="0"/>
                    <w:snapToGrid w:val="0"/>
                    <w:ind w:left="-84" w:leftChars="-40" w:right="-84" w:rightChars="-40"/>
                    <w:jc w:val="center"/>
                    <w:rPr>
                      <w:bCs/>
                      <w:color w:val="auto"/>
                      <w:kern w:val="0"/>
                      <w:szCs w:val="21"/>
                    </w:rPr>
                  </w:pPr>
                  <w:r>
                    <w:rPr>
                      <w:bCs/>
                      <w:color w:val="auto"/>
                      <w:kern w:val="0"/>
                      <w:szCs w:val="21"/>
                    </w:rPr>
                    <w:t>危险废物</w:t>
                  </w:r>
                </w:p>
                <w:p w14:paraId="0EA4C823">
                  <w:pPr>
                    <w:topLinePunct/>
                    <w:adjustRightInd w:val="0"/>
                    <w:snapToGrid w:val="0"/>
                    <w:ind w:left="-84" w:leftChars="-40" w:right="-84" w:rightChars="-40"/>
                    <w:jc w:val="center"/>
                    <w:rPr>
                      <w:bCs/>
                      <w:color w:val="auto"/>
                      <w:kern w:val="0"/>
                      <w:szCs w:val="21"/>
                    </w:rPr>
                  </w:pPr>
                  <w:r>
                    <w:rPr>
                      <w:bCs/>
                      <w:color w:val="auto"/>
                      <w:kern w:val="0"/>
                      <w:szCs w:val="21"/>
                    </w:rPr>
                    <w:t>名称</w:t>
                  </w:r>
                </w:p>
              </w:tc>
              <w:tc>
                <w:tcPr>
                  <w:tcW w:w="543" w:type="pct"/>
                  <w:vAlign w:val="center"/>
                </w:tcPr>
                <w:p w14:paraId="629EACD9">
                  <w:pPr>
                    <w:topLinePunct/>
                    <w:adjustRightInd w:val="0"/>
                    <w:snapToGrid w:val="0"/>
                    <w:ind w:left="-84" w:leftChars="-40" w:right="-84" w:rightChars="-40"/>
                    <w:jc w:val="center"/>
                    <w:rPr>
                      <w:bCs/>
                      <w:color w:val="auto"/>
                      <w:kern w:val="0"/>
                      <w:szCs w:val="21"/>
                    </w:rPr>
                  </w:pPr>
                  <w:r>
                    <w:rPr>
                      <w:bCs/>
                      <w:color w:val="auto"/>
                      <w:kern w:val="0"/>
                      <w:szCs w:val="21"/>
                    </w:rPr>
                    <w:t>危险废物</w:t>
                  </w:r>
                </w:p>
                <w:p w14:paraId="7C59DB44">
                  <w:pPr>
                    <w:topLinePunct/>
                    <w:adjustRightInd w:val="0"/>
                    <w:snapToGrid w:val="0"/>
                    <w:ind w:left="-84" w:leftChars="-40" w:right="-84" w:rightChars="-40"/>
                    <w:jc w:val="center"/>
                    <w:rPr>
                      <w:bCs/>
                      <w:color w:val="auto"/>
                      <w:kern w:val="0"/>
                      <w:szCs w:val="21"/>
                    </w:rPr>
                  </w:pPr>
                  <w:r>
                    <w:rPr>
                      <w:bCs/>
                      <w:color w:val="auto"/>
                      <w:kern w:val="0"/>
                      <w:szCs w:val="21"/>
                    </w:rPr>
                    <w:t>类别</w:t>
                  </w:r>
                </w:p>
              </w:tc>
              <w:tc>
                <w:tcPr>
                  <w:tcW w:w="714" w:type="pct"/>
                  <w:vAlign w:val="center"/>
                </w:tcPr>
                <w:p w14:paraId="1E3DC920">
                  <w:pPr>
                    <w:topLinePunct/>
                    <w:adjustRightInd w:val="0"/>
                    <w:snapToGrid w:val="0"/>
                    <w:ind w:left="-84" w:leftChars="-40" w:right="-84" w:rightChars="-40"/>
                    <w:jc w:val="center"/>
                    <w:rPr>
                      <w:bCs/>
                      <w:color w:val="auto"/>
                      <w:kern w:val="0"/>
                      <w:szCs w:val="21"/>
                    </w:rPr>
                  </w:pPr>
                  <w:r>
                    <w:rPr>
                      <w:bCs/>
                      <w:color w:val="auto"/>
                      <w:kern w:val="0"/>
                      <w:szCs w:val="21"/>
                    </w:rPr>
                    <w:t>危险废物代码</w:t>
                  </w:r>
                </w:p>
              </w:tc>
              <w:tc>
                <w:tcPr>
                  <w:tcW w:w="378" w:type="pct"/>
                  <w:vAlign w:val="center"/>
                </w:tcPr>
                <w:p w14:paraId="43598932">
                  <w:pPr>
                    <w:topLinePunct/>
                    <w:adjustRightInd w:val="0"/>
                    <w:snapToGrid w:val="0"/>
                    <w:ind w:left="-84" w:leftChars="-40" w:right="-84" w:rightChars="-40"/>
                    <w:jc w:val="center"/>
                    <w:rPr>
                      <w:bCs/>
                      <w:color w:val="auto"/>
                      <w:kern w:val="0"/>
                      <w:szCs w:val="21"/>
                    </w:rPr>
                  </w:pPr>
                  <w:r>
                    <w:rPr>
                      <w:bCs/>
                      <w:color w:val="auto"/>
                      <w:kern w:val="0"/>
                      <w:szCs w:val="21"/>
                    </w:rPr>
                    <w:t>产生量（t/a）</w:t>
                  </w:r>
                </w:p>
              </w:tc>
              <w:tc>
                <w:tcPr>
                  <w:tcW w:w="436" w:type="pct"/>
                  <w:vAlign w:val="center"/>
                </w:tcPr>
                <w:p w14:paraId="5CF12252">
                  <w:pPr>
                    <w:topLinePunct/>
                    <w:adjustRightInd w:val="0"/>
                    <w:snapToGrid w:val="0"/>
                    <w:ind w:left="-84" w:leftChars="-40" w:right="-84" w:rightChars="-40"/>
                    <w:jc w:val="center"/>
                    <w:rPr>
                      <w:bCs/>
                      <w:color w:val="auto"/>
                      <w:kern w:val="0"/>
                      <w:szCs w:val="21"/>
                    </w:rPr>
                  </w:pPr>
                  <w:r>
                    <w:rPr>
                      <w:bCs/>
                      <w:color w:val="auto"/>
                      <w:kern w:val="0"/>
                      <w:szCs w:val="21"/>
                    </w:rPr>
                    <w:t>产生工序及装置</w:t>
                  </w:r>
                </w:p>
              </w:tc>
              <w:tc>
                <w:tcPr>
                  <w:tcW w:w="239" w:type="pct"/>
                  <w:vAlign w:val="center"/>
                </w:tcPr>
                <w:p w14:paraId="29BE97DB">
                  <w:pPr>
                    <w:topLinePunct/>
                    <w:adjustRightInd w:val="0"/>
                    <w:snapToGrid w:val="0"/>
                    <w:ind w:left="-84" w:leftChars="-40" w:right="-84" w:rightChars="-40"/>
                    <w:jc w:val="center"/>
                    <w:rPr>
                      <w:bCs/>
                      <w:color w:val="auto"/>
                      <w:kern w:val="0"/>
                      <w:szCs w:val="21"/>
                    </w:rPr>
                  </w:pPr>
                  <w:r>
                    <w:rPr>
                      <w:bCs/>
                      <w:color w:val="auto"/>
                      <w:kern w:val="0"/>
                      <w:szCs w:val="21"/>
                    </w:rPr>
                    <w:t>形态</w:t>
                  </w:r>
                </w:p>
              </w:tc>
              <w:tc>
                <w:tcPr>
                  <w:tcW w:w="404" w:type="pct"/>
                  <w:vAlign w:val="center"/>
                </w:tcPr>
                <w:p w14:paraId="0FD46DE6">
                  <w:pPr>
                    <w:topLinePunct/>
                    <w:adjustRightInd w:val="0"/>
                    <w:snapToGrid w:val="0"/>
                    <w:ind w:left="-84" w:leftChars="-40" w:right="-84" w:rightChars="-40"/>
                    <w:jc w:val="center"/>
                    <w:rPr>
                      <w:bCs/>
                      <w:color w:val="auto"/>
                      <w:kern w:val="0"/>
                      <w:szCs w:val="21"/>
                    </w:rPr>
                  </w:pPr>
                  <w:r>
                    <w:rPr>
                      <w:bCs/>
                      <w:color w:val="auto"/>
                      <w:kern w:val="0"/>
                      <w:szCs w:val="21"/>
                    </w:rPr>
                    <w:t>主要成分</w:t>
                  </w:r>
                </w:p>
              </w:tc>
              <w:tc>
                <w:tcPr>
                  <w:tcW w:w="342" w:type="pct"/>
                  <w:vAlign w:val="center"/>
                </w:tcPr>
                <w:p w14:paraId="6388D304">
                  <w:pPr>
                    <w:topLinePunct/>
                    <w:adjustRightInd w:val="0"/>
                    <w:snapToGrid w:val="0"/>
                    <w:ind w:left="-84" w:leftChars="-40" w:right="-84" w:rightChars="-40"/>
                    <w:jc w:val="center"/>
                    <w:rPr>
                      <w:bCs/>
                      <w:color w:val="auto"/>
                      <w:kern w:val="0"/>
                      <w:szCs w:val="21"/>
                    </w:rPr>
                  </w:pPr>
                  <w:r>
                    <w:rPr>
                      <w:bCs/>
                      <w:color w:val="auto"/>
                      <w:kern w:val="0"/>
                      <w:szCs w:val="21"/>
                    </w:rPr>
                    <w:t>有害成分</w:t>
                  </w:r>
                </w:p>
              </w:tc>
              <w:tc>
                <w:tcPr>
                  <w:tcW w:w="284" w:type="pct"/>
                  <w:vAlign w:val="center"/>
                </w:tcPr>
                <w:p w14:paraId="13141EB7">
                  <w:pPr>
                    <w:topLinePunct/>
                    <w:adjustRightInd w:val="0"/>
                    <w:snapToGrid w:val="0"/>
                    <w:ind w:left="-84" w:leftChars="-40" w:right="-84" w:rightChars="-40"/>
                    <w:jc w:val="center"/>
                    <w:rPr>
                      <w:bCs/>
                      <w:color w:val="auto"/>
                      <w:kern w:val="0"/>
                      <w:szCs w:val="21"/>
                    </w:rPr>
                  </w:pPr>
                  <w:r>
                    <w:rPr>
                      <w:bCs/>
                      <w:color w:val="auto"/>
                      <w:kern w:val="0"/>
                      <w:szCs w:val="21"/>
                    </w:rPr>
                    <w:t>产废周期</w:t>
                  </w:r>
                </w:p>
              </w:tc>
              <w:tc>
                <w:tcPr>
                  <w:tcW w:w="266" w:type="pct"/>
                  <w:vAlign w:val="center"/>
                </w:tcPr>
                <w:p w14:paraId="05EB194B">
                  <w:pPr>
                    <w:topLinePunct/>
                    <w:adjustRightInd w:val="0"/>
                    <w:snapToGrid w:val="0"/>
                    <w:ind w:left="-84" w:leftChars="-40" w:right="-84" w:rightChars="-40"/>
                    <w:jc w:val="center"/>
                    <w:rPr>
                      <w:bCs/>
                      <w:color w:val="auto"/>
                      <w:kern w:val="0"/>
                      <w:szCs w:val="21"/>
                    </w:rPr>
                  </w:pPr>
                  <w:r>
                    <w:rPr>
                      <w:bCs/>
                      <w:color w:val="auto"/>
                      <w:kern w:val="0"/>
                      <w:szCs w:val="21"/>
                    </w:rPr>
                    <w:t>危险</w:t>
                  </w:r>
                </w:p>
                <w:p w14:paraId="2735F850">
                  <w:pPr>
                    <w:topLinePunct/>
                    <w:adjustRightInd w:val="0"/>
                    <w:snapToGrid w:val="0"/>
                    <w:ind w:left="-84" w:leftChars="-40" w:right="-84" w:rightChars="-40"/>
                    <w:jc w:val="center"/>
                    <w:rPr>
                      <w:bCs/>
                      <w:color w:val="auto"/>
                      <w:kern w:val="0"/>
                      <w:szCs w:val="21"/>
                    </w:rPr>
                  </w:pPr>
                  <w:r>
                    <w:rPr>
                      <w:bCs/>
                      <w:color w:val="auto"/>
                      <w:kern w:val="0"/>
                      <w:szCs w:val="21"/>
                    </w:rPr>
                    <w:t>特性</w:t>
                  </w:r>
                </w:p>
              </w:tc>
              <w:tc>
                <w:tcPr>
                  <w:tcW w:w="499" w:type="pct"/>
                  <w:vAlign w:val="center"/>
                </w:tcPr>
                <w:p w14:paraId="5C83D307">
                  <w:pPr>
                    <w:topLinePunct/>
                    <w:adjustRightInd w:val="0"/>
                    <w:snapToGrid w:val="0"/>
                    <w:ind w:left="-84" w:leftChars="-40" w:right="-84" w:rightChars="-40"/>
                    <w:jc w:val="center"/>
                    <w:rPr>
                      <w:bCs/>
                      <w:color w:val="auto"/>
                      <w:kern w:val="0"/>
                      <w:szCs w:val="21"/>
                    </w:rPr>
                  </w:pPr>
                  <w:r>
                    <w:rPr>
                      <w:bCs/>
                      <w:color w:val="auto"/>
                      <w:kern w:val="0"/>
                      <w:szCs w:val="21"/>
                    </w:rPr>
                    <w:t>污染防治措施</w:t>
                  </w:r>
                </w:p>
              </w:tc>
            </w:tr>
            <w:tr w14:paraId="5F8A9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5" w:type="pct"/>
                  <w:vAlign w:val="center"/>
                </w:tcPr>
                <w:p w14:paraId="63D2CBEB">
                  <w:pPr>
                    <w:pStyle w:val="55"/>
                    <w:numPr>
                      <w:ilvl w:val="0"/>
                      <w:numId w:val="6"/>
                    </w:numPr>
                    <w:tabs>
                      <w:tab w:val="left" w:pos="420"/>
                    </w:tabs>
                    <w:ind w:left="336" w:leftChars="-40" w:right="-84" w:rightChars="-40" w:hanging="420"/>
                    <w:rPr>
                      <w:color w:val="auto"/>
                    </w:rPr>
                  </w:pPr>
                </w:p>
              </w:tc>
              <w:tc>
                <w:tcPr>
                  <w:tcW w:w="665" w:type="pct"/>
                  <w:vAlign w:val="center"/>
                </w:tcPr>
                <w:p w14:paraId="28E5D2AF">
                  <w:pPr>
                    <w:pStyle w:val="39"/>
                    <w:ind w:left="-84" w:leftChars="-40" w:right="-84" w:rightChars="-40"/>
                    <w:rPr>
                      <w:color w:val="auto"/>
                    </w:rPr>
                  </w:pPr>
                  <w:r>
                    <w:rPr>
                      <w:color w:val="auto"/>
                      <w:lang w:val="zh-CN"/>
                    </w:rPr>
                    <w:t>废</w:t>
                  </w:r>
                  <w:r>
                    <w:rPr>
                      <w:rFonts w:hint="eastAsia"/>
                      <w:color w:val="auto"/>
                    </w:rPr>
                    <w:t>机油</w:t>
                  </w:r>
                </w:p>
              </w:tc>
              <w:tc>
                <w:tcPr>
                  <w:tcW w:w="543" w:type="pct"/>
                  <w:vAlign w:val="center"/>
                </w:tcPr>
                <w:p w14:paraId="13D05506">
                  <w:pPr>
                    <w:ind w:left="-84" w:leftChars="-40" w:right="-84" w:rightChars="-40"/>
                    <w:jc w:val="center"/>
                    <w:rPr>
                      <w:color w:val="auto"/>
                      <w:szCs w:val="21"/>
                    </w:rPr>
                  </w:pPr>
                  <w:r>
                    <w:rPr>
                      <w:color w:val="auto"/>
                      <w:szCs w:val="21"/>
                    </w:rPr>
                    <w:t>HW</w:t>
                  </w:r>
                  <w:r>
                    <w:rPr>
                      <w:rFonts w:hint="eastAsia"/>
                      <w:color w:val="auto"/>
                      <w:szCs w:val="21"/>
                    </w:rPr>
                    <w:t>08</w:t>
                  </w:r>
                </w:p>
              </w:tc>
              <w:tc>
                <w:tcPr>
                  <w:tcW w:w="714" w:type="pct"/>
                  <w:vAlign w:val="center"/>
                </w:tcPr>
                <w:p w14:paraId="3A5A8BAA">
                  <w:pPr>
                    <w:rPr>
                      <w:color w:val="auto"/>
                      <w:szCs w:val="21"/>
                    </w:rPr>
                  </w:pPr>
                  <w:r>
                    <w:rPr>
                      <w:rFonts w:eastAsia="Times New Roman"/>
                      <w:color w:val="auto"/>
                      <w:spacing w:val="3"/>
                      <w:szCs w:val="21"/>
                    </w:rPr>
                    <w:t>900-2</w:t>
                  </w:r>
                  <w:r>
                    <w:rPr>
                      <w:rFonts w:hint="eastAsia"/>
                      <w:color w:val="auto"/>
                      <w:spacing w:val="3"/>
                      <w:szCs w:val="21"/>
                    </w:rPr>
                    <w:t>49</w:t>
                  </w:r>
                  <w:r>
                    <w:rPr>
                      <w:rFonts w:eastAsia="Times New Roman"/>
                      <w:color w:val="auto"/>
                      <w:spacing w:val="3"/>
                      <w:szCs w:val="21"/>
                    </w:rPr>
                    <w:t>-</w:t>
                  </w:r>
                  <w:r>
                    <w:rPr>
                      <w:rFonts w:eastAsia="Times New Roman"/>
                      <w:color w:val="auto"/>
                      <w:spacing w:val="1"/>
                      <w:szCs w:val="21"/>
                    </w:rPr>
                    <w:t>08</w:t>
                  </w:r>
                </w:p>
              </w:tc>
              <w:tc>
                <w:tcPr>
                  <w:tcW w:w="378" w:type="pct"/>
                  <w:vAlign w:val="center"/>
                </w:tcPr>
                <w:p w14:paraId="3EACD359">
                  <w:pPr>
                    <w:ind w:left="-84" w:leftChars="-40" w:right="-84" w:rightChars="-40"/>
                    <w:jc w:val="center"/>
                    <w:rPr>
                      <w:color w:val="auto"/>
                      <w:szCs w:val="21"/>
                    </w:rPr>
                  </w:pPr>
                  <w:r>
                    <w:rPr>
                      <w:rFonts w:hint="eastAsia"/>
                      <w:color w:val="auto"/>
                      <w:szCs w:val="21"/>
                    </w:rPr>
                    <w:t>0.5</w:t>
                  </w:r>
                </w:p>
              </w:tc>
              <w:tc>
                <w:tcPr>
                  <w:tcW w:w="436" w:type="pct"/>
                  <w:vAlign w:val="center"/>
                </w:tcPr>
                <w:p w14:paraId="0734C7F7">
                  <w:pPr>
                    <w:topLinePunct/>
                    <w:adjustRightInd w:val="0"/>
                    <w:snapToGrid w:val="0"/>
                    <w:ind w:left="-84" w:leftChars="-40" w:right="-84" w:rightChars="-40"/>
                    <w:jc w:val="center"/>
                    <w:rPr>
                      <w:color w:val="auto"/>
                      <w:szCs w:val="21"/>
                    </w:rPr>
                  </w:pPr>
                  <w:r>
                    <w:rPr>
                      <w:rFonts w:hint="eastAsia"/>
                      <w:color w:val="auto"/>
                      <w:szCs w:val="21"/>
                    </w:rPr>
                    <w:t>维修保养</w:t>
                  </w:r>
                </w:p>
              </w:tc>
              <w:tc>
                <w:tcPr>
                  <w:tcW w:w="239" w:type="pct"/>
                  <w:vAlign w:val="center"/>
                </w:tcPr>
                <w:p w14:paraId="0EE7FEEA">
                  <w:pPr>
                    <w:topLinePunct/>
                    <w:adjustRightInd w:val="0"/>
                    <w:snapToGrid w:val="0"/>
                    <w:ind w:left="-84" w:leftChars="-40" w:right="-84" w:rightChars="-40"/>
                    <w:jc w:val="center"/>
                    <w:rPr>
                      <w:color w:val="auto"/>
                      <w:szCs w:val="21"/>
                    </w:rPr>
                  </w:pPr>
                  <w:r>
                    <w:rPr>
                      <w:rFonts w:hint="eastAsia"/>
                      <w:color w:val="auto"/>
                      <w:szCs w:val="21"/>
                    </w:rPr>
                    <w:t>液态</w:t>
                  </w:r>
                </w:p>
              </w:tc>
              <w:tc>
                <w:tcPr>
                  <w:tcW w:w="404" w:type="pct"/>
                  <w:vAlign w:val="center"/>
                </w:tcPr>
                <w:p w14:paraId="752B029D">
                  <w:pPr>
                    <w:topLinePunct/>
                    <w:adjustRightInd w:val="0"/>
                    <w:snapToGrid w:val="0"/>
                    <w:ind w:left="-84" w:leftChars="-40" w:right="-84" w:rightChars="-40"/>
                    <w:jc w:val="center"/>
                    <w:rPr>
                      <w:color w:val="auto"/>
                      <w:szCs w:val="21"/>
                    </w:rPr>
                  </w:pPr>
                  <w:r>
                    <w:rPr>
                      <w:rFonts w:hint="eastAsia"/>
                      <w:color w:val="auto"/>
                      <w:szCs w:val="21"/>
                    </w:rPr>
                    <w:t>矿物油</w:t>
                  </w:r>
                </w:p>
              </w:tc>
              <w:tc>
                <w:tcPr>
                  <w:tcW w:w="342" w:type="pct"/>
                  <w:vAlign w:val="center"/>
                </w:tcPr>
                <w:p w14:paraId="0E10364D">
                  <w:pPr>
                    <w:topLinePunct/>
                    <w:adjustRightInd w:val="0"/>
                    <w:snapToGrid w:val="0"/>
                    <w:ind w:left="-84" w:leftChars="-40" w:right="-84" w:rightChars="-40"/>
                    <w:jc w:val="center"/>
                    <w:rPr>
                      <w:color w:val="auto"/>
                      <w:szCs w:val="21"/>
                    </w:rPr>
                  </w:pPr>
                  <w:r>
                    <w:rPr>
                      <w:rFonts w:hint="eastAsia"/>
                      <w:color w:val="auto"/>
                      <w:szCs w:val="21"/>
                    </w:rPr>
                    <w:t>矿物油</w:t>
                  </w:r>
                </w:p>
              </w:tc>
              <w:tc>
                <w:tcPr>
                  <w:tcW w:w="284" w:type="pct"/>
                  <w:vAlign w:val="center"/>
                </w:tcPr>
                <w:p w14:paraId="1EFFE5CA">
                  <w:pPr>
                    <w:topLinePunct/>
                    <w:adjustRightInd w:val="0"/>
                    <w:snapToGrid w:val="0"/>
                    <w:ind w:left="-84" w:leftChars="-40" w:right="-84" w:rightChars="-40"/>
                    <w:jc w:val="center"/>
                    <w:rPr>
                      <w:bCs/>
                      <w:color w:val="auto"/>
                      <w:szCs w:val="21"/>
                      <w:shd w:val="clear" w:color="auto" w:fill="FFFFFF"/>
                    </w:rPr>
                  </w:pPr>
                  <w:r>
                    <w:rPr>
                      <w:rFonts w:hint="eastAsia"/>
                      <w:bCs/>
                      <w:color w:val="auto"/>
                      <w:szCs w:val="21"/>
                      <w:shd w:val="clear" w:color="auto" w:fill="FFFFFF"/>
                    </w:rPr>
                    <w:t>6</w:t>
                  </w:r>
                  <w:r>
                    <w:rPr>
                      <w:bCs/>
                      <w:color w:val="auto"/>
                      <w:szCs w:val="21"/>
                      <w:shd w:val="clear" w:color="auto" w:fill="FFFFFF"/>
                    </w:rPr>
                    <w:t>月</w:t>
                  </w:r>
                </w:p>
              </w:tc>
              <w:tc>
                <w:tcPr>
                  <w:tcW w:w="266" w:type="pct"/>
                  <w:vAlign w:val="center"/>
                </w:tcPr>
                <w:p w14:paraId="5A1F4A9A">
                  <w:pPr>
                    <w:topLinePunct/>
                    <w:adjustRightInd w:val="0"/>
                    <w:snapToGrid w:val="0"/>
                    <w:ind w:left="-84" w:leftChars="-40" w:right="-84" w:rightChars="-40"/>
                    <w:jc w:val="center"/>
                    <w:rPr>
                      <w:bCs/>
                      <w:color w:val="auto"/>
                      <w:szCs w:val="21"/>
                      <w:shd w:val="clear" w:color="auto" w:fill="FFFFFF"/>
                    </w:rPr>
                  </w:pPr>
                  <w:r>
                    <w:rPr>
                      <w:bCs/>
                      <w:color w:val="auto"/>
                      <w:szCs w:val="21"/>
                      <w:shd w:val="clear" w:color="auto" w:fill="FFFFFF"/>
                    </w:rPr>
                    <w:t>T</w:t>
                  </w:r>
                  <w:r>
                    <w:rPr>
                      <w:rFonts w:hint="eastAsia"/>
                      <w:bCs/>
                      <w:color w:val="auto"/>
                      <w:szCs w:val="21"/>
                      <w:shd w:val="clear" w:color="auto" w:fill="FFFFFF"/>
                    </w:rPr>
                    <w:t>、I</w:t>
                  </w:r>
                </w:p>
              </w:tc>
              <w:tc>
                <w:tcPr>
                  <w:tcW w:w="499" w:type="pct"/>
                  <w:vMerge w:val="restart"/>
                  <w:vAlign w:val="center"/>
                </w:tcPr>
                <w:p w14:paraId="7D7DD613">
                  <w:pPr>
                    <w:widowControl/>
                    <w:ind w:left="-84" w:leftChars="-40" w:right="-84" w:rightChars="-40"/>
                    <w:jc w:val="center"/>
                    <w:rPr>
                      <w:color w:val="auto"/>
                      <w:szCs w:val="21"/>
                    </w:rPr>
                  </w:pPr>
                  <w:r>
                    <w:rPr>
                      <w:color w:val="auto"/>
                      <w:szCs w:val="21"/>
                    </w:rPr>
                    <w:t>有资质单位处置</w:t>
                  </w:r>
                </w:p>
              </w:tc>
            </w:tr>
            <w:tr w14:paraId="00D33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5" w:type="pct"/>
                  <w:vAlign w:val="center"/>
                </w:tcPr>
                <w:p w14:paraId="6315D5A7">
                  <w:pPr>
                    <w:pStyle w:val="55"/>
                    <w:numPr>
                      <w:ilvl w:val="0"/>
                      <w:numId w:val="6"/>
                    </w:numPr>
                    <w:tabs>
                      <w:tab w:val="left" w:pos="420"/>
                    </w:tabs>
                    <w:ind w:left="336" w:leftChars="-40" w:right="-84" w:rightChars="-40" w:hanging="420"/>
                    <w:rPr>
                      <w:color w:val="auto"/>
                    </w:rPr>
                  </w:pPr>
                </w:p>
              </w:tc>
              <w:tc>
                <w:tcPr>
                  <w:tcW w:w="665" w:type="pct"/>
                  <w:vAlign w:val="center"/>
                </w:tcPr>
                <w:p w14:paraId="57B2634C">
                  <w:pPr>
                    <w:pStyle w:val="39"/>
                    <w:ind w:left="-84" w:leftChars="-40" w:right="-84" w:rightChars="-40"/>
                    <w:rPr>
                      <w:color w:val="auto"/>
                    </w:rPr>
                  </w:pPr>
                  <w:r>
                    <w:rPr>
                      <w:rFonts w:hint="eastAsia"/>
                      <w:color w:val="auto"/>
                    </w:rPr>
                    <w:t>废机油桶</w:t>
                  </w:r>
                </w:p>
              </w:tc>
              <w:tc>
                <w:tcPr>
                  <w:tcW w:w="543" w:type="pct"/>
                  <w:vAlign w:val="center"/>
                </w:tcPr>
                <w:p w14:paraId="71984F92">
                  <w:pPr>
                    <w:ind w:left="-84" w:leftChars="-40" w:right="-84" w:rightChars="-40"/>
                    <w:jc w:val="center"/>
                    <w:rPr>
                      <w:color w:val="auto"/>
                      <w:szCs w:val="21"/>
                    </w:rPr>
                  </w:pPr>
                  <w:r>
                    <w:rPr>
                      <w:color w:val="auto"/>
                      <w:szCs w:val="21"/>
                    </w:rPr>
                    <w:t>HW</w:t>
                  </w:r>
                  <w:r>
                    <w:rPr>
                      <w:rFonts w:hint="eastAsia"/>
                      <w:color w:val="auto"/>
                      <w:szCs w:val="21"/>
                    </w:rPr>
                    <w:t>08</w:t>
                  </w:r>
                </w:p>
              </w:tc>
              <w:tc>
                <w:tcPr>
                  <w:tcW w:w="714" w:type="pct"/>
                  <w:vAlign w:val="center"/>
                </w:tcPr>
                <w:p w14:paraId="7B3182A1">
                  <w:pPr>
                    <w:rPr>
                      <w:color w:val="auto"/>
                      <w:szCs w:val="21"/>
                    </w:rPr>
                  </w:pPr>
                  <w:r>
                    <w:rPr>
                      <w:rFonts w:eastAsia="Times New Roman"/>
                      <w:color w:val="auto"/>
                      <w:spacing w:val="3"/>
                      <w:szCs w:val="21"/>
                    </w:rPr>
                    <w:t>900-2</w:t>
                  </w:r>
                  <w:r>
                    <w:rPr>
                      <w:rFonts w:hint="eastAsia"/>
                      <w:color w:val="auto"/>
                      <w:spacing w:val="3"/>
                      <w:szCs w:val="21"/>
                    </w:rPr>
                    <w:t>49</w:t>
                  </w:r>
                  <w:r>
                    <w:rPr>
                      <w:rFonts w:eastAsia="Times New Roman"/>
                      <w:color w:val="auto"/>
                      <w:spacing w:val="3"/>
                      <w:szCs w:val="21"/>
                    </w:rPr>
                    <w:t>-</w:t>
                  </w:r>
                  <w:r>
                    <w:rPr>
                      <w:rFonts w:eastAsia="Times New Roman"/>
                      <w:color w:val="auto"/>
                      <w:spacing w:val="1"/>
                      <w:szCs w:val="21"/>
                    </w:rPr>
                    <w:t>08</w:t>
                  </w:r>
                </w:p>
              </w:tc>
              <w:tc>
                <w:tcPr>
                  <w:tcW w:w="378" w:type="pct"/>
                  <w:vAlign w:val="center"/>
                </w:tcPr>
                <w:p w14:paraId="356D5E96">
                  <w:pPr>
                    <w:ind w:left="-84" w:leftChars="-40" w:right="-84" w:rightChars="-40"/>
                    <w:jc w:val="center"/>
                    <w:rPr>
                      <w:color w:val="auto"/>
                      <w:szCs w:val="21"/>
                    </w:rPr>
                  </w:pPr>
                  <w:r>
                    <w:rPr>
                      <w:rFonts w:hint="eastAsia"/>
                      <w:color w:val="auto"/>
                      <w:szCs w:val="21"/>
                    </w:rPr>
                    <w:t>1.0</w:t>
                  </w:r>
                </w:p>
              </w:tc>
              <w:tc>
                <w:tcPr>
                  <w:tcW w:w="436" w:type="pct"/>
                  <w:vAlign w:val="center"/>
                </w:tcPr>
                <w:p w14:paraId="3FD28353">
                  <w:pPr>
                    <w:topLinePunct/>
                    <w:adjustRightInd w:val="0"/>
                    <w:snapToGrid w:val="0"/>
                    <w:ind w:left="-84" w:leftChars="-40" w:right="-84" w:rightChars="-40"/>
                    <w:jc w:val="center"/>
                    <w:rPr>
                      <w:color w:val="auto"/>
                      <w:szCs w:val="21"/>
                    </w:rPr>
                  </w:pPr>
                  <w:r>
                    <w:rPr>
                      <w:rFonts w:hint="eastAsia"/>
                      <w:color w:val="auto"/>
                      <w:szCs w:val="21"/>
                    </w:rPr>
                    <w:t>维修保养</w:t>
                  </w:r>
                </w:p>
              </w:tc>
              <w:tc>
                <w:tcPr>
                  <w:tcW w:w="239" w:type="pct"/>
                  <w:vAlign w:val="center"/>
                </w:tcPr>
                <w:p w14:paraId="0A04D109">
                  <w:pPr>
                    <w:topLinePunct/>
                    <w:adjustRightInd w:val="0"/>
                    <w:snapToGrid w:val="0"/>
                    <w:ind w:left="-84" w:leftChars="-40" w:right="-84" w:rightChars="-40"/>
                    <w:jc w:val="center"/>
                    <w:rPr>
                      <w:color w:val="auto"/>
                      <w:kern w:val="0"/>
                      <w:szCs w:val="21"/>
                    </w:rPr>
                  </w:pPr>
                  <w:r>
                    <w:rPr>
                      <w:rFonts w:hint="eastAsia"/>
                      <w:color w:val="auto"/>
                      <w:kern w:val="0"/>
                      <w:szCs w:val="21"/>
                    </w:rPr>
                    <w:t>固态</w:t>
                  </w:r>
                </w:p>
              </w:tc>
              <w:tc>
                <w:tcPr>
                  <w:tcW w:w="404" w:type="pct"/>
                  <w:vAlign w:val="center"/>
                </w:tcPr>
                <w:p w14:paraId="75D3FD7D">
                  <w:pPr>
                    <w:topLinePunct/>
                    <w:adjustRightInd w:val="0"/>
                    <w:snapToGrid w:val="0"/>
                    <w:ind w:left="-84" w:leftChars="-40" w:right="-84" w:rightChars="-40"/>
                    <w:jc w:val="center"/>
                    <w:rPr>
                      <w:color w:val="auto"/>
                      <w:szCs w:val="21"/>
                    </w:rPr>
                  </w:pPr>
                  <w:r>
                    <w:rPr>
                      <w:rFonts w:hint="eastAsia"/>
                      <w:color w:val="auto"/>
                      <w:szCs w:val="21"/>
                    </w:rPr>
                    <w:t>矿物油</w:t>
                  </w:r>
                </w:p>
              </w:tc>
              <w:tc>
                <w:tcPr>
                  <w:tcW w:w="342" w:type="pct"/>
                  <w:vAlign w:val="center"/>
                </w:tcPr>
                <w:p w14:paraId="60B09F97">
                  <w:pPr>
                    <w:topLinePunct/>
                    <w:adjustRightInd w:val="0"/>
                    <w:snapToGrid w:val="0"/>
                    <w:ind w:left="-84" w:leftChars="-40" w:right="-84" w:rightChars="-40"/>
                    <w:jc w:val="center"/>
                    <w:rPr>
                      <w:color w:val="auto"/>
                      <w:szCs w:val="21"/>
                    </w:rPr>
                  </w:pPr>
                  <w:r>
                    <w:rPr>
                      <w:rFonts w:hint="eastAsia"/>
                      <w:color w:val="auto"/>
                      <w:szCs w:val="21"/>
                    </w:rPr>
                    <w:t>矿物油</w:t>
                  </w:r>
                </w:p>
              </w:tc>
              <w:tc>
                <w:tcPr>
                  <w:tcW w:w="284" w:type="pct"/>
                  <w:vAlign w:val="center"/>
                </w:tcPr>
                <w:p w14:paraId="72E7555E">
                  <w:pPr>
                    <w:topLinePunct/>
                    <w:adjustRightInd w:val="0"/>
                    <w:snapToGrid w:val="0"/>
                    <w:ind w:left="-84" w:leftChars="-40" w:right="-84" w:rightChars="-40"/>
                    <w:jc w:val="center"/>
                    <w:rPr>
                      <w:bCs/>
                      <w:color w:val="auto"/>
                      <w:szCs w:val="21"/>
                      <w:shd w:val="clear" w:color="auto" w:fill="FFFFFF"/>
                    </w:rPr>
                  </w:pPr>
                  <w:r>
                    <w:rPr>
                      <w:rFonts w:hint="eastAsia"/>
                      <w:bCs/>
                      <w:color w:val="auto"/>
                      <w:szCs w:val="21"/>
                      <w:shd w:val="clear" w:color="auto" w:fill="FFFFFF"/>
                    </w:rPr>
                    <w:t>6</w:t>
                  </w:r>
                  <w:r>
                    <w:rPr>
                      <w:bCs/>
                      <w:color w:val="auto"/>
                      <w:szCs w:val="21"/>
                      <w:shd w:val="clear" w:color="auto" w:fill="FFFFFF"/>
                    </w:rPr>
                    <w:t>月</w:t>
                  </w:r>
                </w:p>
              </w:tc>
              <w:tc>
                <w:tcPr>
                  <w:tcW w:w="266" w:type="pct"/>
                  <w:vAlign w:val="center"/>
                </w:tcPr>
                <w:p w14:paraId="2FC2FE78">
                  <w:pPr>
                    <w:topLinePunct/>
                    <w:adjustRightInd w:val="0"/>
                    <w:snapToGrid w:val="0"/>
                    <w:ind w:left="-84" w:leftChars="-40" w:right="-84" w:rightChars="-40"/>
                    <w:jc w:val="center"/>
                    <w:rPr>
                      <w:bCs/>
                      <w:color w:val="auto"/>
                      <w:szCs w:val="21"/>
                      <w:shd w:val="clear" w:color="auto" w:fill="FFFFFF"/>
                    </w:rPr>
                  </w:pPr>
                  <w:r>
                    <w:rPr>
                      <w:bCs/>
                      <w:color w:val="auto"/>
                      <w:szCs w:val="21"/>
                      <w:shd w:val="clear" w:color="auto" w:fill="FFFFFF"/>
                    </w:rPr>
                    <w:t>T</w:t>
                  </w:r>
                  <w:r>
                    <w:rPr>
                      <w:rFonts w:hint="eastAsia"/>
                      <w:bCs/>
                      <w:color w:val="auto"/>
                      <w:szCs w:val="21"/>
                      <w:shd w:val="clear" w:color="auto" w:fill="FFFFFF"/>
                    </w:rPr>
                    <w:t>、I</w:t>
                  </w:r>
                </w:p>
              </w:tc>
              <w:tc>
                <w:tcPr>
                  <w:tcW w:w="499" w:type="pct"/>
                  <w:vMerge w:val="continue"/>
                  <w:vAlign w:val="center"/>
                </w:tcPr>
                <w:p w14:paraId="66A91D3B">
                  <w:pPr>
                    <w:widowControl/>
                    <w:ind w:left="-84" w:leftChars="-40" w:right="-84" w:rightChars="-40"/>
                    <w:jc w:val="center"/>
                    <w:rPr>
                      <w:color w:val="auto"/>
                      <w:szCs w:val="21"/>
                    </w:rPr>
                  </w:pPr>
                </w:p>
              </w:tc>
            </w:tr>
            <w:tr w14:paraId="148E0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12"/>
                  <w:vAlign w:val="center"/>
                </w:tcPr>
                <w:p w14:paraId="4346F767">
                  <w:pPr>
                    <w:widowControl/>
                    <w:rPr>
                      <w:color w:val="auto"/>
                      <w:szCs w:val="21"/>
                    </w:rPr>
                  </w:pPr>
                  <w:r>
                    <w:rPr>
                      <w:color w:val="auto"/>
                    </w:rPr>
                    <w:t>备注：毒性（Toxicity, T）、易燃性（Ignitability, I）、感染性（Infectivity, In）。</w:t>
                  </w:r>
                </w:p>
              </w:tc>
            </w:tr>
          </w:tbl>
          <w:p w14:paraId="26E199A4">
            <w:pPr>
              <w:jc w:val="center"/>
              <w:rPr>
                <w:b/>
                <w:bCs/>
                <w:color w:val="auto"/>
                <w:sz w:val="24"/>
                <w:highlight w:val="yellow"/>
              </w:rPr>
            </w:pPr>
            <w:r>
              <w:rPr>
                <w:b/>
                <w:bCs/>
                <w:color w:val="auto"/>
                <w:sz w:val="24"/>
              </w:rPr>
              <w:t>表4-1</w:t>
            </w:r>
            <w:r>
              <w:rPr>
                <w:rFonts w:hint="eastAsia"/>
                <w:b/>
                <w:bCs/>
                <w:color w:val="auto"/>
                <w:sz w:val="24"/>
              </w:rPr>
              <w:t xml:space="preserve">4 </w:t>
            </w:r>
            <w:r>
              <w:rPr>
                <w:b/>
                <w:bCs/>
                <w:color w:val="auto"/>
                <w:sz w:val="24"/>
              </w:rPr>
              <w:t xml:space="preserve"> 建设项目危险废物贮存场所（设施）基本情况样表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
              <w:gridCol w:w="1431"/>
              <w:gridCol w:w="1020"/>
              <w:gridCol w:w="964"/>
              <w:gridCol w:w="1398"/>
              <w:gridCol w:w="687"/>
              <w:gridCol w:w="738"/>
              <w:gridCol w:w="719"/>
              <w:gridCol w:w="777"/>
              <w:gridCol w:w="685"/>
            </w:tblGrid>
            <w:tr w14:paraId="7C71C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5" w:type="dxa"/>
                  <w:vAlign w:val="center"/>
                </w:tcPr>
                <w:p w14:paraId="37CFF0BC">
                  <w:pPr>
                    <w:jc w:val="center"/>
                    <w:rPr>
                      <w:color w:val="auto"/>
                    </w:rPr>
                  </w:pPr>
                  <w:r>
                    <w:rPr>
                      <w:color w:val="auto"/>
                    </w:rPr>
                    <w:t>序号</w:t>
                  </w:r>
                </w:p>
              </w:tc>
              <w:tc>
                <w:tcPr>
                  <w:tcW w:w="1431" w:type="dxa"/>
                  <w:vAlign w:val="center"/>
                </w:tcPr>
                <w:p w14:paraId="3F533310">
                  <w:pPr>
                    <w:jc w:val="center"/>
                    <w:rPr>
                      <w:color w:val="auto"/>
                    </w:rPr>
                  </w:pPr>
                  <w:r>
                    <w:rPr>
                      <w:color w:val="auto"/>
                    </w:rPr>
                    <w:t>贮存场所（设施）名称</w:t>
                  </w:r>
                </w:p>
              </w:tc>
              <w:tc>
                <w:tcPr>
                  <w:tcW w:w="1020" w:type="dxa"/>
                  <w:vAlign w:val="center"/>
                </w:tcPr>
                <w:p w14:paraId="75DAD3B0">
                  <w:pPr>
                    <w:jc w:val="center"/>
                    <w:rPr>
                      <w:color w:val="auto"/>
                    </w:rPr>
                  </w:pPr>
                  <w:r>
                    <w:rPr>
                      <w:color w:val="auto"/>
                    </w:rPr>
                    <w:t>危险废物名称</w:t>
                  </w:r>
                </w:p>
              </w:tc>
              <w:tc>
                <w:tcPr>
                  <w:tcW w:w="964" w:type="dxa"/>
                  <w:vAlign w:val="center"/>
                </w:tcPr>
                <w:p w14:paraId="66F7EFD6">
                  <w:pPr>
                    <w:jc w:val="center"/>
                    <w:rPr>
                      <w:color w:val="auto"/>
                    </w:rPr>
                  </w:pPr>
                  <w:r>
                    <w:rPr>
                      <w:color w:val="auto"/>
                    </w:rPr>
                    <w:t>危险废物类别</w:t>
                  </w:r>
                </w:p>
              </w:tc>
              <w:tc>
                <w:tcPr>
                  <w:tcW w:w="1398" w:type="dxa"/>
                  <w:vAlign w:val="center"/>
                </w:tcPr>
                <w:p w14:paraId="50B8C9F8">
                  <w:pPr>
                    <w:jc w:val="center"/>
                    <w:rPr>
                      <w:color w:val="auto"/>
                    </w:rPr>
                  </w:pPr>
                  <w:r>
                    <w:rPr>
                      <w:color w:val="auto"/>
                    </w:rPr>
                    <w:t>危险废物代码</w:t>
                  </w:r>
                </w:p>
              </w:tc>
              <w:tc>
                <w:tcPr>
                  <w:tcW w:w="687" w:type="dxa"/>
                  <w:vAlign w:val="center"/>
                </w:tcPr>
                <w:p w14:paraId="5C291824">
                  <w:pPr>
                    <w:jc w:val="center"/>
                    <w:rPr>
                      <w:color w:val="auto"/>
                    </w:rPr>
                  </w:pPr>
                  <w:r>
                    <w:rPr>
                      <w:color w:val="auto"/>
                    </w:rPr>
                    <w:t>位置</w:t>
                  </w:r>
                </w:p>
              </w:tc>
              <w:tc>
                <w:tcPr>
                  <w:tcW w:w="738" w:type="dxa"/>
                  <w:vAlign w:val="center"/>
                </w:tcPr>
                <w:p w14:paraId="2F90103F">
                  <w:pPr>
                    <w:jc w:val="center"/>
                    <w:rPr>
                      <w:color w:val="auto"/>
                    </w:rPr>
                  </w:pPr>
                  <w:r>
                    <w:rPr>
                      <w:color w:val="auto"/>
                    </w:rPr>
                    <w:t>占地面积</w:t>
                  </w:r>
                </w:p>
              </w:tc>
              <w:tc>
                <w:tcPr>
                  <w:tcW w:w="719" w:type="dxa"/>
                  <w:vAlign w:val="center"/>
                </w:tcPr>
                <w:p w14:paraId="44CBFB55">
                  <w:pPr>
                    <w:jc w:val="center"/>
                    <w:rPr>
                      <w:color w:val="auto"/>
                    </w:rPr>
                  </w:pPr>
                  <w:r>
                    <w:rPr>
                      <w:color w:val="auto"/>
                    </w:rPr>
                    <w:t>贮存方式</w:t>
                  </w:r>
                </w:p>
              </w:tc>
              <w:tc>
                <w:tcPr>
                  <w:tcW w:w="777" w:type="dxa"/>
                  <w:vAlign w:val="center"/>
                </w:tcPr>
                <w:p w14:paraId="6075B96E">
                  <w:pPr>
                    <w:jc w:val="center"/>
                    <w:rPr>
                      <w:color w:val="auto"/>
                    </w:rPr>
                  </w:pPr>
                  <w:r>
                    <w:rPr>
                      <w:color w:val="auto"/>
                    </w:rPr>
                    <w:t>贮存能力</w:t>
                  </w:r>
                </w:p>
              </w:tc>
              <w:tc>
                <w:tcPr>
                  <w:tcW w:w="685" w:type="dxa"/>
                  <w:vAlign w:val="center"/>
                </w:tcPr>
                <w:p w14:paraId="1F578ABA">
                  <w:pPr>
                    <w:jc w:val="center"/>
                    <w:rPr>
                      <w:color w:val="auto"/>
                    </w:rPr>
                  </w:pPr>
                  <w:r>
                    <w:rPr>
                      <w:color w:val="auto"/>
                    </w:rPr>
                    <w:t>贮存周期</w:t>
                  </w:r>
                </w:p>
              </w:tc>
            </w:tr>
            <w:tr w14:paraId="5DF58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5" w:type="dxa"/>
                  <w:vAlign w:val="center"/>
                </w:tcPr>
                <w:p w14:paraId="34B676F1">
                  <w:pPr>
                    <w:jc w:val="center"/>
                    <w:rPr>
                      <w:color w:val="auto"/>
                    </w:rPr>
                  </w:pPr>
                  <w:r>
                    <w:rPr>
                      <w:color w:val="auto"/>
                    </w:rPr>
                    <w:t>1</w:t>
                  </w:r>
                </w:p>
              </w:tc>
              <w:tc>
                <w:tcPr>
                  <w:tcW w:w="1431" w:type="dxa"/>
                  <w:vMerge w:val="restart"/>
                  <w:vAlign w:val="center"/>
                </w:tcPr>
                <w:p w14:paraId="56FDC966">
                  <w:pPr>
                    <w:jc w:val="center"/>
                    <w:rPr>
                      <w:color w:val="auto"/>
                    </w:rPr>
                  </w:pPr>
                  <w:r>
                    <w:rPr>
                      <w:color w:val="auto"/>
                    </w:rPr>
                    <w:t>危险废物暂存间</w:t>
                  </w:r>
                </w:p>
              </w:tc>
              <w:tc>
                <w:tcPr>
                  <w:tcW w:w="1020" w:type="dxa"/>
                  <w:vAlign w:val="center"/>
                </w:tcPr>
                <w:p w14:paraId="612443B1">
                  <w:pPr>
                    <w:pStyle w:val="39"/>
                    <w:ind w:left="-84" w:leftChars="-40" w:right="-84" w:rightChars="-40"/>
                    <w:rPr>
                      <w:color w:val="auto"/>
                    </w:rPr>
                  </w:pPr>
                  <w:r>
                    <w:rPr>
                      <w:color w:val="auto"/>
                      <w:lang w:val="zh-CN"/>
                    </w:rPr>
                    <w:t>废</w:t>
                  </w:r>
                  <w:r>
                    <w:rPr>
                      <w:rFonts w:hint="eastAsia"/>
                      <w:color w:val="auto"/>
                    </w:rPr>
                    <w:t>机油</w:t>
                  </w:r>
                </w:p>
              </w:tc>
              <w:tc>
                <w:tcPr>
                  <w:tcW w:w="964" w:type="dxa"/>
                  <w:vAlign w:val="center"/>
                </w:tcPr>
                <w:p w14:paraId="4745BDE2">
                  <w:pPr>
                    <w:ind w:left="-84" w:leftChars="-40" w:right="-84" w:rightChars="-40"/>
                    <w:jc w:val="center"/>
                    <w:rPr>
                      <w:color w:val="auto"/>
                    </w:rPr>
                  </w:pPr>
                  <w:r>
                    <w:rPr>
                      <w:color w:val="auto"/>
                      <w:szCs w:val="21"/>
                    </w:rPr>
                    <w:t>HW</w:t>
                  </w:r>
                  <w:r>
                    <w:rPr>
                      <w:rFonts w:hint="eastAsia"/>
                      <w:color w:val="auto"/>
                      <w:szCs w:val="21"/>
                    </w:rPr>
                    <w:t>08</w:t>
                  </w:r>
                </w:p>
              </w:tc>
              <w:tc>
                <w:tcPr>
                  <w:tcW w:w="1398" w:type="dxa"/>
                  <w:vAlign w:val="center"/>
                </w:tcPr>
                <w:p w14:paraId="5992661C">
                  <w:pPr>
                    <w:jc w:val="center"/>
                    <w:rPr>
                      <w:color w:val="auto"/>
                    </w:rPr>
                  </w:pPr>
                  <w:r>
                    <w:rPr>
                      <w:rFonts w:eastAsia="Times New Roman"/>
                      <w:color w:val="auto"/>
                      <w:spacing w:val="3"/>
                      <w:szCs w:val="21"/>
                    </w:rPr>
                    <w:t>900-2</w:t>
                  </w:r>
                  <w:r>
                    <w:rPr>
                      <w:rFonts w:hint="eastAsia"/>
                      <w:color w:val="auto"/>
                      <w:spacing w:val="3"/>
                      <w:szCs w:val="21"/>
                    </w:rPr>
                    <w:t>49</w:t>
                  </w:r>
                  <w:r>
                    <w:rPr>
                      <w:rFonts w:eastAsia="Times New Roman"/>
                      <w:color w:val="auto"/>
                      <w:spacing w:val="3"/>
                      <w:szCs w:val="21"/>
                    </w:rPr>
                    <w:t>-</w:t>
                  </w:r>
                  <w:r>
                    <w:rPr>
                      <w:rFonts w:eastAsia="Times New Roman"/>
                      <w:color w:val="auto"/>
                      <w:spacing w:val="1"/>
                      <w:szCs w:val="21"/>
                    </w:rPr>
                    <w:t>08</w:t>
                  </w:r>
                </w:p>
              </w:tc>
              <w:tc>
                <w:tcPr>
                  <w:tcW w:w="687" w:type="dxa"/>
                  <w:vMerge w:val="restart"/>
                  <w:vAlign w:val="center"/>
                </w:tcPr>
                <w:p w14:paraId="6064264C">
                  <w:pPr>
                    <w:jc w:val="center"/>
                    <w:rPr>
                      <w:color w:val="auto"/>
                    </w:rPr>
                  </w:pPr>
                  <w:r>
                    <w:rPr>
                      <w:color w:val="auto"/>
                    </w:rPr>
                    <w:t>生产车间</w:t>
                  </w:r>
                </w:p>
              </w:tc>
              <w:tc>
                <w:tcPr>
                  <w:tcW w:w="738" w:type="dxa"/>
                  <w:vMerge w:val="restart"/>
                  <w:vAlign w:val="center"/>
                </w:tcPr>
                <w:p w14:paraId="7D1E218D">
                  <w:pPr>
                    <w:jc w:val="center"/>
                    <w:rPr>
                      <w:color w:val="auto"/>
                    </w:rPr>
                  </w:pPr>
                  <w:r>
                    <w:rPr>
                      <w:rFonts w:hint="eastAsia"/>
                      <w:color w:val="auto"/>
                    </w:rPr>
                    <w:t>10</w:t>
                  </w:r>
                  <w:r>
                    <w:rPr>
                      <w:color w:val="auto"/>
                    </w:rPr>
                    <w:t>m</w:t>
                  </w:r>
                  <w:r>
                    <w:rPr>
                      <w:color w:val="auto"/>
                      <w:vertAlign w:val="superscript"/>
                    </w:rPr>
                    <w:t>2</w:t>
                  </w:r>
                </w:p>
              </w:tc>
              <w:tc>
                <w:tcPr>
                  <w:tcW w:w="719" w:type="dxa"/>
                  <w:vAlign w:val="center"/>
                </w:tcPr>
                <w:p w14:paraId="07FA064D">
                  <w:pPr>
                    <w:jc w:val="center"/>
                    <w:rPr>
                      <w:color w:val="auto"/>
                    </w:rPr>
                  </w:pPr>
                  <w:r>
                    <w:rPr>
                      <w:rFonts w:hint="eastAsia"/>
                      <w:color w:val="auto"/>
                    </w:rPr>
                    <w:t>桶装</w:t>
                  </w:r>
                </w:p>
              </w:tc>
              <w:tc>
                <w:tcPr>
                  <w:tcW w:w="777" w:type="dxa"/>
                  <w:vAlign w:val="center"/>
                </w:tcPr>
                <w:p w14:paraId="1DD076FD">
                  <w:pPr>
                    <w:jc w:val="center"/>
                    <w:rPr>
                      <w:color w:val="auto"/>
                    </w:rPr>
                  </w:pPr>
                  <w:r>
                    <w:rPr>
                      <w:rFonts w:hint="eastAsia"/>
                      <w:color w:val="auto"/>
                    </w:rPr>
                    <w:t>0.5</w:t>
                  </w:r>
                  <w:r>
                    <w:rPr>
                      <w:color w:val="auto"/>
                    </w:rPr>
                    <w:t>t</w:t>
                  </w:r>
                </w:p>
              </w:tc>
              <w:tc>
                <w:tcPr>
                  <w:tcW w:w="685" w:type="dxa"/>
                  <w:vMerge w:val="restart"/>
                  <w:vAlign w:val="center"/>
                </w:tcPr>
                <w:p w14:paraId="61719888">
                  <w:pPr>
                    <w:jc w:val="center"/>
                    <w:rPr>
                      <w:color w:val="auto"/>
                    </w:rPr>
                  </w:pPr>
                  <w:r>
                    <w:rPr>
                      <w:rFonts w:hint="eastAsia"/>
                      <w:color w:val="auto"/>
                    </w:rPr>
                    <w:t>3</w:t>
                  </w:r>
                  <w:r>
                    <w:rPr>
                      <w:color w:val="auto"/>
                    </w:rPr>
                    <w:t>个月</w:t>
                  </w:r>
                </w:p>
              </w:tc>
            </w:tr>
            <w:tr w14:paraId="7CD6C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5" w:type="dxa"/>
                  <w:vAlign w:val="center"/>
                </w:tcPr>
                <w:p w14:paraId="2EE26C13">
                  <w:pPr>
                    <w:jc w:val="center"/>
                    <w:rPr>
                      <w:color w:val="auto"/>
                    </w:rPr>
                  </w:pPr>
                  <w:r>
                    <w:rPr>
                      <w:rFonts w:hint="eastAsia"/>
                      <w:color w:val="auto"/>
                    </w:rPr>
                    <w:t>2</w:t>
                  </w:r>
                </w:p>
              </w:tc>
              <w:tc>
                <w:tcPr>
                  <w:tcW w:w="1431" w:type="dxa"/>
                  <w:vMerge w:val="continue"/>
                  <w:vAlign w:val="center"/>
                </w:tcPr>
                <w:p w14:paraId="3F58DB69">
                  <w:pPr>
                    <w:jc w:val="center"/>
                    <w:rPr>
                      <w:color w:val="auto"/>
                    </w:rPr>
                  </w:pPr>
                </w:p>
              </w:tc>
              <w:tc>
                <w:tcPr>
                  <w:tcW w:w="1020" w:type="dxa"/>
                  <w:vAlign w:val="center"/>
                </w:tcPr>
                <w:p w14:paraId="4EE62210">
                  <w:pPr>
                    <w:pStyle w:val="39"/>
                    <w:ind w:left="-84" w:leftChars="-40" w:right="-84" w:rightChars="-40"/>
                    <w:rPr>
                      <w:color w:val="auto"/>
                    </w:rPr>
                  </w:pPr>
                  <w:r>
                    <w:rPr>
                      <w:rFonts w:hint="eastAsia"/>
                      <w:color w:val="auto"/>
                    </w:rPr>
                    <w:t>废机油桶</w:t>
                  </w:r>
                </w:p>
              </w:tc>
              <w:tc>
                <w:tcPr>
                  <w:tcW w:w="964" w:type="dxa"/>
                  <w:vAlign w:val="center"/>
                </w:tcPr>
                <w:p w14:paraId="6DB58E43">
                  <w:pPr>
                    <w:ind w:left="-84" w:leftChars="-40" w:right="-84" w:rightChars="-40"/>
                    <w:jc w:val="center"/>
                    <w:rPr>
                      <w:color w:val="auto"/>
                    </w:rPr>
                  </w:pPr>
                  <w:r>
                    <w:rPr>
                      <w:color w:val="auto"/>
                      <w:szCs w:val="21"/>
                    </w:rPr>
                    <w:t>HW</w:t>
                  </w:r>
                  <w:r>
                    <w:rPr>
                      <w:rFonts w:hint="eastAsia"/>
                      <w:color w:val="auto"/>
                      <w:szCs w:val="21"/>
                    </w:rPr>
                    <w:t>08</w:t>
                  </w:r>
                </w:p>
              </w:tc>
              <w:tc>
                <w:tcPr>
                  <w:tcW w:w="1398" w:type="dxa"/>
                  <w:vAlign w:val="center"/>
                </w:tcPr>
                <w:p w14:paraId="691F80FF">
                  <w:pPr>
                    <w:jc w:val="center"/>
                    <w:rPr>
                      <w:color w:val="auto"/>
                    </w:rPr>
                  </w:pPr>
                  <w:r>
                    <w:rPr>
                      <w:rFonts w:eastAsia="Times New Roman"/>
                      <w:color w:val="auto"/>
                      <w:spacing w:val="3"/>
                      <w:szCs w:val="21"/>
                    </w:rPr>
                    <w:t>900-2</w:t>
                  </w:r>
                  <w:r>
                    <w:rPr>
                      <w:rFonts w:hint="eastAsia"/>
                      <w:color w:val="auto"/>
                      <w:spacing w:val="3"/>
                      <w:szCs w:val="21"/>
                    </w:rPr>
                    <w:t>49</w:t>
                  </w:r>
                  <w:r>
                    <w:rPr>
                      <w:rFonts w:eastAsia="Times New Roman"/>
                      <w:color w:val="auto"/>
                      <w:spacing w:val="3"/>
                      <w:szCs w:val="21"/>
                    </w:rPr>
                    <w:t>-</w:t>
                  </w:r>
                  <w:r>
                    <w:rPr>
                      <w:rFonts w:eastAsia="Times New Roman"/>
                      <w:color w:val="auto"/>
                      <w:spacing w:val="1"/>
                      <w:szCs w:val="21"/>
                    </w:rPr>
                    <w:t>08</w:t>
                  </w:r>
                </w:p>
              </w:tc>
              <w:tc>
                <w:tcPr>
                  <w:tcW w:w="687" w:type="dxa"/>
                  <w:vMerge w:val="continue"/>
                  <w:vAlign w:val="center"/>
                </w:tcPr>
                <w:p w14:paraId="78A49CC3">
                  <w:pPr>
                    <w:jc w:val="center"/>
                    <w:rPr>
                      <w:color w:val="auto"/>
                    </w:rPr>
                  </w:pPr>
                </w:p>
              </w:tc>
              <w:tc>
                <w:tcPr>
                  <w:tcW w:w="738" w:type="dxa"/>
                  <w:vMerge w:val="continue"/>
                  <w:vAlign w:val="center"/>
                </w:tcPr>
                <w:p w14:paraId="5E1ED4C8">
                  <w:pPr>
                    <w:jc w:val="center"/>
                    <w:rPr>
                      <w:color w:val="auto"/>
                    </w:rPr>
                  </w:pPr>
                </w:p>
              </w:tc>
              <w:tc>
                <w:tcPr>
                  <w:tcW w:w="719" w:type="dxa"/>
                  <w:vAlign w:val="center"/>
                </w:tcPr>
                <w:p w14:paraId="5FD5E4E1">
                  <w:pPr>
                    <w:jc w:val="center"/>
                    <w:rPr>
                      <w:color w:val="auto"/>
                    </w:rPr>
                  </w:pPr>
                  <w:r>
                    <w:rPr>
                      <w:rFonts w:hint="eastAsia"/>
                      <w:color w:val="auto"/>
                    </w:rPr>
                    <w:t>桶装</w:t>
                  </w:r>
                </w:p>
              </w:tc>
              <w:tc>
                <w:tcPr>
                  <w:tcW w:w="777" w:type="dxa"/>
                  <w:vAlign w:val="center"/>
                </w:tcPr>
                <w:p w14:paraId="2BBA7EFB">
                  <w:pPr>
                    <w:jc w:val="center"/>
                    <w:rPr>
                      <w:color w:val="auto"/>
                    </w:rPr>
                  </w:pPr>
                  <w:r>
                    <w:rPr>
                      <w:rFonts w:hint="eastAsia"/>
                      <w:color w:val="auto"/>
                    </w:rPr>
                    <w:t>1.0t</w:t>
                  </w:r>
                </w:p>
              </w:tc>
              <w:tc>
                <w:tcPr>
                  <w:tcW w:w="685" w:type="dxa"/>
                  <w:vMerge w:val="continue"/>
                  <w:vAlign w:val="center"/>
                </w:tcPr>
                <w:p w14:paraId="2CA62499">
                  <w:pPr>
                    <w:jc w:val="center"/>
                    <w:rPr>
                      <w:color w:val="auto"/>
                    </w:rPr>
                  </w:pPr>
                </w:p>
              </w:tc>
            </w:tr>
          </w:tbl>
          <w:p w14:paraId="57370C3A">
            <w:pPr>
              <w:widowControl/>
              <w:shd w:val="clear" w:color="auto" w:fill="FFFFFF"/>
              <w:spacing w:line="360" w:lineRule="auto"/>
              <w:jc w:val="left"/>
              <w:rPr>
                <w:b/>
                <w:color w:val="auto"/>
                <w:sz w:val="24"/>
              </w:rPr>
            </w:pPr>
            <w:r>
              <w:rPr>
                <w:b/>
                <w:color w:val="auto"/>
                <w:sz w:val="24"/>
              </w:rPr>
              <w:t>4.2固废防治措施</w:t>
            </w:r>
          </w:p>
          <w:p w14:paraId="75DCFAB0">
            <w:pPr>
              <w:spacing w:line="360" w:lineRule="auto"/>
              <w:ind w:firstLine="480" w:firstLineChars="200"/>
              <w:rPr>
                <w:color w:val="auto"/>
                <w:sz w:val="24"/>
              </w:rPr>
            </w:pPr>
            <w:r>
              <w:rPr>
                <w:color w:val="auto"/>
                <w:sz w:val="24"/>
              </w:rPr>
              <w:t>环境管理要求：</w:t>
            </w:r>
          </w:p>
          <w:p w14:paraId="398A282D">
            <w:pPr>
              <w:spacing w:line="360" w:lineRule="auto"/>
              <w:ind w:firstLine="480" w:firstLineChars="200"/>
              <w:rPr>
                <w:color w:val="auto"/>
                <w:sz w:val="24"/>
              </w:rPr>
            </w:pPr>
            <w:r>
              <w:rPr>
                <w:color w:val="auto"/>
                <w:sz w:val="24"/>
              </w:rPr>
              <w:t>项目一般固体废物存放一般固废暂存间，暂存场地的设置应符合《一般工业固体废物贮存和填埋污染控制标准》（GB18599-2020）中的规定。</w:t>
            </w:r>
          </w:p>
          <w:p w14:paraId="0434121B">
            <w:pPr>
              <w:spacing w:line="360" w:lineRule="auto"/>
              <w:ind w:firstLine="480" w:firstLineChars="200"/>
              <w:rPr>
                <w:color w:val="auto"/>
                <w:sz w:val="24"/>
              </w:rPr>
            </w:pPr>
            <w:r>
              <w:rPr>
                <w:rFonts w:hint="eastAsia"/>
                <w:color w:val="auto"/>
                <w:sz w:val="24"/>
              </w:rPr>
              <w:t>本项目依托原有已建一般固废暂存间50m²，位于原料车间东北角，用于暂存项目产生的布袋除尘器收尘、污泥等一般固废。</w:t>
            </w:r>
          </w:p>
          <w:p w14:paraId="5CA73B6C">
            <w:pPr>
              <w:spacing w:line="360" w:lineRule="auto"/>
              <w:ind w:firstLine="482" w:firstLineChars="200"/>
              <w:rPr>
                <w:b/>
                <w:bCs/>
                <w:color w:val="auto"/>
                <w:sz w:val="24"/>
              </w:rPr>
            </w:pPr>
            <w:r>
              <w:rPr>
                <w:b/>
                <w:bCs/>
                <w:color w:val="auto"/>
                <w:sz w:val="24"/>
              </w:rPr>
              <w:t>一般固废暂存间设置要求做到以下几点：</w:t>
            </w:r>
          </w:p>
          <w:p w14:paraId="169F7F1F">
            <w:pPr>
              <w:spacing w:line="360" w:lineRule="auto"/>
              <w:ind w:firstLine="480" w:firstLineChars="200"/>
              <w:rPr>
                <w:color w:val="auto"/>
                <w:sz w:val="24"/>
              </w:rPr>
            </w:pPr>
            <w:r>
              <w:rPr>
                <w:color w:val="auto"/>
                <w:sz w:val="24"/>
              </w:rPr>
              <w:t>（1）贮存场、填埋场的环境保护图形标志应符合《一般工业固体废物贮存和填埋污染控制标准》（GB18599-2020）的规定，并应定期检查和维护。</w:t>
            </w:r>
          </w:p>
          <w:p w14:paraId="7FDC766A">
            <w:pPr>
              <w:spacing w:line="360" w:lineRule="auto"/>
              <w:ind w:firstLine="480" w:firstLineChars="200"/>
              <w:rPr>
                <w:color w:val="auto"/>
                <w:sz w:val="24"/>
              </w:rPr>
            </w:pPr>
            <w:r>
              <w:rPr>
                <w:color w:val="auto"/>
                <w:sz w:val="24"/>
              </w:rPr>
              <w:t>（2）不相容的一般工业固体废物应设置不同的分区进行贮存和填埋作业。</w:t>
            </w:r>
          </w:p>
          <w:p w14:paraId="47B7BC84">
            <w:pPr>
              <w:spacing w:line="360" w:lineRule="auto"/>
              <w:ind w:firstLine="480" w:firstLineChars="200"/>
              <w:rPr>
                <w:color w:val="auto"/>
                <w:sz w:val="24"/>
              </w:rPr>
            </w:pPr>
            <w:r>
              <w:rPr>
                <w:color w:val="auto"/>
                <w:sz w:val="24"/>
              </w:rPr>
              <w:t>（3）危险废物和生活垃圾不得进入一般工业固体废物贮存场及填埋场。</w:t>
            </w:r>
          </w:p>
          <w:p w14:paraId="6EC7DF1B">
            <w:pPr>
              <w:spacing w:line="360" w:lineRule="auto"/>
              <w:ind w:firstLine="480" w:firstLineChars="200"/>
              <w:rPr>
                <w:color w:val="auto"/>
                <w:sz w:val="24"/>
              </w:rPr>
            </w:pPr>
            <w:r>
              <w:rPr>
                <w:color w:val="auto"/>
                <w:sz w:val="24"/>
              </w:rPr>
              <w:t>（4）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p>
          <w:p w14:paraId="04C6EFC5">
            <w:pPr>
              <w:spacing w:line="360" w:lineRule="auto"/>
              <w:ind w:firstLine="480" w:firstLineChars="200"/>
              <w:rPr>
                <w:color w:val="auto"/>
                <w:sz w:val="24"/>
              </w:rPr>
            </w:pPr>
            <w:r>
              <w:rPr>
                <w:color w:val="auto"/>
                <w:sz w:val="24"/>
              </w:rPr>
              <w:t>（5）产生工业固体废物的单位委托他人运输、利用、处置工业固体废物的，应当对受托方的主体资格和技术能力进行核实，依法签订书面合同，在合同中约定污染防治要求。</w:t>
            </w:r>
          </w:p>
          <w:p w14:paraId="5EE90DD7">
            <w:pPr>
              <w:spacing w:line="360" w:lineRule="auto"/>
              <w:ind w:firstLine="480" w:firstLineChars="200"/>
              <w:rPr>
                <w:color w:val="auto"/>
                <w:sz w:val="24"/>
              </w:rPr>
            </w:pPr>
            <w:r>
              <w:rPr>
                <w:color w:val="auto"/>
                <w:sz w:val="24"/>
              </w:rPr>
              <w:t>受托方运输、利用、处置工业固体废物，应当依照有关法律法规的规定和合同约定履行污染防治要求，并将运输、利用、处置情况告知产生工业固体废物的单位。</w:t>
            </w:r>
          </w:p>
          <w:p w14:paraId="2DC4D091">
            <w:pPr>
              <w:spacing w:line="360" w:lineRule="auto"/>
              <w:ind w:firstLine="480" w:firstLineChars="200"/>
              <w:rPr>
                <w:color w:val="auto"/>
                <w:sz w:val="24"/>
              </w:rPr>
            </w:pPr>
            <w:r>
              <w:rPr>
                <w:color w:val="auto"/>
                <w:sz w:val="24"/>
              </w:rPr>
              <w:t>（6）产生工业固体废物的单位应当取得排污许可证。排污许可的具体办法和实施步骤由国务院规定。</w:t>
            </w:r>
          </w:p>
          <w:p w14:paraId="72820DE2">
            <w:pPr>
              <w:spacing w:line="360" w:lineRule="auto"/>
              <w:ind w:firstLine="480" w:firstLineChars="200"/>
              <w:rPr>
                <w:color w:val="auto"/>
                <w:sz w:val="24"/>
              </w:rPr>
            </w:pPr>
            <w:r>
              <w:rPr>
                <w:color w:val="auto"/>
                <w:sz w:val="24"/>
              </w:rPr>
              <w:t>产生工业固体废物的单位应当向所在地生态环境主管部门提供工业固体废物的种类、数量、流向、贮存、利用、处置等有关资料，以及减少工业固体废物产生、促进综合利用的具体措施，并执行排污许可管理制度的相关规定。</w:t>
            </w:r>
          </w:p>
          <w:p w14:paraId="025B94AF">
            <w:pPr>
              <w:spacing w:line="360" w:lineRule="auto"/>
              <w:ind w:firstLine="480" w:firstLineChars="200"/>
              <w:rPr>
                <w:color w:val="auto"/>
                <w:sz w:val="24"/>
              </w:rPr>
            </w:pPr>
            <w:r>
              <w:rPr>
                <w:rFonts w:hint="eastAsia"/>
                <w:color w:val="auto"/>
                <w:sz w:val="24"/>
              </w:rPr>
              <w:t>（7）</w:t>
            </w:r>
            <w:r>
              <w:rPr>
                <w:color w:val="auto"/>
                <w:sz w:val="24"/>
              </w:rPr>
              <w:t>产生工业固体废物的单位应当根据经济、技术条件对工业固体废物加以利用；对暂时不利用或者不能利用的，应当按照国务院生态环境等主管部门的规定建设贮存设施、场所，安全分类存放，或者采取无害化处置措施。贮存工业固体废物应当采取符合国家环境保护标准的防护措施</w:t>
            </w:r>
            <w:r>
              <w:rPr>
                <w:rFonts w:hint="eastAsia"/>
                <w:color w:val="auto"/>
                <w:sz w:val="24"/>
              </w:rPr>
              <w:t>。</w:t>
            </w:r>
          </w:p>
          <w:p w14:paraId="0E63C18A">
            <w:pPr>
              <w:pStyle w:val="65"/>
              <w:wordWrap w:val="0"/>
              <w:spacing w:before="0" w:line="360" w:lineRule="auto"/>
              <w:ind w:firstLineChars="200"/>
              <w:rPr>
                <w:rFonts w:ascii="Times New Roman" w:hAnsi="Times New Roman"/>
                <w:color w:val="auto"/>
                <w:kern w:val="0"/>
                <w:sz w:val="24"/>
                <w:lang w:bidi="ar"/>
              </w:rPr>
            </w:pPr>
            <w:r>
              <w:rPr>
                <w:rFonts w:ascii="Times New Roman" w:hAnsi="Times New Roman"/>
                <w:b/>
                <w:bCs/>
                <w:color w:val="auto"/>
                <w:sz w:val="24"/>
                <w:lang w:bidi="ar"/>
              </w:rPr>
              <w:t>危险废物暂存间设置要求做到以下几点：</w:t>
            </w:r>
          </w:p>
          <w:p w14:paraId="240474F2">
            <w:pPr>
              <w:spacing w:line="360" w:lineRule="auto"/>
              <w:ind w:firstLine="480" w:firstLineChars="200"/>
              <w:rPr>
                <w:color w:val="auto"/>
                <w:kern w:val="0"/>
                <w:sz w:val="24"/>
              </w:rPr>
            </w:pPr>
            <w:r>
              <w:rPr>
                <w:color w:val="auto"/>
                <w:kern w:val="0"/>
                <w:sz w:val="24"/>
                <w:lang w:bidi="ar"/>
              </w:rPr>
              <w:t>项目</w:t>
            </w:r>
            <w:r>
              <w:rPr>
                <w:rFonts w:hint="eastAsia"/>
                <w:color w:val="auto"/>
                <w:kern w:val="0"/>
                <w:sz w:val="24"/>
                <w:lang w:bidi="ar"/>
              </w:rPr>
              <w:t>新建危险废物暂存间，危险废物暂存间面积约10m²，位于厂区内东侧</w:t>
            </w:r>
            <w:r>
              <w:rPr>
                <w:color w:val="auto"/>
                <w:kern w:val="0"/>
                <w:sz w:val="24"/>
                <w:lang w:bidi="ar"/>
              </w:rPr>
              <w:t>，</w:t>
            </w:r>
            <w:r>
              <w:rPr>
                <w:rFonts w:hint="eastAsia"/>
                <w:color w:val="auto"/>
                <w:kern w:val="0"/>
                <w:sz w:val="24"/>
                <w:lang w:bidi="ar"/>
              </w:rPr>
              <w:t>项目产生的废机油、废机油桶等危险废物暂存间，</w:t>
            </w:r>
            <w:r>
              <w:rPr>
                <w:color w:val="auto"/>
                <w:kern w:val="0"/>
                <w:sz w:val="24"/>
                <w:lang w:bidi="ar"/>
              </w:rPr>
              <w:t>并定期委托有资质单位进行处置，</w:t>
            </w:r>
            <w:r>
              <w:rPr>
                <w:color w:val="auto"/>
                <w:kern w:val="0"/>
                <w:sz w:val="24"/>
              </w:rPr>
              <w:t>根据《危险废物贮存污染控制标准》（GB18597-2023）有关规定，危险废物临时贮存的一般要求、危险废物临时贮存容器的选取、危废临时贮存设施的选址与设计原则、危废临时贮存设施的运行与管理、危废临时贮存设施的安全防护与监测、危废临时贮存设施的关闭等均需严格按照规定执行。一般固废不得与危险废物混合，需分开存放并及时处置，危险固废定期委托有资质单位处置。</w:t>
            </w:r>
          </w:p>
          <w:p w14:paraId="5A074007">
            <w:pPr>
              <w:spacing w:line="360" w:lineRule="auto"/>
              <w:ind w:firstLine="480" w:firstLineChars="200"/>
              <w:jc w:val="left"/>
              <w:rPr>
                <w:color w:val="auto"/>
                <w:kern w:val="0"/>
                <w:sz w:val="24"/>
              </w:rPr>
            </w:pPr>
            <w:r>
              <w:rPr>
                <w:rFonts w:hint="eastAsia"/>
                <w:color w:val="auto"/>
                <w:kern w:val="0"/>
                <w:sz w:val="24"/>
              </w:rPr>
              <w:t>贮存可行性分析</w:t>
            </w:r>
          </w:p>
          <w:p w14:paraId="63303DC2">
            <w:pPr>
              <w:pStyle w:val="13"/>
              <w:spacing w:after="0" w:line="360" w:lineRule="auto"/>
              <w:ind w:left="0" w:leftChars="0" w:firstLine="480"/>
              <w:rPr>
                <w:color w:val="auto"/>
              </w:rPr>
            </w:pPr>
            <w:r>
              <w:rPr>
                <w:color w:val="auto"/>
              </w:rPr>
              <w:t>项目厂区危废暂存场所占地面积</w:t>
            </w:r>
            <w:r>
              <w:rPr>
                <w:rFonts w:hint="eastAsia"/>
                <w:color w:val="auto"/>
              </w:rPr>
              <w:t>10</w:t>
            </w:r>
            <w:r>
              <w:rPr>
                <w:color w:val="auto"/>
              </w:rPr>
              <w:t>m</w:t>
            </w:r>
            <w:r>
              <w:rPr>
                <w:color w:val="auto"/>
                <w:vertAlign w:val="superscript"/>
              </w:rPr>
              <w:t>2</w:t>
            </w:r>
            <w:r>
              <w:rPr>
                <w:color w:val="auto"/>
              </w:rPr>
              <w:t>，</w:t>
            </w:r>
            <w:r>
              <w:rPr>
                <w:rFonts w:hint="eastAsia"/>
                <w:color w:val="auto"/>
              </w:rPr>
              <w:t>最大暂存量约3.5t，</w:t>
            </w:r>
            <w:r>
              <w:rPr>
                <w:color w:val="auto"/>
              </w:rPr>
              <w:t>危废产生量为</w:t>
            </w:r>
            <w:r>
              <w:rPr>
                <w:rFonts w:hint="eastAsia"/>
                <w:color w:val="auto"/>
              </w:rPr>
              <w:t>1.5</w:t>
            </w:r>
            <w:r>
              <w:rPr>
                <w:color w:val="auto"/>
              </w:rPr>
              <w:t>t/a</w:t>
            </w:r>
            <w:r>
              <w:rPr>
                <w:rFonts w:hint="eastAsia"/>
                <w:color w:val="auto"/>
              </w:rPr>
              <w:t>，则最多暂存</w:t>
            </w:r>
            <w:r>
              <w:rPr>
                <w:color w:val="auto"/>
              </w:rPr>
              <w:t>量约</w:t>
            </w:r>
            <w:r>
              <w:rPr>
                <w:rFonts w:hint="eastAsia"/>
                <w:color w:val="auto"/>
              </w:rPr>
              <w:t>1.5</w:t>
            </w:r>
            <w:r>
              <w:rPr>
                <w:color w:val="auto"/>
              </w:rPr>
              <w:t>t</w:t>
            </w:r>
            <w:r>
              <w:rPr>
                <w:rFonts w:hint="eastAsia"/>
                <w:color w:val="auto"/>
              </w:rPr>
              <w:t>。项目建设10</w:t>
            </w:r>
            <w:r>
              <w:rPr>
                <w:color w:val="auto"/>
              </w:rPr>
              <w:t>m</w:t>
            </w:r>
            <w:r>
              <w:rPr>
                <w:color w:val="auto"/>
                <w:vertAlign w:val="superscript"/>
              </w:rPr>
              <w:t>2</w:t>
            </w:r>
            <w:r>
              <w:rPr>
                <w:rFonts w:hint="eastAsia"/>
                <w:color w:val="auto"/>
              </w:rPr>
              <w:t>危废间</w:t>
            </w:r>
            <w:r>
              <w:rPr>
                <w:color w:val="auto"/>
              </w:rPr>
              <w:t>可以满足本项目危废临时贮存的需要。</w:t>
            </w:r>
          </w:p>
          <w:p w14:paraId="4CBE26EC">
            <w:pPr>
              <w:widowControl/>
              <w:wordWrap w:val="0"/>
              <w:spacing w:line="360" w:lineRule="auto"/>
              <w:ind w:firstLine="480" w:firstLineChars="200"/>
              <w:jc w:val="left"/>
              <w:rPr>
                <w:color w:val="auto"/>
                <w:kern w:val="0"/>
                <w:sz w:val="24"/>
                <w:lang w:bidi="ar"/>
              </w:rPr>
            </w:pPr>
            <w:r>
              <w:rPr>
                <w:color w:val="auto"/>
                <w:kern w:val="0"/>
                <w:sz w:val="24"/>
                <w:lang w:bidi="ar"/>
              </w:rPr>
              <w:t>危废间设置应符合</w:t>
            </w:r>
            <w:r>
              <w:rPr>
                <w:color w:val="auto"/>
                <w:sz w:val="24"/>
              </w:rPr>
              <w:t>《危险废物贮存污染控制标准》（GB18597-2023）</w:t>
            </w:r>
            <w:r>
              <w:rPr>
                <w:color w:val="auto"/>
                <w:kern w:val="0"/>
                <w:sz w:val="24"/>
                <w:lang w:bidi="ar"/>
              </w:rPr>
              <w:t>中的规定。危废暂存场地设置要求做到以下几点：</w:t>
            </w:r>
          </w:p>
          <w:p w14:paraId="35E817B5">
            <w:pPr>
              <w:widowControl/>
              <w:wordWrap w:val="0"/>
              <w:spacing w:line="360" w:lineRule="auto"/>
              <w:ind w:firstLine="480" w:firstLineChars="200"/>
              <w:jc w:val="left"/>
              <w:rPr>
                <w:color w:val="auto"/>
                <w:sz w:val="24"/>
              </w:rPr>
            </w:pPr>
            <w:r>
              <w:rPr>
                <w:color w:val="auto"/>
                <w:kern w:val="0"/>
                <w:sz w:val="24"/>
                <w:lang w:bidi="ar"/>
              </w:rPr>
              <w:t>（1）危险废物贮存设施必须</w:t>
            </w:r>
            <w:r>
              <w:rPr>
                <w:rFonts w:hint="eastAsia"/>
                <w:color w:val="auto"/>
                <w:kern w:val="0"/>
                <w:sz w:val="24"/>
                <w:lang w:bidi="ar"/>
              </w:rPr>
              <w:t>按照</w:t>
            </w:r>
            <w:r>
              <w:rPr>
                <w:color w:val="auto"/>
                <w:kern w:val="0"/>
                <w:sz w:val="24"/>
                <w:lang w:bidi="ar"/>
              </w:rPr>
              <w:t>《危险废物识别标志设置技术规范》（HJ1276-2022）中规定设置警示标志；</w:t>
            </w:r>
          </w:p>
          <w:p w14:paraId="23E24AC8">
            <w:pPr>
              <w:spacing w:line="360" w:lineRule="auto"/>
              <w:ind w:firstLine="480" w:firstLineChars="200"/>
              <w:jc w:val="left"/>
              <w:rPr>
                <w:color w:val="auto"/>
                <w:sz w:val="24"/>
              </w:rPr>
            </w:pPr>
            <w:r>
              <w:rPr>
                <w:color w:val="auto"/>
                <w:sz w:val="24"/>
              </w:rPr>
              <w:t>（2）企业须健全危险废物相关管理制度，并严格落实。</w:t>
            </w:r>
          </w:p>
          <w:p w14:paraId="3B5B8DD5">
            <w:pPr>
              <w:spacing w:line="360" w:lineRule="auto"/>
              <w:ind w:firstLine="480" w:firstLineChars="200"/>
              <w:rPr>
                <w:color w:val="auto"/>
                <w:sz w:val="24"/>
              </w:rPr>
            </w:pPr>
            <w:r>
              <w:rPr>
                <w:color w:val="auto"/>
                <w:sz w:val="24"/>
              </w:rPr>
              <w:t>①企业须对危险废物储运场所张贴警示标识，危险废物包装物张贴警示标签；</w:t>
            </w:r>
          </w:p>
          <w:p w14:paraId="425D008A">
            <w:pPr>
              <w:spacing w:line="360" w:lineRule="auto"/>
              <w:ind w:firstLine="480" w:firstLineChars="200"/>
              <w:rPr>
                <w:color w:val="auto"/>
                <w:sz w:val="24"/>
              </w:rPr>
            </w:pPr>
            <w:r>
              <w:rPr>
                <w:color w:val="auto"/>
                <w:sz w:val="24"/>
              </w:rPr>
              <w:t>②企业可参照《危险废物管理计划和管理台账制定技术导则》（HJ1259-2022）做好危废管理计划及管理台账制定。危险废物管理计划内容参照导则要求可包括减少危险废物产生量和降低危险废物危害性的措施以及危险废物贮存、利用、处置措施；日常项目运行中应按照危险废物管理台账如实记录危险废物的种类、产生量、流向、贮存、利用、处置等有关信息。</w:t>
            </w:r>
          </w:p>
          <w:p w14:paraId="04EA9803">
            <w:pPr>
              <w:spacing w:line="360" w:lineRule="auto"/>
              <w:ind w:firstLine="480" w:firstLineChars="200"/>
              <w:jc w:val="left"/>
              <w:rPr>
                <w:color w:val="auto"/>
                <w:sz w:val="24"/>
              </w:rPr>
            </w:pPr>
            <w:r>
              <w:rPr>
                <w:color w:val="auto"/>
                <w:sz w:val="24"/>
              </w:rPr>
              <w:t>（3）危险废物存储和管理的相关要求。</w:t>
            </w:r>
          </w:p>
          <w:p w14:paraId="36D65174">
            <w:pPr>
              <w:spacing w:line="360" w:lineRule="auto"/>
              <w:ind w:firstLine="480" w:firstLineChars="200"/>
              <w:jc w:val="left"/>
              <w:rPr>
                <w:color w:val="auto"/>
                <w:sz w:val="24"/>
              </w:rPr>
            </w:pPr>
            <w:r>
              <w:rPr>
                <w:color w:val="auto"/>
                <w:sz w:val="24"/>
              </w:rPr>
              <w:t>①必须将危险废物装入容器内密封装运，盛装危险废物的容器应当符合标准，材质要满足相应的强度要求且必须完好无损，容器材质和衬里要与危险废物相容（不相互反应）；</w:t>
            </w:r>
          </w:p>
          <w:p w14:paraId="56FFA8FB">
            <w:pPr>
              <w:spacing w:line="360" w:lineRule="auto"/>
              <w:ind w:firstLine="480" w:firstLineChars="200"/>
              <w:jc w:val="left"/>
              <w:rPr>
                <w:color w:val="auto"/>
                <w:sz w:val="24"/>
              </w:rPr>
            </w:pPr>
            <w:r>
              <w:rPr>
                <w:color w:val="auto"/>
                <w:sz w:val="24"/>
              </w:rPr>
              <w:t>②项目应与有相应危废处置资质的单位签订危废处置合同。所处理的危险废物采用专门的车辆，密闭运输，严格禁止抛洒滴漏，杜绝在运输过程中造成环境的二次污染。在危险废物的运输中执行《危险废物转移联单管理办法》中有关的规定和要求。规范危险废物转移，做好每次外运处置废物的运输登记。</w:t>
            </w:r>
          </w:p>
          <w:p w14:paraId="290276DB">
            <w:pPr>
              <w:pStyle w:val="30"/>
              <w:rPr>
                <w:color w:val="auto"/>
                <w:szCs w:val="24"/>
              </w:rPr>
            </w:pPr>
            <w:r>
              <w:rPr>
                <w:rFonts w:hint="eastAsia"/>
                <w:color w:val="auto"/>
                <w:szCs w:val="24"/>
              </w:rPr>
              <w:t>③</w:t>
            </w:r>
            <w:r>
              <w:rPr>
                <w:color w:val="auto"/>
                <w:szCs w:val="24"/>
              </w:rPr>
              <w:t>贮存设施应根据危险废物的形态、物理化学性质、包装形式和污染物迁移途径，采取必要的防风、防晒、防雨、防漏、防渗、防腐以及其他环境污染防治措施，不应露天堆放危险废物。</w:t>
            </w:r>
          </w:p>
          <w:p w14:paraId="5E9688F2">
            <w:pPr>
              <w:pStyle w:val="30"/>
              <w:rPr>
                <w:color w:val="auto"/>
                <w:szCs w:val="24"/>
              </w:rPr>
            </w:pPr>
            <w:r>
              <w:rPr>
                <w:color w:val="auto"/>
                <w:szCs w:val="24"/>
              </w:rPr>
              <w:t>⑤贮存设施应根据危险废物的类别、数量、形态、物理化学性质和污染防治等要求设置必要的贮存分区，避免不相容的危险废物接触、混合。</w:t>
            </w:r>
          </w:p>
          <w:p w14:paraId="5010A080">
            <w:pPr>
              <w:pStyle w:val="30"/>
              <w:rPr>
                <w:color w:val="auto"/>
                <w:szCs w:val="24"/>
              </w:rPr>
            </w:pPr>
            <w:r>
              <w:rPr>
                <w:color w:val="auto"/>
                <w:szCs w:val="24"/>
              </w:rPr>
              <w:t>⑥贮存库内不同贮存分区之间应采取隔离措施。隔离措施可根据危险废物特性采用过道、隔板或隔墙等方式。</w:t>
            </w:r>
          </w:p>
          <w:p w14:paraId="28EA409E">
            <w:pPr>
              <w:pStyle w:val="30"/>
              <w:jc w:val="both"/>
              <w:rPr>
                <w:color w:val="auto"/>
              </w:rPr>
            </w:pPr>
            <w:r>
              <w:rPr>
                <w:color w:val="auto"/>
                <w:szCs w:val="24"/>
              </w:rPr>
              <w:t>项目固体废物处置符合《一般工业固体废物贮存和填埋污染控制标准》（GB18599-2020）、《危险废物贮存污染控制标准》（GB18597-2023）中相关要求，各固体废物均能得到妥善解决，对周围环境影响较小。</w:t>
            </w:r>
          </w:p>
          <w:p w14:paraId="3DBDB960">
            <w:pPr>
              <w:spacing w:line="360" w:lineRule="auto"/>
              <w:rPr>
                <w:color w:val="auto"/>
                <w:sz w:val="24"/>
              </w:rPr>
            </w:pPr>
            <w:r>
              <w:rPr>
                <w:b/>
                <w:bCs/>
                <w:color w:val="auto"/>
                <w:sz w:val="24"/>
              </w:rPr>
              <w:t>五、地下水、土壤</w:t>
            </w:r>
          </w:p>
          <w:p w14:paraId="327D78C2">
            <w:pPr>
              <w:pStyle w:val="32"/>
              <w:spacing w:line="360" w:lineRule="auto"/>
              <w:ind w:firstLine="480" w:firstLineChars="200"/>
              <w:rPr>
                <w:rFonts w:ascii="Times New Roman" w:hAnsi="Times New Roman" w:cs="Times New Roman"/>
                <w:color w:val="auto"/>
                <w:szCs w:val="32"/>
                <w:lang w:eastAsia="zh-CN"/>
              </w:rPr>
            </w:pPr>
            <w:r>
              <w:rPr>
                <w:rFonts w:hint="eastAsia" w:ascii="Times New Roman" w:hAnsi="Times New Roman" w:cs="Times New Roman"/>
                <w:color w:val="auto"/>
                <w:szCs w:val="32"/>
                <w:lang w:eastAsia="zh-CN"/>
              </w:rPr>
              <w:t>本项目主要是通过危险废物、油类物质等泄漏来影响地下水和土壤环境。其对地下水和土壤的污染途径主要有在危险废物、机油存储区等未采取防渗措施的地面上，可能对地下水和土壤造成影响，主要污染物为矿物油。</w:t>
            </w:r>
          </w:p>
          <w:p w14:paraId="128E7F00">
            <w:pPr>
              <w:widowControl/>
              <w:tabs>
                <w:tab w:val="left" w:pos="3285"/>
              </w:tabs>
              <w:kinsoku w:val="0"/>
              <w:autoSpaceDE w:val="0"/>
              <w:autoSpaceDN w:val="0"/>
              <w:spacing w:line="360" w:lineRule="auto"/>
              <w:ind w:firstLine="480" w:firstLineChars="200"/>
              <w:textAlignment w:val="baseline"/>
              <w:rPr>
                <w:color w:val="auto"/>
                <w:sz w:val="24"/>
              </w:rPr>
            </w:pPr>
            <w:r>
              <w:rPr>
                <w:color w:val="auto"/>
                <w:sz w:val="24"/>
              </w:rPr>
              <w:t>（1）分区防渗要求</w:t>
            </w:r>
            <w:r>
              <w:rPr>
                <w:rFonts w:hint="eastAsia"/>
                <w:color w:val="auto"/>
                <w:sz w:val="24"/>
              </w:rPr>
              <w:t>；调查已有，分析能不能满足要求</w:t>
            </w:r>
          </w:p>
          <w:p w14:paraId="7FAAD247">
            <w:pPr>
              <w:widowControl/>
              <w:tabs>
                <w:tab w:val="left" w:pos="3285"/>
              </w:tabs>
              <w:kinsoku w:val="0"/>
              <w:autoSpaceDE w:val="0"/>
              <w:autoSpaceDN w:val="0"/>
              <w:spacing w:line="360" w:lineRule="auto"/>
              <w:ind w:firstLine="480" w:firstLineChars="200"/>
              <w:textAlignment w:val="baseline"/>
              <w:rPr>
                <w:color w:val="auto"/>
                <w:sz w:val="24"/>
              </w:rPr>
            </w:pPr>
            <w:r>
              <w:rPr>
                <w:color w:val="auto"/>
                <w:sz w:val="24"/>
              </w:rPr>
              <w:t>重点防渗区如防渗措施不到位，将有可能污染地下水、土壤。</w:t>
            </w:r>
          </w:p>
          <w:p w14:paraId="5751DF3C">
            <w:pPr>
              <w:widowControl/>
              <w:tabs>
                <w:tab w:val="left" w:pos="3285"/>
              </w:tabs>
              <w:kinsoku w:val="0"/>
              <w:autoSpaceDE w:val="0"/>
              <w:autoSpaceDN w:val="0"/>
              <w:spacing w:line="360" w:lineRule="auto"/>
              <w:ind w:firstLine="480" w:firstLineChars="200"/>
              <w:textAlignment w:val="baseline"/>
              <w:rPr>
                <w:color w:val="auto"/>
                <w:sz w:val="24"/>
              </w:rPr>
            </w:pPr>
            <w:r>
              <w:rPr>
                <w:color w:val="auto"/>
                <w:sz w:val="24"/>
              </w:rPr>
              <w:t>项目在建设过程中，</w:t>
            </w:r>
            <w:r>
              <w:rPr>
                <w:rFonts w:hint="eastAsia"/>
                <w:color w:val="auto"/>
                <w:sz w:val="24"/>
              </w:rPr>
              <w:t>依托原有已建10m²危险废物暂存间，危废暂存间采用了C30混凝土硬化地面+2</w:t>
            </w:r>
            <w:r>
              <w:rPr>
                <w:color w:val="auto"/>
                <w:sz w:val="24"/>
              </w:rPr>
              <w:t>mm</w:t>
            </w:r>
            <w:r>
              <w:rPr>
                <w:rFonts w:hint="eastAsia"/>
                <w:color w:val="auto"/>
                <w:sz w:val="24"/>
              </w:rPr>
              <w:t>厚</w:t>
            </w:r>
            <w:r>
              <w:rPr>
                <w:color w:val="auto"/>
                <w:sz w:val="24"/>
              </w:rPr>
              <w:t>环氧树脂漆</w:t>
            </w:r>
            <w:r>
              <w:rPr>
                <w:rFonts w:hint="eastAsia"/>
                <w:color w:val="auto"/>
                <w:sz w:val="24"/>
              </w:rPr>
              <w:t>地面，防渗层渗透系数达到</w:t>
            </w:r>
            <w:r>
              <w:rPr>
                <w:color w:val="auto"/>
                <w:sz w:val="24"/>
              </w:rPr>
              <w:t>≤</w:t>
            </w:r>
            <w:r>
              <w:rPr>
                <w:rFonts w:hint="eastAsia"/>
                <w:color w:val="auto"/>
                <w:sz w:val="24"/>
              </w:rPr>
              <w:t>1.0</w:t>
            </w:r>
            <w:r>
              <w:rPr>
                <w:color w:val="auto"/>
                <w:sz w:val="24"/>
              </w:rPr>
              <w:t>×</w:t>
            </w:r>
            <w:r>
              <w:rPr>
                <w:rFonts w:hint="eastAsia"/>
                <w:color w:val="auto"/>
                <w:sz w:val="24"/>
              </w:rPr>
              <w:t>10</w:t>
            </w:r>
            <w:r>
              <w:rPr>
                <w:rFonts w:hint="eastAsia"/>
                <w:color w:val="auto"/>
                <w:sz w:val="24"/>
                <w:vertAlign w:val="superscript"/>
              </w:rPr>
              <w:t>-10</w:t>
            </w:r>
            <w:r>
              <w:rPr>
                <w:rFonts w:hint="eastAsia"/>
                <w:color w:val="auto"/>
                <w:sz w:val="24"/>
              </w:rPr>
              <w:t>cm/s。</w:t>
            </w:r>
          </w:p>
          <w:p w14:paraId="7AEDDAEF">
            <w:pPr>
              <w:widowControl/>
              <w:tabs>
                <w:tab w:val="left" w:pos="3285"/>
              </w:tabs>
              <w:kinsoku w:val="0"/>
              <w:autoSpaceDE w:val="0"/>
              <w:autoSpaceDN w:val="0"/>
              <w:spacing w:line="360" w:lineRule="auto"/>
              <w:ind w:firstLine="480" w:firstLineChars="200"/>
              <w:textAlignment w:val="baseline"/>
              <w:rPr>
                <w:color w:val="auto"/>
                <w:sz w:val="24"/>
              </w:rPr>
            </w:pPr>
            <w:r>
              <w:rPr>
                <w:color w:val="auto"/>
                <w:sz w:val="24"/>
              </w:rPr>
              <w:t>生产车间划分为一般防渗区</w:t>
            </w:r>
            <w:r>
              <w:rPr>
                <w:rFonts w:hint="eastAsia"/>
                <w:color w:val="auto"/>
                <w:sz w:val="24"/>
              </w:rPr>
              <w:t>，一般防渗区依托已建厂房现有</w:t>
            </w:r>
            <w:r>
              <w:rPr>
                <w:color w:val="auto"/>
                <w:sz w:val="24"/>
              </w:rPr>
              <w:t>C30混凝土建设</w:t>
            </w:r>
            <w:r>
              <w:rPr>
                <w:rFonts w:hint="eastAsia"/>
                <w:color w:val="auto"/>
                <w:sz w:val="24"/>
              </w:rPr>
              <w:t>的20c</w:t>
            </w:r>
            <w:r>
              <w:rPr>
                <w:color w:val="auto"/>
                <w:sz w:val="24"/>
              </w:rPr>
              <w:t>m硬化地面，可满足一般防渗要求。</w:t>
            </w:r>
          </w:p>
          <w:p w14:paraId="11F4F05F">
            <w:pPr>
              <w:widowControl/>
              <w:tabs>
                <w:tab w:val="left" w:pos="3285"/>
              </w:tabs>
              <w:kinsoku w:val="0"/>
              <w:autoSpaceDE w:val="0"/>
              <w:autoSpaceDN w:val="0"/>
              <w:spacing w:line="360" w:lineRule="auto"/>
              <w:ind w:firstLine="480" w:firstLineChars="200"/>
              <w:textAlignment w:val="baseline"/>
              <w:rPr>
                <w:color w:val="auto"/>
                <w:sz w:val="24"/>
                <w:szCs w:val="32"/>
              </w:rPr>
            </w:pPr>
            <w:r>
              <w:rPr>
                <w:color w:val="auto"/>
                <w:sz w:val="24"/>
              </w:rPr>
              <w:t>根据以上分区情况，对本项目场区防渗分区见下表。</w:t>
            </w:r>
          </w:p>
          <w:p w14:paraId="7CB63590">
            <w:pPr>
              <w:pStyle w:val="54"/>
              <w:rPr>
                <w:color w:val="auto"/>
                <w:sz w:val="24"/>
                <w:szCs w:val="32"/>
              </w:rPr>
            </w:pPr>
            <w:r>
              <w:rPr>
                <w:color w:val="auto"/>
                <w:sz w:val="24"/>
                <w:szCs w:val="32"/>
              </w:rPr>
              <w:t>表4-1</w:t>
            </w:r>
            <w:r>
              <w:rPr>
                <w:rFonts w:hint="eastAsia"/>
                <w:color w:val="auto"/>
                <w:sz w:val="24"/>
                <w:szCs w:val="32"/>
              </w:rPr>
              <w:t>5</w:t>
            </w:r>
            <w:r>
              <w:rPr>
                <w:color w:val="auto"/>
                <w:sz w:val="24"/>
                <w:szCs w:val="32"/>
              </w:rPr>
              <w:t xml:space="preserve">  地下水污染防渗分区参照表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1194"/>
              <w:gridCol w:w="944"/>
              <w:gridCol w:w="828"/>
              <w:gridCol w:w="4729"/>
            </w:tblGrid>
            <w:tr w14:paraId="15F6A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67" w:type="pct"/>
                  <w:tcBorders>
                    <w:top w:val="single" w:color="auto" w:sz="4" w:space="0"/>
                    <w:left w:val="single" w:color="auto" w:sz="4" w:space="0"/>
                    <w:bottom w:val="single" w:color="auto" w:sz="4" w:space="0"/>
                    <w:right w:val="single" w:color="auto" w:sz="4" w:space="0"/>
                  </w:tcBorders>
                  <w:vAlign w:val="center"/>
                </w:tcPr>
                <w:p w14:paraId="7531D955">
                  <w:pPr>
                    <w:pStyle w:val="55"/>
                    <w:adjustRightInd/>
                    <w:snapToGrid/>
                    <w:ind w:left="0" w:leftChars="0" w:firstLine="0" w:firstLineChars="0"/>
                    <w:rPr>
                      <w:color w:val="auto"/>
                    </w:rPr>
                  </w:pPr>
                  <w:r>
                    <w:rPr>
                      <w:color w:val="auto"/>
                    </w:rPr>
                    <w:t>场区内建构筑物</w:t>
                  </w:r>
                </w:p>
              </w:tc>
              <w:tc>
                <w:tcPr>
                  <w:tcW w:w="672" w:type="pct"/>
                  <w:tcBorders>
                    <w:top w:val="single" w:color="auto" w:sz="4" w:space="0"/>
                    <w:left w:val="nil"/>
                    <w:bottom w:val="single" w:color="auto" w:sz="4" w:space="0"/>
                    <w:right w:val="single" w:color="auto" w:sz="4" w:space="0"/>
                  </w:tcBorders>
                  <w:vAlign w:val="center"/>
                </w:tcPr>
                <w:p w14:paraId="146B942F">
                  <w:pPr>
                    <w:pStyle w:val="55"/>
                    <w:adjustRightInd/>
                    <w:snapToGrid/>
                    <w:ind w:left="0" w:leftChars="0" w:firstLine="0" w:firstLineChars="0"/>
                    <w:rPr>
                      <w:color w:val="auto"/>
                    </w:rPr>
                  </w:pPr>
                  <w:r>
                    <w:rPr>
                      <w:color w:val="auto"/>
                    </w:rPr>
                    <w:t>污染控制难易程度</w:t>
                  </w:r>
                </w:p>
              </w:tc>
              <w:tc>
                <w:tcPr>
                  <w:tcW w:w="531" w:type="pct"/>
                  <w:tcBorders>
                    <w:top w:val="single" w:color="auto" w:sz="4" w:space="0"/>
                    <w:left w:val="nil"/>
                    <w:bottom w:val="single" w:color="auto" w:sz="4" w:space="0"/>
                    <w:right w:val="single" w:color="auto" w:sz="4" w:space="0"/>
                  </w:tcBorders>
                  <w:vAlign w:val="center"/>
                </w:tcPr>
                <w:p w14:paraId="7E207DC0">
                  <w:pPr>
                    <w:pStyle w:val="55"/>
                    <w:adjustRightInd/>
                    <w:snapToGrid/>
                    <w:ind w:left="0" w:leftChars="0" w:firstLine="0" w:firstLineChars="0"/>
                    <w:rPr>
                      <w:color w:val="auto"/>
                    </w:rPr>
                  </w:pPr>
                  <w:r>
                    <w:rPr>
                      <w:color w:val="auto"/>
                    </w:rPr>
                    <w:t>污染物类型</w:t>
                  </w:r>
                </w:p>
              </w:tc>
              <w:tc>
                <w:tcPr>
                  <w:tcW w:w="466" w:type="pct"/>
                  <w:tcBorders>
                    <w:top w:val="single" w:color="auto" w:sz="4" w:space="0"/>
                    <w:left w:val="nil"/>
                    <w:bottom w:val="single" w:color="auto" w:sz="4" w:space="0"/>
                    <w:right w:val="single" w:color="auto" w:sz="4" w:space="0"/>
                  </w:tcBorders>
                  <w:vAlign w:val="center"/>
                </w:tcPr>
                <w:p w14:paraId="3F85352C">
                  <w:pPr>
                    <w:pStyle w:val="55"/>
                    <w:adjustRightInd/>
                    <w:snapToGrid/>
                    <w:ind w:left="0" w:leftChars="0" w:firstLine="0" w:firstLineChars="0"/>
                    <w:rPr>
                      <w:color w:val="auto"/>
                    </w:rPr>
                  </w:pPr>
                  <w:r>
                    <w:rPr>
                      <w:color w:val="auto"/>
                    </w:rPr>
                    <w:t>防渗分区</w:t>
                  </w:r>
                </w:p>
              </w:tc>
              <w:tc>
                <w:tcPr>
                  <w:tcW w:w="2661" w:type="pct"/>
                  <w:tcBorders>
                    <w:top w:val="single" w:color="auto" w:sz="4" w:space="0"/>
                    <w:left w:val="nil"/>
                    <w:bottom w:val="single" w:color="auto" w:sz="4" w:space="0"/>
                    <w:right w:val="single" w:color="auto" w:sz="4" w:space="0"/>
                  </w:tcBorders>
                  <w:vAlign w:val="center"/>
                </w:tcPr>
                <w:p w14:paraId="7455ADBA">
                  <w:pPr>
                    <w:pStyle w:val="55"/>
                    <w:adjustRightInd/>
                    <w:snapToGrid/>
                    <w:ind w:left="0" w:leftChars="0" w:firstLine="0" w:firstLineChars="0"/>
                    <w:rPr>
                      <w:color w:val="auto"/>
                    </w:rPr>
                  </w:pPr>
                  <w:r>
                    <w:rPr>
                      <w:rFonts w:hint="eastAsia"/>
                      <w:color w:val="auto"/>
                    </w:rPr>
                    <w:t>防渗措施</w:t>
                  </w:r>
                </w:p>
              </w:tc>
            </w:tr>
            <w:tr w14:paraId="1A8FF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67" w:type="pct"/>
                  <w:tcBorders>
                    <w:top w:val="single" w:color="auto" w:sz="4" w:space="0"/>
                    <w:left w:val="single" w:color="auto" w:sz="4" w:space="0"/>
                    <w:bottom w:val="single" w:color="auto" w:sz="4" w:space="0"/>
                    <w:right w:val="single" w:color="auto" w:sz="4" w:space="0"/>
                  </w:tcBorders>
                  <w:vAlign w:val="center"/>
                </w:tcPr>
                <w:p w14:paraId="31DC9B21">
                  <w:pPr>
                    <w:pStyle w:val="55"/>
                    <w:adjustRightInd/>
                    <w:snapToGrid/>
                    <w:ind w:left="0" w:leftChars="0" w:firstLine="0" w:firstLineChars="0"/>
                    <w:rPr>
                      <w:color w:val="auto"/>
                    </w:rPr>
                  </w:pPr>
                  <w:r>
                    <w:rPr>
                      <w:color w:val="auto"/>
                    </w:rPr>
                    <w:t>危废</w:t>
                  </w:r>
                  <w:r>
                    <w:rPr>
                      <w:rFonts w:hint="eastAsia"/>
                      <w:color w:val="auto"/>
                    </w:rPr>
                    <w:t>暂存间、沉淀池、车辆冲洗平台沉淀池</w:t>
                  </w:r>
                </w:p>
              </w:tc>
              <w:tc>
                <w:tcPr>
                  <w:tcW w:w="672" w:type="pct"/>
                  <w:tcBorders>
                    <w:top w:val="single" w:color="auto" w:sz="4" w:space="0"/>
                    <w:left w:val="nil"/>
                    <w:bottom w:val="single" w:color="auto" w:sz="4" w:space="0"/>
                    <w:right w:val="single" w:color="auto" w:sz="4" w:space="0"/>
                  </w:tcBorders>
                  <w:vAlign w:val="center"/>
                </w:tcPr>
                <w:p w14:paraId="773803AC">
                  <w:pPr>
                    <w:pStyle w:val="55"/>
                    <w:adjustRightInd/>
                    <w:snapToGrid/>
                    <w:ind w:left="0" w:leftChars="0" w:firstLine="0" w:firstLineChars="0"/>
                    <w:rPr>
                      <w:color w:val="auto"/>
                    </w:rPr>
                  </w:pPr>
                  <w:r>
                    <w:rPr>
                      <w:color w:val="auto"/>
                    </w:rPr>
                    <w:t>难</w:t>
                  </w:r>
                </w:p>
              </w:tc>
              <w:tc>
                <w:tcPr>
                  <w:tcW w:w="531" w:type="pct"/>
                  <w:tcBorders>
                    <w:top w:val="single" w:color="auto" w:sz="4" w:space="0"/>
                    <w:left w:val="nil"/>
                    <w:bottom w:val="single" w:color="auto" w:sz="4" w:space="0"/>
                    <w:right w:val="single" w:color="auto" w:sz="4" w:space="0"/>
                  </w:tcBorders>
                  <w:vAlign w:val="center"/>
                </w:tcPr>
                <w:p w14:paraId="3AF1D0A6">
                  <w:pPr>
                    <w:pStyle w:val="55"/>
                    <w:adjustRightInd/>
                    <w:snapToGrid/>
                    <w:ind w:left="0" w:leftChars="0" w:firstLine="0" w:firstLineChars="0"/>
                    <w:rPr>
                      <w:color w:val="auto"/>
                    </w:rPr>
                  </w:pPr>
                  <w:r>
                    <w:rPr>
                      <w:color w:val="auto"/>
                    </w:rPr>
                    <w:t>其他类型</w:t>
                  </w:r>
                </w:p>
              </w:tc>
              <w:tc>
                <w:tcPr>
                  <w:tcW w:w="466" w:type="pct"/>
                  <w:tcBorders>
                    <w:top w:val="single" w:color="auto" w:sz="4" w:space="0"/>
                    <w:left w:val="nil"/>
                    <w:bottom w:val="single" w:color="auto" w:sz="4" w:space="0"/>
                    <w:right w:val="single" w:color="auto" w:sz="4" w:space="0"/>
                  </w:tcBorders>
                  <w:vAlign w:val="center"/>
                </w:tcPr>
                <w:p w14:paraId="69DE512F">
                  <w:pPr>
                    <w:pStyle w:val="55"/>
                    <w:adjustRightInd/>
                    <w:snapToGrid/>
                    <w:ind w:left="0" w:leftChars="0" w:firstLine="0" w:firstLineChars="0"/>
                    <w:rPr>
                      <w:color w:val="auto"/>
                    </w:rPr>
                  </w:pPr>
                  <w:r>
                    <w:rPr>
                      <w:color w:val="auto"/>
                    </w:rPr>
                    <w:t>重点防渗区</w:t>
                  </w:r>
                </w:p>
              </w:tc>
              <w:tc>
                <w:tcPr>
                  <w:tcW w:w="4691" w:type="dxa"/>
                  <w:tcBorders>
                    <w:top w:val="single" w:color="auto" w:sz="4" w:space="0"/>
                    <w:left w:val="nil"/>
                    <w:bottom w:val="single" w:color="auto" w:sz="4" w:space="0"/>
                    <w:right w:val="single" w:color="auto" w:sz="4" w:space="0"/>
                  </w:tcBorders>
                  <w:vAlign w:val="center"/>
                </w:tcPr>
                <w:p w14:paraId="10DD72F6">
                  <w:pPr>
                    <w:widowControl/>
                    <w:tabs>
                      <w:tab w:val="left" w:pos="3285"/>
                    </w:tabs>
                    <w:kinsoku w:val="0"/>
                    <w:autoSpaceDE w:val="0"/>
                    <w:autoSpaceDN w:val="0"/>
                    <w:jc w:val="center"/>
                    <w:textAlignment w:val="baseline"/>
                    <w:rPr>
                      <w:color w:val="auto"/>
                    </w:rPr>
                  </w:pPr>
                  <w:r>
                    <w:rPr>
                      <w:color w:val="auto"/>
                    </w:rPr>
                    <w:t>基础必须防渗，防渗层等效为至少</w:t>
                  </w:r>
                  <w:r>
                    <w:rPr>
                      <w:rFonts w:hint="eastAsia"/>
                      <w:color w:val="auto"/>
                    </w:rPr>
                    <w:t>6</w:t>
                  </w:r>
                  <w:r>
                    <w:rPr>
                      <w:color w:val="auto"/>
                    </w:rPr>
                    <w:t>米厚粘土层（渗透系数≤10</w:t>
                  </w:r>
                  <w:r>
                    <w:rPr>
                      <w:color w:val="auto"/>
                      <w:vertAlign w:val="superscript"/>
                    </w:rPr>
                    <w:t>-7</w:t>
                  </w:r>
                  <w:r>
                    <w:rPr>
                      <w:color w:val="auto"/>
                    </w:rPr>
                    <w:t>cm/s），或2mm厚高密度聚乙烯，或至少2mm厚的其它人工材料，渗透系数≤10</w:t>
                  </w:r>
                  <w:r>
                    <w:rPr>
                      <w:color w:val="auto"/>
                      <w:vertAlign w:val="superscript"/>
                    </w:rPr>
                    <w:t>-10</w:t>
                  </w:r>
                  <w:r>
                    <w:rPr>
                      <w:color w:val="auto"/>
                    </w:rPr>
                    <w:t>cm/s</w:t>
                  </w:r>
                </w:p>
              </w:tc>
            </w:tr>
            <w:tr w14:paraId="4562D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67" w:type="pct"/>
                  <w:tcBorders>
                    <w:top w:val="single" w:color="auto" w:sz="4" w:space="0"/>
                    <w:left w:val="single" w:color="auto" w:sz="4" w:space="0"/>
                    <w:bottom w:val="single" w:color="auto" w:sz="4" w:space="0"/>
                    <w:right w:val="single" w:color="auto" w:sz="4" w:space="0"/>
                  </w:tcBorders>
                  <w:vAlign w:val="center"/>
                </w:tcPr>
                <w:p w14:paraId="1FF60963">
                  <w:pPr>
                    <w:pStyle w:val="55"/>
                    <w:adjustRightInd/>
                    <w:snapToGrid/>
                    <w:ind w:left="0" w:leftChars="0" w:firstLine="0" w:firstLineChars="0"/>
                    <w:rPr>
                      <w:color w:val="auto"/>
                    </w:rPr>
                  </w:pPr>
                  <w:r>
                    <w:rPr>
                      <w:color w:val="auto"/>
                    </w:rPr>
                    <w:t>生产车间等</w:t>
                  </w:r>
                </w:p>
              </w:tc>
              <w:tc>
                <w:tcPr>
                  <w:tcW w:w="672" w:type="pct"/>
                  <w:tcBorders>
                    <w:top w:val="single" w:color="auto" w:sz="4" w:space="0"/>
                    <w:left w:val="nil"/>
                    <w:bottom w:val="single" w:color="auto" w:sz="4" w:space="0"/>
                    <w:right w:val="single" w:color="auto" w:sz="4" w:space="0"/>
                  </w:tcBorders>
                  <w:vAlign w:val="center"/>
                </w:tcPr>
                <w:p w14:paraId="3CD2CE97">
                  <w:pPr>
                    <w:pStyle w:val="55"/>
                    <w:adjustRightInd/>
                    <w:snapToGrid/>
                    <w:ind w:left="0" w:leftChars="0" w:firstLine="0" w:firstLineChars="0"/>
                    <w:rPr>
                      <w:color w:val="auto"/>
                    </w:rPr>
                  </w:pPr>
                  <w:r>
                    <w:rPr>
                      <w:color w:val="auto"/>
                    </w:rPr>
                    <w:t>难</w:t>
                  </w:r>
                </w:p>
              </w:tc>
              <w:tc>
                <w:tcPr>
                  <w:tcW w:w="531" w:type="pct"/>
                  <w:tcBorders>
                    <w:top w:val="single" w:color="auto" w:sz="4" w:space="0"/>
                    <w:left w:val="nil"/>
                    <w:bottom w:val="single" w:color="auto" w:sz="4" w:space="0"/>
                    <w:right w:val="single" w:color="auto" w:sz="4" w:space="0"/>
                  </w:tcBorders>
                  <w:vAlign w:val="center"/>
                </w:tcPr>
                <w:p w14:paraId="7E4C5676">
                  <w:pPr>
                    <w:pStyle w:val="55"/>
                    <w:adjustRightInd/>
                    <w:snapToGrid/>
                    <w:ind w:left="0" w:leftChars="0" w:firstLine="0" w:firstLineChars="0"/>
                    <w:rPr>
                      <w:color w:val="auto"/>
                    </w:rPr>
                  </w:pPr>
                  <w:r>
                    <w:rPr>
                      <w:color w:val="auto"/>
                    </w:rPr>
                    <w:t>其他类型</w:t>
                  </w:r>
                </w:p>
              </w:tc>
              <w:tc>
                <w:tcPr>
                  <w:tcW w:w="466" w:type="pct"/>
                  <w:tcBorders>
                    <w:top w:val="single" w:color="auto" w:sz="4" w:space="0"/>
                    <w:left w:val="single" w:color="auto" w:sz="4" w:space="0"/>
                    <w:bottom w:val="single" w:color="auto" w:sz="4" w:space="0"/>
                    <w:right w:val="single" w:color="auto" w:sz="4" w:space="0"/>
                  </w:tcBorders>
                  <w:vAlign w:val="center"/>
                </w:tcPr>
                <w:p w14:paraId="519DE461">
                  <w:pPr>
                    <w:pStyle w:val="55"/>
                    <w:adjustRightInd/>
                    <w:snapToGrid/>
                    <w:ind w:left="0" w:leftChars="0" w:firstLine="0" w:firstLineChars="0"/>
                    <w:rPr>
                      <w:color w:val="auto"/>
                    </w:rPr>
                  </w:pPr>
                  <w:r>
                    <w:rPr>
                      <w:color w:val="auto"/>
                    </w:rPr>
                    <w:t>一般防渗区</w:t>
                  </w:r>
                </w:p>
              </w:tc>
              <w:tc>
                <w:tcPr>
                  <w:tcW w:w="4691" w:type="dxa"/>
                  <w:tcBorders>
                    <w:top w:val="single" w:color="auto" w:sz="4" w:space="0"/>
                    <w:left w:val="nil"/>
                    <w:bottom w:val="single" w:color="auto" w:sz="4" w:space="0"/>
                    <w:right w:val="single" w:color="auto" w:sz="4" w:space="0"/>
                  </w:tcBorders>
                  <w:vAlign w:val="center"/>
                </w:tcPr>
                <w:p w14:paraId="314F2C4A">
                  <w:pPr>
                    <w:pStyle w:val="55"/>
                    <w:autoSpaceDE/>
                    <w:autoSpaceDN/>
                    <w:adjustRightInd/>
                    <w:snapToGrid/>
                    <w:ind w:left="0" w:leftChars="0" w:firstLine="0" w:firstLineChars="0"/>
                    <w:rPr>
                      <w:color w:val="auto"/>
                    </w:rPr>
                  </w:pPr>
                  <w:r>
                    <w:rPr>
                      <w:rFonts w:hint="eastAsia"/>
                      <w:color w:val="auto"/>
                    </w:rPr>
                    <w:t>一般防渗区依托已建厂房现有</w:t>
                  </w:r>
                  <w:r>
                    <w:rPr>
                      <w:color w:val="auto"/>
                    </w:rPr>
                    <w:t>C30混凝土建设</w:t>
                  </w:r>
                  <w:r>
                    <w:rPr>
                      <w:rFonts w:hint="eastAsia"/>
                      <w:color w:val="auto"/>
                    </w:rPr>
                    <w:t>的20c</w:t>
                  </w:r>
                  <w:r>
                    <w:rPr>
                      <w:color w:val="auto"/>
                    </w:rPr>
                    <w:t>m硬化地面，可满足一般防渗要求。</w:t>
                  </w:r>
                </w:p>
              </w:tc>
            </w:tr>
          </w:tbl>
          <w:p w14:paraId="7D00FF51">
            <w:pPr>
              <w:spacing w:line="360" w:lineRule="auto"/>
              <w:jc w:val="left"/>
              <w:rPr>
                <w:color w:val="auto"/>
                <w:sz w:val="24"/>
              </w:rPr>
            </w:pPr>
            <w:r>
              <w:rPr>
                <w:b/>
                <w:snapToGrid w:val="0"/>
                <w:color w:val="auto"/>
                <w:kern w:val="0"/>
                <w:sz w:val="24"/>
              </w:rPr>
              <w:t>六、</w:t>
            </w:r>
            <w:r>
              <w:rPr>
                <w:b/>
                <w:bCs/>
                <w:color w:val="auto"/>
                <w:sz w:val="24"/>
              </w:rPr>
              <w:t>环境风险评价</w:t>
            </w:r>
          </w:p>
          <w:p w14:paraId="2A4FD1CB">
            <w:pPr>
              <w:spacing w:line="360" w:lineRule="auto"/>
              <w:ind w:firstLine="480" w:firstLineChars="200"/>
              <w:rPr>
                <w:color w:val="auto"/>
                <w:sz w:val="24"/>
              </w:rPr>
            </w:pPr>
            <w:r>
              <w:rPr>
                <w:color w:val="auto"/>
                <w:sz w:val="24"/>
              </w:rPr>
              <w:t>（1）风险调查</w:t>
            </w:r>
          </w:p>
          <w:p w14:paraId="53302CE4">
            <w:pPr>
              <w:spacing w:line="360" w:lineRule="auto"/>
              <w:ind w:firstLine="480" w:firstLineChars="200"/>
              <w:rPr>
                <w:color w:val="auto"/>
                <w:sz w:val="24"/>
              </w:rPr>
            </w:pPr>
            <w:r>
              <w:rPr>
                <w:color w:val="auto"/>
                <w:sz w:val="24"/>
              </w:rPr>
              <w:t>①物质风险性调查</w:t>
            </w:r>
          </w:p>
          <w:p w14:paraId="7A36FFFD">
            <w:pPr>
              <w:spacing w:line="360" w:lineRule="auto"/>
              <w:ind w:firstLine="480" w:firstLineChars="200"/>
              <w:rPr>
                <w:color w:val="auto"/>
                <w:sz w:val="24"/>
              </w:rPr>
            </w:pPr>
            <w:r>
              <w:rPr>
                <w:color w:val="auto"/>
                <w:sz w:val="24"/>
              </w:rPr>
              <w:t>调查建设项目物质数量和分布情况、生产工艺特点等基础资料。</w:t>
            </w:r>
          </w:p>
          <w:p w14:paraId="2B0792F5">
            <w:pPr>
              <w:spacing w:line="360" w:lineRule="auto"/>
              <w:ind w:firstLine="480" w:firstLineChars="200"/>
              <w:rPr>
                <w:color w:val="auto"/>
                <w:sz w:val="24"/>
              </w:rPr>
            </w:pPr>
            <w:r>
              <w:rPr>
                <w:color w:val="auto"/>
                <w:sz w:val="24"/>
              </w:rPr>
              <w:t>依据《建设项目环境风险评价技术导则》（HJ169-2018）计算所涉及的每种危险物质在厂界内的最大存在总量与其在附录 B 中对应临界量的比值Q。根据《建设项目环境风险评价技术导则》（HJ169-2018）附录C，当存在多种危险物质时，Q 按下式进行计算：</w:t>
            </w:r>
          </w:p>
          <w:p w14:paraId="5C9D9931">
            <w:pPr>
              <w:spacing w:line="360" w:lineRule="auto"/>
              <w:jc w:val="center"/>
              <w:rPr>
                <w:color w:val="auto"/>
                <w:sz w:val="24"/>
              </w:rPr>
            </w:pPr>
            <w:r>
              <w:rPr>
                <w:color w:val="auto"/>
                <w:position w:val="-30"/>
                <w:sz w:val="24"/>
              </w:rPr>
              <w:object>
                <v:shape id="_x0000_i1025" o:spt="75" type="#_x0000_t75" style="height:33.5pt;width:98.5pt;" o:ole="t" filled="f" o:preferrelative="t" stroked="f" coordsize="21600,21600">
                  <v:path/>
                  <v:fill on="f" focussize="0,0"/>
                  <v:stroke on="f" joinstyle="miter"/>
                  <v:imagedata r:id="rId21" o:title=""/>
                  <o:lock v:ext="edit" aspectratio="t"/>
                  <w10:wrap type="none"/>
                  <w10:anchorlock/>
                </v:shape>
                <o:OLEObject Type="Embed" ProgID="Equation.3" ShapeID="_x0000_i1025" DrawAspect="Content" ObjectID="_1468075725" r:id="rId20">
                  <o:LockedField>false</o:LockedField>
                </o:OLEObject>
              </w:object>
            </w:r>
          </w:p>
          <w:p w14:paraId="250AE4FD">
            <w:pPr>
              <w:spacing w:line="360" w:lineRule="auto"/>
              <w:ind w:firstLine="480" w:firstLineChars="200"/>
              <w:rPr>
                <w:color w:val="auto"/>
                <w:sz w:val="24"/>
              </w:rPr>
            </w:pPr>
            <w:r>
              <w:rPr>
                <w:color w:val="auto"/>
                <w:sz w:val="24"/>
              </w:rPr>
              <w:t>式中：q</w:t>
            </w:r>
            <w:r>
              <w:rPr>
                <w:color w:val="auto"/>
                <w:sz w:val="24"/>
                <w:vertAlign w:val="subscript"/>
              </w:rPr>
              <w:t>1</w:t>
            </w:r>
            <w:r>
              <w:rPr>
                <w:color w:val="auto"/>
                <w:sz w:val="24"/>
              </w:rPr>
              <w:t>，q</w:t>
            </w:r>
            <w:r>
              <w:rPr>
                <w:color w:val="auto"/>
                <w:sz w:val="24"/>
                <w:vertAlign w:val="subscript"/>
              </w:rPr>
              <w:t>2</w:t>
            </w:r>
            <w:r>
              <w:rPr>
                <w:color w:val="auto"/>
                <w:sz w:val="24"/>
              </w:rPr>
              <w:t>…q</w:t>
            </w:r>
            <w:r>
              <w:rPr>
                <w:color w:val="auto"/>
                <w:sz w:val="24"/>
                <w:vertAlign w:val="subscript"/>
              </w:rPr>
              <w:t>n</w:t>
            </w:r>
            <w:r>
              <w:rPr>
                <w:color w:val="auto"/>
                <w:sz w:val="24"/>
              </w:rPr>
              <w:t>——每种危险物质的最大存在量，t；</w:t>
            </w:r>
          </w:p>
          <w:p w14:paraId="2DFF7EE0">
            <w:pPr>
              <w:spacing w:line="360" w:lineRule="auto"/>
              <w:ind w:firstLine="1200" w:firstLineChars="500"/>
              <w:rPr>
                <w:color w:val="auto"/>
                <w:sz w:val="24"/>
              </w:rPr>
            </w:pPr>
            <w:r>
              <w:rPr>
                <w:color w:val="auto"/>
                <w:sz w:val="24"/>
              </w:rPr>
              <w:t>Q</w:t>
            </w:r>
            <w:r>
              <w:rPr>
                <w:color w:val="auto"/>
                <w:sz w:val="24"/>
                <w:vertAlign w:val="subscript"/>
              </w:rPr>
              <w:t>1</w:t>
            </w:r>
            <w:r>
              <w:rPr>
                <w:color w:val="auto"/>
                <w:sz w:val="24"/>
              </w:rPr>
              <w:t>，Q</w:t>
            </w:r>
            <w:r>
              <w:rPr>
                <w:color w:val="auto"/>
                <w:sz w:val="24"/>
                <w:vertAlign w:val="subscript"/>
              </w:rPr>
              <w:t>2</w:t>
            </w:r>
            <w:r>
              <w:rPr>
                <w:color w:val="auto"/>
                <w:sz w:val="24"/>
              </w:rPr>
              <w:t>…Q</w:t>
            </w:r>
            <w:r>
              <w:rPr>
                <w:color w:val="auto"/>
                <w:sz w:val="24"/>
                <w:vertAlign w:val="subscript"/>
              </w:rPr>
              <w:t>n</w:t>
            </w:r>
            <w:r>
              <w:rPr>
                <w:color w:val="auto"/>
                <w:sz w:val="24"/>
              </w:rPr>
              <w:t>—每种危险物质的临界量，t；</w:t>
            </w:r>
          </w:p>
          <w:p w14:paraId="3DB31D5C">
            <w:pPr>
              <w:spacing w:line="360" w:lineRule="auto"/>
              <w:ind w:firstLine="480" w:firstLineChars="200"/>
              <w:rPr>
                <w:color w:val="auto"/>
                <w:sz w:val="24"/>
              </w:rPr>
            </w:pPr>
            <w:r>
              <w:rPr>
                <w:color w:val="auto"/>
                <w:sz w:val="24"/>
              </w:rPr>
              <w:t>当 Q＜1 时，该项目环境风险潜势为I。</w:t>
            </w:r>
          </w:p>
          <w:p w14:paraId="1B7A1EED">
            <w:pPr>
              <w:spacing w:line="360" w:lineRule="auto"/>
              <w:ind w:firstLine="480" w:firstLineChars="200"/>
              <w:rPr>
                <w:color w:val="auto"/>
                <w:sz w:val="24"/>
              </w:rPr>
            </w:pPr>
            <w:r>
              <w:rPr>
                <w:color w:val="auto"/>
                <w:sz w:val="24"/>
              </w:rPr>
              <w:t>当 Q≥1 时，将Q 值划分为：(1)1≤Q＜10；(2)10≤Q＜100；(3)Q≥100。</w:t>
            </w:r>
          </w:p>
          <w:p w14:paraId="37012F08">
            <w:pPr>
              <w:spacing w:line="360" w:lineRule="auto"/>
              <w:ind w:firstLine="480" w:firstLineChars="200"/>
              <w:rPr>
                <w:b/>
                <w:bCs/>
                <w:color w:val="auto"/>
                <w:sz w:val="24"/>
              </w:rPr>
            </w:pPr>
            <w:r>
              <w:rPr>
                <w:color w:val="auto"/>
                <w:sz w:val="24"/>
              </w:rPr>
              <w:t>本项目</w:t>
            </w:r>
            <w:r>
              <w:rPr>
                <w:rFonts w:hint="eastAsia"/>
                <w:color w:val="auto"/>
                <w:sz w:val="24"/>
              </w:rPr>
              <w:t>改建后</w:t>
            </w:r>
            <w:r>
              <w:rPr>
                <w:color w:val="auto"/>
                <w:sz w:val="24"/>
              </w:rPr>
              <w:t>风险物质储存情况如下。</w:t>
            </w:r>
          </w:p>
          <w:p w14:paraId="437623F1">
            <w:pPr>
              <w:widowControl/>
              <w:autoSpaceDE w:val="0"/>
              <w:autoSpaceDN w:val="0"/>
              <w:jc w:val="center"/>
              <w:textAlignment w:val="baseline"/>
              <w:rPr>
                <w:color w:val="auto"/>
              </w:rPr>
            </w:pPr>
            <w:r>
              <w:rPr>
                <w:b/>
                <w:bCs/>
                <w:color w:val="auto"/>
                <w:sz w:val="24"/>
              </w:rPr>
              <w:t>表4-1</w:t>
            </w:r>
            <w:r>
              <w:rPr>
                <w:rFonts w:hint="eastAsia"/>
                <w:b/>
                <w:bCs/>
                <w:color w:val="auto"/>
                <w:sz w:val="24"/>
              </w:rPr>
              <w:t xml:space="preserve">6  </w:t>
            </w:r>
            <w:r>
              <w:rPr>
                <w:b/>
                <w:bCs/>
                <w:color w:val="auto"/>
                <w:sz w:val="24"/>
              </w:rPr>
              <w:t>本项目主要危险化学品储存和临界量</w:t>
            </w:r>
          </w:p>
          <w:tbl>
            <w:tblPr>
              <w:tblStyle w:val="24"/>
              <w:tblW w:w="4997"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715"/>
              <w:gridCol w:w="1721"/>
              <w:gridCol w:w="1435"/>
              <w:gridCol w:w="1836"/>
              <w:gridCol w:w="1195"/>
              <w:gridCol w:w="1982"/>
            </w:tblGrid>
            <w:tr w14:paraId="38604C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02" w:type="pct"/>
                  <w:vAlign w:val="center"/>
                </w:tcPr>
                <w:p w14:paraId="264DACD1">
                  <w:pPr>
                    <w:pStyle w:val="55"/>
                    <w:adjustRightInd/>
                    <w:snapToGrid/>
                    <w:ind w:left="0" w:leftChars="0" w:firstLine="0" w:firstLineChars="0"/>
                    <w:rPr>
                      <w:color w:val="auto"/>
                    </w:rPr>
                  </w:pPr>
                  <w:r>
                    <w:rPr>
                      <w:color w:val="auto"/>
                    </w:rPr>
                    <w:t>序号</w:t>
                  </w:r>
                </w:p>
              </w:tc>
              <w:tc>
                <w:tcPr>
                  <w:tcW w:w="968" w:type="pct"/>
                  <w:vAlign w:val="center"/>
                </w:tcPr>
                <w:p w14:paraId="0CEBA6B8">
                  <w:pPr>
                    <w:pStyle w:val="55"/>
                    <w:adjustRightInd/>
                    <w:snapToGrid/>
                    <w:ind w:left="0" w:leftChars="0" w:firstLine="0" w:firstLineChars="0"/>
                    <w:rPr>
                      <w:color w:val="auto"/>
                    </w:rPr>
                  </w:pPr>
                  <w:r>
                    <w:rPr>
                      <w:color w:val="auto"/>
                    </w:rPr>
                    <w:t>危险物质名称</w:t>
                  </w:r>
                </w:p>
              </w:tc>
              <w:tc>
                <w:tcPr>
                  <w:tcW w:w="807" w:type="pct"/>
                  <w:vAlign w:val="center"/>
                </w:tcPr>
                <w:p w14:paraId="47679DAF">
                  <w:pPr>
                    <w:pStyle w:val="55"/>
                    <w:adjustRightInd/>
                    <w:snapToGrid/>
                    <w:ind w:left="0" w:leftChars="0" w:firstLine="0" w:firstLineChars="0"/>
                    <w:rPr>
                      <w:color w:val="auto"/>
                    </w:rPr>
                  </w:pPr>
                  <w:r>
                    <w:rPr>
                      <w:color w:val="auto"/>
                    </w:rPr>
                    <w:t>CAS号</w:t>
                  </w:r>
                </w:p>
              </w:tc>
              <w:tc>
                <w:tcPr>
                  <w:tcW w:w="1033" w:type="pct"/>
                  <w:vAlign w:val="center"/>
                </w:tcPr>
                <w:p w14:paraId="6D192F4B">
                  <w:pPr>
                    <w:pStyle w:val="55"/>
                    <w:adjustRightInd/>
                    <w:snapToGrid/>
                    <w:ind w:left="0" w:leftChars="0" w:firstLine="0" w:firstLineChars="0"/>
                    <w:rPr>
                      <w:color w:val="auto"/>
                    </w:rPr>
                  </w:pPr>
                  <w:r>
                    <w:rPr>
                      <w:color w:val="auto"/>
                    </w:rPr>
                    <w:t>最大存在总量/t</w:t>
                  </w:r>
                </w:p>
              </w:tc>
              <w:tc>
                <w:tcPr>
                  <w:tcW w:w="672" w:type="pct"/>
                  <w:vAlign w:val="center"/>
                </w:tcPr>
                <w:p w14:paraId="7A383F96">
                  <w:pPr>
                    <w:pStyle w:val="55"/>
                    <w:adjustRightInd/>
                    <w:snapToGrid/>
                    <w:ind w:left="0" w:leftChars="0" w:firstLine="0" w:firstLineChars="0"/>
                    <w:rPr>
                      <w:color w:val="auto"/>
                    </w:rPr>
                  </w:pPr>
                  <w:r>
                    <w:rPr>
                      <w:color w:val="auto"/>
                    </w:rPr>
                    <w:t>临界量/t</w:t>
                  </w:r>
                </w:p>
              </w:tc>
              <w:tc>
                <w:tcPr>
                  <w:tcW w:w="1115" w:type="pct"/>
                  <w:vAlign w:val="center"/>
                </w:tcPr>
                <w:p w14:paraId="5AEC5AB2">
                  <w:pPr>
                    <w:pStyle w:val="55"/>
                    <w:adjustRightInd/>
                    <w:snapToGrid/>
                    <w:ind w:left="0" w:leftChars="0" w:firstLine="0" w:firstLineChars="0"/>
                    <w:rPr>
                      <w:color w:val="auto"/>
                    </w:rPr>
                  </w:pPr>
                  <w:r>
                    <w:rPr>
                      <w:color w:val="auto"/>
                    </w:rPr>
                    <w:t>危险物质Q值</w:t>
                  </w:r>
                </w:p>
              </w:tc>
            </w:tr>
            <w:tr w14:paraId="292DA6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02" w:type="pct"/>
                  <w:vAlign w:val="center"/>
                </w:tcPr>
                <w:p w14:paraId="6166DBE0">
                  <w:pPr>
                    <w:pStyle w:val="55"/>
                    <w:adjustRightInd/>
                    <w:snapToGrid/>
                    <w:ind w:left="0" w:leftChars="0" w:firstLine="0" w:firstLineChars="0"/>
                    <w:rPr>
                      <w:color w:val="auto"/>
                    </w:rPr>
                  </w:pPr>
                  <w:r>
                    <w:rPr>
                      <w:rFonts w:hint="eastAsia"/>
                      <w:color w:val="auto"/>
                    </w:rPr>
                    <w:t>1</w:t>
                  </w:r>
                </w:p>
              </w:tc>
              <w:tc>
                <w:tcPr>
                  <w:tcW w:w="968" w:type="pct"/>
                  <w:vAlign w:val="center"/>
                </w:tcPr>
                <w:p w14:paraId="420E01DB">
                  <w:pPr>
                    <w:pStyle w:val="55"/>
                    <w:adjustRightInd/>
                    <w:snapToGrid/>
                    <w:ind w:left="0" w:leftChars="0" w:firstLine="0" w:firstLineChars="0"/>
                    <w:rPr>
                      <w:color w:val="auto"/>
                    </w:rPr>
                  </w:pPr>
                  <w:r>
                    <w:rPr>
                      <w:rFonts w:hint="eastAsia"/>
                      <w:color w:val="auto"/>
                    </w:rPr>
                    <w:t>机油</w:t>
                  </w:r>
                </w:p>
              </w:tc>
              <w:tc>
                <w:tcPr>
                  <w:tcW w:w="807" w:type="pct"/>
                  <w:vAlign w:val="center"/>
                </w:tcPr>
                <w:p w14:paraId="2E6A1476">
                  <w:pPr>
                    <w:pStyle w:val="55"/>
                    <w:adjustRightInd/>
                    <w:snapToGrid/>
                    <w:ind w:left="0" w:leftChars="0" w:firstLine="0" w:firstLineChars="0"/>
                    <w:rPr>
                      <w:color w:val="auto"/>
                    </w:rPr>
                  </w:pPr>
                  <w:r>
                    <w:rPr>
                      <w:rFonts w:hint="eastAsia"/>
                      <w:color w:val="auto"/>
                    </w:rPr>
                    <w:t>1330-20-7</w:t>
                  </w:r>
                </w:p>
              </w:tc>
              <w:tc>
                <w:tcPr>
                  <w:tcW w:w="1033" w:type="pct"/>
                  <w:vAlign w:val="center"/>
                </w:tcPr>
                <w:p w14:paraId="369FCDE8">
                  <w:pPr>
                    <w:pStyle w:val="55"/>
                    <w:adjustRightInd/>
                    <w:snapToGrid/>
                    <w:ind w:left="0" w:leftChars="0" w:firstLine="0" w:firstLineChars="0"/>
                    <w:rPr>
                      <w:color w:val="auto"/>
                    </w:rPr>
                  </w:pPr>
                  <w:r>
                    <w:rPr>
                      <w:rFonts w:hint="eastAsia"/>
                      <w:color w:val="auto"/>
                    </w:rPr>
                    <w:t>1</w:t>
                  </w:r>
                </w:p>
              </w:tc>
              <w:tc>
                <w:tcPr>
                  <w:tcW w:w="672" w:type="pct"/>
                  <w:vAlign w:val="center"/>
                </w:tcPr>
                <w:p w14:paraId="2BAB0B5C">
                  <w:pPr>
                    <w:pStyle w:val="55"/>
                    <w:adjustRightInd/>
                    <w:snapToGrid/>
                    <w:ind w:left="0" w:leftChars="0" w:firstLine="0" w:firstLineChars="0"/>
                    <w:rPr>
                      <w:color w:val="auto"/>
                    </w:rPr>
                  </w:pPr>
                  <w:r>
                    <w:rPr>
                      <w:rFonts w:hint="eastAsia"/>
                      <w:color w:val="auto"/>
                    </w:rPr>
                    <w:t>2500</w:t>
                  </w:r>
                </w:p>
              </w:tc>
              <w:tc>
                <w:tcPr>
                  <w:tcW w:w="1115" w:type="pct"/>
                  <w:vAlign w:val="center"/>
                </w:tcPr>
                <w:p w14:paraId="5BDF863D">
                  <w:pPr>
                    <w:pStyle w:val="55"/>
                    <w:adjustRightInd/>
                    <w:snapToGrid/>
                    <w:ind w:left="0" w:leftChars="0" w:firstLine="0" w:firstLineChars="0"/>
                    <w:rPr>
                      <w:color w:val="auto"/>
                    </w:rPr>
                  </w:pPr>
                  <w:r>
                    <w:rPr>
                      <w:rFonts w:hint="eastAsia"/>
                      <w:color w:val="auto"/>
                    </w:rPr>
                    <w:t>0.0004</w:t>
                  </w:r>
                </w:p>
              </w:tc>
            </w:tr>
            <w:tr w14:paraId="552BA0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02" w:type="pct"/>
                  <w:vAlign w:val="center"/>
                </w:tcPr>
                <w:p w14:paraId="5754B75F">
                  <w:pPr>
                    <w:pStyle w:val="55"/>
                    <w:adjustRightInd/>
                    <w:snapToGrid/>
                    <w:ind w:left="0" w:leftChars="0" w:firstLine="0" w:firstLineChars="0"/>
                    <w:rPr>
                      <w:color w:val="auto"/>
                    </w:rPr>
                  </w:pPr>
                  <w:r>
                    <w:rPr>
                      <w:rFonts w:hint="eastAsia"/>
                      <w:color w:val="auto"/>
                    </w:rPr>
                    <w:t>2</w:t>
                  </w:r>
                </w:p>
              </w:tc>
              <w:tc>
                <w:tcPr>
                  <w:tcW w:w="968" w:type="pct"/>
                  <w:vAlign w:val="center"/>
                </w:tcPr>
                <w:p w14:paraId="680B9312">
                  <w:pPr>
                    <w:pStyle w:val="55"/>
                    <w:adjustRightInd/>
                    <w:snapToGrid/>
                    <w:ind w:left="0" w:leftChars="0" w:firstLine="0" w:firstLineChars="0"/>
                    <w:rPr>
                      <w:color w:val="auto"/>
                    </w:rPr>
                  </w:pPr>
                  <w:r>
                    <w:rPr>
                      <w:rFonts w:hint="eastAsia"/>
                      <w:color w:val="auto"/>
                    </w:rPr>
                    <w:t>废机油</w:t>
                  </w:r>
                </w:p>
              </w:tc>
              <w:tc>
                <w:tcPr>
                  <w:tcW w:w="807" w:type="pct"/>
                  <w:vAlign w:val="center"/>
                </w:tcPr>
                <w:p w14:paraId="1F161865">
                  <w:pPr>
                    <w:pStyle w:val="55"/>
                    <w:adjustRightInd/>
                    <w:snapToGrid/>
                    <w:ind w:left="0" w:leftChars="0" w:firstLine="0" w:firstLineChars="0"/>
                    <w:rPr>
                      <w:color w:val="auto"/>
                    </w:rPr>
                  </w:pPr>
                  <w:r>
                    <w:rPr>
                      <w:rFonts w:hint="eastAsia"/>
                      <w:color w:val="auto"/>
                    </w:rPr>
                    <w:t>1330-20-7</w:t>
                  </w:r>
                </w:p>
              </w:tc>
              <w:tc>
                <w:tcPr>
                  <w:tcW w:w="1033" w:type="pct"/>
                  <w:vAlign w:val="center"/>
                </w:tcPr>
                <w:p w14:paraId="2DB2A206">
                  <w:pPr>
                    <w:pStyle w:val="55"/>
                    <w:adjustRightInd/>
                    <w:snapToGrid/>
                    <w:ind w:left="0" w:leftChars="0" w:firstLine="0" w:firstLineChars="0"/>
                    <w:rPr>
                      <w:color w:val="auto"/>
                    </w:rPr>
                  </w:pPr>
                  <w:r>
                    <w:rPr>
                      <w:rFonts w:hint="eastAsia"/>
                      <w:color w:val="auto"/>
                    </w:rPr>
                    <w:t>0.5</w:t>
                  </w:r>
                </w:p>
              </w:tc>
              <w:tc>
                <w:tcPr>
                  <w:tcW w:w="672" w:type="pct"/>
                  <w:vAlign w:val="center"/>
                </w:tcPr>
                <w:p w14:paraId="38FE9706">
                  <w:pPr>
                    <w:pStyle w:val="55"/>
                    <w:adjustRightInd/>
                    <w:snapToGrid/>
                    <w:ind w:left="0" w:leftChars="0" w:firstLine="0" w:firstLineChars="0"/>
                    <w:rPr>
                      <w:color w:val="auto"/>
                    </w:rPr>
                  </w:pPr>
                  <w:r>
                    <w:rPr>
                      <w:rFonts w:hint="eastAsia"/>
                      <w:color w:val="auto"/>
                    </w:rPr>
                    <w:t>50</w:t>
                  </w:r>
                </w:p>
              </w:tc>
              <w:tc>
                <w:tcPr>
                  <w:tcW w:w="1115" w:type="pct"/>
                  <w:vAlign w:val="center"/>
                </w:tcPr>
                <w:p w14:paraId="19F488AA">
                  <w:pPr>
                    <w:pStyle w:val="55"/>
                    <w:adjustRightInd/>
                    <w:snapToGrid/>
                    <w:ind w:left="0" w:leftChars="0" w:firstLine="0" w:firstLineChars="0"/>
                    <w:rPr>
                      <w:color w:val="auto"/>
                    </w:rPr>
                  </w:pPr>
                  <w:r>
                    <w:rPr>
                      <w:rFonts w:hint="eastAsia"/>
                      <w:color w:val="auto"/>
                    </w:rPr>
                    <w:t>0.01</w:t>
                  </w:r>
                </w:p>
              </w:tc>
            </w:tr>
          </w:tbl>
          <w:p w14:paraId="05AC9D97">
            <w:pPr>
              <w:spacing w:line="360" w:lineRule="auto"/>
              <w:ind w:firstLine="480" w:firstLineChars="200"/>
              <w:rPr>
                <w:color w:val="auto"/>
                <w:sz w:val="24"/>
                <w:szCs w:val="32"/>
              </w:rPr>
            </w:pPr>
            <w:r>
              <w:rPr>
                <w:rFonts w:hint="eastAsia"/>
                <w:color w:val="auto"/>
                <w:sz w:val="24"/>
                <w:szCs w:val="32"/>
                <w:lang w:val="zh-CN"/>
              </w:rPr>
              <w:t>由上表可知</w:t>
            </w:r>
            <w:r>
              <w:rPr>
                <w:color w:val="auto"/>
                <w:sz w:val="24"/>
                <w:szCs w:val="32"/>
                <w:lang w:val="zh-CN"/>
              </w:rPr>
              <w:t>，Q＜1</w:t>
            </w:r>
            <w:r>
              <w:rPr>
                <w:rStyle w:val="27"/>
                <w:rFonts w:hint="eastAsia"/>
                <w:color w:val="auto"/>
                <w:kern w:val="0"/>
                <w:sz w:val="24"/>
                <w:szCs w:val="32"/>
              </w:rPr>
              <w:t>。</w:t>
            </w:r>
          </w:p>
          <w:p w14:paraId="4A266905">
            <w:pPr>
              <w:spacing w:line="360" w:lineRule="auto"/>
              <w:ind w:firstLine="480" w:firstLineChars="200"/>
              <w:rPr>
                <w:color w:val="auto"/>
                <w:sz w:val="24"/>
              </w:rPr>
            </w:pPr>
            <w:r>
              <w:rPr>
                <w:color w:val="auto"/>
                <w:sz w:val="24"/>
              </w:rPr>
              <w:t>②生产工艺危险性调查</w:t>
            </w:r>
          </w:p>
          <w:p w14:paraId="3E97C360">
            <w:pPr>
              <w:spacing w:line="360" w:lineRule="auto"/>
              <w:ind w:firstLine="480" w:firstLineChars="200"/>
              <w:rPr>
                <w:color w:val="auto"/>
                <w:sz w:val="24"/>
              </w:rPr>
            </w:pPr>
            <w:r>
              <w:rPr>
                <w:color w:val="auto"/>
                <w:sz w:val="24"/>
              </w:rPr>
              <w:t>本项目生产过程不涉及高温工艺过程，不涉及危险物质的使用及贮存，无《建设项目环境风险评价技术导则》（HJ169-2018）附录C，表C.1中列明的工艺过程。</w:t>
            </w:r>
          </w:p>
          <w:p w14:paraId="5F2F1C8E">
            <w:pPr>
              <w:spacing w:line="360" w:lineRule="auto"/>
              <w:ind w:firstLine="480" w:firstLineChars="200"/>
              <w:rPr>
                <w:color w:val="auto"/>
              </w:rPr>
            </w:pPr>
            <w:r>
              <w:rPr>
                <w:color w:val="auto"/>
                <w:sz w:val="24"/>
              </w:rPr>
              <w:t>故本项目生产工艺不存在重大危险性。</w:t>
            </w:r>
          </w:p>
          <w:p w14:paraId="2D6755E5">
            <w:pPr>
              <w:pStyle w:val="21"/>
              <w:spacing w:before="0" w:beforeAutospacing="0" w:after="0" w:afterAutospacing="0" w:line="360" w:lineRule="auto"/>
              <w:ind w:firstLine="480" w:firstLineChars="200"/>
              <w:rPr>
                <w:rFonts w:ascii="Times New Roman" w:hAnsi="Times New Roman"/>
                <w:color w:val="auto"/>
              </w:rPr>
            </w:pPr>
            <w:r>
              <w:rPr>
                <w:rFonts w:ascii="Times New Roman" w:hAnsi="Times New Roman"/>
                <w:color w:val="auto"/>
              </w:rPr>
              <w:t>（2）环境风险识别</w:t>
            </w:r>
          </w:p>
          <w:p w14:paraId="7056F1A7">
            <w:pPr>
              <w:spacing w:line="360" w:lineRule="auto"/>
              <w:ind w:firstLine="480" w:firstLineChars="200"/>
              <w:rPr>
                <w:color w:val="auto"/>
                <w:sz w:val="24"/>
              </w:rPr>
            </w:pPr>
            <w:r>
              <w:rPr>
                <w:rFonts w:hint="eastAsia"/>
                <w:color w:val="auto"/>
                <w:sz w:val="24"/>
              </w:rPr>
              <w:t>①生产单元风险识别</w:t>
            </w:r>
          </w:p>
          <w:p w14:paraId="52818E1A">
            <w:pPr>
              <w:spacing w:line="360" w:lineRule="auto"/>
              <w:ind w:firstLine="480" w:firstLineChars="200"/>
              <w:rPr>
                <w:color w:val="auto"/>
                <w:sz w:val="24"/>
              </w:rPr>
            </w:pPr>
            <w:r>
              <w:rPr>
                <w:rFonts w:hint="eastAsia"/>
                <w:color w:val="auto"/>
                <w:sz w:val="24"/>
              </w:rPr>
              <w:t>本项目生产过程设计易燃易爆物品为机油，设计风险源包括机油、废机油，位于机油存放区和危险废物暂存间</w:t>
            </w:r>
          </w:p>
          <w:p w14:paraId="4F354DCA">
            <w:pPr>
              <w:spacing w:line="360" w:lineRule="auto"/>
              <w:ind w:firstLine="480" w:firstLineChars="200"/>
              <w:rPr>
                <w:color w:val="auto"/>
                <w:sz w:val="24"/>
              </w:rPr>
            </w:pPr>
            <w:r>
              <w:rPr>
                <w:rFonts w:hint="eastAsia"/>
                <w:color w:val="auto"/>
                <w:sz w:val="24"/>
              </w:rPr>
              <w:t>②环保设施风险识别</w:t>
            </w:r>
          </w:p>
          <w:p w14:paraId="4AF63020">
            <w:pPr>
              <w:spacing w:line="360" w:lineRule="auto"/>
              <w:ind w:firstLine="482"/>
              <w:rPr>
                <w:color w:val="auto"/>
                <w:sz w:val="24"/>
              </w:rPr>
            </w:pPr>
            <w:r>
              <w:rPr>
                <w:color w:val="auto"/>
                <w:sz w:val="24"/>
              </w:rPr>
              <w:t>根据《建设项目环境风险评价导则》（HJ169-2018），风险识别内容主要如下：</w:t>
            </w:r>
          </w:p>
          <w:p w14:paraId="61A10B1F">
            <w:pPr>
              <w:spacing w:line="360" w:lineRule="auto"/>
              <w:ind w:firstLine="482"/>
              <w:rPr>
                <w:color w:val="auto"/>
                <w:kern w:val="0"/>
                <w:sz w:val="24"/>
              </w:rPr>
            </w:pPr>
            <w:r>
              <w:rPr>
                <w:rFonts w:hint="eastAsia"/>
                <w:color w:val="auto"/>
                <w:kern w:val="0"/>
                <w:sz w:val="24"/>
              </w:rPr>
              <w:t>项目涉及的危险废物主要是废机油和含油废物等，废机油属于可燃液体物质，一旦泄漏可能会影响土壤及地下水环境。本项目建成后，厂区最大可能性事故及类型为项目废气治理设施运行不正常或管理维护不到位导致废气异常排放，危废暂存间中危废流失，导致环境污染事故，项目废气治理设施运行不正常或管理维护不到位，危废贮存管理不到位导致危废泄漏对周边环境产生不利影响。</w:t>
            </w:r>
          </w:p>
          <w:p w14:paraId="7A3499BF">
            <w:pPr>
              <w:spacing w:line="360" w:lineRule="auto"/>
              <w:ind w:firstLine="480" w:firstLineChars="200"/>
              <w:rPr>
                <w:color w:val="auto"/>
                <w:sz w:val="24"/>
              </w:rPr>
            </w:pPr>
            <w:r>
              <w:rPr>
                <w:color w:val="auto"/>
                <w:sz w:val="24"/>
              </w:rPr>
              <w:t>（3）风险防范措施</w:t>
            </w:r>
          </w:p>
          <w:p w14:paraId="4EFB2D65">
            <w:pPr>
              <w:spacing w:line="360" w:lineRule="auto"/>
              <w:ind w:firstLine="480" w:firstLineChars="200"/>
              <w:rPr>
                <w:color w:val="auto"/>
                <w:sz w:val="24"/>
              </w:rPr>
            </w:pPr>
            <w:r>
              <w:rPr>
                <w:color w:val="auto"/>
                <w:sz w:val="24"/>
              </w:rPr>
              <w:t>根据上文风险分析，提出相应的措施对策，目的在于确保系统运行的安全性，减少事故的发生，降低事故发生的概率。具体措施如下：</w:t>
            </w:r>
          </w:p>
          <w:p w14:paraId="15096305">
            <w:pPr>
              <w:spacing w:line="360" w:lineRule="auto"/>
              <w:ind w:firstLine="480" w:firstLineChars="200"/>
              <w:rPr>
                <w:color w:val="auto"/>
                <w:sz w:val="24"/>
              </w:rPr>
            </w:pPr>
            <w:r>
              <w:rPr>
                <w:color w:val="auto"/>
                <w:sz w:val="24"/>
              </w:rPr>
              <w:t>①原料贮存、成品贮存风险防范：</w:t>
            </w:r>
            <w:r>
              <w:rPr>
                <w:rFonts w:hint="eastAsia"/>
                <w:color w:val="auto"/>
                <w:sz w:val="24"/>
              </w:rPr>
              <w:t>生产车间、仓库、办公区域均配备防火器材、厂房内加强通风换气、预留足够的安全距离、同时有利于火灾扑救和人员疏散；严禁吸烟、携带火种，需要提醒人员注意的地点均按照标准设置各种安全标志，车间与库房存放灭火器，一旦发生事故，随时取用灭火；宜用防爆型电气设备，不可接用临时电源；实行安全检查制度，进行各种日常的、定期的、专用的防火安全检查，便于及时发现问题并落实整改。</w:t>
            </w:r>
          </w:p>
          <w:p w14:paraId="24287CCD">
            <w:pPr>
              <w:spacing w:line="360" w:lineRule="auto"/>
              <w:ind w:firstLine="480" w:firstLineChars="200"/>
              <w:rPr>
                <w:color w:val="auto"/>
                <w:sz w:val="24"/>
              </w:rPr>
            </w:pPr>
            <w:r>
              <w:rPr>
                <w:color w:val="auto"/>
                <w:sz w:val="24"/>
              </w:rPr>
              <w:t>②固体废物事故风险防范措施：在收集过程中要根据固体废物的性质进行收集和临时贮存；厂内应设置专门的一般工业固废暂存区，以便贮存不能及时送出处理的固废，避免在露天堆放中产生的泄漏、渗透、蒸发、雨水淋溶以及大风吹扬等产生二次污染；危险废物要有单独的危废库，并贴上标签，委托有资质单位处置。</w:t>
            </w:r>
          </w:p>
          <w:p w14:paraId="404890FA">
            <w:pPr>
              <w:tabs>
                <w:tab w:val="left" w:pos="0"/>
              </w:tabs>
              <w:spacing w:line="360" w:lineRule="auto"/>
              <w:ind w:firstLine="480" w:firstLineChars="200"/>
              <w:rPr>
                <w:color w:val="auto"/>
                <w:sz w:val="24"/>
              </w:rPr>
            </w:pPr>
            <w:r>
              <w:rPr>
                <w:color w:val="auto"/>
                <w:sz w:val="24"/>
              </w:rPr>
              <w:t>③废气治理设施故障防范措施：在日常生产中，必须加强环保设备运作管理，对废气处理装置必须定期进行例行检查，需要检查的环节主要有风机、</w:t>
            </w:r>
            <w:r>
              <w:rPr>
                <w:rFonts w:hint="eastAsia"/>
                <w:color w:val="auto"/>
                <w:sz w:val="24"/>
              </w:rPr>
              <w:t>集气</w:t>
            </w:r>
            <w:r>
              <w:rPr>
                <w:color w:val="auto"/>
                <w:sz w:val="24"/>
              </w:rPr>
              <w:t>罩、管道的接口及布袋是否完好无损，以确保在生产过程中对颗粒物</w:t>
            </w:r>
            <w:r>
              <w:rPr>
                <w:rFonts w:hint="eastAsia"/>
                <w:color w:val="auto"/>
                <w:sz w:val="24"/>
              </w:rPr>
              <w:t>的</w:t>
            </w:r>
            <w:r>
              <w:rPr>
                <w:color w:val="auto"/>
                <w:sz w:val="24"/>
              </w:rPr>
              <w:t>收集效率、去除效率，杜绝粉尘燃爆的可能性，一旦发现故障应立即停产排查整修后再行生产；定期对设备进行维护，定期对布袋进行清理、收集和暂存。废气末端治理措施必须确保正常运行，如发现人为原因不开启废气治理设施，责任人应受行政和经济处罚，并承担事故排放责任。</w:t>
            </w:r>
          </w:p>
          <w:p w14:paraId="3AEE8BC1">
            <w:pPr>
              <w:spacing w:line="360" w:lineRule="auto"/>
              <w:ind w:firstLine="480" w:firstLineChars="200"/>
              <w:rPr>
                <w:color w:val="auto"/>
                <w:sz w:val="24"/>
                <w:szCs w:val="20"/>
              </w:rPr>
            </w:pPr>
            <w:r>
              <w:rPr>
                <w:color w:val="auto"/>
                <w:sz w:val="24"/>
              </w:rPr>
              <w:t>④</w:t>
            </w:r>
            <w:r>
              <w:rPr>
                <w:color w:val="auto"/>
                <w:sz w:val="24"/>
                <w:szCs w:val="20"/>
              </w:rPr>
              <w:t>火灾、爆炸事故的预防措施</w:t>
            </w:r>
          </w:p>
          <w:p w14:paraId="6C744925">
            <w:pPr>
              <w:pStyle w:val="65"/>
              <w:widowControl/>
              <w:autoSpaceDE w:val="0"/>
              <w:autoSpaceDN w:val="0"/>
              <w:spacing w:before="0" w:line="360" w:lineRule="auto"/>
              <w:ind w:firstLine="480" w:firstLineChars="200"/>
              <w:textAlignment w:val="baseline"/>
              <w:rPr>
                <w:rFonts w:ascii="Times New Roman" w:hAnsi="Times New Roman"/>
                <w:color w:val="auto"/>
                <w:sz w:val="24"/>
              </w:rPr>
            </w:pPr>
            <w:r>
              <w:rPr>
                <w:color w:val="auto"/>
                <w:sz w:val="24"/>
                <w:szCs w:val="20"/>
              </w:rPr>
              <w:t>建立健全防火安全规章制度并严格执行。</w:t>
            </w:r>
            <w:r>
              <w:rPr>
                <w:rFonts w:hint="eastAsia" w:ascii="Times New Roman" w:hAnsi="Times New Roman"/>
                <w:color w:val="auto"/>
                <w:sz w:val="24"/>
                <w:szCs w:val="20"/>
              </w:rPr>
              <w:t>对员工定期开展消防演练，提高员工的消防意识以及培训各类消防器材的使用方法；加强三级培训，必要时进行专业的培训。动火作业前应申请动火作业证，并由专业的持有特种作业资格证的人进行动火作业，禁止违规动火作业；定期对生产车间、化学品库、危险废物暂存间内的消防器材进行检测，如发现灭火器过期，应立即更换，确保灭火器能够正常使用。</w:t>
            </w:r>
          </w:p>
          <w:p w14:paraId="44270F12">
            <w:pPr>
              <w:spacing w:line="360" w:lineRule="auto"/>
              <w:ind w:firstLine="480" w:firstLineChars="200"/>
              <w:rPr>
                <w:color w:val="auto"/>
                <w:sz w:val="24"/>
              </w:rPr>
            </w:pPr>
            <w:r>
              <w:rPr>
                <w:color w:val="auto"/>
                <w:kern w:val="0"/>
                <w:sz w:val="24"/>
              </w:rPr>
              <w:t>⑤</w:t>
            </w:r>
            <w:r>
              <w:rPr>
                <w:color w:val="auto"/>
                <w:sz w:val="24"/>
              </w:rPr>
              <w:t>制定事故应急预案：为了有效地处理风险事故，应有切实可行的处置措施。项目风险事故应急措施包括设备器材、事故现场指挥、救护、通讯等系统的建立、现场应急措施 方案、现场撤离和善后措施方案等。项目建成后，公司应立即建立完善的管理制度，内容涵盖生产、供应、销售、安全、环保各方面，通过完善的制度保障应急救援行动的有效启动和实施设立应急报警、通讯系统以及事故处置管理体系。明确职责，并落实到具体部门及负责人员。对事故现场管理以及事故处置全过程的监督，应由富有事故处置经验的人员或有关部门工作人员承担。</w:t>
            </w:r>
          </w:p>
          <w:p w14:paraId="2979FE7B">
            <w:pPr>
              <w:pStyle w:val="21"/>
              <w:spacing w:before="0" w:beforeAutospacing="0" w:after="0" w:afterAutospacing="0" w:line="360" w:lineRule="auto"/>
              <w:ind w:firstLine="480" w:firstLineChars="200"/>
              <w:rPr>
                <w:rFonts w:ascii="Times New Roman" w:hAnsi="Times New Roman"/>
                <w:b/>
                <w:bCs/>
                <w:color w:val="auto"/>
              </w:rPr>
            </w:pPr>
            <w:r>
              <w:rPr>
                <w:rFonts w:ascii="Times New Roman" w:hAnsi="Times New Roman"/>
                <w:color w:val="auto"/>
                <w:kern w:val="2"/>
                <w:szCs w:val="24"/>
              </w:rPr>
              <w:t>综上所述，本项目</w:t>
            </w:r>
            <w:r>
              <w:rPr>
                <w:rFonts w:ascii="Times New Roman" w:hAnsi="Times New Roman"/>
                <w:color w:val="auto"/>
              </w:rPr>
              <w:t>的事故风险在相应的备用设备齐全以及风险防范措施落实到位的情况下，环境风险是可以接受的。为了防范事故和减少危害，需制定事故应急预案。同时建设单位应当加强各项风险防范措施的定期维护和检修，加强应急演习训练。</w:t>
            </w:r>
            <w:bookmarkStart w:id="2" w:name="_Toc46160844"/>
            <w:bookmarkStart w:id="3" w:name="_Toc42069554"/>
          </w:p>
          <w:p w14:paraId="48247F76">
            <w:pPr>
              <w:pStyle w:val="65"/>
              <w:spacing w:before="0" w:line="360" w:lineRule="auto"/>
              <w:ind w:firstLine="0"/>
              <w:rPr>
                <w:rFonts w:ascii="Times New Roman" w:hAnsi="Times New Roman"/>
                <w:b/>
                <w:bCs/>
                <w:color w:val="auto"/>
                <w:sz w:val="24"/>
              </w:rPr>
            </w:pPr>
            <w:r>
              <w:rPr>
                <w:rFonts w:ascii="Times New Roman" w:hAnsi="Times New Roman"/>
                <w:b/>
                <w:bCs/>
                <w:color w:val="auto"/>
                <w:sz w:val="24"/>
              </w:rPr>
              <w:t>七、电磁辐射</w:t>
            </w:r>
          </w:p>
          <w:p w14:paraId="3B3AB659">
            <w:pPr>
              <w:spacing w:line="360" w:lineRule="auto"/>
              <w:ind w:firstLine="480" w:firstLineChars="200"/>
              <w:rPr>
                <w:rStyle w:val="27"/>
                <w:color w:val="auto"/>
                <w:kern w:val="0"/>
                <w:szCs w:val="20"/>
              </w:rPr>
            </w:pPr>
            <w:r>
              <w:rPr>
                <w:color w:val="auto"/>
                <w:kern w:val="0"/>
                <w:sz w:val="24"/>
                <w:szCs w:val="20"/>
              </w:rPr>
              <w:t>本项目不涉及电磁辐射，故不对该部分内容进行分析</w:t>
            </w:r>
            <w:r>
              <w:rPr>
                <w:rFonts w:hint="eastAsia"/>
                <w:color w:val="auto"/>
                <w:kern w:val="0"/>
                <w:sz w:val="24"/>
                <w:szCs w:val="20"/>
              </w:rPr>
              <w:t>。</w:t>
            </w:r>
            <w:bookmarkEnd w:id="2"/>
            <w:bookmarkEnd w:id="3"/>
            <w:bookmarkStart w:id="4" w:name="_Toc23585"/>
          </w:p>
          <w:bookmarkEnd w:id="4"/>
          <w:p w14:paraId="56723E0F">
            <w:pPr>
              <w:adjustRightInd w:val="0"/>
              <w:snapToGrid w:val="0"/>
              <w:rPr>
                <w:bCs/>
                <w:color w:val="auto"/>
                <w:spacing w:val="-10"/>
                <w:szCs w:val="21"/>
              </w:rPr>
            </w:pPr>
          </w:p>
        </w:tc>
      </w:tr>
    </w:tbl>
    <w:p w14:paraId="2AFB7AEE">
      <w:pPr>
        <w:pStyle w:val="14"/>
        <w:rPr>
          <w:rFonts w:ascii="Times New Roman" w:hAnsi="Times New Roman"/>
          <w:b/>
          <w:bCs/>
          <w:color w:val="auto"/>
          <w:sz w:val="30"/>
          <w:szCs w:val="30"/>
        </w:rPr>
        <w:sectPr>
          <w:pgSz w:w="11906" w:h="16838"/>
          <w:pgMar w:top="1791" w:right="1429" w:bottom="1791" w:left="1429" w:header="851" w:footer="992" w:gutter="0"/>
          <w:cols w:space="425" w:num="1"/>
          <w:docGrid w:type="lines" w:linePitch="312" w:charSpace="0"/>
        </w:sectPr>
      </w:pPr>
    </w:p>
    <w:p w14:paraId="0CA7C705">
      <w:pPr>
        <w:ind w:firstLine="601"/>
        <w:jc w:val="center"/>
        <w:outlineLvl w:val="0"/>
        <w:rPr>
          <w:rFonts w:hint="eastAsia" w:ascii="宋体" w:hAnsi="宋体" w:cs="宋体"/>
          <w:b/>
          <w:bCs/>
          <w:snapToGrid w:val="0"/>
          <w:color w:val="auto"/>
          <w:sz w:val="30"/>
          <w:szCs w:val="30"/>
        </w:rPr>
      </w:pPr>
      <w:bookmarkStart w:id="5" w:name="_Toc26314"/>
      <w:r>
        <w:rPr>
          <w:rFonts w:hint="eastAsia" w:ascii="宋体" w:hAnsi="宋体" w:cs="宋体"/>
          <w:b/>
          <w:bCs/>
          <w:snapToGrid w:val="0"/>
          <w:color w:val="auto"/>
          <w:sz w:val="30"/>
          <w:szCs w:val="30"/>
        </w:rPr>
        <w:t>五、</w:t>
      </w:r>
      <w:bookmarkStart w:id="6" w:name="_Hlk54167917"/>
      <w:r>
        <w:rPr>
          <w:rFonts w:hint="eastAsia" w:ascii="宋体" w:hAnsi="宋体" w:cs="宋体"/>
          <w:b/>
          <w:bCs/>
          <w:snapToGrid w:val="0"/>
          <w:color w:val="auto"/>
          <w:sz w:val="30"/>
          <w:szCs w:val="30"/>
        </w:rPr>
        <w:t>环境保护措施监督检查清单</w:t>
      </w:r>
      <w:bookmarkEnd w:id="5"/>
      <w:bookmarkEnd w:id="6"/>
    </w:p>
    <w:tbl>
      <w:tblPr>
        <w:tblStyle w:val="24"/>
        <w:tblW w:w="973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35"/>
        <w:gridCol w:w="1914"/>
        <w:gridCol w:w="1591"/>
        <w:gridCol w:w="2050"/>
        <w:gridCol w:w="2743"/>
      </w:tblGrid>
      <w:tr w14:paraId="0437BF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5" w:type="dxa"/>
            <w:tcBorders>
              <w:tl2br w:val="single" w:color="auto" w:sz="4" w:space="0"/>
            </w:tcBorders>
          </w:tcPr>
          <w:p w14:paraId="1B8AB408">
            <w:pPr>
              <w:adjustRightInd w:val="0"/>
              <w:snapToGrid w:val="0"/>
              <w:rPr>
                <w:color w:val="auto"/>
                <w:sz w:val="24"/>
              </w:rPr>
            </w:pPr>
          </w:p>
          <w:p w14:paraId="332946A3">
            <w:pPr>
              <w:adjustRightInd w:val="0"/>
              <w:snapToGrid w:val="0"/>
              <w:ind w:firstLine="720" w:firstLineChars="300"/>
              <w:rPr>
                <w:color w:val="auto"/>
                <w:sz w:val="24"/>
              </w:rPr>
            </w:pPr>
            <w:r>
              <w:rPr>
                <w:color w:val="auto"/>
                <w:sz w:val="24"/>
              </w:rPr>
              <w:t>内容</w:t>
            </w:r>
          </w:p>
          <w:p w14:paraId="5187A9BD">
            <w:pPr>
              <w:adjustRightInd w:val="0"/>
              <w:snapToGrid w:val="0"/>
              <w:rPr>
                <w:color w:val="auto"/>
                <w:sz w:val="24"/>
              </w:rPr>
            </w:pPr>
            <w:r>
              <w:rPr>
                <w:color w:val="auto"/>
                <w:sz w:val="24"/>
              </w:rPr>
              <w:t>要素</w:t>
            </w:r>
          </w:p>
        </w:tc>
        <w:tc>
          <w:tcPr>
            <w:tcW w:w="1914" w:type="dxa"/>
            <w:vAlign w:val="center"/>
          </w:tcPr>
          <w:p w14:paraId="5C879F49">
            <w:pPr>
              <w:adjustRightInd w:val="0"/>
              <w:snapToGrid w:val="0"/>
              <w:jc w:val="center"/>
              <w:rPr>
                <w:color w:val="auto"/>
                <w:sz w:val="24"/>
              </w:rPr>
            </w:pPr>
            <w:r>
              <w:rPr>
                <w:color w:val="auto"/>
                <w:sz w:val="24"/>
              </w:rPr>
              <w:t>排放口(编号、</w:t>
            </w:r>
          </w:p>
          <w:p w14:paraId="59F69560">
            <w:pPr>
              <w:adjustRightInd w:val="0"/>
              <w:snapToGrid w:val="0"/>
              <w:jc w:val="center"/>
              <w:rPr>
                <w:color w:val="auto"/>
                <w:sz w:val="24"/>
              </w:rPr>
            </w:pPr>
            <w:r>
              <w:rPr>
                <w:color w:val="auto"/>
                <w:sz w:val="24"/>
              </w:rPr>
              <w:t>名称)/污染源</w:t>
            </w:r>
          </w:p>
        </w:tc>
        <w:tc>
          <w:tcPr>
            <w:tcW w:w="1591" w:type="dxa"/>
            <w:vAlign w:val="center"/>
          </w:tcPr>
          <w:p w14:paraId="63CD6641">
            <w:pPr>
              <w:adjustRightInd w:val="0"/>
              <w:snapToGrid w:val="0"/>
              <w:jc w:val="center"/>
              <w:rPr>
                <w:color w:val="auto"/>
                <w:sz w:val="24"/>
              </w:rPr>
            </w:pPr>
            <w:r>
              <w:rPr>
                <w:color w:val="auto"/>
                <w:sz w:val="24"/>
              </w:rPr>
              <w:t>污染物项目</w:t>
            </w:r>
          </w:p>
        </w:tc>
        <w:tc>
          <w:tcPr>
            <w:tcW w:w="2050" w:type="dxa"/>
            <w:vAlign w:val="center"/>
          </w:tcPr>
          <w:p w14:paraId="59D8B868">
            <w:pPr>
              <w:adjustRightInd w:val="0"/>
              <w:snapToGrid w:val="0"/>
              <w:jc w:val="center"/>
              <w:rPr>
                <w:color w:val="auto"/>
                <w:sz w:val="24"/>
              </w:rPr>
            </w:pPr>
            <w:r>
              <w:rPr>
                <w:color w:val="auto"/>
                <w:sz w:val="24"/>
              </w:rPr>
              <w:t>环境保护措施</w:t>
            </w:r>
          </w:p>
        </w:tc>
        <w:tc>
          <w:tcPr>
            <w:tcW w:w="2743" w:type="dxa"/>
            <w:vAlign w:val="center"/>
          </w:tcPr>
          <w:p w14:paraId="6A276417">
            <w:pPr>
              <w:adjustRightInd w:val="0"/>
              <w:snapToGrid w:val="0"/>
              <w:jc w:val="center"/>
              <w:rPr>
                <w:color w:val="auto"/>
                <w:sz w:val="24"/>
              </w:rPr>
            </w:pPr>
            <w:r>
              <w:rPr>
                <w:color w:val="auto"/>
                <w:sz w:val="24"/>
              </w:rPr>
              <w:t>执行标准</w:t>
            </w:r>
          </w:p>
        </w:tc>
      </w:tr>
      <w:tr w14:paraId="4E4E37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5" w:type="dxa"/>
            <w:vMerge w:val="restart"/>
            <w:vAlign w:val="center"/>
          </w:tcPr>
          <w:p w14:paraId="69B25A2A">
            <w:pPr>
              <w:adjustRightInd w:val="0"/>
              <w:snapToGrid w:val="0"/>
              <w:jc w:val="center"/>
              <w:rPr>
                <w:color w:val="auto"/>
                <w:sz w:val="24"/>
              </w:rPr>
            </w:pPr>
            <w:r>
              <w:rPr>
                <w:color w:val="auto"/>
                <w:sz w:val="24"/>
              </w:rPr>
              <w:t>大气环境</w:t>
            </w:r>
          </w:p>
        </w:tc>
        <w:tc>
          <w:tcPr>
            <w:tcW w:w="1914" w:type="dxa"/>
            <w:vAlign w:val="center"/>
          </w:tcPr>
          <w:p w14:paraId="7A39E6C1">
            <w:pPr>
              <w:adjustRightInd w:val="0"/>
              <w:snapToGrid w:val="0"/>
              <w:jc w:val="center"/>
              <w:rPr>
                <w:color w:val="auto"/>
                <w:sz w:val="24"/>
              </w:rPr>
            </w:pPr>
            <w:r>
              <w:rPr>
                <w:color w:val="auto"/>
                <w:sz w:val="24"/>
              </w:rPr>
              <w:t>DA00</w:t>
            </w:r>
            <w:r>
              <w:rPr>
                <w:rFonts w:hint="eastAsia"/>
                <w:color w:val="auto"/>
                <w:sz w:val="24"/>
              </w:rPr>
              <w:t>2/破碎、筛分废气</w:t>
            </w:r>
          </w:p>
        </w:tc>
        <w:tc>
          <w:tcPr>
            <w:tcW w:w="1591" w:type="dxa"/>
            <w:vAlign w:val="center"/>
          </w:tcPr>
          <w:p w14:paraId="1A5670BA">
            <w:pPr>
              <w:adjustRightInd w:val="0"/>
              <w:snapToGrid w:val="0"/>
              <w:jc w:val="center"/>
              <w:rPr>
                <w:color w:val="auto"/>
                <w:sz w:val="24"/>
              </w:rPr>
            </w:pPr>
            <w:r>
              <w:rPr>
                <w:rFonts w:hint="eastAsia"/>
                <w:color w:val="auto"/>
                <w:sz w:val="24"/>
              </w:rPr>
              <w:t>颗粒物</w:t>
            </w:r>
          </w:p>
        </w:tc>
        <w:tc>
          <w:tcPr>
            <w:tcW w:w="2050" w:type="dxa"/>
            <w:vAlign w:val="center"/>
          </w:tcPr>
          <w:p w14:paraId="012F57BB">
            <w:pPr>
              <w:adjustRightInd w:val="0"/>
              <w:snapToGrid w:val="0"/>
              <w:jc w:val="center"/>
              <w:rPr>
                <w:color w:val="auto"/>
                <w:sz w:val="24"/>
              </w:rPr>
            </w:pPr>
            <w:r>
              <w:rPr>
                <w:rFonts w:hint="eastAsia"/>
                <w:color w:val="auto"/>
                <w:sz w:val="24"/>
              </w:rPr>
              <w:t>经集气罩（下设软帘）收集+高效布袋除尘器+15m排气筒</w:t>
            </w:r>
          </w:p>
        </w:tc>
        <w:tc>
          <w:tcPr>
            <w:tcW w:w="2743" w:type="dxa"/>
            <w:vAlign w:val="center"/>
          </w:tcPr>
          <w:p w14:paraId="10455157">
            <w:pPr>
              <w:pStyle w:val="55"/>
              <w:ind w:left="0" w:leftChars="0" w:firstLine="0" w:firstLineChars="0"/>
              <w:rPr>
                <w:color w:val="auto"/>
                <w:sz w:val="24"/>
                <w:szCs w:val="24"/>
              </w:rPr>
            </w:pPr>
            <w:r>
              <w:rPr>
                <w:rFonts w:hint="eastAsia"/>
                <w:color w:val="auto"/>
                <w:sz w:val="24"/>
                <w:szCs w:val="24"/>
              </w:rPr>
              <w:t>安徽省地方标准《砖瓦工业大气污染物排放标准》DB34/4362-2023</w:t>
            </w:r>
          </w:p>
        </w:tc>
      </w:tr>
      <w:tr w14:paraId="7AAA81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5" w:type="dxa"/>
            <w:vMerge w:val="continue"/>
            <w:vAlign w:val="center"/>
          </w:tcPr>
          <w:p w14:paraId="29A56E4D">
            <w:pPr>
              <w:adjustRightInd w:val="0"/>
              <w:snapToGrid w:val="0"/>
              <w:jc w:val="center"/>
              <w:rPr>
                <w:color w:val="auto"/>
                <w:sz w:val="24"/>
              </w:rPr>
            </w:pPr>
          </w:p>
        </w:tc>
        <w:tc>
          <w:tcPr>
            <w:tcW w:w="1914" w:type="dxa"/>
            <w:vAlign w:val="center"/>
          </w:tcPr>
          <w:p w14:paraId="4A854D73">
            <w:pPr>
              <w:adjustRightInd w:val="0"/>
              <w:snapToGrid w:val="0"/>
              <w:jc w:val="center"/>
              <w:rPr>
                <w:color w:val="auto"/>
                <w:sz w:val="24"/>
              </w:rPr>
            </w:pPr>
            <w:r>
              <w:rPr>
                <w:color w:val="auto"/>
                <w:sz w:val="24"/>
              </w:rPr>
              <w:t>DA00</w:t>
            </w:r>
            <w:r>
              <w:rPr>
                <w:rFonts w:hint="eastAsia"/>
                <w:color w:val="auto"/>
                <w:sz w:val="24"/>
              </w:rPr>
              <w:t>3/搅拌废气</w:t>
            </w:r>
          </w:p>
        </w:tc>
        <w:tc>
          <w:tcPr>
            <w:tcW w:w="1591" w:type="dxa"/>
            <w:vAlign w:val="center"/>
          </w:tcPr>
          <w:p w14:paraId="76F90792">
            <w:pPr>
              <w:adjustRightInd w:val="0"/>
              <w:snapToGrid w:val="0"/>
              <w:jc w:val="center"/>
              <w:rPr>
                <w:color w:val="auto"/>
                <w:sz w:val="24"/>
              </w:rPr>
            </w:pPr>
            <w:r>
              <w:rPr>
                <w:rFonts w:hint="eastAsia"/>
                <w:color w:val="auto"/>
                <w:sz w:val="24"/>
              </w:rPr>
              <w:t>颗粒物</w:t>
            </w:r>
          </w:p>
        </w:tc>
        <w:tc>
          <w:tcPr>
            <w:tcW w:w="2050" w:type="dxa"/>
            <w:vAlign w:val="center"/>
          </w:tcPr>
          <w:p w14:paraId="4AA4613A">
            <w:pPr>
              <w:adjustRightInd w:val="0"/>
              <w:snapToGrid w:val="0"/>
              <w:jc w:val="center"/>
              <w:rPr>
                <w:color w:val="auto"/>
                <w:sz w:val="24"/>
              </w:rPr>
            </w:pPr>
            <w:r>
              <w:rPr>
                <w:rFonts w:hint="eastAsia"/>
                <w:color w:val="auto"/>
                <w:sz w:val="24"/>
              </w:rPr>
              <w:t>经集气罩（下设软帘）收集+高效布袋除尘器+15m排气筒</w:t>
            </w:r>
          </w:p>
        </w:tc>
        <w:tc>
          <w:tcPr>
            <w:tcW w:w="2743" w:type="dxa"/>
            <w:vAlign w:val="center"/>
          </w:tcPr>
          <w:p w14:paraId="1F32CB35">
            <w:pPr>
              <w:pStyle w:val="55"/>
              <w:ind w:left="0" w:leftChars="0" w:firstLine="0" w:firstLineChars="0"/>
              <w:rPr>
                <w:color w:val="auto"/>
                <w:sz w:val="24"/>
                <w:szCs w:val="24"/>
              </w:rPr>
            </w:pPr>
            <w:r>
              <w:rPr>
                <w:rFonts w:hint="eastAsia"/>
                <w:color w:val="auto"/>
                <w:sz w:val="24"/>
                <w:szCs w:val="24"/>
              </w:rPr>
              <w:t>安徽省地方标准《砖瓦工业大气污染物排放标准》DB34/4362-2023</w:t>
            </w:r>
          </w:p>
        </w:tc>
      </w:tr>
      <w:tr w14:paraId="4AEA5A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5" w:type="dxa"/>
            <w:vMerge w:val="restart"/>
            <w:vAlign w:val="center"/>
          </w:tcPr>
          <w:p w14:paraId="7A3BBB00">
            <w:pPr>
              <w:adjustRightInd w:val="0"/>
              <w:snapToGrid w:val="0"/>
              <w:jc w:val="center"/>
              <w:rPr>
                <w:color w:val="auto"/>
                <w:sz w:val="24"/>
              </w:rPr>
            </w:pPr>
            <w:r>
              <w:rPr>
                <w:color w:val="auto"/>
                <w:sz w:val="24"/>
              </w:rPr>
              <w:t>地表水环境</w:t>
            </w:r>
          </w:p>
        </w:tc>
        <w:tc>
          <w:tcPr>
            <w:tcW w:w="1914" w:type="dxa"/>
            <w:vMerge w:val="restart"/>
            <w:vAlign w:val="center"/>
          </w:tcPr>
          <w:p w14:paraId="6081F425">
            <w:pPr>
              <w:adjustRightInd w:val="0"/>
              <w:snapToGrid w:val="0"/>
              <w:jc w:val="center"/>
              <w:rPr>
                <w:color w:val="auto"/>
                <w:sz w:val="24"/>
              </w:rPr>
            </w:pPr>
            <w:r>
              <w:rPr>
                <w:bCs/>
                <w:color w:val="auto"/>
                <w:sz w:val="24"/>
                <w:szCs w:val="32"/>
              </w:rPr>
              <w:t>DW001</w:t>
            </w:r>
            <w:r>
              <w:rPr>
                <w:rFonts w:hint="eastAsia"/>
                <w:bCs/>
                <w:color w:val="auto"/>
                <w:sz w:val="24"/>
                <w:szCs w:val="32"/>
              </w:rPr>
              <w:t>/生活污水</w:t>
            </w:r>
          </w:p>
        </w:tc>
        <w:tc>
          <w:tcPr>
            <w:tcW w:w="1591" w:type="dxa"/>
            <w:vAlign w:val="center"/>
          </w:tcPr>
          <w:p w14:paraId="74802719">
            <w:pPr>
              <w:jc w:val="center"/>
              <w:rPr>
                <w:color w:val="auto"/>
                <w:sz w:val="24"/>
              </w:rPr>
            </w:pPr>
            <w:r>
              <w:rPr>
                <w:color w:val="auto"/>
                <w:sz w:val="24"/>
              </w:rPr>
              <w:t>COD</w:t>
            </w:r>
          </w:p>
        </w:tc>
        <w:tc>
          <w:tcPr>
            <w:tcW w:w="2050" w:type="dxa"/>
            <w:vMerge w:val="restart"/>
            <w:vAlign w:val="center"/>
          </w:tcPr>
          <w:p w14:paraId="7368ED5B">
            <w:pPr>
              <w:adjustRightInd w:val="0"/>
              <w:snapToGrid w:val="0"/>
              <w:jc w:val="center"/>
              <w:rPr>
                <w:color w:val="auto"/>
                <w:sz w:val="24"/>
              </w:rPr>
            </w:pPr>
            <w:r>
              <w:rPr>
                <w:rFonts w:hint="eastAsia"/>
                <w:color w:val="auto"/>
                <w:sz w:val="24"/>
              </w:rPr>
              <w:t>化粪池</w:t>
            </w:r>
          </w:p>
        </w:tc>
        <w:tc>
          <w:tcPr>
            <w:tcW w:w="2743" w:type="dxa"/>
            <w:vMerge w:val="restart"/>
            <w:vAlign w:val="center"/>
          </w:tcPr>
          <w:p w14:paraId="1B669EE4">
            <w:pPr>
              <w:jc w:val="center"/>
              <w:rPr>
                <w:color w:val="auto"/>
                <w:sz w:val="24"/>
              </w:rPr>
            </w:pPr>
            <w:r>
              <w:rPr>
                <w:rFonts w:hint="eastAsia"/>
                <w:color w:val="auto"/>
                <w:sz w:val="24"/>
              </w:rPr>
              <w:t>生活污水经化粪池处理后定期清掏，不外排</w:t>
            </w:r>
          </w:p>
        </w:tc>
      </w:tr>
      <w:tr w14:paraId="350A42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5" w:type="dxa"/>
            <w:vMerge w:val="continue"/>
            <w:vAlign w:val="center"/>
          </w:tcPr>
          <w:p w14:paraId="1BA98F36">
            <w:pPr>
              <w:adjustRightInd w:val="0"/>
              <w:snapToGrid w:val="0"/>
              <w:jc w:val="center"/>
              <w:rPr>
                <w:color w:val="auto"/>
                <w:sz w:val="24"/>
              </w:rPr>
            </w:pPr>
          </w:p>
        </w:tc>
        <w:tc>
          <w:tcPr>
            <w:tcW w:w="1914" w:type="dxa"/>
            <w:vMerge w:val="continue"/>
            <w:vAlign w:val="center"/>
          </w:tcPr>
          <w:p w14:paraId="52E7DB50">
            <w:pPr>
              <w:adjustRightInd w:val="0"/>
              <w:snapToGrid w:val="0"/>
              <w:jc w:val="center"/>
              <w:rPr>
                <w:color w:val="auto"/>
                <w:sz w:val="24"/>
              </w:rPr>
            </w:pPr>
          </w:p>
        </w:tc>
        <w:tc>
          <w:tcPr>
            <w:tcW w:w="1591" w:type="dxa"/>
            <w:vAlign w:val="center"/>
          </w:tcPr>
          <w:p w14:paraId="23D57DF5">
            <w:pPr>
              <w:jc w:val="center"/>
              <w:rPr>
                <w:color w:val="auto"/>
                <w:sz w:val="24"/>
              </w:rPr>
            </w:pPr>
            <w:r>
              <w:rPr>
                <w:color w:val="auto"/>
                <w:sz w:val="24"/>
              </w:rPr>
              <w:t>SS</w:t>
            </w:r>
          </w:p>
        </w:tc>
        <w:tc>
          <w:tcPr>
            <w:tcW w:w="2050" w:type="dxa"/>
            <w:vMerge w:val="continue"/>
            <w:vAlign w:val="center"/>
          </w:tcPr>
          <w:p w14:paraId="504DD713">
            <w:pPr>
              <w:adjustRightInd w:val="0"/>
              <w:snapToGrid w:val="0"/>
              <w:jc w:val="center"/>
              <w:rPr>
                <w:color w:val="auto"/>
                <w:sz w:val="24"/>
              </w:rPr>
            </w:pPr>
          </w:p>
        </w:tc>
        <w:tc>
          <w:tcPr>
            <w:tcW w:w="2743" w:type="dxa"/>
            <w:vMerge w:val="continue"/>
            <w:vAlign w:val="center"/>
          </w:tcPr>
          <w:p w14:paraId="5540E126">
            <w:pPr>
              <w:adjustRightInd w:val="0"/>
              <w:snapToGrid w:val="0"/>
              <w:jc w:val="center"/>
              <w:rPr>
                <w:color w:val="auto"/>
                <w:sz w:val="24"/>
              </w:rPr>
            </w:pPr>
          </w:p>
        </w:tc>
      </w:tr>
      <w:tr w14:paraId="722776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5" w:type="dxa"/>
            <w:vMerge w:val="continue"/>
            <w:vAlign w:val="center"/>
          </w:tcPr>
          <w:p w14:paraId="659A7EBC">
            <w:pPr>
              <w:adjustRightInd w:val="0"/>
              <w:snapToGrid w:val="0"/>
              <w:jc w:val="center"/>
              <w:rPr>
                <w:color w:val="auto"/>
                <w:sz w:val="24"/>
              </w:rPr>
            </w:pPr>
          </w:p>
        </w:tc>
        <w:tc>
          <w:tcPr>
            <w:tcW w:w="1914" w:type="dxa"/>
            <w:vMerge w:val="continue"/>
            <w:vAlign w:val="center"/>
          </w:tcPr>
          <w:p w14:paraId="72FCD4D3">
            <w:pPr>
              <w:adjustRightInd w:val="0"/>
              <w:snapToGrid w:val="0"/>
              <w:jc w:val="center"/>
              <w:rPr>
                <w:color w:val="auto"/>
                <w:sz w:val="24"/>
              </w:rPr>
            </w:pPr>
          </w:p>
        </w:tc>
        <w:tc>
          <w:tcPr>
            <w:tcW w:w="1591" w:type="dxa"/>
            <w:vAlign w:val="center"/>
          </w:tcPr>
          <w:p w14:paraId="687D9D62">
            <w:pPr>
              <w:jc w:val="center"/>
              <w:rPr>
                <w:color w:val="auto"/>
                <w:sz w:val="24"/>
              </w:rPr>
            </w:pPr>
            <w:r>
              <w:rPr>
                <w:color w:val="auto"/>
                <w:sz w:val="24"/>
              </w:rPr>
              <w:t>氨氮</w:t>
            </w:r>
          </w:p>
        </w:tc>
        <w:tc>
          <w:tcPr>
            <w:tcW w:w="2050" w:type="dxa"/>
            <w:vMerge w:val="continue"/>
            <w:vAlign w:val="center"/>
          </w:tcPr>
          <w:p w14:paraId="360BA6D2">
            <w:pPr>
              <w:adjustRightInd w:val="0"/>
              <w:snapToGrid w:val="0"/>
              <w:jc w:val="center"/>
              <w:rPr>
                <w:color w:val="auto"/>
                <w:sz w:val="24"/>
              </w:rPr>
            </w:pPr>
          </w:p>
        </w:tc>
        <w:tc>
          <w:tcPr>
            <w:tcW w:w="2743" w:type="dxa"/>
            <w:vMerge w:val="continue"/>
            <w:vAlign w:val="center"/>
          </w:tcPr>
          <w:p w14:paraId="780BA78B">
            <w:pPr>
              <w:jc w:val="center"/>
              <w:rPr>
                <w:color w:val="auto"/>
                <w:sz w:val="24"/>
              </w:rPr>
            </w:pPr>
          </w:p>
        </w:tc>
      </w:tr>
      <w:tr w14:paraId="7C31C8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5" w:type="dxa"/>
            <w:vMerge w:val="continue"/>
            <w:vAlign w:val="center"/>
          </w:tcPr>
          <w:p w14:paraId="6F079708">
            <w:pPr>
              <w:adjustRightInd w:val="0"/>
              <w:snapToGrid w:val="0"/>
              <w:jc w:val="center"/>
              <w:rPr>
                <w:color w:val="auto"/>
                <w:sz w:val="24"/>
              </w:rPr>
            </w:pPr>
          </w:p>
        </w:tc>
        <w:tc>
          <w:tcPr>
            <w:tcW w:w="1914" w:type="dxa"/>
            <w:vMerge w:val="continue"/>
            <w:vAlign w:val="center"/>
          </w:tcPr>
          <w:p w14:paraId="113A0844">
            <w:pPr>
              <w:adjustRightInd w:val="0"/>
              <w:snapToGrid w:val="0"/>
              <w:jc w:val="center"/>
              <w:rPr>
                <w:color w:val="auto"/>
                <w:sz w:val="24"/>
              </w:rPr>
            </w:pPr>
          </w:p>
        </w:tc>
        <w:tc>
          <w:tcPr>
            <w:tcW w:w="1591" w:type="dxa"/>
            <w:vAlign w:val="center"/>
          </w:tcPr>
          <w:p w14:paraId="7A5BE401">
            <w:pPr>
              <w:jc w:val="center"/>
              <w:rPr>
                <w:color w:val="auto"/>
                <w:sz w:val="24"/>
              </w:rPr>
            </w:pPr>
            <w:r>
              <w:rPr>
                <w:color w:val="auto"/>
                <w:sz w:val="24"/>
              </w:rPr>
              <w:t>BOD</w:t>
            </w:r>
            <w:r>
              <w:rPr>
                <w:color w:val="auto"/>
                <w:sz w:val="24"/>
                <w:vertAlign w:val="subscript"/>
              </w:rPr>
              <w:t>5</w:t>
            </w:r>
          </w:p>
        </w:tc>
        <w:tc>
          <w:tcPr>
            <w:tcW w:w="2050" w:type="dxa"/>
            <w:vMerge w:val="continue"/>
            <w:vAlign w:val="center"/>
          </w:tcPr>
          <w:p w14:paraId="3246E942">
            <w:pPr>
              <w:adjustRightInd w:val="0"/>
              <w:snapToGrid w:val="0"/>
              <w:jc w:val="center"/>
              <w:rPr>
                <w:color w:val="auto"/>
                <w:sz w:val="24"/>
              </w:rPr>
            </w:pPr>
          </w:p>
        </w:tc>
        <w:tc>
          <w:tcPr>
            <w:tcW w:w="2743" w:type="dxa"/>
            <w:vMerge w:val="continue"/>
            <w:vAlign w:val="center"/>
          </w:tcPr>
          <w:p w14:paraId="656F5C38">
            <w:pPr>
              <w:adjustRightInd w:val="0"/>
              <w:snapToGrid w:val="0"/>
              <w:jc w:val="center"/>
              <w:rPr>
                <w:color w:val="auto"/>
                <w:sz w:val="24"/>
              </w:rPr>
            </w:pPr>
          </w:p>
        </w:tc>
      </w:tr>
      <w:tr w14:paraId="264F2D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5" w:type="dxa"/>
            <w:vMerge w:val="continue"/>
            <w:vAlign w:val="center"/>
          </w:tcPr>
          <w:p w14:paraId="1CF80998">
            <w:pPr>
              <w:adjustRightInd w:val="0"/>
              <w:snapToGrid w:val="0"/>
              <w:jc w:val="center"/>
              <w:rPr>
                <w:color w:val="auto"/>
                <w:sz w:val="24"/>
              </w:rPr>
            </w:pPr>
          </w:p>
        </w:tc>
        <w:tc>
          <w:tcPr>
            <w:tcW w:w="1914" w:type="dxa"/>
            <w:vMerge w:val="continue"/>
            <w:vAlign w:val="center"/>
          </w:tcPr>
          <w:p w14:paraId="7294DFE9">
            <w:pPr>
              <w:adjustRightInd w:val="0"/>
              <w:snapToGrid w:val="0"/>
              <w:jc w:val="center"/>
              <w:rPr>
                <w:color w:val="auto"/>
                <w:sz w:val="24"/>
              </w:rPr>
            </w:pPr>
          </w:p>
        </w:tc>
        <w:tc>
          <w:tcPr>
            <w:tcW w:w="1591" w:type="dxa"/>
            <w:vAlign w:val="center"/>
          </w:tcPr>
          <w:p w14:paraId="545EE9BA">
            <w:pPr>
              <w:jc w:val="center"/>
              <w:rPr>
                <w:color w:val="auto"/>
                <w:sz w:val="24"/>
              </w:rPr>
            </w:pPr>
            <w:r>
              <w:rPr>
                <w:rFonts w:hint="eastAsia"/>
                <w:color w:val="auto"/>
                <w:sz w:val="24"/>
              </w:rPr>
              <w:t>pH</w:t>
            </w:r>
          </w:p>
        </w:tc>
        <w:tc>
          <w:tcPr>
            <w:tcW w:w="2050" w:type="dxa"/>
            <w:vMerge w:val="continue"/>
            <w:vAlign w:val="center"/>
          </w:tcPr>
          <w:p w14:paraId="5839569E">
            <w:pPr>
              <w:adjustRightInd w:val="0"/>
              <w:snapToGrid w:val="0"/>
              <w:jc w:val="center"/>
              <w:rPr>
                <w:color w:val="auto"/>
                <w:sz w:val="24"/>
              </w:rPr>
            </w:pPr>
          </w:p>
        </w:tc>
        <w:tc>
          <w:tcPr>
            <w:tcW w:w="2743" w:type="dxa"/>
            <w:vMerge w:val="continue"/>
            <w:vAlign w:val="center"/>
          </w:tcPr>
          <w:p w14:paraId="2ABCC145">
            <w:pPr>
              <w:adjustRightInd w:val="0"/>
              <w:snapToGrid w:val="0"/>
              <w:jc w:val="center"/>
              <w:rPr>
                <w:color w:val="auto"/>
                <w:sz w:val="24"/>
              </w:rPr>
            </w:pPr>
          </w:p>
        </w:tc>
      </w:tr>
      <w:tr w14:paraId="758B61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5" w:type="dxa"/>
            <w:vMerge w:val="continue"/>
            <w:vAlign w:val="center"/>
          </w:tcPr>
          <w:p w14:paraId="46988690">
            <w:pPr>
              <w:adjustRightInd w:val="0"/>
              <w:snapToGrid w:val="0"/>
              <w:jc w:val="center"/>
              <w:rPr>
                <w:color w:val="auto"/>
                <w:sz w:val="24"/>
              </w:rPr>
            </w:pPr>
          </w:p>
        </w:tc>
        <w:tc>
          <w:tcPr>
            <w:tcW w:w="1914" w:type="dxa"/>
            <w:vAlign w:val="center"/>
          </w:tcPr>
          <w:p w14:paraId="646F230B">
            <w:pPr>
              <w:adjustRightInd w:val="0"/>
              <w:snapToGrid w:val="0"/>
              <w:jc w:val="center"/>
              <w:rPr>
                <w:color w:val="auto"/>
                <w:sz w:val="24"/>
              </w:rPr>
            </w:pPr>
            <w:r>
              <w:rPr>
                <w:rFonts w:hint="eastAsia" w:cs="宋体"/>
                <w:color w:val="auto"/>
                <w:sz w:val="24"/>
                <w:szCs w:val="32"/>
              </w:rPr>
              <w:t>生产废水</w:t>
            </w:r>
          </w:p>
        </w:tc>
        <w:tc>
          <w:tcPr>
            <w:tcW w:w="1591" w:type="dxa"/>
            <w:vAlign w:val="center"/>
          </w:tcPr>
          <w:p w14:paraId="16A049F2">
            <w:pPr>
              <w:jc w:val="center"/>
              <w:rPr>
                <w:color w:val="auto"/>
                <w:sz w:val="24"/>
              </w:rPr>
            </w:pPr>
            <w:r>
              <w:rPr>
                <w:rFonts w:hint="eastAsia"/>
                <w:color w:val="auto"/>
                <w:sz w:val="24"/>
              </w:rPr>
              <w:t>pH、</w:t>
            </w:r>
            <w:r>
              <w:rPr>
                <w:color w:val="auto"/>
                <w:sz w:val="24"/>
              </w:rPr>
              <w:t>COD</w:t>
            </w:r>
            <w:r>
              <w:rPr>
                <w:rFonts w:hint="eastAsia"/>
                <w:color w:val="auto"/>
                <w:sz w:val="24"/>
              </w:rPr>
              <w:t>、</w:t>
            </w:r>
            <w:r>
              <w:rPr>
                <w:rFonts w:eastAsia="Times New Roman"/>
                <w:color w:val="auto"/>
                <w:spacing w:val="-8"/>
                <w:sz w:val="24"/>
              </w:rPr>
              <w:t>SS</w:t>
            </w:r>
          </w:p>
        </w:tc>
        <w:tc>
          <w:tcPr>
            <w:tcW w:w="2050" w:type="dxa"/>
            <w:vAlign w:val="center"/>
          </w:tcPr>
          <w:p w14:paraId="1E418070">
            <w:pPr>
              <w:adjustRightInd w:val="0"/>
              <w:snapToGrid w:val="0"/>
              <w:jc w:val="center"/>
              <w:rPr>
                <w:color w:val="auto"/>
                <w:sz w:val="24"/>
              </w:rPr>
            </w:pPr>
            <w:r>
              <w:rPr>
                <w:rFonts w:hint="eastAsia"/>
                <w:color w:val="auto"/>
                <w:sz w:val="24"/>
              </w:rPr>
              <w:t>沉淀池</w:t>
            </w:r>
          </w:p>
        </w:tc>
        <w:tc>
          <w:tcPr>
            <w:tcW w:w="2743" w:type="dxa"/>
            <w:vAlign w:val="center"/>
          </w:tcPr>
          <w:p w14:paraId="51E91304">
            <w:pPr>
              <w:adjustRightInd w:val="0"/>
              <w:snapToGrid w:val="0"/>
              <w:jc w:val="center"/>
              <w:rPr>
                <w:color w:val="auto"/>
                <w:sz w:val="24"/>
              </w:rPr>
            </w:pPr>
            <w:r>
              <w:rPr>
                <w:rFonts w:hint="eastAsia"/>
                <w:color w:val="auto"/>
                <w:sz w:val="24"/>
              </w:rPr>
              <w:t>经沉淀后回用生产，不外排</w:t>
            </w:r>
          </w:p>
        </w:tc>
      </w:tr>
      <w:tr w14:paraId="4518D7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5" w:type="dxa"/>
            <w:vAlign w:val="center"/>
          </w:tcPr>
          <w:p w14:paraId="7F27B480">
            <w:pPr>
              <w:adjustRightInd w:val="0"/>
              <w:snapToGrid w:val="0"/>
              <w:jc w:val="center"/>
              <w:rPr>
                <w:color w:val="auto"/>
                <w:sz w:val="24"/>
              </w:rPr>
            </w:pPr>
            <w:r>
              <w:rPr>
                <w:color w:val="auto"/>
                <w:sz w:val="24"/>
              </w:rPr>
              <w:t>声环境</w:t>
            </w:r>
          </w:p>
        </w:tc>
        <w:tc>
          <w:tcPr>
            <w:tcW w:w="1914" w:type="dxa"/>
            <w:vAlign w:val="center"/>
          </w:tcPr>
          <w:p w14:paraId="3144866A">
            <w:pPr>
              <w:adjustRightInd w:val="0"/>
              <w:snapToGrid w:val="0"/>
              <w:jc w:val="center"/>
              <w:rPr>
                <w:color w:val="auto"/>
                <w:sz w:val="24"/>
              </w:rPr>
            </w:pPr>
            <w:r>
              <w:rPr>
                <w:rFonts w:hint="eastAsia" w:cs="宋体"/>
                <w:color w:val="auto"/>
                <w:sz w:val="24"/>
                <w:szCs w:val="32"/>
              </w:rPr>
              <w:t>生产设备</w:t>
            </w:r>
          </w:p>
        </w:tc>
        <w:tc>
          <w:tcPr>
            <w:tcW w:w="1591" w:type="dxa"/>
            <w:vAlign w:val="center"/>
          </w:tcPr>
          <w:p w14:paraId="2CE56A59">
            <w:pPr>
              <w:adjustRightInd w:val="0"/>
              <w:snapToGrid w:val="0"/>
              <w:jc w:val="center"/>
              <w:rPr>
                <w:color w:val="auto"/>
                <w:sz w:val="24"/>
              </w:rPr>
            </w:pPr>
            <w:r>
              <w:rPr>
                <w:color w:val="auto"/>
                <w:sz w:val="24"/>
              </w:rPr>
              <w:t>昼间Leq(A)</w:t>
            </w:r>
          </w:p>
        </w:tc>
        <w:tc>
          <w:tcPr>
            <w:tcW w:w="2050" w:type="dxa"/>
            <w:vAlign w:val="center"/>
          </w:tcPr>
          <w:p w14:paraId="782DAA00">
            <w:pPr>
              <w:adjustRightInd w:val="0"/>
              <w:snapToGrid w:val="0"/>
              <w:jc w:val="center"/>
              <w:rPr>
                <w:color w:val="auto"/>
                <w:sz w:val="24"/>
              </w:rPr>
            </w:pPr>
            <w:r>
              <w:rPr>
                <w:color w:val="auto"/>
                <w:sz w:val="24"/>
              </w:rPr>
              <w:t>生产车间内噪声源经生产车间隔声</w:t>
            </w:r>
            <w:r>
              <w:rPr>
                <w:rFonts w:hint="eastAsia"/>
                <w:color w:val="auto"/>
                <w:sz w:val="24"/>
              </w:rPr>
              <w:t>基座减震等措施</w:t>
            </w:r>
            <w:r>
              <w:rPr>
                <w:color w:val="auto"/>
                <w:sz w:val="24"/>
              </w:rPr>
              <w:t>，</w:t>
            </w:r>
            <w:r>
              <w:rPr>
                <w:rFonts w:hint="eastAsia"/>
                <w:color w:val="auto"/>
                <w:sz w:val="24"/>
              </w:rPr>
              <w:t>定期</w:t>
            </w:r>
            <w:r>
              <w:rPr>
                <w:color w:val="auto"/>
                <w:sz w:val="24"/>
              </w:rPr>
              <w:t>进行检修，使其保持正常的工作状态</w:t>
            </w:r>
          </w:p>
        </w:tc>
        <w:tc>
          <w:tcPr>
            <w:tcW w:w="2743" w:type="dxa"/>
            <w:vAlign w:val="center"/>
          </w:tcPr>
          <w:p w14:paraId="0ADFC1C2">
            <w:pPr>
              <w:adjustRightInd w:val="0"/>
              <w:snapToGrid w:val="0"/>
              <w:jc w:val="center"/>
              <w:rPr>
                <w:color w:val="auto"/>
                <w:sz w:val="24"/>
              </w:rPr>
            </w:pPr>
            <w:r>
              <w:rPr>
                <w:color w:val="auto"/>
                <w:sz w:val="24"/>
              </w:rPr>
              <w:t>《工业企业厂界环境噪声排放标准》（GB12348-2008）</w:t>
            </w:r>
            <w:r>
              <w:rPr>
                <w:rFonts w:hint="eastAsia"/>
                <w:color w:val="auto"/>
                <w:sz w:val="24"/>
              </w:rPr>
              <w:t>2</w:t>
            </w:r>
            <w:r>
              <w:rPr>
                <w:color w:val="auto"/>
                <w:sz w:val="24"/>
              </w:rPr>
              <w:t>类标准</w:t>
            </w:r>
          </w:p>
        </w:tc>
      </w:tr>
      <w:tr w14:paraId="242C0B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5" w:type="dxa"/>
            <w:vAlign w:val="center"/>
          </w:tcPr>
          <w:p w14:paraId="650CD03A">
            <w:pPr>
              <w:adjustRightInd w:val="0"/>
              <w:snapToGrid w:val="0"/>
              <w:jc w:val="center"/>
              <w:rPr>
                <w:color w:val="auto"/>
                <w:sz w:val="24"/>
              </w:rPr>
            </w:pPr>
            <w:r>
              <w:rPr>
                <w:color w:val="auto"/>
                <w:sz w:val="24"/>
              </w:rPr>
              <w:t>固体废物</w:t>
            </w:r>
          </w:p>
        </w:tc>
        <w:tc>
          <w:tcPr>
            <w:tcW w:w="8298" w:type="dxa"/>
            <w:gridSpan w:val="4"/>
            <w:tcBorders>
              <w:right w:val="single" w:color="auto" w:sz="4" w:space="0"/>
            </w:tcBorders>
            <w:vAlign w:val="center"/>
          </w:tcPr>
          <w:p w14:paraId="379D2F4A">
            <w:pPr>
              <w:spacing w:line="360" w:lineRule="auto"/>
              <w:ind w:firstLine="480" w:firstLineChars="200"/>
              <w:rPr>
                <w:color w:val="auto"/>
                <w:sz w:val="24"/>
              </w:rPr>
            </w:pPr>
            <w:r>
              <w:rPr>
                <w:rFonts w:hint="eastAsia"/>
                <w:color w:val="auto"/>
                <w:sz w:val="24"/>
              </w:rPr>
              <w:t>项目依托已建50m²一般暂存间，布袋除尘收尘、收集后回用于生产，筛分杂质、沉淀池污泥、废包装材料、废模框收集后外售综合利用。新建一座10m²危险废物暂存间。废机油、废机油桶收集后暂存于危险废物暂存间，定期委托有资质单位处置。</w:t>
            </w:r>
          </w:p>
        </w:tc>
      </w:tr>
      <w:tr w14:paraId="2D2123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5" w:type="dxa"/>
            <w:vAlign w:val="center"/>
          </w:tcPr>
          <w:p w14:paraId="48B43513">
            <w:pPr>
              <w:adjustRightInd w:val="0"/>
              <w:snapToGrid w:val="0"/>
              <w:jc w:val="center"/>
              <w:rPr>
                <w:color w:val="auto"/>
                <w:sz w:val="24"/>
              </w:rPr>
            </w:pPr>
            <w:r>
              <w:rPr>
                <w:color w:val="auto"/>
                <w:sz w:val="24"/>
              </w:rPr>
              <w:t>土壤及地下水污染防治措施</w:t>
            </w:r>
          </w:p>
        </w:tc>
        <w:tc>
          <w:tcPr>
            <w:tcW w:w="8298" w:type="dxa"/>
            <w:gridSpan w:val="4"/>
            <w:tcBorders>
              <w:right w:val="single" w:color="auto" w:sz="4" w:space="0"/>
            </w:tcBorders>
            <w:vAlign w:val="center"/>
          </w:tcPr>
          <w:p w14:paraId="4465014E">
            <w:pPr>
              <w:spacing w:line="360" w:lineRule="auto"/>
              <w:ind w:firstLine="480" w:firstLineChars="200"/>
              <w:rPr>
                <w:color w:val="auto"/>
                <w:sz w:val="24"/>
              </w:rPr>
            </w:pPr>
            <w:r>
              <w:rPr>
                <w:color w:val="auto"/>
                <w:sz w:val="24"/>
              </w:rPr>
              <w:t>分区防渗：</w:t>
            </w:r>
          </w:p>
          <w:p w14:paraId="71EFDA49">
            <w:pPr>
              <w:spacing w:line="360" w:lineRule="auto"/>
              <w:ind w:firstLine="480" w:firstLineChars="200"/>
              <w:rPr>
                <w:color w:val="auto"/>
                <w:sz w:val="24"/>
              </w:rPr>
            </w:pPr>
            <w:r>
              <w:rPr>
                <w:color w:val="auto"/>
                <w:sz w:val="24"/>
              </w:rPr>
              <w:t>（1）</w:t>
            </w:r>
            <w:r>
              <w:rPr>
                <w:rFonts w:hint="eastAsia"/>
                <w:color w:val="auto"/>
                <w:sz w:val="24"/>
              </w:rPr>
              <w:t>重点防渗：基础必须防渗，防渗层等效为至少6米厚粘土层（渗透系数≤10</w:t>
            </w:r>
            <w:r>
              <w:rPr>
                <w:rFonts w:hint="eastAsia"/>
                <w:color w:val="auto"/>
                <w:sz w:val="24"/>
                <w:vertAlign w:val="superscript"/>
              </w:rPr>
              <w:t>-7</w:t>
            </w:r>
            <w:r>
              <w:rPr>
                <w:rFonts w:hint="eastAsia"/>
                <w:color w:val="auto"/>
                <w:sz w:val="24"/>
              </w:rPr>
              <w:t>cm/s），或2mm厚高密度聚乙烯，或至少2mm厚的其它人工材料，渗透系数≤10</w:t>
            </w:r>
            <w:r>
              <w:rPr>
                <w:rFonts w:hint="eastAsia"/>
                <w:color w:val="auto"/>
                <w:sz w:val="24"/>
                <w:vertAlign w:val="superscript"/>
              </w:rPr>
              <w:t>-10</w:t>
            </w:r>
            <w:r>
              <w:rPr>
                <w:rFonts w:hint="eastAsia"/>
                <w:color w:val="auto"/>
                <w:sz w:val="24"/>
              </w:rPr>
              <w:t>cm/s</w:t>
            </w:r>
          </w:p>
          <w:p w14:paraId="19961144">
            <w:pPr>
              <w:spacing w:line="360" w:lineRule="auto"/>
              <w:ind w:firstLine="480" w:firstLineChars="200"/>
              <w:rPr>
                <w:color w:val="auto"/>
                <w:sz w:val="24"/>
              </w:rPr>
            </w:pPr>
            <w:r>
              <w:rPr>
                <w:color w:val="auto"/>
                <w:sz w:val="24"/>
              </w:rPr>
              <w:t>（2）一般防渗：</w:t>
            </w:r>
            <w:r>
              <w:rPr>
                <w:rFonts w:hint="eastAsia"/>
                <w:color w:val="auto"/>
                <w:sz w:val="24"/>
              </w:rPr>
              <w:t>依托已建厂房现有</w:t>
            </w:r>
            <w:r>
              <w:rPr>
                <w:color w:val="auto"/>
                <w:sz w:val="24"/>
              </w:rPr>
              <w:t>C30混凝土建设</w:t>
            </w:r>
            <w:r>
              <w:rPr>
                <w:rFonts w:hint="eastAsia"/>
                <w:color w:val="auto"/>
                <w:sz w:val="24"/>
              </w:rPr>
              <w:t>的20c</w:t>
            </w:r>
            <w:r>
              <w:rPr>
                <w:color w:val="auto"/>
                <w:sz w:val="24"/>
              </w:rPr>
              <w:t>m硬化地面，可满足一般防渗要求。</w:t>
            </w:r>
          </w:p>
        </w:tc>
      </w:tr>
      <w:tr w14:paraId="6DA98B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5" w:type="dxa"/>
            <w:vAlign w:val="center"/>
          </w:tcPr>
          <w:p w14:paraId="6B4EC458">
            <w:pPr>
              <w:adjustRightInd w:val="0"/>
              <w:snapToGrid w:val="0"/>
              <w:jc w:val="center"/>
              <w:rPr>
                <w:color w:val="auto"/>
                <w:spacing w:val="-8"/>
                <w:sz w:val="24"/>
              </w:rPr>
            </w:pPr>
            <w:r>
              <w:rPr>
                <w:color w:val="auto"/>
                <w:spacing w:val="-8"/>
                <w:sz w:val="24"/>
              </w:rPr>
              <w:t>环境风险</w:t>
            </w:r>
          </w:p>
          <w:p w14:paraId="47CF45C0">
            <w:pPr>
              <w:adjustRightInd w:val="0"/>
              <w:snapToGrid w:val="0"/>
              <w:jc w:val="center"/>
              <w:rPr>
                <w:color w:val="auto"/>
                <w:spacing w:val="-8"/>
                <w:sz w:val="24"/>
              </w:rPr>
            </w:pPr>
            <w:r>
              <w:rPr>
                <w:color w:val="auto"/>
                <w:spacing w:val="-8"/>
                <w:sz w:val="24"/>
              </w:rPr>
              <w:t>防范措施</w:t>
            </w:r>
          </w:p>
        </w:tc>
        <w:tc>
          <w:tcPr>
            <w:tcW w:w="8298" w:type="dxa"/>
            <w:gridSpan w:val="4"/>
          </w:tcPr>
          <w:p w14:paraId="75B3B23C">
            <w:pPr>
              <w:spacing w:line="360" w:lineRule="auto"/>
              <w:ind w:firstLine="480" w:firstLineChars="200"/>
              <w:rPr>
                <w:color w:val="auto"/>
                <w:sz w:val="24"/>
              </w:rPr>
            </w:pPr>
            <w:r>
              <w:rPr>
                <w:color w:val="auto"/>
                <w:sz w:val="24"/>
              </w:rPr>
              <w:t>（1）车间内工艺布置保持通道畅通</w:t>
            </w:r>
          </w:p>
          <w:p w14:paraId="09C99FB0">
            <w:pPr>
              <w:spacing w:line="360" w:lineRule="auto"/>
              <w:ind w:firstLine="480" w:firstLineChars="200"/>
              <w:rPr>
                <w:color w:val="auto"/>
                <w:sz w:val="24"/>
              </w:rPr>
            </w:pPr>
            <w:r>
              <w:rPr>
                <w:color w:val="auto"/>
                <w:sz w:val="24"/>
              </w:rPr>
              <w:t>（2）企业定期对废气、处理设施进行维护、修理，使其处于正常运转状态，杜绝事故性排放；一旦发现废气收集、处理设施出现故障，须立即停止生产，待故障排除完毕、治理设施正常运行后方可恢复生产</w:t>
            </w:r>
            <w:r>
              <w:rPr>
                <w:rFonts w:hint="eastAsia"/>
                <w:color w:val="auto"/>
                <w:sz w:val="24"/>
              </w:rPr>
              <w:t>。</w:t>
            </w:r>
          </w:p>
          <w:p w14:paraId="16FFC808">
            <w:pPr>
              <w:spacing w:line="360" w:lineRule="auto"/>
              <w:ind w:firstLine="480" w:firstLineChars="200"/>
              <w:rPr>
                <w:color w:val="auto"/>
                <w:sz w:val="24"/>
              </w:rPr>
            </w:pPr>
            <w:r>
              <w:rPr>
                <w:rFonts w:hint="eastAsia"/>
                <w:color w:val="auto"/>
                <w:sz w:val="24"/>
              </w:rPr>
              <w:t>（3）</w:t>
            </w:r>
            <w:r>
              <w:rPr>
                <w:color w:val="auto"/>
                <w:sz w:val="24"/>
              </w:rPr>
              <w:t>建设单位须制订环境突发事故应急预案，一旦突发环境风险事故，必须立即按应急预案提到的紧急处理、救援、监测方案等进行紧急救援，救援人员采取相应的防护措施，以避免造成人员伤亡事故</w:t>
            </w:r>
            <w:r>
              <w:rPr>
                <w:rFonts w:hint="eastAsia"/>
                <w:color w:val="auto"/>
                <w:sz w:val="24"/>
              </w:rPr>
              <w:t>。</w:t>
            </w:r>
          </w:p>
        </w:tc>
      </w:tr>
      <w:tr w14:paraId="6BB66D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88" w:hRule="atLeast"/>
          <w:jc w:val="center"/>
        </w:trPr>
        <w:tc>
          <w:tcPr>
            <w:tcW w:w="1435" w:type="dxa"/>
            <w:vAlign w:val="center"/>
          </w:tcPr>
          <w:p w14:paraId="1C46BD18">
            <w:pPr>
              <w:adjustRightInd w:val="0"/>
              <w:snapToGrid w:val="0"/>
              <w:jc w:val="center"/>
              <w:rPr>
                <w:color w:val="auto"/>
                <w:spacing w:val="-8"/>
                <w:sz w:val="24"/>
              </w:rPr>
            </w:pPr>
            <w:r>
              <w:rPr>
                <w:color w:val="auto"/>
                <w:spacing w:val="-8"/>
                <w:sz w:val="24"/>
              </w:rPr>
              <w:t>其他环境</w:t>
            </w:r>
          </w:p>
          <w:p w14:paraId="60D114D0">
            <w:pPr>
              <w:adjustRightInd w:val="0"/>
              <w:snapToGrid w:val="0"/>
              <w:jc w:val="center"/>
              <w:rPr>
                <w:color w:val="auto"/>
                <w:spacing w:val="-8"/>
                <w:sz w:val="24"/>
              </w:rPr>
            </w:pPr>
            <w:r>
              <w:rPr>
                <w:color w:val="auto"/>
                <w:spacing w:val="-8"/>
                <w:sz w:val="24"/>
              </w:rPr>
              <w:t>管理要求</w:t>
            </w:r>
          </w:p>
        </w:tc>
        <w:tc>
          <w:tcPr>
            <w:tcW w:w="8298" w:type="dxa"/>
            <w:gridSpan w:val="4"/>
            <w:vAlign w:val="center"/>
          </w:tcPr>
          <w:p w14:paraId="50185A42">
            <w:pPr>
              <w:spacing w:line="360" w:lineRule="auto"/>
              <w:ind w:firstLine="482" w:firstLineChars="200"/>
              <w:jc w:val="left"/>
              <w:rPr>
                <w:b/>
                <w:bCs/>
                <w:color w:val="auto"/>
                <w:sz w:val="24"/>
                <w:lang w:bidi="ar"/>
              </w:rPr>
            </w:pPr>
            <w:r>
              <w:rPr>
                <w:b/>
                <w:bCs/>
                <w:color w:val="auto"/>
                <w:sz w:val="24"/>
                <w:lang w:bidi="ar"/>
              </w:rPr>
              <w:t>1、排放口规范化及信息公开化</w:t>
            </w:r>
          </w:p>
          <w:p w14:paraId="514B88FE">
            <w:pPr>
              <w:spacing w:line="360" w:lineRule="auto"/>
              <w:ind w:firstLine="480" w:firstLineChars="200"/>
              <w:jc w:val="left"/>
              <w:rPr>
                <w:color w:val="auto"/>
                <w:sz w:val="24"/>
                <w:lang w:bidi="ar"/>
              </w:rPr>
            </w:pPr>
            <w:r>
              <w:rPr>
                <w:rFonts w:hint="eastAsia"/>
                <w:color w:val="auto"/>
                <w:sz w:val="24"/>
                <w:lang w:bidi="ar"/>
              </w:rPr>
              <w:t>根据《</w:t>
            </w:r>
            <w:r>
              <w:rPr>
                <w:color w:val="auto"/>
                <w:sz w:val="24"/>
                <w:lang w:bidi="ar"/>
              </w:rPr>
              <w:t>安徽省污染源排放口规范化整治管理办法</w:t>
            </w:r>
            <w:r>
              <w:rPr>
                <w:rFonts w:hint="eastAsia"/>
                <w:color w:val="auto"/>
                <w:sz w:val="24"/>
                <w:lang w:bidi="ar"/>
              </w:rPr>
              <w:t>》（</w:t>
            </w:r>
            <w:r>
              <w:rPr>
                <w:color w:val="auto"/>
                <w:sz w:val="24"/>
                <w:lang w:bidi="ar"/>
              </w:rPr>
              <w:t>环</w:t>
            </w:r>
            <w:r>
              <w:rPr>
                <w:rFonts w:hint="eastAsia"/>
                <w:color w:val="auto"/>
                <w:sz w:val="24"/>
                <w:lang w:bidi="ar"/>
              </w:rPr>
              <w:t>法函[2005]114号）、《排污口规范化整治技术要求》（环监[1996]470号）等规定的要求</w:t>
            </w:r>
            <w:r>
              <w:rPr>
                <w:color w:val="auto"/>
                <w:sz w:val="24"/>
                <w:lang w:bidi="ar"/>
              </w:rPr>
              <w:t>，一切新建、改造、扩建的排污单位以及限期治理的排污单位必须在建设污染治理设施的同时，建设规范化排放口。因此，建设项目产生的各类污染物的排放口必须规范化，并且规范化工作的完成必须与污染治理设施同步。</w:t>
            </w:r>
          </w:p>
          <w:p w14:paraId="59D34B25">
            <w:pPr>
              <w:pStyle w:val="65"/>
              <w:widowControl/>
              <w:autoSpaceDE w:val="0"/>
              <w:autoSpaceDN w:val="0"/>
              <w:spacing w:before="0" w:line="360" w:lineRule="auto"/>
              <w:ind w:firstLine="480" w:firstLineChars="200"/>
              <w:textAlignment w:val="baseline"/>
              <w:rPr>
                <w:rFonts w:ascii="Times New Roman" w:hAnsi="Times New Roman"/>
                <w:snapToGrid w:val="0"/>
                <w:color w:val="auto"/>
                <w:sz w:val="24"/>
              </w:rPr>
            </w:pPr>
            <w:r>
              <w:rPr>
                <w:rFonts w:hint="eastAsia" w:ascii="Times New Roman" w:hAnsi="Times New Roman"/>
                <w:snapToGrid w:val="0"/>
                <w:color w:val="auto"/>
                <w:sz w:val="24"/>
              </w:rPr>
              <w:t>（1）环境监测计划</w:t>
            </w:r>
          </w:p>
          <w:p w14:paraId="19F6A03D">
            <w:pPr>
              <w:pStyle w:val="65"/>
              <w:widowControl/>
              <w:autoSpaceDE w:val="0"/>
              <w:autoSpaceDN w:val="0"/>
              <w:spacing w:before="0" w:line="360" w:lineRule="auto"/>
              <w:ind w:firstLine="480" w:firstLineChars="200"/>
              <w:textAlignment w:val="baseline"/>
              <w:rPr>
                <w:rFonts w:ascii="Times New Roman" w:hAnsi="Times New Roman"/>
                <w:snapToGrid w:val="0"/>
                <w:color w:val="auto"/>
                <w:sz w:val="24"/>
              </w:rPr>
            </w:pPr>
            <w:r>
              <w:rPr>
                <w:rFonts w:ascii="Times New Roman" w:hAnsi="Times New Roman"/>
                <w:snapToGrid w:val="0"/>
                <w:color w:val="auto"/>
                <w:sz w:val="24"/>
              </w:rPr>
              <w:t>依据《排污单位自行监测技术指南总则》（HJ819-2017）、</w:t>
            </w:r>
            <w:r>
              <w:rPr>
                <w:rFonts w:ascii="Times New Roman" w:hAnsi="Times New Roman"/>
                <w:color w:val="auto"/>
                <w:sz w:val="24"/>
              </w:rPr>
              <w:t>《排污单位自行监测技术指南 砖瓦工业</w:t>
            </w:r>
            <w:r>
              <w:rPr>
                <w:rFonts w:hint="eastAsia" w:ascii="Times New Roman" w:hAnsi="Times New Roman"/>
                <w:color w:val="auto"/>
                <w:sz w:val="24"/>
              </w:rPr>
              <w:t>》</w:t>
            </w:r>
            <w:r>
              <w:rPr>
                <w:rFonts w:ascii="Times New Roman" w:hAnsi="Times New Roman"/>
                <w:color w:val="auto"/>
                <w:sz w:val="24"/>
              </w:rPr>
              <w:t>（HJ1234-2022）</w:t>
            </w:r>
            <w:r>
              <w:rPr>
                <w:rFonts w:ascii="Times New Roman" w:hAnsi="Times New Roman"/>
                <w:snapToGrid w:val="0"/>
                <w:color w:val="auto"/>
                <w:sz w:val="24"/>
              </w:rPr>
              <w:t>中自行监测内容进行设置。</w:t>
            </w:r>
          </w:p>
          <w:p w14:paraId="256DF6D0">
            <w:pPr>
              <w:widowControl/>
              <w:autoSpaceDE w:val="0"/>
              <w:autoSpaceDN w:val="0"/>
              <w:jc w:val="center"/>
              <w:textAlignment w:val="baseline"/>
              <w:rPr>
                <w:snapToGrid w:val="0"/>
                <w:color w:val="auto"/>
                <w:sz w:val="24"/>
              </w:rPr>
            </w:pPr>
            <w:r>
              <w:rPr>
                <w:b/>
                <w:bCs/>
                <w:color w:val="auto"/>
                <w:sz w:val="24"/>
              </w:rPr>
              <w:t>表</w:t>
            </w:r>
            <w:r>
              <w:rPr>
                <w:rFonts w:hint="eastAsia"/>
                <w:b/>
                <w:bCs/>
                <w:color w:val="auto"/>
                <w:sz w:val="24"/>
              </w:rPr>
              <w:t xml:space="preserve">5-1 </w:t>
            </w:r>
            <w:r>
              <w:rPr>
                <w:b/>
                <w:bCs/>
                <w:color w:val="auto"/>
                <w:sz w:val="24"/>
              </w:rPr>
              <w:t xml:space="preserve"> </w:t>
            </w:r>
            <w:r>
              <w:rPr>
                <w:rFonts w:hint="eastAsia"/>
                <w:b/>
                <w:bCs/>
                <w:color w:val="auto"/>
                <w:sz w:val="24"/>
              </w:rPr>
              <w:t>污染源监测计划表</w:t>
            </w:r>
          </w:p>
          <w:tbl>
            <w:tblPr>
              <w:tblStyle w:val="25"/>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700"/>
              <w:gridCol w:w="650"/>
              <w:gridCol w:w="713"/>
              <w:gridCol w:w="1184"/>
              <w:gridCol w:w="1010"/>
              <w:gridCol w:w="1255"/>
              <w:gridCol w:w="2087"/>
            </w:tblGrid>
            <w:tr w14:paraId="0E345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8" w:type="pct"/>
                  <w:vMerge w:val="restart"/>
                  <w:vAlign w:val="center"/>
                </w:tcPr>
                <w:p w14:paraId="06A25B50">
                  <w:pPr>
                    <w:pStyle w:val="65"/>
                    <w:widowControl/>
                    <w:autoSpaceDE w:val="0"/>
                    <w:autoSpaceDN w:val="0"/>
                    <w:spacing w:before="0" w:line="240" w:lineRule="auto"/>
                    <w:ind w:firstLine="0"/>
                    <w:jc w:val="center"/>
                    <w:textAlignment w:val="baseline"/>
                    <w:rPr>
                      <w:rFonts w:ascii="Times New Roman" w:hAnsi="Times New Roman"/>
                      <w:snapToGrid w:val="0"/>
                      <w:color w:val="auto"/>
                      <w:szCs w:val="21"/>
                    </w:rPr>
                  </w:pPr>
                </w:p>
                <w:p w14:paraId="1D95C60F">
                  <w:pPr>
                    <w:pStyle w:val="65"/>
                    <w:widowControl/>
                    <w:autoSpaceDE w:val="0"/>
                    <w:autoSpaceDN w:val="0"/>
                    <w:spacing w:before="0" w:line="240" w:lineRule="auto"/>
                    <w:ind w:firstLine="0"/>
                    <w:jc w:val="center"/>
                    <w:textAlignment w:val="baseline"/>
                    <w:rPr>
                      <w:rFonts w:ascii="Times New Roman" w:hAnsi="Times New Roman"/>
                      <w:snapToGrid w:val="0"/>
                      <w:color w:val="auto"/>
                      <w:szCs w:val="21"/>
                    </w:rPr>
                  </w:pPr>
                  <w:r>
                    <w:rPr>
                      <w:rFonts w:hint="eastAsia" w:ascii="Times New Roman" w:hAnsi="Times New Roman"/>
                      <w:snapToGrid w:val="0"/>
                      <w:color w:val="auto"/>
                      <w:szCs w:val="21"/>
                    </w:rPr>
                    <w:t>污染源监测</w:t>
                  </w:r>
                </w:p>
              </w:tc>
              <w:tc>
                <w:tcPr>
                  <w:tcW w:w="434" w:type="pct"/>
                  <w:vMerge w:val="restart"/>
                  <w:vAlign w:val="center"/>
                </w:tcPr>
                <w:p w14:paraId="15DBF78E">
                  <w:pPr>
                    <w:pStyle w:val="65"/>
                    <w:widowControl/>
                    <w:autoSpaceDE w:val="0"/>
                    <w:autoSpaceDN w:val="0"/>
                    <w:spacing w:before="0" w:line="240" w:lineRule="auto"/>
                    <w:ind w:firstLine="0"/>
                    <w:jc w:val="center"/>
                    <w:textAlignment w:val="baseline"/>
                    <w:rPr>
                      <w:rFonts w:ascii="Times New Roman" w:hAnsi="Times New Roman"/>
                      <w:snapToGrid w:val="0"/>
                      <w:color w:val="auto"/>
                      <w:szCs w:val="21"/>
                    </w:rPr>
                  </w:pPr>
                  <w:r>
                    <w:rPr>
                      <w:rFonts w:hint="eastAsia" w:ascii="Times New Roman" w:hAnsi="Times New Roman"/>
                      <w:snapToGrid w:val="0"/>
                      <w:color w:val="auto"/>
                      <w:szCs w:val="21"/>
                    </w:rPr>
                    <w:t>类别</w:t>
                  </w:r>
                </w:p>
              </w:tc>
              <w:tc>
                <w:tcPr>
                  <w:tcW w:w="403" w:type="pct"/>
                  <w:vMerge w:val="restart"/>
                  <w:vAlign w:val="center"/>
                </w:tcPr>
                <w:p w14:paraId="32B4CEB7">
                  <w:pPr>
                    <w:pStyle w:val="65"/>
                    <w:widowControl/>
                    <w:autoSpaceDE w:val="0"/>
                    <w:autoSpaceDN w:val="0"/>
                    <w:spacing w:before="0" w:line="240" w:lineRule="auto"/>
                    <w:ind w:firstLine="0"/>
                    <w:jc w:val="center"/>
                    <w:textAlignment w:val="baseline"/>
                    <w:rPr>
                      <w:rFonts w:ascii="Times New Roman" w:hAnsi="Times New Roman"/>
                      <w:snapToGrid w:val="0"/>
                      <w:color w:val="auto"/>
                      <w:szCs w:val="21"/>
                    </w:rPr>
                  </w:pPr>
                  <w:r>
                    <w:rPr>
                      <w:rFonts w:hint="eastAsia" w:ascii="Times New Roman" w:hAnsi="Times New Roman"/>
                      <w:snapToGrid w:val="0"/>
                      <w:color w:val="auto"/>
                      <w:szCs w:val="21"/>
                    </w:rPr>
                    <w:t>监测项目</w:t>
                  </w:r>
                </w:p>
              </w:tc>
              <w:tc>
                <w:tcPr>
                  <w:tcW w:w="442" w:type="pct"/>
                  <w:vMerge w:val="restart"/>
                  <w:vAlign w:val="center"/>
                </w:tcPr>
                <w:p w14:paraId="5D6B0AEF">
                  <w:pPr>
                    <w:pStyle w:val="65"/>
                    <w:widowControl/>
                    <w:autoSpaceDE w:val="0"/>
                    <w:autoSpaceDN w:val="0"/>
                    <w:spacing w:before="0" w:line="240" w:lineRule="auto"/>
                    <w:ind w:firstLine="0"/>
                    <w:jc w:val="center"/>
                    <w:textAlignment w:val="baseline"/>
                    <w:rPr>
                      <w:rFonts w:ascii="Times New Roman" w:hAnsi="Times New Roman"/>
                      <w:snapToGrid w:val="0"/>
                      <w:color w:val="auto"/>
                      <w:szCs w:val="21"/>
                    </w:rPr>
                  </w:pPr>
                  <w:r>
                    <w:rPr>
                      <w:rFonts w:hint="eastAsia" w:ascii="Times New Roman" w:hAnsi="Times New Roman"/>
                      <w:snapToGrid w:val="0"/>
                      <w:color w:val="auto"/>
                      <w:szCs w:val="21"/>
                    </w:rPr>
                    <w:t>监测频次</w:t>
                  </w:r>
                </w:p>
              </w:tc>
              <w:tc>
                <w:tcPr>
                  <w:tcW w:w="3431" w:type="pct"/>
                  <w:gridSpan w:val="4"/>
                  <w:vAlign w:val="center"/>
                </w:tcPr>
                <w:p w14:paraId="6E8F6576">
                  <w:pPr>
                    <w:pStyle w:val="65"/>
                    <w:widowControl/>
                    <w:autoSpaceDE w:val="0"/>
                    <w:autoSpaceDN w:val="0"/>
                    <w:spacing w:before="0" w:line="240" w:lineRule="auto"/>
                    <w:ind w:firstLine="0"/>
                    <w:jc w:val="center"/>
                    <w:textAlignment w:val="baseline"/>
                    <w:rPr>
                      <w:rFonts w:ascii="Times New Roman" w:hAnsi="Times New Roman"/>
                      <w:snapToGrid w:val="0"/>
                      <w:color w:val="auto"/>
                      <w:szCs w:val="21"/>
                    </w:rPr>
                  </w:pPr>
                  <w:r>
                    <w:rPr>
                      <w:rFonts w:hint="eastAsia" w:ascii="Times New Roman" w:hAnsi="Times New Roman"/>
                      <w:snapToGrid w:val="0"/>
                      <w:color w:val="auto"/>
                      <w:szCs w:val="21"/>
                    </w:rPr>
                    <w:t>执行标准</w:t>
                  </w:r>
                </w:p>
              </w:tc>
            </w:tr>
            <w:tr w14:paraId="0DE01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8" w:type="pct"/>
                  <w:vMerge w:val="continue"/>
                  <w:vAlign w:val="center"/>
                </w:tcPr>
                <w:p w14:paraId="09D22A3D">
                  <w:pPr>
                    <w:pStyle w:val="65"/>
                    <w:widowControl/>
                    <w:autoSpaceDE w:val="0"/>
                    <w:autoSpaceDN w:val="0"/>
                    <w:spacing w:before="0" w:line="240" w:lineRule="auto"/>
                    <w:ind w:firstLine="0"/>
                    <w:jc w:val="center"/>
                    <w:textAlignment w:val="baseline"/>
                    <w:rPr>
                      <w:rFonts w:ascii="Times New Roman" w:hAnsi="Times New Roman"/>
                      <w:snapToGrid w:val="0"/>
                      <w:color w:val="auto"/>
                      <w:szCs w:val="21"/>
                    </w:rPr>
                  </w:pPr>
                </w:p>
              </w:tc>
              <w:tc>
                <w:tcPr>
                  <w:tcW w:w="434" w:type="pct"/>
                  <w:vMerge w:val="continue"/>
                  <w:vAlign w:val="center"/>
                </w:tcPr>
                <w:p w14:paraId="5EAB1DE8">
                  <w:pPr>
                    <w:pStyle w:val="65"/>
                    <w:widowControl/>
                    <w:autoSpaceDE w:val="0"/>
                    <w:autoSpaceDN w:val="0"/>
                    <w:spacing w:before="0" w:line="240" w:lineRule="auto"/>
                    <w:ind w:firstLine="0"/>
                    <w:jc w:val="center"/>
                    <w:textAlignment w:val="baseline"/>
                    <w:rPr>
                      <w:rFonts w:ascii="Times New Roman" w:hAnsi="Times New Roman"/>
                      <w:snapToGrid w:val="0"/>
                      <w:color w:val="auto"/>
                      <w:szCs w:val="21"/>
                    </w:rPr>
                  </w:pPr>
                </w:p>
              </w:tc>
              <w:tc>
                <w:tcPr>
                  <w:tcW w:w="403" w:type="pct"/>
                  <w:vMerge w:val="continue"/>
                  <w:vAlign w:val="center"/>
                </w:tcPr>
                <w:p w14:paraId="65A72C83">
                  <w:pPr>
                    <w:pStyle w:val="65"/>
                    <w:widowControl/>
                    <w:autoSpaceDE w:val="0"/>
                    <w:autoSpaceDN w:val="0"/>
                    <w:spacing w:before="0" w:line="240" w:lineRule="auto"/>
                    <w:ind w:firstLine="0"/>
                    <w:jc w:val="center"/>
                    <w:textAlignment w:val="baseline"/>
                    <w:rPr>
                      <w:rFonts w:ascii="Times New Roman" w:hAnsi="Times New Roman"/>
                      <w:snapToGrid w:val="0"/>
                      <w:color w:val="auto"/>
                      <w:szCs w:val="21"/>
                    </w:rPr>
                  </w:pPr>
                </w:p>
              </w:tc>
              <w:tc>
                <w:tcPr>
                  <w:tcW w:w="442" w:type="pct"/>
                  <w:vMerge w:val="continue"/>
                  <w:vAlign w:val="center"/>
                </w:tcPr>
                <w:p w14:paraId="5963989F">
                  <w:pPr>
                    <w:pStyle w:val="65"/>
                    <w:widowControl/>
                    <w:autoSpaceDE w:val="0"/>
                    <w:autoSpaceDN w:val="0"/>
                    <w:spacing w:before="0" w:line="240" w:lineRule="auto"/>
                    <w:ind w:firstLine="0"/>
                    <w:jc w:val="center"/>
                    <w:textAlignment w:val="baseline"/>
                    <w:rPr>
                      <w:rFonts w:ascii="Times New Roman" w:hAnsi="Times New Roman"/>
                      <w:snapToGrid w:val="0"/>
                      <w:color w:val="auto"/>
                      <w:szCs w:val="21"/>
                    </w:rPr>
                  </w:pPr>
                </w:p>
              </w:tc>
              <w:tc>
                <w:tcPr>
                  <w:tcW w:w="734" w:type="pct"/>
                  <w:vAlign w:val="center"/>
                </w:tcPr>
                <w:p w14:paraId="5CE2EF57">
                  <w:pPr>
                    <w:pStyle w:val="65"/>
                    <w:widowControl/>
                    <w:autoSpaceDE w:val="0"/>
                    <w:autoSpaceDN w:val="0"/>
                    <w:spacing w:before="0" w:line="240" w:lineRule="auto"/>
                    <w:ind w:firstLine="0"/>
                    <w:jc w:val="center"/>
                    <w:textAlignment w:val="baseline"/>
                    <w:rPr>
                      <w:rFonts w:ascii="Times New Roman" w:hAnsi="Times New Roman"/>
                      <w:snapToGrid w:val="0"/>
                      <w:color w:val="auto"/>
                      <w:szCs w:val="21"/>
                    </w:rPr>
                  </w:pPr>
                  <w:r>
                    <w:rPr>
                      <w:rFonts w:hint="eastAsia" w:ascii="Times New Roman" w:hAnsi="Times New Roman"/>
                      <w:snapToGrid w:val="0"/>
                      <w:color w:val="auto"/>
                      <w:szCs w:val="21"/>
                    </w:rPr>
                    <w:t>排放浓度（mg/m³）</w:t>
                  </w:r>
                </w:p>
              </w:tc>
              <w:tc>
                <w:tcPr>
                  <w:tcW w:w="626" w:type="pct"/>
                  <w:vAlign w:val="center"/>
                </w:tcPr>
                <w:p w14:paraId="0904C5CF">
                  <w:pPr>
                    <w:pStyle w:val="65"/>
                    <w:widowControl/>
                    <w:autoSpaceDE w:val="0"/>
                    <w:autoSpaceDN w:val="0"/>
                    <w:spacing w:before="0" w:line="240" w:lineRule="auto"/>
                    <w:ind w:firstLine="0"/>
                    <w:jc w:val="center"/>
                    <w:textAlignment w:val="baseline"/>
                    <w:rPr>
                      <w:rFonts w:ascii="Times New Roman" w:hAnsi="Times New Roman"/>
                      <w:snapToGrid w:val="0"/>
                      <w:color w:val="auto"/>
                      <w:szCs w:val="21"/>
                    </w:rPr>
                  </w:pPr>
                  <w:r>
                    <w:rPr>
                      <w:rFonts w:hint="eastAsia" w:ascii="Times New Roman" w:hAnsi="Times New Roman"/>
                      <w:snapToGrid w:val="0"/>
                      <w:color w:val="auto"/>
                      <w:szCs w:val="21"/>
                    </w:rPr>
                    <w:t>排放速率（kg/h）</w:t>
                  </w:r>
                </w:p>
              </w:tc>
              <w:tc>
                <w:tcPr>
                  <w:tcW w:w="778" w:type="pct"/>
                  <w:vAlign w:val="center"/>
                </w:tcPr>
                <w:p w14:paraId="17254A94">
                  <w:pPr>
                    <w:pStyle w:val="65"/>
                    <w:widowControl/>
                    <w:autoSpaceDE w:val="0"/>
                    <w:autoSpaceDN w:val="0"/>
                    <w:spacing w:before="0" w:line="240" w:lineRule="auto"/>
                    <w:ind w:firstLine="0"/>
                    <w:jc w:val="center"/>
                    <w:textAlignment w:val="baseline"/>
                    <w:rPr>
                      <w:rFonts w:ascii="Times New Roman" w:hAnsi="Times New Roman"/>
                      <w:snapToGrid w:val="0"/>
                      <w:color w:val="auto"/>
                      <w:szCs w:val="21"/>
                    </w:rPr>
                  </w:pPr>
                  <w:r>
                    <w:rPr>
                      <w:rFonts w:hint="eastAsia" w:ascii="Times New Roman" w:hAnsi="Times New Roman"/>
                      <w:snapToGrid w:val="0"/>
                      <w:color w:val="auto"/>
                      <w:szCs w:val="21"/>
                    </w:rPr>
                    <w:t>无组织排放浓度限值（mg/m³）</w:t>
                  </w:r>
                </w:p>
              </w:tc>
              <w:tc>
                <w:tcPr>
                  <w:tcW w:w="1292" w:type="pct"/>
                  <w:vAlign w:val="center"/>
                </w:tcPr>
                <w:p w14:paraId="0CAAC1F9">
                  <w:pPr>
                    <w:pStyle w:val="65"/>
                    <w:widowControl/>
                    <w:autoSpaceDE w:val="0"/>
                    <w:autoSpaceDN w:val="0"/>
                    <w:spacing w:before="0" w:line="240" w:lineRule="auto"/>
                    <w:ind w:firstLine="0"/>
                    <w:jc w:val="center"/>
                    <w:textAlignment w:val="baseline"/>
                    <w:rPr>
                      <w:rFonts w:ascii="Times New Roman" w:hAnsi="Times New Roman"/>
                      <w:snapToGrid w:val="0"/>
                      <w:color w:val="auto"/>
                      <w:szCs w:val="21"/>
                    </w:rPr>
                  </w:pPr>
                  <w:r>
                    <w:rPr>
                      <w:rFonts w:hint="eastAsia" w:ascii="Times New Roman" w:hAnsi="Times New Roman"/>
                      <w:snapToGrid w:val="0"/>
                      <w:color w:val="auto"/>
                      <w:szCs w:val="21"/>
                    </w:rPr>
                    <w:t>标准名称</w:t>
                  </w:r>
                </w:p>
              </w:tc>
            </w:tr>
            <w:tr w14:paraId="4A685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8" w:type="pct"/>
                  <w:vMerge w:val="continue"/>
                  <w:vAlign w:val="center"/>
                </w:tcPr>
                <w:p w14:paraId="68A19669">
                  <w:pPr>
                    <w:pStyle w:val="65"/>
                    <w:widowControl/>
                    <w:autoSpaceDE w:val="0"/>
                    <w:autoSpaceDN w:val="0"/>
                    <w:spacing w:before="0" w:line="240" w:lineRule="auto"/>
                    <w:ind w:firstLine="0"/>
                    <w:jc w:val="center"/>
                    <w:textAlignment w:val="baseline"/>
                    <w:rPr>
                      <w:rFonts w:ascii="Times New Roman" w:hAnsi="Times New Roman"/>
                      <w:snapToGrid w:val="0"/>
                      <w:color w:val="auto"/>
                      <w:szCs w:val="21"/>
                    </w:rPr>
                  </w:pPr>
                </w:p>
              </w:tc>
              <w:tc>
                <w:tcPr>
                  <w:tcW w:w="434" w:type="pct"/>
                  <w:vAlign w:val="center"/>
                </w:tcPr>
                <w:p w14:paraId="1A14285E">
                  <w:pPr>
                    <w:pStyle w:val="65"/>
                    <w:widowControl/>
                    <w:autoSpaceDE w:val="0"/>
                    <w:autoSpaceDN w:val="0"/>
                    <w:spacing w:before="0" w:line="240" w:lineRule="auto"/>
                    <w:ind w:firstLine="0"/>
                    <w:jc w:val="center"/>
                    <w:textAlignment w:val="baseline"/>
                    <w:rPr>
                      <w:rFonts w:ascii="Times New Roman" w:hAnsi="Times New Roman"/>
                      <w:snapToGrid w:val="0"/>
                      <w:color w:val="auto"/>
                      <w:szCs w:val="21"/>
                    </w:rPr>
                  </w:pPr>
                  <w:r>
                    <w:rPr>
                      <w:rFonts w:hint="eastAsia" w:ascii="Times New Roman" w:hAnsi="Times New Roman"/>
                      <w:snapToGrid w:val="0"/>
                      <w:color w:val="auto"/>
                      <w:szCs w:val="21"/>
                    </w:rPr>
                    <w:t>废气</w:t>
                  </w:r>
                </w:p>
              </w:tc>
              <w:tc>
                <w:tcPr>
                  <w:tcW w:w="403" w:type="pct"/>
                  <w:vAlign w:val="center"/>
                </w:tcPr>
                <w:p w14:paraId="125D590C">
                  <w:pPr>
                    <w:pStyle w:val="65"/>
                    <w:widowControl/>
                    <w:autoSpaceDE w:val="0"/>
                    <w:autoSpaceDN w:val="0"/>
                    <w:spacing w:before="0" w:line="240" w:lineRule="auto"/>
                    <w:ind w:firstLine="0"/>
                    <w:jc w:val="center"/>
                    <w:textAlignment w:val="baseline"/>
                    <w:rPr>
                      <w:rFonts w:ascii="Times New Roman" w:hAnsi="Times New Roman"/>
                      <w:snapToGrid w:val="0"/>
                      <w:color w:val="auto"/>
                      <w:szCs w:val="21"/>
                    </w:rPr>
                  </w:pPr>
                  <w:r>
                    <w:rPr>
                      <w:rFonts w:hint="eastAsia" w:ascii="Times New Roman" w:hAnsi="Times New Roman"/>
                      <w:snapToGrid w:val="0"/>
                      <w:color w:val="auto"/>
                      <w:szCs w:val="21"/>
                    </w:rPr>
                    <w:t>颗粒物</w:t>
                  </w:r>
                </w:p>
              </w:tc>
              <w:tc>
                <w:tcPr>
                  <w:tcW w:w="442" w:type="pct"/>
                  <w:vAlign w:val="center"/>
                </w:tcPr>
                <w:p w14:paraId="222DCBFF">
                  <w:pPr>
                    <w:pStyle w:val="65"/>
                    <w:widowControl/>
                    <w:autoSpaceDE w:val="0"/>
                    <w:autoSpaceDN w:val="0"/>
                    <w:spacing w:before="0" w:line="240" w:lineRule="auto"/>
                    <w:ind w:firstLine="0"/>
                    <w:jc w:val="center"/>
                    <w:textAlignment w:val="baseline"/>
                    <w:rPr>
                      <w:rFonts w:ascii="Times New Roman" w:hAnsi="Times New Roman"/>
                      <w:snapToGrid w:val="0"/>
                      <w:color w:val="auto"/>
                      <w:szCs w:val="21"/>
                    </w:rPr>
                  </w:pPr>
                  <w:r>
                    <w:rPr>
                      <w:rFonts w:ascii="Times New Roman" w:hAnsi="Times New Roman"/>
                      <w:color w:val="auto"/>
                    </w:rPr>
                    <w:t>1次/年</w:t>
                  </w:r>
                </w:p>
              </w:tc>
              <w:tc>
                <w:tcPr>
                  <w:tcW w:w="734" w:type="pct"/>
                  <w:vAlign w:val="center"/>
                </w:tcPr>
                <w:p w14:paraId="51F7B6AC">
                  <w:pPr>
                    <w:pStyle w:val="65"/>
                    <w:widowControl/>
                    <w:autoSpaceDE w:val="0"/>
                    <w:autoSpaceDN w:val="0"/>
                    <w:spacing w:before="0" w:line="240" w:lineRule="auto"/>
                    <w:ind w:firstLine="0"/>
                    <w:jc w:val="center"/>
                    <w:textAlignment w:val="baseline"/>
                    <w:rPr>
                      <w:rFonts w:ascii="Times New Roman" w:hAnsi="Times New Roman"/>
                      <w:snapToGrid w:val="0"/>
                      <w:color w:val="auto"/>
                      <w:szCs w:val="21"/>
                    </w:rPr>
                  </w:pPr>
                  <w:r>
                    <w:rPr>
                      <w:rFonts w:hint="eastAsia" w:ascii="Times New Roman" w:hAnsi="Times New Roman"/>
                      <w:snapToGrid w:val="0"/>
                      <w:color w:val="auto"/>
                      <w:szCs w:val="21"/>
                    </w:rPr>
                    <w:t>10</w:t>
                  </w:r>
                </w:p>
              </w:tc>
              <w:tc>
                <w:tcPr>
                  <w:tcW w:w="626" w:type="pct"/>
                  <w:vAlign w:val="center"/>
                </w:tcPr>
                <w:p w14:paraId="2727D7CD">
                  <w:pPr>
                    <w:pStyle w:val="65"/>
                    <w:widowControl/>
                    <w:autoSpaceDE w:val="0"/>
                    <w:autoSpaceDN w:val="0"/>
                    <w:spacing w:before="0" w:line="240" w:lineRule="auto"/>
                    <w:ind w:firstLine="0"/>
                    <w:jc w:val="center"/>
                    <w:textAlignment w:val="baseline"/>
                    <w:rPr>
                      <w:rFonts w:ascii="Times New Roman" w:hAnsi="Times New Roman"/>
                      <w:snapToGrid w:val="0"/>
                      <w:color w:val="auto"/>
                      <w:szCs w:val="21"/>
                    </w:rPr>
                  </w:pPr>
                  <w:r>
                    <w:rPr>
                      <w:rFonts w:hint="eastAsia" w:ascii="Times New Roman" w:hAnsi="Times New Roman"/>
                      <w:snapToGrid w:val="0"/>
                      <w:color w:val="auto"/>
                      <w:szCs w:val="21"/>
                    </w:rPr>
                    <w:t>/</w:t>
                  </w:r>
                </w:p>
              </w:tc>
              <w:tc>
                <w:tcPr>
                  <w:tcW w:w="778" w:type="pct"/>
                  <w:vAlign w:val="center"/>
                </w:tcPr>
                <w:p w14:paraId="3E8E9BDB">
                  <w:pPr>
                    <w:pStyle w:val="65"/>
                    <w:widowControl/>
                    <w:autoSpaceDE w:val="0"/>
                    <w:autoSpaceDN w:val="0"/>
                    <w:spacing w:before="0" w:line="240" w:lineRule="auto"/>
                    <w:ind w:firstLine="0"/>
                    <w:jc w:val="center"/>
                    <w:textAlignment w:val="baseline"/>
                    <w:rPr>
                      <w:rFonts w:ascii="Times New Roman" w:hAnsi="Times New Roman"/>
                      <w:snapToGrid w:val="0"/>
                      <w:color w:val="auto"/>
                      <w:szCs w:val="21"/>
                    </w:rPr>
                  </w:pPr>
                  <w:r>
                    <w:rPr>
                      <w:rFonts w:hint="eastAsia" w:ascii="Times New Roman" w:hAnsi="Times New Roman"/>
                      <w:snapToGrid w:val="0"/>
                      <w:color w:val="auto"/>
                      <w:szCs w:val="21"/>
                    </w:rPr>
                    <w:t>/</w:t>
                  </w:r>
                </w:p>
              </w:tc>
              <w:tc>
                <w:tcPr>
                  <w:tcW w:w="1292" w:type="pct"/>
                  <w:vMerge w:val="restart"/>
                  <w:vAlign w:val="center"/>
                </w:tcPr>
                <w:p w14:paraId="7FFDE5DD">
                  <w:pPr>
                    <w:pStyle w:val="32"/>
                    <w:jc w:val="center"/>
                    <w:rPr>
                      <w:rFonts w:ascii="Times New Roman" w:hAnsi="Times New Roman" w:cs="Times New Roman"/>
                      <w:bCs/>
                      <w:color w:val="auto"/>
                      <w:sz w:val="21"/>
                      <w:szCs w:val="21"/>
                      <w:lang w:eastAsia="zh-CN"/>
                    </w:rPr>
                  </w:pPr>
                  <w:r>
                    <w:rPr>
                      <w:rFonts w:hint="eastAsia" w:ascii="Times New Roman" w:hAnsi="Times New Roman" w:cs="Times New Roman"/>
                      <w:bCs/>
                      <w:color w:val="auto"/>
                      <w:sz w:val="21"/>
                      <w:szCs w:val="21"/>
                      <w:lang w:eastAsia="zh-CN"/>
                    </w:rPr>
                    <w:t>安徽省地方标准《砖瓦工业大气污染物排放标准》DB34/4362-2023</w:t>
                  </w:r>
                </w:p>
              </w:tc>
            </w:tr>
            <w:tr w14:paraId="156A9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8" w:type="pct"/>
                  <w:vMerge w:val="continue"/>
                  <w:vAlign w:val="center"/>
                </w:tcPr>
                <w:p w14:paraId="1ED81EEC">
                  <w:pPr>
                    <w:pStyle w:val="65"/>
                    <w:widowControl/>
                    <w:autoSpaceDE w:val="0"/>
                    <w:autoSpaceDN w:val="0"/>
                    <w:spacing w:before="0" w:line="240" w:lineRule="auto"/>
                    <w:ind w:firstLine="0"/>
                    <w:jc w:val="center"/>
                    <w:textAlignment w:val="baseline"/>
                    <w:rPr>
                      <w:rFonts w:ascii="Times New Roman" w:hAnsi="Times New Roman"/>
                      <w:snapToGrid w:val="0"/>
                      <w:color w:val="auto"/>
                      <w:szCs w:val="21"/>
                    </w:rPr>
                  </w:pPr>
                </w:p>
              </w:tc>
              <w:tc>
                <w:tcPr>
                  <w:tcW w:w="434" w:type="pct"/>
                  <w:vAlign w:val="center"/>
                </w:tcPr>
                <w:p w14:paraId="6426F808">
                  <w:pPr>
                    <w:pStyle w:val="65"/>
                    <w:widowControl/>
                    <w:autoSpaceDE w:val="0"/>
                    <w:autoSpaceDN w:val="0"/>
                    <w:spacing w:before="0" w:line="240" w:lineRule="auto"/>
                    <w:ind w:firstLine="0"/>
                    <w:jc w:val="center"/>
                    <w:textAlignment w:val="baseline"/>
                    <w:rPr>
                      <w:rFonts w:ascii="Times New Roman" w:hAnsi="Times New Roman"/>
                      <w:snapToGrid w:val="0"/>
                      <w:color w:val="auto"/>
                      <w:szCs w:val="21"/>
                    </w:rPr>
                  </w:pPr>
                  <w:r>
                    <w:rPr>
                      <w:rFonts w:hint="eastAsia" w:ascii="Times New Roman" w:hAnsi="Times New Roman"/>
                      <w:snapToGrid w:val="0"/>
                      <w:color w:val="auto"/>
                      <w:szCs w:val="21"/>
                    </w:rPr>
                    <w:t>厂界</w:t>
                  </w:r>
                </w:p>
              </w:tc>
              <w:tc>
                <w:tcPr>
                  <w:tcW w:w="403" w:type="pct"/>
                  <w:vAlign w:val="center"/>
                </w:tcPr>
                <w:p w14:paraId="460642DE">
                  <w:pPr>
                    <w:pStyle w:val="65"/>
                    <w:widowControl/>
                    <w:autoSpaceDE w:val="0"/>
                    <w:autoSpaceDN w:val="0"/>
                    <w:spacing w:before="0" w:line="240" w:lineRule="auto"/>
                    <w:ind w:firstLine="0"/>
                    <w:jc w:val="center"/>
                    <w:textAlignment w:val="baseline"/>
                    <w:rPr>
                      <w:rFonts w:ascii="Times New Roman" w:hAnsi="Times New Roman"/>
                      <w:snapToGrid w:val="0"/>
                      <w:color w:val="auto"/>
                      <w:szCs w:val="21"/>
                    </w:rPr>
                  </w:pPr>
                  <w:r>
                    <w:rPr>
                      <w:rFonts w:hint="eastAsia" w:ascii="Times New Roman" w:hAnsi="Times New Roman"/>
                      <w:snapToGrid w:val="0"/>
                      <w:color w:val="auto"/>
                      <w:szCs w:val="21"/>
                    </w:rPr>
                    <w:t>颗粒物</w:t>
                  </w:r>
                </w:p>
              </w:tc>
              <w:tc>
                <w:tcPr>
                  <w:tcW w:w="442" w:type="pct"/>
                  <w:vAlign w:val="center"/>
                </w:tcPr>
                <w:p w14:paraId="79401111">
                  <w:pPr>
                    <w:pStyle w:val="65"/>
                    <w:widowControl/>
                    <w:autoSpaceDE w:val="0"/>
                    <w:autoSpaceDN w:val="0"/>
                    <w:spacing w:before="0" w:line="240" w:lineRule="auto"/>
                    <w:ind w:firstLine="0"/>
                    <w:jc w:val="center"/>
                    <w:textAlignment w:val="baseline"/>
                    <w:rPr>
                      <w:rFonts w:ascii="Times New Roman" w:hAnsi="Times New Roman"/>
                      <w:snapToGrid w:val="0"/>
                      <w:color w:val="auto"/>
                      <w:szCs w:val="21"/>
                    </w:rPr>
                  </w:pPr>
                  <w:r>
                    <w:rPr>
                      <w:rFonts w:ascii="Times New Roman" w:hAnsi="Times New Roman"/>
                      <w:color w:val="auto"/>
                    </w:rPr>
                    <w:t>1次/</w:t>
                  </w:r>
                  <w:r>
                    <w:rPr>
                      <w:rFonts w:hint="eastAsia" w:ascii="Times New Roman" w:hAnsi="Times New Roman"/>
                      <w:color w:val="auto"/>
                    </w:rPr>
                    <w:t>半</w:t>
                  </w:r>
                  <w:r>
                    <w:rPr>
                      <w:rFonts w:ascii="Times New Roman" w:hAnsi="Times New Roman"/>
                      <w:color w:val="auto"/>
                    </w:rPr>
                    <w:t>年</w:t>
                  </w:r>
                </w:p>
              </w:tc>
              <w:tc>
                <w:tcPr>
                  <w:tcW w:w="734" w:type="pct"/>
                  <w:vAlign w:val="center"/>
                </w:tcPr>
                <w:p w14:paraId="29DBB1E3">
                  <w:pPr>
                    <w:pStyle w:val="65"/>
                    <w:widowControl/>
                    <w:autoSpaceDE w:val="0"/>
                    <w:autoSpaceDN w:val="0"/>
                    <w:spacing w:before="0" w:line="240" w:lineRule="auto"/>
                    <w:ind w:firstLine="0"/>
                    <w:jc w:val="center"/>
                    <w:textAlignment w:val="baseline"/>
                    <w:rPr>
                      <w:rFonts w:ascii="Times New Roman" w:hAnsi="Times New Roman"/>
                      <w:snapToGrid w:val="0"/>
                      <w:color w:val="auto"/>
                      <w:szCs w:val="21"/>
                    </w:rPr>
                  </w:pPr>
                  <w:r>
                    <w:rPr>
                      <w:rFonts w:hint="eastAsia" w:ascii="Times New Roman" w:hAnsi="Times New Roman"/>
                      <w:snapToGrid w:val="0"/>
                      <w:color w:val="auto"/>
                      <w:szCs w:val="21"/>
                    </w:rPr>
                    <w:t>/</w:t>
                  </w:r>
                </w:p>
              </w:tc>
              <w:tc>
                <w:tcPr>
                  <w:tcW w:w="626" w:type="pct"/>
                  <w:vAlign w:val="center"/>
                </w:tcPr>
                <w:p w14:paraId="6C441CEA">
                  <w:pPr>
                    <w:pStyle w:val="65"/>
                    <w:widowControl/>
                    <w:autoSpaceDE w:val="0"/>
                    <w:autoSpaceDN w:val="0"/>
                    <w:spacing w:before="0" w:line="240" w:lineRule="auto"/>
                    <w:ind w:firstLine="0"/>
                    <w:jc w:val="center"/>
                    <w:textAlignment w:val="baseline"/>
                    <w:rPr>
                      <w:rFonts w:ascii="Times New Roman" w:hAnsi="Times New Roman"/>
                      <w:snapToGrid w:val="0"/>
                      <w:color w:val="auto"/>
                      <w:szCs w:val="21"/>
                    </w:rPr>
                  </w:pPr>
                  <w:r>
                    <w:rPr>
                      <w:rFonts w:hint="eastAsia" w:ascii="Times New Roman" w:hAnsi="Times New Roman"/>
                      <w:snapToGrid w:val="0"/>
                      <w:color w:val="auto"/>
                      <w:szCs w:val="21"/>
                    </w:rPr>
                    <w:t>/</w:t>
                  </w:r>
                </w:p>
              </w:tc>
              <w:tc>
                <w:tcPr>
                  <w:tcW w:w="778" w:type="pct"/>
                  <w:vAlign w:val="center"/>
                </w:tcPr>
                <w:p w14:paraId="0C1639D8">
                  <w:pPr>
                    <w:pStyle w:val="65"/>
                    <w:widowControl/>
                    <w:autoSpaceDE w:val="0"/>
                    <w:autoSpaceDN w:val="0"/>
                    <w:spacing w:before="0" w:line="240" w:lineRule="auto"/>
                    <w:ind w:firstLine="0"/>
                    <w:jc w:val="center"/>
                    <w:textAlignment w:val="baseline"/>
                    <w:rPr>
                      <w:rFonts w:ascii="Times New Roman" w:hAnsi="Times New Roman"/>
                      <w:snapToGrid w:val="0"/>
                      <w:color w:val="auto"/>
                      <w:szCs w:val="21"/>
                    </w:rPr>
                  </w:pPr>
                  <w:r>
                    <w:rPr>
                      <w:rFonts w:hint="eastAsia" w:ascii="Times New Roman" w:hAnsi="Times New Roman"/>
                      <w:snapToGrid w:val="0"/>
                      <w:color w:val="auto"/>
                      <w:szCs w:val="21"/>
                    </w:rPr>
                    <w:t>0.5</w:t>
                  </w:r>
                </w:p>
              </w:tc>
              <w:tc>
                <w:tcPr>
                  <w:tcW w:w="1292" w:type="pct"/>
                  <w:vMerge w:val="continue"/>
                  <w:vAlign w:val="center"/>
                </w:tcPr>
                <w:p w14:paraId="4BB5B842">
                  <w:pPr>
                    <w:pStyle w:val="65"/>
                    <w:widowControl/>
                    <w:autoSpaceDE w:val="0"/>
                    <w:autoSpaceDN w:val="0"/>
                    <w:spacing w:before="0" w:line="240" w:lineRule="auto"/>
                    <w:ind w:firstLine="0"/>
                    <w:jc w:val="center"/>
                    <w:textAlignment w:val="baseline"/>
                    <w:rPr>
                      <w:rFonts w:ascii="Times New Roman" w:hAnsi="Times New Roman"/>
                      <w:bCs/>
                      <w:color w:val="auto"/>
                      <w:szCs w:val="21"/>
                    </w:rPr>
                  </w:pPr>
                </w:p>
              </w:tc>
            </w:tr>
            <w:tr w14:paraId="106C5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8" w:type="pct"/>
                  <w:vMerge w:val="continue"/>
                  <w:vAlign w:val="center"/>
                </w:tcPr>
                <w:p w14:paraId="36135850">
                  <w:pPr>
                    <w:pStyle w:val="65"/>
                    <w:widowControl/>
                    <w:autoSpaceDE w:val="0"/>
                    <w:autoSpaceDN w:val="0"/>
                    <w:spacing w:before="0" w:line="240" w:lineRule="auto"/>
                    <w:ind w:firstLine="0"/>
                    <w:jc w:val="center"/>
                    <w:textAlignment w:val="baseline"/>
                    <w:rPr>
                      <w:rFonts w:ascii="Times New Roman" w:hAnsi="Times New Roman"/>
                      <w:snapToGrid w:val="0"/>
                      <w:color w:val="auto"/>
                      <w:szCs w:val="21"/>
                    </w:rPr>
                  </w:pPr>
                </w:p>
              </w:tc>
              <w:tc>
                <w:tcPr>
                  <w:tcW w:w="434" w:type="pct"/>
                  <w:vAlign w:val="center"/>
                </w:tcPr>
                <w:p w14:paraId="1F2FC696">
                  <w:pPr>
                    <w:pStyle w:val="65"/>
                    <w:widowControl/>
                    <w:autoSpaceDE w:val="0"/>
                    <w:autoSpaceDN w:val="0"/>
                    <w:spacing w:before="0" w:line="240" w:lineRule="auto"/>
                    <w:ind w:firstLine="0"/>
                    <w:jc w:val="center"/>
                    <w:textAlignment w:val="baseline"/>
                    <w:rPr>
                      <w:rFonts w:ascii="Times New Roman" w:hAnsi="Times New Roman"/>
                      <w:snapToGrid w:val="0"/>
                      <w:color w:val="auto"/>
                      <w:szCs w:val="21"/>
                    </w:rPr>
                  </w:pPr>
                  <w:r>
                    <w:rPr>
                      <w:rFonts w:hint="eastAsia" w:ascii="Times New Roman" w:hAnsi="Times New Roman"/>
                      <w:snapToGrid w:val="0"/>
                      <w:color w:val="auto"/>
                      <w:szCs w:val="21"/>
                    </w:rPr>
                    <w:t>厂界噪声</w:t>
                  </w:r>
                </w:p>
              </w:tc>
              <w:tc>
                <w:tcPr>
                  <w:tcW w:w="403" w:type="pct"/>
                  <w:vAlign w:val="center"/>
                </w:tcPr>
                <w:p w14:paraId="06E233F3">
                  <w:pPr>
                    <w:pStyle w:val="65"/>
                    <w:widowControl/>
                    <w:autoSpaceDE w:val="0"/>
                    <w:autoSpaceDN w:val="0"/>
                    <w:spacing w:before="0" w:line="240" w:lineRule="auto"/>
                    <w:ind w:firstLine="0"/>
                    <w:jc w:val="center"/>
                    <w:textAlignment w:val="baseline"/>
                    <w:rPr>
                      <w:rFonts w:ascii="Times New Roman" w:hAnsi="Times New Roman"/>
                      <w:snapToGrid w:val="0"/>
                      <w:color w:val="auto"/>
                      <w:szCs w:val="21"/>
                    </w:rPr>
                  </w:pPr>
                  <w:r>
                    <w:rPr>
                      <w:rFonts w:hint="eastAsia" w:ascii="Times New Roman" w:hAnsi="Times New Roman"/>
                      <w:snapToGrid w:val="0"/>
                      <w:color w:val="auto"/>
                      <w:szCs w:val="21"/>
                    </w:rPr>
                    <w:t>噪声</w:t>
                  </w:r>
                </w:p>
              </w:tc>
              <w:tc>
                <w:tcPr>
                  <w:tcW w:w="442" w:type="pct"/>
                  <w:vAlign w:val="center"/>
                </w:tcPr>
                <w:p w14:paraId="2EEFA162">
                  <w:pPr>
                    <w:pStyle w:val="65"/>
                    <w:widowControl/>
                    <w:autoSpaceDE w:val="0"/>
                    <w:autoSpaceDN w:val="0"/>
                    <w:spacing w:before="0" w:line="240" w:lineRule="auto"/>
                    <w:ind w:firstLine="0"/>
                    <w:jc w:val="center"/>
                    <w:textAlignment w:val="baseline"/>
                    <w:rPr>
                      <w:rFonts w:ascii="Times New Roman" w:hAnsi="Times New Roman"/>
                      <w:snapToGrid w:val="0"/>
                      <w:color w:val="auto"/>
                      <w:szCs w:val="21"/>
                    </w:rPr>
                  </w:pPr>
                  <w:r>
                    <w:rPr>
                      <w:rFonts w:hint="eastAsia" w:ascii="Times New Roman" w:hAnsi="Times New Roman"/>
                      <w:snapToGrid w:val="0"/>
                      <w:color w:val="auto"/>
                      <w:szCs w:val="21"/>
                    </w:rPr>
                    <w:t>1次/季度</w:t>
                  </w:r>
                </w:p>
              </w:tc>
              <w:tc>
                <w:tcPr>
                  <w:tcW w:w="734" w:type="pct"/>
                  <w:vAlign w:val="center"/>
                </w:tcPr>
                <w:p w14:paraId="3A0EF79B">
                  <w:pPr>
                    <w:pStyle w:val="65"/>
                    <w:widowControl/>
                    <w:autoSpaceDE w:val="0"/>
                    <w:autoSpaceDN w:val="0"/>
                    <w:spacing w:before="0" w:line="240" w:lineRule="auto"/>
                    <w:ind w:firstLine="0"/>
                    <w:jc w:val="center"/>
                    <w:textAlignment w:val="baseline"/>
                    <w:rPr>
                      <w:rFonts w:ascii="Times New Roman" w:hAnsi="Times New Roman"/>
                      <w:snapToGrid w:val="0"/>
                      <w:color w:val="auto"/>
                      <w:szCs w:val="21"/>
                    </w:rPr>
                  </w:pPr>
                  <w:r>
                    <w:rPr>
                      <w:rFonts w:hint="eastAsia" w:ascii="Times New Roman" w:hAnsi="Times New Roman"/>
                      <w:snapToGrid w:val="0"/>
                      <w:color w:val="auto"/>
                      <w:szCs w:val="21"/>
                    </w:rPr>
                    <w:t>/</w:t>
                  </w:r>
                </w:p>
              </w:tc>
              <w:tc>
                <w:tcPr>
                  <w:tcW w:w="626" w:type="pct"/>
                  <w:vAlign w:val="center"/>
                </w:tcPr>
                <w:p w14:paraId="6B3DC854">
                  <w:pPr>
                    <w:pStyle w:val="65"/>
                    <w:widowControl/>
                    <w:autoSpaceDE w:val="0"/>
                    <w:autoSpaceDN w:val="0"/>
                    <w:spacing w:before="0" w:line="240" w:lineRule="auto"/>
                    <w:ind w:firstLine="0"/>
                    <w:jc w:val="center"/>
                    <w:textAlignment w:val="baseline"/>
                    <w:rPr>
                      <w:rFonts w:ascii="Times New Roman" w:hAnsi="Times New Roman"/>
                      <w:snapToGrid w:val="0"/>
                      <w:color w:val="auto"/>
                      <w:szCs w:val="21"/>
                    </w:rPr>
                  </w:pPr>
                  <w:r>
                    <w:rPr>
                      <w:rFonts w:hint="eastAsia" w:ascii="Times New Roman" w:hAnsi="Times New Roman"/>
                      <w:snapToGrid w:val="0"/>
                      <w:color w:val="auto"/>
                      <w:szCs w:val="21"/>
                    </w:rPr>
                    <w:t>/</w:t>
                  </w:r>
                </w:p>
              </w:tc>
              <w:tc>
                <w:tcPr>
                  <w:tcW w:w="778" w:type="pct"/>
                  <w:vAlign w:val="center"/>
                </w:tcPr>
                <w:p w14:paraId="3C3B223F">
                  <w:pPr>
                    <w:pStyle w:val="65"/>
                    <w:widowControl/>
                    <w:autoSpaceDE w:val="0"/>
                    <w:autoSpaceDN w:val="0"/>
                    <w:spacing w:before="0" w:line="240" w:lineRule="auto"/>
                    <w:ind w:firstLine="0"/>
                    <w:jc w:val="center"/>
                    <w:textAlignment w:val="baseline"/>
                    <w:rPr>
                      <w:rFonts w:ascii="Times New Roman" w:hAnsi="Times New Roman"/>
                      <w:snapToGrid w:val="0"/>
                      <w:color w:val="auto"/>
                      <w:szCs w:val="21"/>
                    </w:rPr>
                  </w:pPr>
                  <w:r>
                    <w:rPr>
                      <w:rFonts w:hint="eastAsia" w:ascii="Times New Roman" w:hAnsi="Times New Roman"/>
                      <w:snapToGrid w:val="0"/>
                      <w:color w:val="auto"/>
                      <w:szCs w:val="21"/>
                    </w:rPr>
                    <w:t>昼间60，夜间55</w:t>
                  </w:r>
                </w:p>
              </w:tc>
              <w:tc>
                <w:tcPr>
                  <w:tcW w:w="1292" w:type="pct"/>
                  <w:vAlign w:val="center"/>
                </w:tcPr>
                <w:p w14:paraId="439D9BBC">
                  <w:pPr>
                    <w:pStyle w:val="65"/>
                    <w:widowControl/>
                    <w:autoSpaceDE w:val="0"/>
                    <w:autoSpaceDN w:val="0"/>
                    <w:spacing w:before="0" w:line="240" w:lineRule="auto"/>
                    <w:ind w:firstLine="0"/>
                    <w:jc w:val="center"/>
                    <w:textAlignment w:val="baseline"/>
                    <w:rPr>
                      <w:rFonts w:ascii="Times New Roman" w:hAnsi="Times New Roman"/>
                      <w:bCs/>
                      <w:color w:val="auto"/>
                      <w:szCs w:val="21"/>
                    </w:rPr>
                  </w:pPr>
                  <w:r>
                    <w:rPr>
                      <w:rFonts w:ascii="Times New Roman" w:hAnsi="Times New Roman"/>
                      <w:bCs/>
                      <w:color w:val="auto"/>
                      <w:szCs w:val="21"/>
                    </w:rPr>
                    <w:t>《排污许可证申请与核发技术规范 工业噪声》（HJ1301-2023）</w:t>
                  </w:r>
                </w:p>
              </w:tc>
            </w:tr>
          </w:tbl>
          <w:p w14:paraId="26FC9209">
            <w:pPr>
              <w:spacing w:line="360" w:lineRule="auto"/>
              <w:ind w:firstLine="482" w:firstLineChars="200"/>
              <w:jc w:val="left"/>
              <w:rPr>
                <w:b/>
                <w:bCs/>
                <w:color w:val="auto"/>
                <w:sz w:val="24"/>
                <w:lang w:bidi="ar"/>
              </w:rPr>
            </w:pPr>
            <w:r>
              <w:rPr>
                <w:b/>
                <w:bCs/>
                <w:color w:val="auto"/>
                <w:sz w:val="24"/>
                <w:lang w:bidi="ar"/>
              </w:rPr>
              <w:t>2、排污许可衔接</w:t>
            </w:r>
          </w:p>
          <w:p w14:paraId="427B2AE7">
            <w:pPr>
              <w:spacing w:line="360" w:lineRule="auto"/>
              <w:ind w:firstLine="480" w:firstLineChars="200"/>
              <w:rPr>
                <w:color w:val="auto"/>
                <w:sz w:val="24"/>
                <w:lang w:bidi="ar"/>
              </w:rPr>
            </w:pPr>
            <w:r>
              <w:rPr>
                <w:color w:val="auto"/>
                <w:sz w:val="24"/>
                <w:lang w:bidi="ar"/>
              </w:rPr>
              <w:t>根据《关于做好环境影响评价制度与排污许可制衔接相关工作的通知》（环办环评[2017]184号），项目应在获得环评审批文件后，按照《固定污染源排污许可分类管理名录》确定管理类别</w:t>
            </w:r>
            <w:r>
              <w:rPr>
                <w:rFonts w:hint="eastAsia"/>
                <w:color w:val="auto"/>
                <w:sz w:val="24"/>
                <w:lang w:bidi="ar"/>
              </w:rPr>
              <w:t>。</w:t>
            </w:r>
          </w:p>
          <w:p w14:paraId="0A29AC46">
            <w:pPr>
              <w:spacing w:line="360" w:lineRule="auto"/>
              <w:ind w:firstLine="480" w:firstLineChars="200"/>
              <w:jc w:val="left"/>
              <w:rPr>
                <w:color w:val="auto"/>
                <w:sz w:val="24"/>
              </w:rPr>
            </w:pPr>
            <w:r>
              <w:rPr>
                <w:color w:val="auto"/>
                <w:sz w:val="24"/>
              </w:rPr>
              <w:t>本项目属于</w:t>
            </w:r>
            <w:r>
              <w:rPr>
                <w:rFonts w:hint="eastAsia"/>
                <w:color w:val="auto"/>
                <w:sz w:val="24"/>
              </w:rPr>
              <w:t>“二</w:t>
            </w:r>
            <w:r>
              <w:rPr>
                <w:color w:val="auto"/>
                <w:sz w:val="24"/>
              </w:rPr>
              <w:t>十五、非金属矿物制品业 30</w:t>
            </w:r>
            <w:r>
              <w:rPr>
                <w:rFonts w:hint="eastAsia"/>
                <w:color w:val="auto"/>
                <w:sz w:val="24"/>
              </w:rPr>
              <w:t>”其中“粘</w:t>
            </w:r>
            <w:r>
              <w:rPr>
                <w:color w:val="auto"/>
                <w:sz w:val="24"/>
              </w:rPr>
              <w:t>土砖瓦及建筑砌块制造3031（除以煤或者煤矸石为燃料的烧结砖瓦以外的），建筑用石加工3032，防水建筑材料制造3033，隔热和隔音材料制造3034，其他建筑材料制造3039，以上均不含仅切割加工的</w:t>
            </w:r>
            <w:r>
              <w:rPr>
                <w:rFonts w:hint="eastAsia"/>
                <w:color w:val="auto"/>
                <w:sz w:val="24"/>
              </w:rPr>
              <w:t>”本项目属于【C3031】粘土砖瓦及建筑砌块制造，属于简化管理</w:t>
            </w:r>
          </w:p>
          <w:p w14:paraId="7BC2B06C">
            <w:pPr>
              <w:widowControl/>
              <w:jc w:val="center"/>
              <w:rPr>
                <w:b/>
                <w:bCs/>
                <w:color w:val="auto"/>
                <w:sz w:val="24"/>
              </w:rPr>
            </w:pPr>
            <w:r>
              <w:rPr>
                <w:b/>
                <w:bCs/>
                <w:color w:val="auto"/>
                <w:sz w:val="24"/>
              </w:rPr>
              <w:t>表</w:t>
            </w:r>
            <w:r>
              <w:rPr>
                <w:rFonts w:hint="eastAsia"/>
                <w:b/>
                <w:bCs/>
                <w:color w:val="auto"/>
                <w:sz w:val="24"/>
              </w:rPr>
              <w:t>5</w:t>
            </w:r>
            <w:r>
              <w:rPr>
                <w:b/>
                <w:bCs/>
                <w:color w:val="auto"/>
                <w:sz w:val="24"/>
              </w:rPr>
              <w:t>-2  排污许可类别对照</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
              <w:gridCol w:w="1483"/>
              <w:gridCol w:w="418"/>
              <w:gridCol w:w="871"/>
              <w:gridCol w:w="2697"/>
              <w:gridCol w:w="1015"/>
              <w:gridCol w:w="1081"/>
            </w:tblGrid>
            <w:tr w14:paraId="11996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0" w:type="pct"/>
                  <w:gridSpan w:val="3"/>
                  <w:vMerge w:val="restart"/>
                  <w:vAlign w:val="center"/>
                </w:tcPr>
                <w:p w14:paraId="76F72BDF">
                  <w:pPr>
                    <w:jc w:val="center"/>
                    <w:rPr>
                      <w:color w:val="auto"/>
                      <w:szCs w:val="21"/>
                    </w:rPr>
                  </w:pPr>
                  <w:r>
                    <w:rPr>
                      <w:color w:val="auto"/>
                      <w:szCs w:val="21"/>
                    </w:rPr>
                    <w:t>项目类别</w:t>
                  </w:r>
                </w:p>
              </w:tc>
              <w:tc>
                <w:tcPr>
                  <w:tcW w:w="2840" w:type="pct"/>
                  <w:gridSpan w:val="3"/>
                  <w:vAlign w:val="center"/>
                </w:tcPr>
                <w:p w14:paraId="035B07F8">
                  <w:pPr>
                    <w:pStyle w:val="13"/>
                    <w:spacing w:after="0"/>
                    <w:ind w:left="0" w:leftChars="0" w:firstLine="0" w:firstLineChars="0"/>
                    <w:jc w:val="center"/>
                    <w:rPr>
                      <w:color w:val="auto"/>
                      <w:sz w:val="21"/>
                      <w:szCs w:val="21"/>
                    </w:rPr>
                  </w:pPr>
                  <w:r>
                    <w:rPr>
                      <w:color w:val="auto"/>
                      <w:sz w:val="21"/>
                      <w:szCs w:val="21"/>
                    </w:rPr>
                    <w:t>排污许可类别</w:t>
                  </w:r>
                </w:p>
              </w:tc>
              <w:tc>
                <w:tcPr>
                  <w:tcW w:w="668" w:type="pct"/>
                  <w:vMerge w:val="restart"/>
                  <w:vAlign w:val="center"/>
                </w:tcPr>
                <w:p w14:paraId="564D759B">
                  <w:pPr>
                    <w:widowControl/>
                    <w:adjustRightInd w:val="0"/>
                    <w:snapToGrid w:val="0"/>
                    <w:jc w:val="center"/>
                    <w:rPr>
                      <w:color w:val="auto"/>
                      <w:kern w:val="0"/>
                      <w:szCs w:val="21"/>
                    </w:rPr>
                  </w:pPr>
                  <w:r>
                    <w:rPr>
                      <w:color w:val="auto"/>
                      <w:kern w:val="0"/>
                      <w:szCs w:val="21"/>
                    </w:rPr>
                    <w:t>排污许可</w:t>
                  </w:r>
                </w:p>
                <w:p w14:paraId="74A5A435">
                  <w:pPr>
                    <w:pStyle w:val="13"/>
                    <w:spacing w:after="0"/>
                    <w:ind w:left="0" w:leftChars="0" w:firstLine="0" w:firstLineChars="0"/>
                    <w:jc w:val="center"/>
                    <w:rPr>
                      <w:color w:val="auto"/>
                      <w:sz w:val="21"/>
                      <w:szCs w:val="21"/>
                    </w:rPr>
                  </w:pPr>
                  <w:r>
                    <w:rPr>
                      <w:color w:val="auto"/>
                      <w:sz w:val="21"/>
                      <w:szCs w:val="21"/>
                    </w:rPr>
                    <w:t>管理类别</w:t>
                  </w:r>
                </w:p>
              </w:tc>
            </w:tr>
            <w:tr w14:paraId="65412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0" w:type="pct"/>
                  <w:gridSpan w:val="3"/>
                  <w:vMerge w:val="continue"/>
                  <w:vAlign w:val="center"/>
                </w:tcPr>
                <w:p w14:paraId="4596D9CF">
                  <w:pPr>
                    <w:pStyle w:val="13"/>
                    <w:spacing w:after="0"/>
                    <w:ind w:left="0" w:leftChars="0" w:firstLine="0" w:firstLineChars="0"/>
                    <w:jc w:val="center"/>
                    <w:rPr>
                      <w:color w:val="auto"/>
                      <w:sz w:val="21"/>
                      <w:szCs w:val="21"/>
                    </w:rPr>
                  </w:pPr>
                </w:p>
              </w:tc>
              <w:tc>
                <w:tcPr>
                  <w:tcW w:w="540" w:type="pct"/>
                  <w:vAlign w:val="center"/>
                </w:tcPr>
                <w:p w14:paraId="472EADF8">
                  <w:pPr>
                    <w:pStyle w:val="13"/>
                    <w:spacing w:after="0"/>
                    <w:ind w:left="0" w:leftChars="0" w:firstLine="0" w:firstLineChars="0"/>
                    <w:jc w:val="center"/>
                    <w:rPr>
                      <w:color w:val="auto"/>
                      <w:sz w:val="21"/>
                      <w:szCs w:val="21"/>
                    </w:rPr>
                  </w:pPr>
                  <w:r>
                    <w:rPr>
                      <w:color w:val="auto"/>
                      <w:sz w:val="21"/>
                      <w:szCs w:val="21"/>
                    </w:rPr>
                    <w:t>重点</w:t>
                  </w:r>
                </w:p>
              </w:tc>
              <w:tc>
                <w:tcPr>
                  <w:tcW w:w="1671" w:type="pct"/>
                  <w:vAlign w:val="center"/>
                </w:tcPr>
                <w:p w14:paraId="64D4DFC7">
                  <w:pPr>
                    <w:pStyle w:val="13"/>
                    <w:spacing w:after="0"/>
                    <w:ind w:left="0" w:leftChars="0" w:firstLine="0" w:firstLineChars="0"/>
                    <w:jc w:val="center"/>
                    <w:rPr>
                      <w:color w:val="auto"/>
                      <w:sz w:val="21"/>
                      <w:szCs w:val="21"/>
                    </w:rPr>
                  </w:pPr>
                  <w:r>
                    <w:rPr>
                      <w:color w:val="auto"/>
                      <w:sz w:val="21"/>
                      <w:szCs w:val="21"/>
                    </w:rPr>
                    <w:t>简化</w:t>
                  </w:r>
                </w:p>
              </w:tc>
              <w:tc>
                <w:tcPr>
                  <w:tcW w:w="628" w:type="pct"/>
                  <w:vAlign w:val="center"/>
                </w:tcPr>
                <w:p w14:paraId="5599C995">
                  <w:pPr>
                    <w:pStyle w:val="13"/>
                    <w:spacing w:after="0"/>
                    <w:ind w:left="0" w:leftChars="0" w:firstLine="0" w:firstLineChars="0"/>
                    <w:jc w:val="center"/>
                    <w:rPr>
                      <w:color w:val="auto"/>
                      <w:sz w:val="21"/>
                      <w:szCs w:val="21"/>
                    </w:rPr>
                  </w:pPr>
                  <w:r>
                    <w:rPr>
                      <w:color w:val="auto"/>
                      <w:sz w:val="21"/>
                      <w:szCs w:val="21"/>
                    </w:rPr>
                    <w:t>登记</w:t>
                  </w:r>
                </w:p>
              </w:tc>
              <w:tc>
                <w:tcPr>
                  <w:tcW w:w="668" w:type="pct"/>
                  <w:vMerge w:val="continue"/>
                  <w:vAlign w:val="center"/>
                </w:tcPr>
                <w:p w14:paraId="07D72F60">
                  <w:pPr>
                    <w:pStyle w:val="13"/>
                    <w:spacing w:after="0"/>
                    <w:ind w:left="0" w:leftChars="0" w:firstLine="0" w:firstLineChars="0"/>
                    <w:jc w:val="center"/>
                    <w:rPr>
                      <w:color w:val="auto"/>
                      <w:sz w:val="21"/>
                      <w:szCs w:val="21"/>
                    </w:rPr>
                  </w:pPr>
                </w:p>
              </w:tc>
            </w:tr>
            <w:tr w14:paraId="214BF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7"/>
                  <w:vAlign w:val="center"/>
                </w:tcPr>
                <w:p w14:paraId="1040CED8">
                  <w:pPr>
                    <w:widowControl/>
                    <w:jc w:val="center"/>
                    <w:rPr>
                      <w:color w:val="auto"/>
                      <w:szCs w:val="21"/>
                    </w:rPr>
                  </w:pPr>
                  <w:r>
                    <w:rPr>
                      <w:color w:val="auto"/>
                      <w:szCs w:val="21"/>
                    </w:rPr>
                    <w:t>二十五、非金属矿物制品业 30</w:t>
                  </w:r>
                </w:p>
              </w:tc>
            </w:tr>
            <w:tr w14:paraId="18299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2" w:type="pct"/>
                  <w:vAlign w:val="center"/>
                </w:tcPr>
                <w:p w14:paraId="795E5174">
                  <w:pPr>
                    <w:widowControl/>
                    <w:jc w:val="center"/>
                    <w:rPr>
                      <w:color w:val="auto"/>
                      <w:szCs w:val="21"/>
                    </w:rPr>
                  </w:pPr>
                  <w:r>
                    <w:rPr>
                      <w:color w:val="auto"/>
                      <w:szCs w:val="21"/>
                    </w:rPr>
                    <w:t>64</w:t>
                  </w:r>
                </w:p>
              </w:tc>
              <w:tc>
                <w:tcPr>
                  <w:tcW w:w="919" w:type="pct"/>
                  <w:vAlign w:val="center"/>
                </w:tcPr>
                <w:p w14:paraId="3267B917">
                  <w:pPr>
                    <w:widowControl/>
                    <w:jc w:val="center"/>
                    <w:rPr>
                      <w:color w:val="auto"/>
                      <w:szCs w:val="21"/>
                      <w:lang w:bidi="ar"/>
                    </w:rPr>
                  </w:pPr>
                  <w:r>
                    <w:rPr>
                      <w:color w:val="auto"/>
                      <w:szCs w:val="21"/>
                      <w:lang w:bidi="ar"/>
                    </w:rPr>
                    <w:t>砖瓦、石材等建筑材料制造303</w:t>
                  </w:r>
                </w:p>
              </w:tc>
              <w:tc>
                <w:tcPr>
                  <w:tcW w:w="799" w:type="pct"/>
                  <w:gridSpan w:val="2"/>
                  <w:vAlign w:val="center"/>
                </w:tcPr>
                <w:p w14:paraId="50347B33">
                  <w:pPr>
                    <w:widowControl/>
                    <w:jc w:val="center"/>
                    <w:rPr>
                      <w:color w:val="auto"/>
                      <w:szCs w:val="21"/>
                      <w:lang w:bidi="ar"/>
                    </w:rPr>
                  </w:pPr>
                  <w:r>
                    <w:rPr>
                      <w:color w:val="auto"/>
                      <w:szCs w:val="21"/>
                      <w:lang w:bidi="ar"/>
                    </w:rPr>
                    <w:t>粘土砖瓦及建筑砌块制造3031（以煤或者煤矸石为燃料的烧结砖瓦）</w:t>
                  </w:r>
                </w:p>
              </w:tc>
              <w:tc>
                <w:tcPr>
                  <w:tcW w:w="1671" w:type="pct"/>
                  <w:shd w:val="clear" w:color="auto" w:fill="D7D7D7" w:themeFill="background1" w:themeFillShade="D8"/>
                  <w:vAlign w:val="center"/>
                </w:tcPr>
                <w:p w14:paraId="08673730">
                  <w:pPr>
                    <w:widowControl/>
                    <w:jc w:val="center"/>
                    <w:rPr>
                      <w:color w:val="auto"/>
                      <w:szCs w:val="21"/>
                      <w:lang w:bidi="ar"/>
                    </w:rPr>
                  </w:pPr>
                  <w:r>
                    <w:rPr>
                      <w:color w:val="auto"/>
                      <w:szCs w:val="21"/>
                      <w:lang w:bidi="ar"/>
                    </w:rPr>
                    <w:t>粘土砖瓦及建筑砌块制造3031（除以煤或者煤矸石为燃料的烧结砖瓦以外的），建筑用石加工3032，防水建筑材料制造3033，隔热和隔音材料制造3034，其他建筑材料制造3039，以上均不含仅切割加工的</w:t>
                  </w:r>
                </w:p>
              </w:tc>
              <w:tc>
                <w:tcPr>
                  <w:tcW w:w="628" w:type="pct"/>
                  <w:vAlign w:val="center"/>
                </w:tcPr>
                <w:p w14:paraId="7ABCCFE0">
                  <w:pPr>
                    <w:widowControl/>
                    <w:jc w:val="center"/>
                    <w:rPr>
                      <w:color w:val="auto"/>
                      <w:szCs w:val="21"/>
                      <w:lang w:bidi="ar"/>
                    </w:rPr>
                  </w:pPr>
                  <w:r>
                    <w:rPr>
                      <w:color w:val="auto"/>
                      <w:szCs w:val="21"/>
                      <w:lang w:bidi="ar"/>
                    </w:rPr>
                    <w:t>仅切割加工的</w:t>
                  </w:r>
                </w:p>
              </w:tc>
              <w:tc>
                <w:tcPr>
                  <w:tcW w:w="668" w:type="pct"/>
                  <w:vAlign w:val="center"/>
                </w:tcPr>
                <w:p w14:paraId="387FC15B">
                  <w:pPr>
                    <w:widowControl/>
                    <w:jc w:val="center"/>
                    <w:rPr>
                      <w:color w:val="auto"/>
                      <w:szCs w:val="21"/>
                      <w:lang w:bidi="ar"/>
                    </w:rPr>
                  </w:pPr>
                  <w:r>
                    <w:rPr>
                      <w:color w:val="auto"/>
                      <w:szCs w:val="21"/>
                      <w:lang w:bidi="ar"/>
                    </w:rPr>
                    <w:t>简化管理</w:t>
                  </w:r>
                </w:p>
              </w:tc>
            </w:tr>
          </w:tbl>
          <w:p w14:paraId="0EDF5FC8">
            <w:pPr>
              <w:spacing w:line="360" w:lineRule="auto"/>
              <w:ind w:firstLine="480" w:firstLineChars="200"/>
              <w:rPr>
                <w:b/>
                <w:bCs/>
                <w:color w:val="auto"/>
                <w:sz w:val="24"/>
                <w:lang w:bidi="ar"/>
              </w:rPr>
            </w:pPr>
            <w:r>
              <w:rPr>
                <w:color w:val="auto"/>
                <w:sz w:val="24"/>
                <w:lang w:bidi="ar"/>
              </w:rPr>
              <w:t>根据固定污染源排污许可分类管理名录，本项目排污许可为</w:t>
            </w:r>
            <w:r>
              <w:rPr>
                <w:rFonts w:hint="eastAsia"/>
                <w:color w:val="auto"/>
                <w:sz w:val="24"/>
                <w:lang w:bidi="ar"/>
              </w:rPr>
              <w:t>简化</w:t>
            </w:r>
            <w:r>
              <w:rPr>
                <w:color w:val="auto"/>
                <w:sz w:val="24"/>
                <w:lang w:bidi="ar"/>
              </w:rPr>
              <w:t>管理。</w:t>
            </w:r>
          </w:p>
          <w:p w14:paraId="2A6A39C6">
            <w:pPr>
              <w:spacing w:line="360" w:lineRule="auto"/>
              <w:ind w:firstLine="482" w:firstLineChars="200"/>
              <w:jc w:val="left"/>
              <w:rPr>
                <w:b/>
                <w:bCs/>
                <w:color w:val="auto"/>
                <w:sz w:val="24"/>
                <w:lang w:bidi="ar"/>
              </w:rPr>
            </w:pPr>
            <w:r>
              <w:rPr>
                <w:b/>
                <w:bCs/>
                <w:color w:val="auto"/>
                <w:sz w:val="24"/>
                <w:lang w:bidi="ar"/>
              </w:rPr>
              <w:t>3、竣工环境保护设施验收</w:t>
            </w:r>
          </w:p>
          <w:p w14:paraId="48372AA9">
            <w:pPr>
              <w:spacing w:line="360" w:lineRule="auto"/>
              <w:ind w:firstLine="480" w:firstLineChars="200"/>
              <w:jc w:val="left"/>
              <w:rPr>
                <w:color w:val="auto"/>
                <w:sz w:val="24"/>
                <w:lang w:bidi="ar"/>
              </w:rPr>
            </w:pPr>
            <w:r>
              <w:rPr>
                <w:color w:val="auto"/>
                <w:sz w:val="24"/>
                <w:lang w:bidi="ar"/>
              </w:rPr>
              <w:t>根据《建设项目竣工环境保护验收暂行办法》的规定，建设项目竣工后，建设单位应当如实查验、监测、记载建设项目环境保护设施的建设和调试情况，编制验收监测报告。</w:t>
            </w:r>
          </w:p>
          <w:p w14:paraId="076C650C">
            <w:pPr>
              <w:widowControl/>
              <w:autoSpaceDE w:val="0"/>
              <w:autoSpaceDN w:val="0"/>
              <w:spacing w:line="360" w:lineRule="auto"/>
              <w:ind w:firstLine="480" w:firstLineChars="200"/>
              <w:textAlignment w:val="baseline"/>
              <w:rPr>
                <w:rFonts w:hint="eastAsia" w:ascii="宋体" w:hAnsi="宋体" w:cs="宋体"/>
                <w:color w:val="auto"/>
                <w:sz w:val="24"/>
              </w:rPr>
            </w:pPr>
            <w:r>
              <w:rPr>
                <w:rFonts w:hint="eastAsia" w:ascii="宋体" w:hAnsi="宋体" w:cs="宋体"/>
                <w:color w:val="auto"/>
                <w:sz w:val="24"/>
              </w:rPr>
              <w:t>本项目环保设施投资概算见下表。</w:t>
            </w:r>
          </w:p>
          <w:p w14:paraId="646D340E">
            <w:pPr>
              <w:widowControl/>
              <w:autoSpaceDE w:val="0"/>
              <w:autoSpaceDN w:val="0"/>
              <w:jc w:val="center"/>
              <w:textAlignment w:val="baseline"/>
              <w:rPr>
                <w:b/>
                <w:bCs/>
                <w:color w:val="auto"/>
              </w:rPr>
            </w:pPr>
            <w:r>
              <w:rPr>
                <w:b/>
                <w:bCs/>
                <w:color w:val="auto"/>
                <w:sz w:val="24"/>
              </w:rPr>
              <w:t>表</w:t>
            </w:r>
            <w:r>
              <w:rPr>
                <w:rFonts w:hint="eastAsia"/>
                <w:b/>
                <w:bCs/>
                <w:color w:val="auto"/>
                <w:sz w:val="24"/>
              </w:rPr>
              <w:t xml:space="preserve">5-3  </w:t>
            </w:r>
            <w:r>
              <w:rPr>
                <w:b/>
                <w:bCs/>
                <w:color w:val="auto"/>
                <w:sz w:val="24"/>
              </w:rPr>
              <w:t>本项目环保设施投资概算</w:t>
            </w:r>
          </w:p>
          <w:tbl>
            <w:tblPr>
              <w:tblStyle w:val="24"/>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11"/>
              <w:gridCol w:w="1813"/>
              <w:gridCol w:w="3650"/>
              <w:gridCol w:w="1790"/>
            </w:tblGrid>
            <w:tr w14:paraId="36F37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 w:hRule="atLeast"/>
                <w:jc w:val="center"/>
              </w:trPr>
              <w:tc>
                <w:tcPr>
                  <w:tcW w:w="502" w:type="pct"/>
                  <w:tcMar>
                    <w:top w:w="15" w:type="dxa"/>
                    <w:left w:w="15" w:type="dxa"/>
                    <w:right w:w="15" w:type="dxa"/>
                  </w:tcMar>
                  <w:vAlign w:val="center"/>
                </w:tcPr>
                <w:p w14:paraId="4C72EDDA">
                  <w:pPr>
                    <w:widowControl/>
                    <w:jc w:val="center"/>
                    <w:textAlignment w:val="center"/>
                    <w:rPr>
                      <w:color w:val="auto"/>
                      <w:szCs w:val="21"/>
                    </w:rPr>
                  </w:pPr>
                  <w:r>
                    <w:rPr>
                      <w:color w:val="auto"/>
                      <w:kern w:val="0"/>
                      <w:szCs w:val="21"/>
                      <w:lang w:bidi="ar"/>
                    </w:rPr>
                    <w:t>内容</w:t>
                  </w:r>
                </w:p>
              </w:tc>
              <w:tc>
                <w:tcPr>
                  <w:tcW w:w="1124" w:type="pct"/>
                  <w:tcMar>
                    <w:top w:w="15" w:type="dxa"/>
                    <w:left w:w="15" w:type="dxa"/>
                    <w:right w:w="15" w:type="dxa"/>
                  </w:tcMar>
                  <w:vAlign w:val="center"/>
                </w:tcPr>
                <w:p w14:paraId="701BAC31">
                  <w:pPr>
                    <w:widowControl/>
                    <w:jc w:val="center"/>
                    <w:textAlignment w:val="center"/>
                    <w:rPr>
                      <w:color w:val="auto"/>
                      <w:szCs w:val="21"/>
                    </w:rPr>
                  </w:pPr>
                  <w:r>
                    <w:rPr>
                      <w:color w:val="auto"/>
                      <w:kern w:val="0"/>
                      <w:szCs w:val="21"/>
                      <w:lang w:bidi="ar"/>
                    </w:rPr>
                    <w:t>处理对象</w:t>
                  </w:r>
                </w:p>
              </w:tc>
              <w:tc>
                <w:tcPr>
                  <w:tcW w:w="2261" w:type="pct"/>
                  <w:tcMar>
                    <w:top w:w="15" w:type="dxa"/>
                    <w:left w:w="15" w:type="dxa"/>
                    <w:right w:w="15" w:type="dxa"/>
                  </w:tcMar>
                  <w:vAlign w:val="center"/>
                </w:tcPr>
                <w:p w14:paraId="70A9D87F">
                  <w:pPr>
                    <w:widowControl/>
                    <w:jc w:val="center"/>
                    <w:textAlignment w:val="center"/>
                    <w:rPr>
                      <w:color w:val="auto"/>
                      <w:szCs w:val="21"/>
                    </w:rPr>
                  </w:pPr>
                  <w:r>
                    <w:rPr>
                      <w:color w:val="auto"/>
                      <w:kern w:val="0"/>
                      <w:szCs w:val="21"/>
                      <w:lang w:bidi="ar"/>
                    </w:rPr>
                    <w:t>治理措施或设备</w:t>
                  </w:r>
                </w:p>
              </w:tc>
              <w:tc>
                <w:tcPr>
                  <w:tcW w:w="1110" w:type="pct"/>
                  <w:tcMar>
                    <w:top w:w="15" w:type="dxa"/>
                    <w:left w:w="15" w:type="dxa"/>
                    <w:right w:w="15" w:type="dxa"/>
                  </w:tcMar>
                  <w:vAlign w:val="center"/>
                </w:tcPr>
                <w:p w14:paraId="3EE3745A">
                  <w:pPr>
                    <w:widowControl/>
                    <w:jc w:val="center"/>
                    <w:textAlignment w:val="center"/>
                    <w:rPr>
                      <w:color w:val="auto"/>
                      <w:szCs w:val="21"/>
                    </w:rPr>
                  </w:pPr>
                  <w:r>
                    <w:rPr>
                      <w:color w:val="auto"/>
                      <w:kern w:val="0"/>
                      <w:szCs w:val="21"/>
                      <w:lang w:bidi="ar"/>
                    </w:rPr>
                    <w:t>环保投资（万元）</w:t>
                  </w:r>
                </w:p>
              </w:tc>
            </w:tr>
            <w:tr w14:paraId="04F26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 w:hRule="atLeast"/>
                <w:jc w:val="center"/>
              </w:trPr>
              <w:tc>
                <w:tcPr>
                  <w:tcW w:w="502" w:type="pct"/>
                  <w:vMerge w:val="restart"/>
                  <w:tcMar>
                    <w:top w:w="15" w:type="dxa"/>
                    <w:left w:w="15" w:type="dxa"/>
                    <w:right w:w="15" w:type="dxa"/>
                  </w:tcMar>
                  <w:vAlign w:val="center"/>
                </w:tcPr>
                <w:p w14:paraId="341E3D8C">
                  <w:pPr>
                    <w:widowControl/>
                    <w:jc w:val="center"/>
                    <w:textAlignment w:val="center"/>
                    <w:rPr>
                      <w:color w:val="auto"/>
                      <w:szCs w:val="21"/>
                    </w:rPr>
                  </w:pPr>
                  <w:r>
                    <w:rPr>
                      <w:color w:val="auto"/>
                      <w:kern w:val="0"/>
                      <w:szCs w:val="21"/>
                      <w:lang w:bidi="ar"/>
                    </w:rPr>
                    <w:t>废气</w:t>
                  </w:r>
                </w:p>
              </w:tc>
              <w:tc>
                <w:tcPr>
                  <w:tcW w:w="1124" w:type="pct"/>
                  <w:tcMar>
                    <w:top w:w="15" w:type="dxa"/>
                    <w:left w:w="15" w:type="dxa"/>
                    <w:right w:w="15" w:type="dxa"/>
                  </w:tcMar>
                  <w:vAlign w:val="center"/>
                </w:tcPr>
                <w:p w14:paraId="072BFEC0">
                  <w:pPr>
                    <w:jc w:val="center"/>
                    <w:rPr>
                      <w:color w:val="auto"/>
                    </w:rPr>
                  </w:pPr>
                  <w:r>
                    <w:rPr>
                      <w:rFonts w:hint="eastAsia"/>
                      <w:color w:val="auto"/>
                    </w:rPr>
                    <w:t>破碎、筛分废气</w:t>
                  </w:r>
                </w:p>
              </w:tc>
              <w:tc>
                <w:tcPr>
                  <w:tcW w:w="2261" w:type="pct"/>
                  <w:tcMar>
                    <w:top w:w="15" w:type="dxa"/>
                    <w:left w:w="15" w:type="dxa"/>
                    <w:right w:w="15" w:type="dxa"/>
                  </w:tcMar>
                  <w:vAlign w:val="center"/>
                </w:tcPr>
                <w:p w14:paraId="3DD8CBE4">
                  <w:pPr>
                    <w:widowControl/>
                    <w:jc w:val="center"/>
                    <w:textAlignment w:val="center"/>
                    <w:rPr>
                      <w:color w:val="auto"/>
                      <w:szCs w:val="21"/>
                    </w:rPr>
                  </w:pPr>
                  <w:r>
                    <w:rPr>
                      <w:bCs/>
                      <w:color w:val="auto"/>
                      <w:szCs w:val="21"/>
                    </w:rPr>
                    <w:t>经</w:t>
                  </w:r>
                  <w:r>
                    <w:rPr>
                      <w:rFonts w:hint="eastAsia"/>
                      <w:bCs/>
                      <w:color w:val="auto"/>
                      <w:szCs w:val="21"/>
                    </w:rPr>
                    <w:t>集气罩+软帘+高效袋式除尘器</w:t>
                  </w:r>
                  <w:r>
                    <w:rPr>
                      <w:bCs/>
                      <w:color w:val="auto"/>
                      <w:szCs w:val="21"/>
                    </w:rPr>
                    <w:t>+1根15m高</w:t>
                  </w:r>
                  <w:r>
                    <w:rPr>
                      <w:color w:val="auto"/>
                      <w:kern w:val="0"/>
                      <w:szCs w:val="21"/>
                      <w:lang w:bidi="ar"/>
                    </w:rPr>
                    <w:t>DA00</w:t>
                  </w:r>
                  <w:r>
                    <w:rPr>
                      <w:rFonts w:hint="eastAsia"/>
                      <w:color w:val="auto"/>
                      <w:kern w:val="0"/>
                      <w:szCs w:val="21"/>
                      <w:lang w:bidi="ar"/>
                    </w:rPr>
                    <w:t>2</w:t>
                  </w:r>
                  <w:r>
                    <w:rPr>
                      <w:color w:val="auto"/>
                      <w:kern w:val="0"/>
                      <w:szCs w:val="21"/>
                      <w:lang w:bidi="ar"/>
                    </w:rPr>
                    <w:t>排气筒</w:t>
                  </w:r>
                </w:p>
              </w:tc>
              <w:tc>
                <w:tcPr>
                  <w:tcW w:w="1110" w:type="pct"/>
                  <w:tcMar>
                    <w:top w:w="15" w:type="dxa"/>
                    <w:left w:w="15" w:type="dxa"/>
                    <w:right w:w="15" w:type="dxa"/>
                  </w:tcMar>
                  <w:vAlign w:val="center"/>
                </w:tcPr>
                <w:p w14:paraId="4112AFE3">
                  <w:pPr>
                    <w:widowControl/>
                    <w:jc w:val="center"/>
                    <w:textAlignment w:val="center"/>
                    <w:rPr>
                      <w:color w:val="auto"/>
                      <w:kern w:val="0"/>
                      <w:szCs w:val="21"/>
                      <w:lang w:bidi="ar"/>
                    </w:rPr>
                  </w:pPr>
                  <w:r>
                    <w:rPr>
                      <w:rFonts w:hint="eastAsia"/>
                      <w:color w:val="auto"/>
                      <w:kern w:val="0"/>
                      <w:szCs w:val="21"/>
                      <w:lang w:bidi="ar"/>
                    </w:rPr>
                    <w:t>20</w:t>
                  </w:r>
                </w:p>
              </w:tc>
            </w:tr>
            <w:tr w14:paraId="4413E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 w:hRule="atLeast"/>
                <w:jc w:val="center"/>
              </w:trPr>
              <w:tc>
                <w:tcPr>
                  <w:tcW w:w="502" w:type="pct"/>
                  <w:vMerge w:val="continue"/>
                  <w:tcMar>
                    <w:top w:w="15" w:type="dxa"/>
                    <w:left w:w="15" w:type="dxa"/>
                    <w:right w:w="15" w:type="dxa"/>
                  </w:tcMar>
                  <w:vAlign w:val="center"/>
                </w:tcPr>
                <w:p w14:paraId="62FD3A00">
                  <w:pPr>
                    <w:widowControl/>
                    <w:jc w:val="center"/>
                    <w:textAlignment w:val="center"/>
                    <w:rPr>
                      <w:color w:val="auto"/>
                      <w:kern w:val="0"/>
                      <w:szCs w:val="21"/>
                      <w:lang w:bidi="ar"/>
                    </w:rPr>
                  </w:pPr>
                </w:p>
              </w:tc>
              <w:tc>
                <w:tcPr>
                  <w:tcW w:w="1124" w:type="pct"/>
                  <w:tcMar>
                    <w:top w:w="15" w:type="dxa"/>
                    <w:left w:w="15" w:type="dxa"/>
                    <w:right w:w="15" w:type="dxa"/>
                  </w:tcMar>
                  <w:vAlign w:val="center"/>
                </w:tcPr>
                <w:p w14:paraId="27A6F069">
                  <w:pPr>
                    <w:jc w:val="center"/>
                    <w:rPr>
                      <w:color w:val="auto"/>
                    </w:rPr>
                  </w:pPr>
                  <w:r>
                    <w:rPr>
                      <w:rFonts w:hint="eastAsia"/>
                      <w:color w:val="auto"/>
                    </w:rPr>
                    <w:t>搅拌废气</w:t>
                  </w:r>
                </w:p>
              </w:tc>
              <w:tc>
                <w:tcPr>
                  <w:tcW w:w="2261" w:type="pct"/>
                  <w:tcMar>
                    <w:top w:w="15" w:type="dxa"/>
                    <w:left w:w="15" w:type="dxa"/>
                    <w:right w:w="15" w:type="dxa"/>
                  </w:tcMar>
                  <w:vAlign w:val="center"/>
                </w:tcPr>
                <w:p w14:paraId="4A61C0E3">
                  <w:pPr>
                    <w:widowControl/>
                    <w:jc w:val="center"/>
                    <w:textAlignment w:val="center"/>
                    <w:rPr>
                      <w:bCs/>
                      <w:color w:val="auto"/>
                      <w:szCs w:val="21"/>
                    </w:rPr>
                  </w:pPr>
                  <w:r>
                    <w:rPr>
                      <w:bCs/>
                      <w:color w:val="auto"/>
                      <w:szCs w:val="21"/>
                    </w:rPr>
                    <w:t>经</w:t>
                  </w:r>
                  <w:r>
                    <w:rPr>
                      <w:rFonts w:hint="eastAsia"/>
                      <w:bCs/>
                      <w:color w:val="auto"/>
                      <w:szCs w:val="21"/>
                    </w:rPr>
                    <w:t>集气罩+软帘+高效袋式除尘器</w:t>
                  </w:r>
                  <w:r>
                    <w:rPr>
                      <w:bCs/>
                      <w:color w:val="auto"/>
                      <w:szCs w:val="21"/>
                    </w:rPr>
                    <w:t>+1根15m高</w:t>
                  </w:r>
                  <w:r>
                    <w:rPr>
                      <w:color w:val="auto"/>
                      <w:kern w:val="0"/>
                      <w:szCs w:val="21"/>
                      <w:lang w:bidi="ar"/>
                    </w:rPr>
                    <w:t>DA00</w:t>
                  </w:r>
                  <w:r>
                    <w:rPr>
                      <w:rFonts w:hint="eastAsia"/>
                      <w:color w:val="auto"/>
                      <w:kern w:val="0"/>
                      <w:szCs w:val="21"/>
                      <w:lang w:bidi="ar"/>
                    </w:rPr>
                    <w:t>3</w:t>
                  </w:r>
                  <w:r>
                    <w:rPr>
                      <w:color w:val="auto"/>
                      <w:kern w:val="0"/>
                      <w:szCs w:val="21"/>
                      <w:lang w:bidi="ar"/>
                    </w:rPr>
                    <w:t>排气筒</w:t>
                  </w:r>
                </w:p>
              </w:tc>
              <w:tc>
                <w:tcPr>
                  <w:tcW w:w="1110" w:type="pct"/>
                  <w:tcMar>
                    <w:top w:w="15" w:type="dxa"/>
                    <w:left w:w="15" w:type="dxa"/>
                    <w:right w:w="15" w:type="dxa"/>
                  </w:tcMar>
                  <w:vAlign w:val="center"/>
                </w:tcPr>
                <w:p w14:paraId="2331AF04">
                  <w:pPr>
                    <w:widowControl/>
                    <w:jc w:val="center"/>
                    <w:textAlignment w:val="center"/>
                    <w:rPr>
                      <w:color w:val="auto"/>
                      <w:kern w:val="0"/>
                      <w:szCs w:val="21"/>
                      <w:lang w:bidi="ar"/>
                    </w:rPr>
                  </w:pPr>
                  <w:r>
                    <w:rPr>
                      <w:rFonts w:hint="eastAsia"/>
                      <w:color w:val="auto"/>
                      <w:kern w:val="0"/>
                      <w:szCs w:val="21"/>
                      <w:lang w:bidi="ar"/>
                    </w:rPr>
                    <w:t>20</w:t>
                  </w:r>
                </w:p>
              </w:tc>
            </w:tr>
            <w:tr w14:paraId="09E44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502" w:type="pct"/>
                  <w:vMerge w:val="restart"/>
                  <w:tcMar>
                    <w:top w:w="15" w:type="dxa"/>
                    <w:left w:w="15" w:type="dxa"/>
                    <w:right w:w="15" w:type="dxa"/>
                  </w:tcMar>
                  <w:vAlign w:val="center"/>
                </w:tcPr>
                <w:p w14:paraId="4B31ABBC">
                  <w:pPr>
                    <w:widowControl/>
                    <w:jc w:val="center"/>
                    <w:textAlignment w:val="center"/>
                    <w:rPr>
                      <w:color w:val="auto"/>
                      <w:szCs w:val="21"/>
                    </w:rPr>
                  </w:pPr>
                  <w:r>
                    <w:rPr>
                      <w:color w:val="auto"/>
                      <w:kern w:val="0"/>
                      <w:szCs w:val="21"/>
                      <w:lang w:bidi="ar"/>
                    </w:rPr>
                    <w:t>废水</w:t>
                  </w:r>
                </w:p>
              </w:tc>
              <w:tc>
                <w:tcPr>
                  <w:tcW w:w="1124" w:type="pct"/>
                  <w:tcMar>
                    <w:top w:w="15" w:type="dxa"/>
                    <w:left w:w="15" w:type="dxa"/>
                    <w:right w:w="15" w:type="dxa"/>
                  </w:tcMar>
                  <w:vAlign w:val="center"/>
                </w:tcPr>
                <w:p w14:paraId="4B962057">
                  <w:pPr>
                    <w:widowControl/>
                    <w:jc w:val="center"/>
                    <w:textAlignment w:val="center"/>
                    <w:rPr>
                      <w:color w:val="auto"/>
                      <w:kern w:val="0"/>
                      <w:szCs w:val="21"/>
                      <w:lang w:bidi="ar"/>
                    </w:rPr>
                  </w:pPr>
                  <w:r>
                    <w:rPr>
                      <w:color w:val="auto"/>
                      <w:kern w:val="0"/>
                      <w:szCs w:val="21"/>
                      <w:lang w:bidi="ar"/>
                    </w:rPr>
                    <w:t>生活污水</w:t>
                  </w:r>
                </w:p>
              </w:tc>
              <w:tc>
                <w:tcPr>
                  <w:tcW w:w="2261" w:type="pct"/>
                  <w:tcMar>
                    <w:top w:w="15" w:type="dxa"/>
                    <w:left w:w="15" w:type="dxa"/>
                    <w:right w:w="15" w:type="dxa"/>
                  </w:tcMar>
                  <w:vAlign w:val="center"/>
                </w:tcPr>
                <w:p w14:paraId="596389AA">
                  <w:pPr>
                    <w:widowControl/>
                    <w:jc w:val="center"/>
                    <w:textAlignment w:val="center"/>
                    <w:rPr>
                      <w:color w:val="auto"/>
                      <w:kern w:val="0"/>
                      <w:szCs w:val="21"/>
                      <w:lang w:bidi="ar"/>
                    </w:rPr>
                  </w:pPr>
                  <w:r>
                    <w:rPr>
                      <w:color w:val="auto"/>
                      <w:kern w:val="0"/>
                      <w:szCs w:val="21"/>
                      <w:lang w:bidi="ar"/>
                    </w:rPr>
                    <w:t>化粪池处理</w:t>
                  </w:r>
                </w:p>
              </w:tc>
              <w:tc>
                <w:tcPr>
                  <w:tcW w:w="1110" w:type="pct"/>
                  <w:tcMar>
                    <w:top w:w="15" w:type="dxa"/>
                    <w:left w:w="15" w:type="dxa"/>
                    <w:right w:w="15" w:type="dxa"/>
                  </w:tcMar>
                  <w:vAlign w:val="center"/>
                </w:tcPr>
                <w:p w14:paraId="5AA5135A">
                  <w:pPr>
                    <w:widowControl/>
                    <w:jc w:val="center"/>
                    <w:textAlignment w:val="center"/>
                    <w:rPr>
                      <w:color w:val="auto"/>
                      <w:kern w:val="0"/>
                      <w:szCs w:val="21"/>
                      <w:lang w:bidi="ar"/>
                    </w:rPr>
                  </w:pPr>
                  <w:r>
                    <w:rPr>
                      <w:rFonts w:hint="eastAsia"/>
                      <w:color w:val="auto"/>
                      <w:kern w:val="0"/>
                      <w:szCs w:val="21"/>
                      <w:lang w:bidi="ar"/>
                    </w:rPr>
                    <w:t>0</w:t>
                  </w:r>
                </w:p>
              </w:tc>
            </w:tr>
            <w:tr w14:paraId="35BF3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02" w:type="pct"/>
                  <w:vMerge w:val="continue"/>
                  <w:tcMar>
                    <w:top w:w="15" w:type="dxa"/>
                    <w:left w:w="15" w:type="dxa"/>
                    <w:right w:w="15" w:type="dxa"/>
                  </w:tcMar>
                  <w:vAlign w:val="center"/>
                </w:tcPr>
                <w:p w14:paraId="1483DDA9">
                  <w:pPr>
                    <w:widowControl/>
                    <w:jc w:val="center"/>
                    <w:textAlignment w:val="center"/>
                    <w:rPr>
                      <w:color w:val="auto"/>
                      <w:kern w:val="0"/>
                      <w:szCs w:val="21"/>
                      <w:lang w:bidi="ar"/>
                    </w:rPr>
                  </w:pPr>
                </w:p>
              </w:tc>
              <w:tc>
                <w:tcPr>
                  <w:tcW w:w="1124" w:type="pct"/>
                  <w:tcMar>
                    <w:top w:w="15" w:type="dxa"/>
                    <w:left w:w="15" w:type="dxa"/>
                    <w:right w:w="15" w:type="dxa"/>
                  </w:tcMar>
                  <w:vAlign w:val="center"/>
                </w:tcPr>
                <w:p w14:paraId="21DB5066">
                  <w:pPr>
                    <w:widowControl/>
                    <w:jc w:val="center"/>
                    <w:textAlignment w:val="center"/>
                    <w:rPr>
                      <w:color w:val="auto"/>
                      <w:kern w:val="0"/>
                      <w:szCs w:val="21"/>
                      <w:lang w:bidi="ar"/>
                    </w:rPr>
                  </w:pPr>
                  <w:r>
                    <w:rPr>
                      <w:rFonts w:hint="eastAsia"/>
                      <w:color w:val="auto"/>
                      <w:kern w:val="0"/>
                      <w:szCs w:val="21"/>
                      <w:lang w:bidi="ar"/>
                    </w:rPr>
                    <w:t>生产废水</w:t>
                  </w:r>
                </w:p>
              </w:tc>
              <w:tc>
                <w:tcPr>
                  <w:tcW w:w="2261" w:type="pct"/>
                  <w:tcMar>
                    <w:top w:w="15" w:type="dxa"/>
                    <w:left w:w="15" w:type="dxa"/>
                    <w:right w:w="15" w:type="dxa"/>
                  </w:tcMar>
                  <w:vAlign w:val="center"/>
                </w:tcPr>
                <w:p w14:paraId="75A80EC6">
                  <w:pPr>
                    <w:widowControl/>
                    <w:jc w:val="center"/>
                    <w:textAlignment w:val="center"/>
                    <w:rPr>
                      <w:color w:val="auto"/>
                      <w:kern w:val="0"/>
                      <w:szCs w:val="21"/>
                      <w:lang w:bidi="ar"/>
                    </w:rPr>
                  </w:pPr>
                  <w:r>
                    <w:rPr>
                      <w:rFonts w:hint="eastAsia"/>
                      <w:color w:val="auto"/>
                      <w:kern w:val="0"/>
                      <w:szCs w:val="21"/>
                      <w:lang w:bidi="ar"/>
                    </w:rPr>
                    <w:t>沉淀池</w:t>
                  </w:r>
                </w:p>
              </w:tc>
              <w:tc>
                <w:tcPr>
                  <w:tcW w:w="1110" w:type="pct"/>
                  <w:tcMar>
                    <w:top w:w="15" w:type="dxa"/>
                    <w:left w:w="15" w:type="dxa"/>
                    <w:right w:w="15" w:type="dxa"/>
                  </w:tcMar>
                  <w:vAlign w:val="center"/>
                </w:tcPr>
                <w:p w14:paraId="4B4BCB33">
                  <w:pPr>
                    <w:widowControl/>
                    <w:jc w:val="center"/>
                    <w:textAlignment w:val="center"/>
                    <w:rPr>
                      <w:color w:val="auto"/>
                      <w:kern w:val="0"/>
                      <w:szCs w:val="21"/>
                      <w:lang w:bidi="ar"/>
                    </w:rPr>
                  </w:pPr>
                  <w:r>
                    <w:rPr>
                      <w:rFonts w:hint="eastAsia"/>
                      <w:color w:val="auto"/>
                      <w:kern w:val="0"/>
                      <w:szCs w:val="21"/>
                      <w:lang w:bidi="ar"/>
                    </w:rPr>
                    <w:t>0</w:t>
                  </w:r>
                </w:p>
              </w:tc>
            </w:tr>
            <w:tr w14:paraId="37DFE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02" w:type="pct"/>
                  <w:tcMar>
                    <w:top w:w="15" w:type="dxa"/>
                    <w:left w:w="15" w:type="dxa"/>
                    <w:right w:w="15" w:type="dxa"/>
                  </w:tcMar>
                  <w:vAlign w:val="center"/>
                </w:tcPr>
                <w:p w14:paraId="03492058">
                  <w:pPr>
                    <w:widowControl/>
                    <w:jc w:val="center"/>
                    <w:textAlignment w:val="center"/>
                    <w:rPr>
                      <w:color w:val="auto"/>
                      <w:szCs w:val="21"/>
                    </w:rPr>
                  </w:pPr>
                  <w:r>
                    <w:rPr>
                      <w:color w:val="auto"/>
                      <w:kern w:val="0"/>
                      <w:szCs w:val="21"/>
                      <w:lang w:bidi="ar"/>
                    </w:rPr>
                    <w:t>噪声</w:t>
                  </w:r>
                </w:p>
              </w:tc>
              <w:tc>
                <w:tcPr>
                  <w:tcW w:w="1124" w:type="pct"/>
                  <w:tcMar>
                    <w:top w:w="15" w:type="dxa"/>
                    <w:left w:w="15" w:type="dxa"/>
                    <w:right w:w="15" w:type="dxa"/>
                  </w:tcMar>
                  <w:vAlign w:val="center"/>
                </w:tcPr>
                <w:p w14:paraId="276A7ECD">
                  <w:pPr>
                    <w:widowControl/>
                    <w:jc w:val="center"/>
                    <w:textAlignment w:val="center"/>
                    <w:rPr>
                      <w:color w:val="auto"/>
                      <w:szCs w:val="21"/>
                    </w:rPr>
                  </w:pPr>
                  <w:r>
                    <w:rPr>
                      <w:color w:val="auto"/>
                      <w:kern w:val="0"/>
                      <w:szCs w:val="21"/>
                      <w:lang w:bidi="ar"/>
                    </w:rPr>
                    <w:t>车间产噪设备</w:t>
                  </w:r>
                </w:p>
              </w:tc>
              <w:tc>
                <w:tcPr>
                  <w:tcW w:w="2261" w:type="pct"/>
                  <w:tcMar>
                    <w:top w:w="15" w:type="dxa"/>
                    <w:left w:w="15" w:type="dxa"/>
                    <w:right w:w="15" w:type="dxa"/>
                  </w:tcMar>
                  <w:vAlign w:val="center"/>
                </w:tcPr>
                <w:p w14:paraId="3B8F461B">
                  <w:pPr>
                    <w:widowControl/>
                    <w:jc w:val="center"/>
                    <w:textAlignment w:val="center"/>
                    <w:rPr>
                      <w:color w:val="auto"/>
                      <w:szCs w:val="21"/>
                    </w:rPr>
                  </w:pPr>
                  <w:r>
                    <w:rPr>
                      <w:color w:val="auto"/>
                      <w:kern w:val="0"/>
                      <w:szCs w:val="21"/>
                      <w:lang w:bidi="ar"/>
                    </w:rPr>
                    <w:t>减震、隔音、距离衰减</w:t>
                  </w:r>
                </w:p>
              </w:tc>
              <w:tc>
                <w:tcPr>
                  <w:tcW w:w="1110" w:type="pct"/>
                  <w:tcMar>
                    <w:top w:w="15" w:type="dxa"/>
                    <w:left w:w="15" w:type="dxa"/>
                    <w:right w:w="15" w:type="dxa"/>
                  </w:tcMar>
                  <w:vAlign w:val="center"/>
                </w:tcPr>
                <w:p w14:paraId="02815D2B">
                  <w:pPr>
                    <w:widowControl/>
                    <w:jc w:val="center"/>
                    <w:textAlignment w:val="center"/>
                    <w:rPr>
                      <w:color w:val="auto"/>
                      <w:kern w:val="0"/>
                      <w:szCs w:val="21"/>
                      <w:lang w:bidi="ar"/>
                    </w:rPr>
                  </w:pPr>
                  <w:r>
                    <w:rPr>
                      <w:rFonts w:hint="eastAsia"/>
                      <w:color w:val="auto"/>
                      <w:kern w:val="0"/>
                      <w:szCs w:val="21"/>
                      <w:lang w:bidi="ar"/>
                    </w:rPr>
                    <w:t>10</w:t>
                  </w:r>
                </w:p>
              </w:tc>
            </w:tr>
            <w:tr w14:paraId="3F789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02" w:type="pct"/>
                  <w:vMerge w:val="restart"/>
                  <w:tcMar>
                    <w:top w:w="15" w:type="dxa"/>
                    <w:left w:w="15" w:type="dxa"/>
                    <w:right w:w="15" w:type="dxa"/>
                  </w:tcMar>
                  <w:vAlign w:val="center"/>
                </w:tcPr>
                <w:p w14:paraId="23E95054">
                  <w:pPr>
                    <w:widowControl/>
                    <w:jc w:val="center"/>
                    <w:textAlignment w:val="center"/>
                    <w:rPr>
                      <w:color w:val="auto"/>
                      <w:szCs w:val="21"/>
                    </w:rPr>
                  </w:pPr>
                  <w:r>
                    <w:rPr>
                      <w:color w:val="auto"/>
                      <w:kern w:val="0"/>
                      <w:szCs w:val="21"/>
                      <w:lang w:bidi="ar"/>
                    </w:rPr>
                    <w:t>固废</w:t>
                  </w:r>
                </w:p>
              </w:tc>
              <w:tc>
                <w:tcPr>
                  <w:tcW w:w="1124" w:type="pct"/>
                  <w:tcMar>
                    <w:top w:w="15" w:type="dxa"/>
                    <w:left w:w="15" w:type="dxa"/>
                    <w:right w:w="15" w:type="dxa"/>
                  </w:tcMar>
                  <w:vAlign w:val="center"/>
                </w:tcPr>
                <w:p w14:paraId="48BB6E99">
                  <w:pPr>
                    <w:widowControl/>
                    <w:jc w:val="center"/>
                    <w:textAlignment w:val="center"/>
                    <w:rPr>
                      <w:color w:val="auto"/>
                      <w:szCs w:val="21"/>
                    </w:rPr>
                  </w:pPr>
                  <w:r>
                    <w:rPr>
                      <w:color w:val="auto"/>
                      <w:kern w:val="0"/>
                      <w:szCs w:val="21"/>
                      <w:lang w:bidi="ar"/>
                    </w:rPr>
                    <w:t>一般固废</w:t>
                  </w:r>
                </w:p>
              </w:tc>
              <w:tc>
                <w:tcPr>
                  <w:tcW w:w="2261" w:type="pct"/>
                  <w:tcMar>
                    <w:top w:w="15" w:type="dxa"/>
                    <w:left w:w="15" w:type="dxa"/>
                    <w:right w:w="15" w:type="dxa"/>
                  </w:tcMar>
                  <w:vAlign w:val="center"/>
                </w:tcPr>
                <w:p w14:paraId="598EB361">
                  <w:pPr>
                    <w:widowControl/>
                    <w:jc w:val="center"/>
                    <w:textAlignment w:val="center"/>
                    <w:rPr>
                      <w:color w:val="auto"/>
                      <w:szCs w:val="21"/>
                    </w:rPr>
                  </w:pPr>
                  <w:r>
                    <w:rPr>
                      <w:rFonts w:hint="eastAsia"/>
                      <w:color w:val="auto"/>
                      <w:szCs w:val="21"/>
                    </w:rPr>
                    <w:t>依托已建50m²一般固废暂存间</w:t>
                  </w:r>
                </w:p>
              </w:tc>
              <w:tc>
                <w:tcPr>
                  <w:tcW w:w="1110" w:type="pct"/>
                  <w:tcMar>
                    <w:top w:w="15" w:type="dxa"/>
                    <w:left w:w="15" w:type="dxa"/>
                    <w:right w:w="15" w:type="dxa"/>
                  </w:tcMar>
                  <w:vAlign w:val="center"/>
                </w:tcPr>
                <w:p w14:paraId="52847B3C">
                  <w:pPr>
                    <w:widowControl/>
                    <w:jc w:val="center"/>
                    <w:textAlignment w:val="center"/>
                    <w:rPr>
                      <w:color w:val="auto"/>
                      <w:kern w:val="0"/>
                      <w:szCs w:val="21"/>
                      <w:lang w:bidi="ar"/>
                    </w:rPr>
                  </w:pPr>
                  <w:r>
                    <w:rPr>
                      <w:rFonts w:hint="eastAsia"/>
                      <w:color w:val="auto"/>
                      <w:kern w:val="0"/>
                      <w:szCs w:val="21"/>
                      <w:lang w:bidi="ar"/>
                    </w:rPr>
                    <w:t>0</w:t>
                  </w:r>
                </w:p>
              </w:tc>
            </w:tr>
            <w:tr w14:paraId="76E58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2" w:hRule="atLeast"/>
                <w:jc w:val="center"/>
              </w:trPr>
              <w:tc>
                <w:tcPr>
                  <w:tcW w:w="502" w:type="pct"/>
                  <w:vMerge w:val="continue"/>
                  <w:tcMar>
                    <w:top w:w="15" w:type="dxa"/>
                    <w:left w:w="15" w:type="dxa"/>
                    <w:right w:w="15" w:type="dxa"/>
                  </w:tcMar>
                  <w:vAlign w:val="center"/>
                </w:tcPr>
                <w:p w14:paraId="1005538B">
                  <w:pPr>
                    <w:widowControl/>
                    <w:jc w:val="center"/>
                    <w:textAlignment w:val="center"/>
                    <w:rPr>
                      <w:color w:val="auto"/>
                      <w:kern w:val="0"/>
                      <w:szCs w:val="21"/>
                      <w:lang w:bidi="ar"/>
                    </w:rPr>
                  </w:pPr>
                </w:p>
              </w:tc>
              <w:tc>
                <w:tcPr>
                  <w:tcW w:w="1124" w:type="pct"/>
                  <w:tcMar>
                    <w:top w:w="15" w:type="dxa"/>
                    <w:left w:w="15" w:type="dxa"/>
                    <w:right w:w="15" w:type="dxa"/>
                  </w:tcMar>
                  <w:vAlign w:val="center"/>
                </w:tcPr>
                <w:p w14:paraId="3762AC6D">
                  <w:pPr>
                    <w:widowControl/>
                    <w:jc w:val="center"/>
                    <w:textAlignment w:val="center"/>
                    <w:rPr>
                      <w:color w:val="auto"/>
                      <w:kern w:val="0"/>
                      <w:szCs w:val="21"/>
                      <w:lang w:bidi="ar"/>
                    </w:rPr>
                  </w:pPr>
                  <w:r>
                    <w:rPr>
                      <w:color w:val="auto"/>
                      <w:kern w:val="0"/>
                      <w:szCs w:val="21"/>
                      <w:lang w:bidi="ar"/>
                    </w:rPr>
                    <w:t>危险固废</w:t>
                  </w:r>
                </w:p>
              </w:tc>
              <w:tc>
                <w:tcPr>
                  <w:tcW w:w="2261" w:type="pct"/>
                  <w:tcMar>
                    <w:top w:w="15" w:type="dxa"/>
                    <w:left w:w="15" w:type="dxa"/>
                    <w:right w:w="15" w:type="dxa"/>
                  </w:tcMar>
                  <w:vAlign w:val="center"/>
                </w:tcPr>
                <w:p w14:paraId="5F7D9C86">
                  <w:pPr>
                    <w:widowControl/>
                    <w:jc w:val="center"/>
                    <w:textAlignment w:val="center"/>
                    <w:rPr>
                      <w:color w:val="auto"/>
                      <w:kern w:val="0"/>
                      <w:szCs w:val="21"/>
                      <w:lang w:bidi="ar"/>
                    </w:rPr>
                  </w:pPr>
                  <w:r>
                    <w:rPr>
                      <w:rFonts w:hint="eastAsia"/>
                      <w:color w:val="auto"/>
                      <w:kern w:val="0"/>
                      <w:szCs w:val="21"/>
                      <w:lang w:bidi="ar"/>
                    </w:rPr>
                    <w:t>新建</w:t>
                  </w:r>
                  <w:r>
                    <w:rPr>
                      <w:color w:val="auto"/>
                      <w:kern w:val="0"/>
                      <w:szCs w:val="21"/>
                      <w:lang w:bidi="ar"/>
                    </w:rPr>
                    <w:t>10m</w:t>
                  </w:r>
                  <w:r>
                    <w:rPr>
                      <w:color w:val="auto"/>
                      <w:kern w:val="0"/>
                      <w:szCs w:val="21"/>
                      <w:vertAlign w:val="superscript"/>
                      <w:lang w:bidi="ar"/>
                    </w:rPr>
                    <w:t>2</w:t>
                  </w:r>
                  <w:r>
                    <w:rPr>
                      <w:color w:val="auto"/>
                      <w:kern w:val="0"/>
                      <w:szCs w:val="21"/>
                      <w:lang w:bidi="ar"/>
                    </w:rPr>
                    <w:t>危废库，</w:t>
                  </w:r>
                  <w:r>
                    <w:rPr>
                      <w:rFonts w:hint="eastAsia"/>
                      <w:color w:val="auto"/>
                      <w:kern w:val="0"/>
                      <w:szCs w:val="21"/>
                      <w:lang w:bidi="ar"/>
                    </w:rPr>
                    <w:t>废机油、废机油桶、</w:t>
                  </w:r>
                  <w:r>
                    <w:rPr>
                      <w:color w:val="auto"/>
                      <w:kern w:val="0"/>
                      <w:szCs w:val="21"/>
                      <w:lang w:bidi="ar"/>
                    </w:rPr>
                    <w:t>暂存危废间，定期委托有资质单位处置</w:t>
                  </w:r>
                </w:p>
              </w:tc>
              <w:tc>
                <w:tcPr>
                  <w:tcW w:w="1110" w:type="pct"/>
                  <w:tcMar>
                    <w:top w:w="15" w:type="dxa"/>
                    <w:left w:w="15" w:type="dxa"/>
                    <w:right w:w="15" w:type="dxa"/>
                  </w:tcMar>
                  <w:vAlign w:val="center"/>
                </w:tcPr>
                <w:p w14:paraId="70EAB318">
                  <w:pPr>
                    <w:widowControl/>
                    <w:jc w:val="center"/>
                    <w:textAlignment w:val="center"/>
                    <w:rPr>
                      <w:color w:val="auto"/>
                      <w:kern w:val="0"/>
                      <w:szCs w:val="21"/>
                      <w:lang w:bidi="ar"/>
                    </w:rPr>
                  </w:pPr>
                  <w:r>
                    <w:rPr>
                      <w:rFonts w:hint="eastAsia"/>
                      <w:color w:val="auto"/>
                      <w:kern w:val="0"/>
                      <w:szCs w:val="21"/>
                      <w:lang w:bidi="ar"/>
                    </w:rPr>
                    <w:t>5</w:t>
                  </w:r>
                </w:p>
              </w:tc>
            </w:tr>
            <w:tr w14:paraId="56856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7" w:hRule="atLeast"/>
                <w:jc w:val="center"/>
              </w:trPr>
              <w:tc>
                <w:tcPr>
                  <w:tcW w:w="502" w:type="pct"/>
                  <w:tcMar>
                    <w:top w:w="15" w:type="dxa"/>
                    <w:left w:w="15" w:type="dxa"/>
                    <w:right w:w="15" w:type="dxa"/>
                  </w:tcMar>
                  <w:vAlign w:val="center"/>
                </w:tcPr>
                <w:p w14:paraId="5E8EBC96">
                  <w:pPr>
                    <w:jc w:val="center"/>
                    <w:rPr>
                      <w:color w:val="auto"/>
                      <w:szCs w:val="21"/>
                    </w:rPr>
                  </w:pPr>
                  <w:r>
                    <w:rPr>
                      <w:color w:val="auto"/>
                      <w:szCs w:val="21"/>
                    </w:rPr>
                    <w:t>地下水</w:t>
                  </w:r>
                </w:p>
              </w:tc>
              <w:tc>
                <w:tcPr>
                  <w:tcW w:w="1124" w:type="pct"/>
                  <w:tcMar>
                    <w:top w:w="15" w:type="dxa"/>
                    <w:left w:w="15" w:type="dxa"/>
                    <w:right w:w="15" w:type="dxa"/>
                  </w:tcMar>
                  <w:vAlign w:val="center"/>
                </w:tcPr>
                <w:p w14:paraId="24E5AA86">
                  <w:pPr>
                    <w:jc w:val="center"/>
                    <w:rPr>
                      <w:color w:val="auto"/>
                      <w:szCs w:val="21"/>
                    </w:rPr>
                  </w:pPr>
                  <w:r>
                    <w:rPr>
                      <w:color w:val="auto"/>
                      <w:szCs w:val="21"/>
                    </w:rPr>
                    <w:t>防渗</w:t>
                  </w:r>
                </w:p>
              </w:tc>
              <w:tc>
                <w:tcPr>
                  <w:tcW w:w="2261" w:type="pct"/>
                  <w:tcMar>
                    <w:top w:w="15" w:type="dxa"/>
                    <w:left w:w="15" w:type="dxa"/>
                    <w:right w:w="15" w:type="dxa"/>
                  </w:tcMar>
                  <w:vAlign w:val="center"/>
                </w:tcPr>
                <w:p w14:paraId="19CB9CF7">
                  <w:pPr>
                    <w:jc w:val="center"/>
                    <w:rPr>
                      <w:color w:val="auto"/>
                      <w:szCs w:val="21"/>
                    </w:rPr>
                  </w:pPr>
                  <w:r>
                    <w:rPr>
                      <w:rFonts w:hint="eastAsia"/>
                      <w:color w:val="auto"/>
                      <w:szCs w:val="21"/>
                    </w:rPr>
                    <w:t>危废间采取危废暂存间采用了C30混凝土硬化地面+2mm厚环氧树脂漆地面，防渗层渗透系数达到≤1.0×10</w:t>
                  </w:r>
                  <w:r>
                    <w:rPr>
                      <w:rFonts w:hint="eastAsia"/>
                      <w:color w:val="auto"/>
                      <w:szCs w:val="21"/>
                      <w:vertAlign w:val="superscript"/>
                    </w:rPr>
                    <w:t>-10</w:t>
                  </w:r>
                  <w:r>
                    <w:rPr>
                      <w:rFonts w:hint="eastAsia"/>
                      <w:color w:val="auto"/>
                      <w:szCs w:val="21"/>
                    </w:rPr>
                    <w:t>cm/s。</w:t>
                  </w:r>
                </w:p>
              </w:tc>
              <w:tc>
                <w:tcPr>
                  <w:tcW w:w="1110" w:type="pct"/>
                  <w:tcMar>
                    <w:top w:w="15" w:type="dxa"/>
                    <w:left w:w="15" w:type="dxa"/>
                    <w:right w:w="15" w:type="dxa"/>
                  </w:tcMar>
                  <w:vAlign w:val="center"/>
                </w:tcPr>
                <w:p w14:paraId="335171BE">
                  <w:pPr>
                    <w:widowControl/>
                    <w:jc w:val="center"/>
                    <w:textAlignment w:val="center"/>
                    <w:rPr>
                      <w:color w:val="auto"/>
                      <w:kern w:val="0"/>
                      <w:szCs w:val="21"/>
                      <w:lang w:bidi="ar"/>
                    </w:rPr>
                  </w:pPr>
                  <w:r>
                    <w:rPr>
                      <w:rFonts w:hint="eastAsia"/>
                      <w:color w:val="auto"/>
                      <w:kern w:val="0"/>
                      <w:szCs w:val="21"/>
                      <w:lang w:bidi="ar"/>
                    </w:rPr>
                    <w:t>3</w:t>
                  </w:r>
                </w:p>
              </w:tc>
            </w:tr>
            <w:tr w14:paraId="43B3D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889" w:type="pct"/>
                  <w:gridSpan w:val="3"/>
                  <w:tcMar>
                    <w:top w:w="15" w:type="dxa"/>
                    <w:left w:w="15" w:type="dxa"/>
                    <w:right w:w="15" w:type="dxa"/>
                  </w:tcMar>
                  <w:vAlign w:val="center"/>
                </w:tcPr>
                <w:p w14:paraId="55E0D146">
                  <w:pPr>
                    <w:widowControl/>
                    <w:jc w:val="center"/>
                    <w:textAlignment w:val="center"/>
                    <w:rPr>
                      <w:color w:val="auto"/>
                      <w:szCs w:val="21"/>
                    </w:rPr>
                  </w:pPr>
                  <w:r>
                    <w:rPr>
                      <w:color w:val="auto"/>
                      <w:kern w:val="0"/>
                      <w:szCs w:val="21"/>
                      <w:lang w:bidi="ar"/>
                    </w:rPr>
                    <w:t>合计</w:t>
                  </w:r>
                </w:p>
              </w:tc>
              <w:tc>
                <w:tcPr>
                  <w:tcW w:w="1110" w:type="pct"/>
                  <w:tcMar>
                    <w:top w:w="15" w:type="dxa"/>
                    <w:left w:w="15" w:type="dxa"/>
                    <w:right w:w="15" w:type="dxa"/>
                  </w:tcMar>
                  <w:vAlign w:val="center"/>
                </w:tcPr>
                <w:p w14:paraId="2CC95AF9">
                  <w:pPr>
                    <w:widowControl/>
                    <w:jc w:val="center"/>
                    <w:textAlignment w:val="center"/>
                    <w:rPr>
                      <w:color w:val="auto"/>
                      <w:szCs w:val="21"/>
                    </w:rPr>
                  </w:pPr>
                  <w:r>
                    <w:rPr>
                      <w:rFonts w:hint="eastAsia"/>
                      <w:color w:val="auto"/>
                      <w:szCs w:val="21"/>
                    </w:rPr>
                    <w:t>58</w:t>
                  </w:r>
                </w:p>
              </w:tc>
            </w:tr>
          </w:tbl>
          <w:p w14:paraId="65146CEB">
            <w:pPr>
              <w:adjustRightInd w:val="0"/>
              <w:spacing w:line="360" w:lineRule="auto"/>
              <w:jc w:val="left"/>
              <w:rPr>
                <w:color w:val="auto"/>
                <w:sz w:val="24"/>
                <w:lang w:bidi="ar"/>
              </w:rPr>
            </w:pPr>
          </w:p>
          <w:p w14:paraId="5BA36662">
            <w:pPr>
              <w:adjustRightInd w:val="0"/>
              <w:spacing w:line="360" w:lineRule="auto"/>
              <w:jc w:val="left"/>
              <w:rPr>
                <w:color w:val="auto"/>
                <w:sz w:val="24"/>
                <w:lang w:bidi="ar"/>
              </w:rPr>
            </w:pPr>
          </w:p>
          <w:p w14:paraId="269BB6D6">
            <w:pPr>
              <w:adjustRightInd w:val="0"/>
              <w:spacing w:line="360" w:lineRule="auto"/>
              <w:jc w:val="left"/>
              <w:rPr>
                <w:color w:val="auto"/>
                <w:sz w:val="24"/>
                <w:lang w:bidi="ar"/>
              </w:rPr>
            </w:pPr>
          </w:p>
          <w:p w14:paraId="3EC20589">
            <w:pPr>
              <w:adjustRightInd w:val="0"/>
              <w:spacing w:line="360" w:lineRule="auto"/>
              <w:jc w:val="left"/>
              <w:rPr>
                <w:color w:val="auto"/>
                <w:sz w:val="24"/>
                <w:lang w:bidi="ar"/>
              </w:rPr>
            </w:pPr>
          </w:p>
          <w:p w14:paraId="345B31C9">
            <w:pPr>
              <w:adjustRightInd w:val="0"/>
              <w:spacing w:line="360" w:lineRule="auto"/>
              <w:jc w:val="left"/>
              <w:rPr>
                <w:color w:val="auto"/>
                <w:sz w:val="24"/>
                <w:lang w:bidi="ar"/>
              </w:rPr>
            </w:pPr>
          </w:p>
          <w:p w14:paraId="2991BDC5">
            <w:pPr>
              <w:adjustRightInd w:val="0"/>
              <w:spacing w:line="360" w:lineRule="auto"/>
              <w:jc w:val="left"/>
              <w:rPr>
                <w:color w:val="auto"/>
                <w:sz w:val="24"/>
                <w:lang w:bidi="ar"/>
              </w:rPr>
            </w:pPr>
          </w:p>
          <w:p w14:paraId="5729E88F">
            <w:pPr>
              <w:adjustRightInd w:val="0"/>
              <w:spacing w:line="360" w:lineRule="auto"/>
              <w:jc w:val="left"/>
              <w:rPr>
                <w:color w:val="auto"/>
                <w:sz w:val="24"/>
                <w:lang w:bidi="ar"/>
              </w:rPr>
            </w:pPr>
          </w:p>
          <w:p w14:paraId="7DCBA66A">
            <w:pPr>
              <w:adjustRightInd w:val="0"/>
              <w:spacing w:line="360" w:lineRule="auto"/>
              <w:jc w:val="left"/>
              <w:rPr>
                <w:color w:val="auto"/>
                <w:sz w:val="24"/>
                <w:lang w:bidi="ar"/>
              </w:rPr>
            </w:pPr>
          </w:p>
          <w:p w14:paraId="08BC2300">
            <w:pPr>
              <w:adjustRightInd w:val="0"/>
              <w:spacing w:line="360" w:lineRule="auto"/>
              <w:jc w:val="left"/>
              <w:rPr>
                <w:color w:val="auto"/>
                <w:sz w:val="24"/>
                <w:lang w:bidi="ar"/>
              </w:rPr>
            </w:pPr>
          </w:p>
          <w:p w14:paraId="34977F75">
            <w:pPr>
              <w:adjustRightInd w:val="0"/>
              <w:spacing w:line="360" w:lineRule="auto"/>
              <w:jc w:val="left"/>
              <w:rPr>
                <w:color w:val="auto"/>
                <w:sz w:val="24"/>
                <w:lang w:bidi="ar"/>
              </w:rPr>
            </w:pPr>
          </w:p>
          <w:p w14:paraId="330177C8">
            <w:pPr>
              <w:adjustRightInd w:val="0"/>
              <w:spacing w:line="360" w:lineRule="auto"/>
              <w:jc w:val="left"/>
              <w:rPr>
                <w:color w:val="auto"/>
                <w:sz w:val="24"/>
                <w:lang w:bidi="ar"/>
              </w:rPr>
            </w:pPr>
          </w:p>
          <w:p w14:paraId="5A5D0A0C">
            <w:pPr>
              <w:adjustRightInd w:val="0"/>
              <w:spacing w:line="360" w:lineRule="auto"/>
              <w:jc w:val="left"/>
              <w:rPr>
                <w:color w:val="auto"/>
                <w:sz w:val="24"/>
                <w:lang w:bidi="ar"/>
              </w:rPr>
            </w:pPr>
          </w:p>
          <w:p w14:paraId="3E5758C2">
            <w:pPr>
              <w:adjustRightInd w:val="0"/>
              <w:spacing w:line="360" w:lineRule="auto"/>
              <w:jc w:val="left"/>
              <w:rPr>
                <w:color w:val="auto"/>
                <w:sz w:val="24"/>
                <w:lang w:bidi="ar"/>
              </w:rPr>
            </w:pPr>
          </w:p>
          <w:p w14:paraId="37F4E19E">
            <w:pPr>
              <w:adjustRightInd w:val="0"/>
              <w:spacing w:line="360" w:lineRule="auto"/>
              <w:jc w:val="left"/>
              <w:rPr>
                <w:color w:val="auto"/>
                <w:sz w:val="24"/>
                <w:lang w:bidi="ar"/>
              </w:rPr>
            </w:pPr>
          </w:p>
          <w:p w14:paraId="48804DC1">
            <w:pPr>
              <w:adjustRightInd w:val="0"/>
              <w:spacing w:line="360" w:lineRule="auto"/>
              <w:jc w:val="left"/>
              <w:rPr>
                <w:color w:val="auto"/>
                <w:sz w:val="24"/>
                <w:lang w:bidi="ar"/>
              </w:rPr>
            </w:pPr>
          </w:p>
          <w:p w14:paraId="7D33B967">
            <w:pPr>
              <w:adjustRightInd w:val="0"/>
              <w:spacing w:line="360" w:lineRule="auto"/>
              <w:jc w:val="left"/>
              <w:rPr>
                <w:color w:val="auto"/>
                <w:sz w:val="24"/>
                <w:lang w:bidi="ar"/>
              </w:rPr>
            </w:pPr>
          </w:p>
          <w:p w14:paraId="445CB1E2">
            <w:pPr>
              <w:adjustRightInd w:val="0"/>
              <w:spacing w:line="360" w:lineRule="auto"/>
              <w:jc w:val="left"/>
              <w:rPr>
                <w:color w:val="auto"/>
                <w:sz w:val="24"/>
                <w:lang w:bidi="ar"/>
              </w:rPr>
            </w:pPr>
          </w:p>
          <w:p w14:paraId="3321028B">
            <w:pPr>
              <w:adjustRightInd w:val="0"/>
              <w:spacing w:line="360" w:lineRule="auto"/>
              <w:jc w:val="left"/>
              <w:rPr>
                <w:color w:val="auto"/>
                <w:sz w:val="24"/>
                <w:lang w:bidi="ar"/>
              </w:rPr>
            </w:pPr>
          </w:p>
          <w:p w14:paraId="146B675D">
            <w:pPr>
              <w:adjustRightInd w:val="0"/>
              <w:spacing w:line="360" w:lineRule="auto"/>
              <w:jc w:val="left"/>
              <w:rPr>
                <w:color w:val="auto"/>
                <w:sz w:val="24"/>
                <w:lang w:bidi="ar"/>
              </w:rPr>
            </w:pPr>
          </w:p>
          <w:p w14:paraId="77691E98">
            <w:pPr>
              <w:adjustRightInd w:val="0"/>
              <w:spacing w:line="360" w:lineRule="auto"/>
              <w:jc w:val="left"/>
              <w:rPr>
                <w:color w:val="auto"/>
                <w:sz w:val="24"/>
                <w:lang w:bidi="ar"/>
              </w:rPr>
            </w:pPr>
          </w:p>
          <w:p w14:paraId="16C795D2">
            <w:pPr>
              <w:adjustRightInd w:val="0"/>
              <w:spacing w:line="360" w:lineRule="auto"/>
              <w:jc w:val="left"/>
              <w:rPr>
                <w:color w:val="auto"/>
                <w:sz w:val="24"/>
                <w:lang w:bidi="ar"/>
              </w:rPr>
            </w:pPr>
          </w:p>
          <w:p w14:paraId="01CB62A6">
            <w:pPr>
              <w:adjustRightInd w:val="0"/>
              <w:spacing w:line="360" w:lineRule="auto"/>
              <w:jc w:val="left"/>
              <w:rPr>
                <w:color w:val="auto"/>
                <w:sz w:val="24"/>
                <w:lang w:bidi="ar"/>
              </w:rPr>
            </w:pPr>
          </w:p>
          <w:p w14:paraId="7294271C">
            <w:pPr>
              <w:adjustRightInd w:val="0"/>
              <w:spacing w:line="360" w:lineRule="auto"/>
              <w:jc w:val="left"/>
              <w:rPr>
                <w:color w:val="auto"/>
                <w:sz w:val="24"/>
                <w:lang w:bidi="ar"/>
              </w:rPr>
            </w:pPr>
          </w:p>
          <w:p w14:paraId="38AD4ED7">
            <w:pPr>
              <w:adjustRightInd w:val="0"/>
              <w:spacing w:line="360" w:lineRule="auto"/>
              <w:jc w:val="left"/>
              <w:rPr>
                <w:color w:val="auto"/>
                <w:sz w:val="24"/>
                <w:lang w:bidi="ar"/>
              </w:rPr>
            </w:pPr>
          </w:p>
        </w:tc>
      </w:tr>
    </w:tbl>
    <w:p w14:paraId="5098F6C2">
      <w:pPr>
        <w:pStyle w:val="14"/>
        <w:rPr>
          <w:rFonts w:ascii="Times New Roman" w:hAnsi="Times New Roman"/>
          <w:b/>
          <w:bCs/>
          <w:color w:val="auto"/>
          <w:sz w:val="30"/>
          <w:szCs w:val="30"/>
        </w:rPr>
        <w:sectPr>
          <w:pgSz w:w="11906" w:h="16838"/>
          <w:pgMar w:top="1791" w:right="1429" w:bottom="1791" w:left="1429" w:header="851" w:footer="992" w:gutter="0"/>
          <w:cols w:space="425" w:num="1"/>
          <w:docGrid w:type="lines" w:linePitch="312" w:charSpace="0"/>
        </w:sectPr>
      </w:pPr>
    </w:p>
    <w:p w14:paraId="173F43BA">
      <w:pPr>
        <w:jc w:val="center"/>
        <w:outlineLvl w:val="0"/>
        <w:rPr>
          <w:b/>
          <w:bCs/>
          <w:snapToGrid w:val="0"/>
          <w:color w:val="auto"/>
          <w:sz w:val="30"/>
          <w:szCs w:val="30"/>
        </w:rPr>
      </w:pPr>
      <w:r>
        <w:rPr>
          <w:rFonts w:hint="eastAsia"/>
          <w:b/>
          <w:bCs/>
          <w:snapToGrid w:val="0"/>
          <w:color w:val="auto"/>
          <w:sz w:val="30"/>
          <w:szCs w:val="30"/>
        </w:rPr>
        <w:t>六、结论</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7"/>
      </w:tblGrid>
      <w:tr w14:paraId="6F9E4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8" w:hRule="atLeast"/>
          <w:jc w:val="center"/>
        </w:trPr>
        <w:tc>
          <w:tcPr>
            <w:tcW w:w="9577" w:type="dxa"/>
          </w:tcPr>
          <w:p w14:paraId="7115E27A">
            <w:pPr>
              <w:spacing w:line="360" w:lineRule="auto"/>
              <w:ind w:firstLine="480" w:firstLineChars="200"/>
              <w:rPr>
                <w:color w:val="auto"/>
                <w:sz w:val="24"/>
              </w:rPr>
            </w:pPr>
            <w:r>
              <w:rPr>
                <w:rFonts w:hint="eastAsia"/>
                <w:color w:val="auto"/>
                <w:sz w:val="24"/>
              </w:rPr>
              <w:t>本项目符合国家的产业政策，区域环境质量总体良好，</w:t>
            </w:r>
            <w:r>
              <w:rPr>
                <w:color w:val="auto"/>
                <w:sz w:val="24"/>
              </w:rPr>
              <w:t>符合</w:t>
            </w:r>
            <w:r>
              <w:rPr>
                <w:rFonts w:hint="eastAsia"/>
                <w:color w:val="auto"/>
                <w:kern w:val="0"/>
                <w:sz w:val="24"/>
              </w:rPr>
              <w:t>宿州市国土空间总体规划</w:t>
            </w:r>
            <w:r>
              <w:rPr>
                <w:color w:val="auto"/>
                <w:sz w:val="24"/>
              </w:rPr>
              <w:t>和土地利用规划要求</w:t>
            </w:r>
            <w:r>
              <w:rPr>
                <w:rFonts w:hint="eastAsia"/>
                <w:color w:val="auto"/>
                <w:sz w:val="24"/>
              </w:rPr>
              <w:t>，</w:t>
            </w:r>
            <w:r>
              <w:rPr>
                <w:color w:val="auto"/>
                <w:sz w:val="24"/>
              </w:rPr>
              <w:t>符合“三线一单”管控要求；在实施了环评提出的污染治理措施后，排放污染物能达标排放，对区域环境质量影响较小</w:t>
            </w:r>
            <w:r>
              <w:rPr>
                <w:rFonts w:hint="eastAsia"/>
                <w:color w:val="auto"/>
                <w:sz w:val="24"/>
              </w:rPr>
              <w:t>；具</w:t>
            </w:r>
            <w:r>
              <w:rPr>
                <w:color w:val="auto"/>
                <w:sz w:val="24"/>
              </w:rPr>
              <w:t>有良好的社会、环境、经济综合效益。从</w:t>
            </w:r>
            <w:r>
              <w:rPr>
                <w:rFonts w:hint="eastAsia"/>
                <w:color w:val="auto"/>
                <w:sz w:val="24"/>
              </w:rPr>
              <w:t>环境保护</w:t>
            </w:r>
            <w:r>
              <w:rPr>
                <w:color w:val="auto"/>
                <w:sz w:val="24"/>
              </w:rPr>
              <w:t>角度看，</w:t>
            </w:r>
            <w:r>
              <w:rPr>
                <w:rFonts w:hint="eastAsia"/>
                <w:color w:val="auto"/>
                <w:sz w:val="24"/>
              </w:rPr>
              <w:t>本项目的建设是可行的</w:t>
            </w:r>
            <w:r>
              <w:rPr>
                <w:color w:val="auto"/>
                <w:sz w:val="24"/>
              </w:rPr>
              <w:t>。</w:t>
            </w:r>
          </w:p>
        </w:tc>
      </w:tr>
    </w:tbl>
    <w:p w14:paraId="2700656A">
      <w:pPr>
        <w:pStyle w:val="14"/>
        <w:rPr>
          <w:rFonts w:ascii="Times New Roman" w:hAnsi="Times New Roman"/>
          <w:b/>
          <w:bCs/>
          <w:color w:val="auto"/>
          <w:sz w:val="30"/>
          <w:szCs w:val="30"/>
        </w:rPr>
        <w:sectPr>
          <w:pgSz w:w="11906" w:h="16838"/>
          <w:pgMar w:top="1440" w:right="1689" w:bottom="1440" w:left="1746" w:header="851" w:footer="992" w:gutter="0"/>
          <w:cols w:space="425" w:num="1"/>
          <w:docGrid w:type="lines" w:linePitch="312" w:charSpace="0"/>
        </w:sectPr>
      </w:pPr>
    </w:p>
    <w:p w14:paraId="553F694D">
      <w:pPr>
        <w:pStyle w:val="21"/>
        <w:spacing w:before="0" w:beforeAutospacing="0" w:after="0" w:afterAutospacing="0"/>
        <w:rPr>
          <w:rFonts w:hint="eastAsia" w:cs="宋体"/>
          <w:b/>
          <w:bCs/>
          <w:color w:val="auto"/>
          <w:sz w:val="32"/>
          <w:szCs w:val="32"/>
        </w:rPr>
      </w:pPr>
      <w:r>
        <w:rPr>
          <w:rFonts w:hint="eastAsia" w:cs="宋体"/>
          <w:b/>
          <w:bCs/>
          <w:color w:val="auto"/>
          <w:sz w:val="32"/>
          <w:szCs w:val="32"/>
        </w:rPr>
        <w:t>附表</w:t>
      </w:r>
    </w:p>
    <w:p w14:paraId="7CB787FC">
      <w:pPr>
        <w:pStyle w:val="21"/>
        <w:spacing w:before="0" w:beforeAutospacing="0" w:after="0" w:afterAutospacing="0"/>
        <w:jc w:val="center"/>
        <w:outlineLvl w:val="0"/>
        <w:rPr>
          <w:rFonts w:hint="eastAsia" w:cs="宋体"/>
          <w:b/>
          <w:bCs/>
          <w:snapToGrid w:val="0"/>
          <w:color w:val="auto"/>
          <w:sz w:val="38"/>
          <w:szCs w:val="38"/>
        </w:rPr>
      </w:pPr>
      <w:r>
        <w:rPr>
          <w:rFonts w:ascii="方正小标宋_GBK" w:hAnsi="黑体" w:eastAsia="方正小标宋_GBK" w:cs="方正小标宋_GBK"/>
          <w:snapToGrid w:val="0"/>
          <w:color w:val="auto"/>
          <w:sz w:val="38"/>
          <w:szCs w:val="38"/>
        </w:rPr>
        <w:t xml:space="preserve">  </w:t>
      </w:r>
      <w:r>
        <w:rPr>
          <w:rFonts w:hint="eastAsia" w:cs="宋体"/>
          <w:snapToGrid w:val="0"/>
          <w:color w:val="auto"/>
          <w:sz w:val="38"/>
          <w:szCs w:val="38"/>
        </w:rPr>
        <w:t xml:space="preserve"> </w:t>
      </w:r>
      <w:r>
        <w:rPr>
          <w:rFonts w:hint="eastAsia" w:cs="宋体"/>
          <w:b/>
          <w:bCs/>
          <w:color w:val="auto"/>
          <w:sz w:val="38"/>
          <w:szCs w:val="38"/>
        </w:rPr>
        <w:t>建设项目污染物排放量汇总表</w:t>
      </w:r>
    </w:p>
    <w:tbl>
      <w:tblPr>
        <w:tblStyle w:val="24"/>
        <w:tblW w:w="141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613"/>
        <w:gridCol w:w="1665"/>
        <w:gridCol w:w="1588"/>
      </w:tblGrid>
      <w:tr w14:paraId="6939A5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tcBorders>
              <w:top w:val="single" w:color="auto" w:sz="8" w:space="0"/>
              <w:tl2br w:val="single" w:color="auto" w:sz="4" w:space="0"/>
            </w:tcBorders>
            <w:tcMar>
              <w:left w:w="28" w:type="dxa"/>
              <w:right w:w="28" w:type="dxa"/>
            </w:tcMar>
            <w:vAlign w:val="center"/>
          </w:tcPr>
          <w:p w14:paraId="27E8C6A9">
            <w:pPr>
              <w:pStyle w:val="55"/>
              <w:autoSpaceDE/>
              <w:autoSpaceDN/>
              <w:adjustRightInd/>
              <w:snapToGrid/>
              <w:ind w:left="0" w:leftChars="0" w:firstLine="0" w:firstLineChars="0"/>
              <w:rPr>
                <w:snapToGrid w:val="0"/>
                <w:color w:val="auto"/>
                <w:spacing w:val="-6"/>
                <w:kern w:val="21"/>
                <w:sz w:val="24"/>
                <w:szCs w:val="24"/>
              </w:rPr>
            </w:pPr>
            <w:r>
              <w:rPr>
                <w:rFonts w:hint="eastAsia"/>
                <w:snapToGrid w:val="0"/>
                <w:color w:val="auto"/>
                <w:spacing w:val="-6"/>
                <w:kern w:val="21"/>
                <w:sz w:val="24"/>
                <w:szCs w:val="24"/>
              </w:rPr>
              <w:t xml:space="preserve">    </w:t>
            </w:r>
            <w:r>
              <w:rPr>
                <w:snapToGrid w:val="0"/>
                <w:color w:val="auto"/>
                <w:spacing w:val="-6"/>
                <w:kern w:val="21"/>
                <w:sz w:val="24"/>
                <w:szCs w:val="24"/>
              </w:rPr>
              <w:t>项目</w:t>
            </w:r>
          </w:p>
          <w:p w14:paraId="2819FB77">
            <w:pPr>
              <w:pStyle w:val="55"/>
              <w:autoSpaceDE/>
              <w:autoSpaceDN/>
              <w:adjustRightInd/>
              <w:snapToGrid/>
              <w:ind w:left="0" w:leftChars="0" w:firstLine="0" w:firstLineChars="0"/>
              <w:jc w:val="both"/>
              <w:rPr>
                <w:snapToGrid w:val="0"/>
                <w:color w:val="auto"/>
                <w:spacing w:val="-6"/>
                <w:kern w:val="21"/>
                <w:sz w:val="24"/>
                <w:szCs w:val="24"/>
              </w:rPr>
            </w:pPr>
            <w:r>
              <w:rPr>
                <w:snapToGrid w:val="0"/>
                <w:color w:val="auto"/>
                <w:spacing w:val="-6"/>
                <w:kern w:val="21"/>
                <w:sz w:val="24"/>
                <w:szCs w:val="24"/>
              </w:rPr>
              <w:t>分类</w:t>
            </w:r>
          </w:p>
        </w:tc>
        <w:tc>
          <w:tcPr>
            <w:tcW w:w="1417" w:type="dxa"/>
            <w:tcBorders>
              <w:top w:val="single" w:color="auto" w:sz="8" w:space="0"/>
            </w:tcBorders>
            <w:tcMar>
              <w:left w:w="28" w:type="dxa"/>
              <w:right w:w="28" w:type="dxa"/>
            </w:tcMar>
            <w:vAlign w:val="center"/>
          </w:tcPr>
          <w:p w14:paraId="07D0D54E">
            <w:pPr>
              <w:pStyle w:val="55"/>
              <w:autoSpaceDE/>
              <w:autoSpaceDN/>
              <w:adjustRightInd/>
              <w:snapToGrid/>
              <w:ind w:left="0" w:leftChars="0" w:firstLine="0" w:firstLineChars="0"/>
              <w:rPr>
                <w:snapToGrid w:val="0"/>
                <w:color w:val="auto"/>
                <w:spacing w:val="-6"/>
                <w:kern w:val="21"/>
                <w:sz w:val="24"/>
                <w:szCs w:val="24"/>
              </w:rPr>
            </w:pPr>
            <w:r>
              <w:rPr>
                <w:snapToGrid w:val="0"/>
                <w:color w:val="auto"/>
                <w:spacing w:val="-6"/>
                <w:kern w:val="21"/>
                <w:sz w:val="24"/>
                <w:szCs w:val="24"/>
              </w:rPr>
              <w:t>污染物名称</w:t>
            </w:r>
          </w:p>
        </w:tc>
        <w:tc>
          <w:tcPr>
            <w:tcW w:w="1701" w:type="dxa"/>
            <w:tcBorders>
              <w:top w:val="single" w:color="auto" w:sz="8" w:space="0"/>
            </w:tcBorders>
            <w:tcMar>
              <w:left w:w="28" w:type="dxa"/>
              <w:right w:w="28" w:type="dxa"/>
            </w:tcMar>
            <w:vAlign w:val="center"/>
          </w:tcPr>
          <w:p w14:paraId="7193D957">
            <w:pPr>
              <w:pStyle w:val="55"/>
              <w:autoSpaceDE/>
              <w:autoSpaceDN/>
              <w:adjustRightInd/>
              <w:snapToGrid/>
              <w:ind w:left="0" w:leftChars="0" w:firstLine="0" w:firstLineChars="0"/>
              <w:rPr>
                <w:snapToGrid w:val="0"/>
                <w:color w:val="auto"/>
                <w:spacing w:val="-6"/>
                <w:kern w:val="21"/>
                <w:sz w:val="24"/>
                <w:szCs w:val="24"/>
              </w:rPr>
            </w:pPr>
            <w:r>
              <w:rPr>
                <w:snapToGrid w:val="0"/>
                <w:color w:val="auto"/>
                <w:spacing w:val="-6"/>
                <w:kern w:val="21"/>
                <w:sz w:val="24"/>
                <w:szCs w:val="24"/>
              </w:rPr>
              <w:t>现有工程</w:t>
            </w:r>
          </w:p>
          <w:p w14:paraId="5005CDCC">
            <w:pPr>
              <w:pStyle w:val="55"/>
              <w:autoSpaceDE/>
              <w:autoSpaceDN/>
              <w:adjustRightInd/>
              <w:snapToGrid/>
              <w:ind w:left="0" w:leftChars="0" w:firstLine="0" w:firstLineChars="0"/>
              <w:rPr>
                <w:snapToGrid w:val="0"/>
                <w:color w:val="auto"/>
                <w:spacing w:val="-6"/>
                <w:kern w:val="21"/>
                <w:sz w:val="24"/>
                <w:szCs w:val="24"/>
              </w:rPr>
            </w:pPr>
            <w:r>
              <w:rPr>
                <w:snapToGrid w:val="0"/>
                <w:color w:val="auto"/>
                <w:spacing w:val="-6"/>
                <w:kern w:val="21"/>
                <w:sz w:val="24"/>
                <w:szCs w:val="24"/>
              </w:rPr>
              <w:t>排放量（固体废物产生量）</w:t>
            </w:r>
            <w:r>
              <w:rPr>
                <w:snapToGrid w:val="0"/>
                <w:color w:val="auto"/>
                <w:spacing w:val="-6"/>
                <w:kern w:val="21"/>
                <w:sz w:val="24"/>
                <w:szCs w:val="24"/>
              </w:rPr>
              <w:fldChar w:fldCharType="begin"/>
            </w:r>
            <w:r>
              <w:rPr>
                <w:snapToGrid w:val="0"/>
                <w:color w:val="auto"/>
                <w:spacing w:val="-6"/>
                <w:kern w:val="21"/>
                <w:sz w:val="24"/>
                <w:szCs w:val="24"/>
              </w:rPr>
              <w:instrText xml:space="preserve"> = 1 \* GB3 \* MERGEFORMAT </w:instrText>
            </w:r>
            <w:r>
              <w:rPr>
                <w:snapToGrid w:val="0"/>
                <w:color w:val="auto"/>
                <w:spacing w:val="-6"/>
                <w:kern w:val="21"/>
                <w:sz w:val="24"/>
                <w:szCs w:val="24"/>
              </w:rPr>
              <w:fldChar w:fldCharType="separate"/>
            </w:r>
            <w:r>
              <w:rPr>
                <w:color w:val="auto"/>
                <w:sz w:val="24"/>
                <w:szCs w:val="24"/>
              </w:rPr>
              <w:t>①</w:t>
            </w:r>
            <w:r>
              <w:rPr>
                <w:snapToGrid w:val="0"/>
                <w:color w:val="auto"/>
                <w:spacing w:val="-6"/>
                <w:kern w:val="21"/>
                <w:sz w:val="24"/>
                <w:szCs w:val="24"/>
              </w:rPr>
              <w:fldChar w:fldCharType="end"/>
            </w:r>
          </w:p>
        </w:tc>
        <w:tc>
          <w:tcPr>
            <w:tcW w:w="1276" w:type="dxa"/>
            <w:tcBorders>
              <w:top w:val="single" w:color="auto" w:sz="8" w:space="0"/>
            </w:tcBorders>
            <w:tcMar>
              <w:left w:w="28" w:type="dxa"/>
              <w:right w:w="28" w:type="dxa"/>
            </w:tcMar>
            <w:vAlign w:val="center"/>
          </w:tcPr>
          <w:p w14:paraId="09B4FA3B">
            <w:pPr>
              <w:pStyle w:val="55"/>
              <w:autoSpaceDE/>
              <w:autoSpaceDN/>
              <w:adjustRightInd/>
              <w:snapToGrid/>
              <w:ind w:left="0" w:leftChars="0" w:firstLine="0" w:firstLineChars="0"/>
              <w:rPr>
                <w:snapToGrid w:val="0"/>
                <w:color w:val="auto"/>
                <w:spacing w:val="-6"/>
                <w:kern w:val="21"/>
                <w:sz w:val="24"/>
                <w:szCs w:val="24"/>
              </w:rPr>
            </w:pPr>
            <w:r>
              <w:rPr>
                <w:snapToGrid w:val="0"/>
                <w:color w:val="auto"/>
                <w:spacing w:val="-6"/>
                <w:kern w:val="21"/>
                <w:sz w:val="24"/>
                <w:szCs w:val="24"/>
              </w:rPr>
              <w:t>现有工程</w:t>
            </w:r>
          </w:p>
          <w:p w14:paraId="7EF06B38">
            <w:pPr>
              <w:pStyle w:val="55"/>
              <w:autoSpaceDE/>
              <w:autoSpaceDN/>
              <w:adjustRightInd/>
              <w:snapToGrid/>
              <w:ind w:left="0" w:leftChars="0" w:firstLine="0" w:firstLineChars="0"/>
              <w:rPr>
                <w:snapToGrid w:val="0"/>
                <w:color w:val="auto"/>
                <w:spacing w:val="-6"/>
                <w:kern w:val="21"/>
                <w:sz w:val="24"/>
                <w:szCs w:val="24"/>
              </w:rPr>
            </w:pPr>
            <w:r>
              <w:rPr>
                <w:snapToGrid w:val="0"/>
                <w:color w:val="auto"/>
                <w:spacing w:val="-6"/>
                <w:kern w:val="21"/>
                <w:sz w:val="24"/>
                <w:szCs w:val="24"/>
              </w:rPr>
              <w:t>许可排放量</w:t>
            </w:r>
          </w:p>
          <w:p w14:paraId="684E2F9D">
            <w:pPr>
              <w:pStyle w:val="55"/>
              <w:autoSpaceDE/>
              <w:autoSpaceDN/>
              <w:adjustRightInd/>
              <w:snapToGrid/>
              <w:ind w:left="0" w:leftChars="0" w:firstLine="0" w:firstLineChars="0"/>
              <w:rPr>
                <w:snapToGrid w:val="0"/>
                <w:color w:val="auto"/>
                <w:spacing w:val="-6"/>
                <w:kern w:val="21"/>
                <w:sz w:val="24"/>
                <w:szCs w:val="24"/>
              </w:rPr>
            </w:pPr>
            <w:r>
              <w:rPr>
                <w:snapToGrid w:val="0"/>
                <w:color w:val="auto"/>
                <w:spacing w:val="-6"/>
                <w:kern w:val="21"/>
                <w:sz w:val="24"/>
                <w:szCs w:val="24"/>
              </w:rPr>
              <w:fldChar w:fldCharType="begin"/>
            </w:r>
            <w:r>
              <w:rPr>
                <w:snapToGrid w:val="0"/>
                <w:color w:val="auto"/>
                <w:spacing w:val="-6"/>
                <w:kern w:val="21"/>
                <w:sz w:val="24"/>
                <w:szCs w:val="24"/>
              </w:rPr>
              <w:instrText xml:space="preserve"> = 2 \* GB3 \* MERGEFORMAT </w:instrText>
            </w:r>
            <w:r>
              <w:rPr>
                <w:snapToGrid w:val="0"/>
                <w:color w:val="auto"/>
                <w:spacing w:val="-6"/>
                <w:kern w:val="21"/>
                <w:sz w:val="24"/>
                <w:szCs w:val="24"/>
              </w:rPr>
              <w:fldChar w:fldCharType="separate"/>
            </w:r>
            <w:r>
              <w:rPr>
                <w:snapToGrid w:val="0"/>
                <w:color w:val="auto"/>
                <w:spacing w:val="-6"/>
                <w:kern w:val="21"/>
                <w:sz w:val="24"/>
                <w:szCs w:val="24"/>
              </w:rPr>
              <w:t>②</w:t>
            </w:r>
            <w:r>
              <w:rPr>
                <w:snapToGrid w:val="0"/>
                <w:color w:val="auto"/>
                <w:spacing w:val="-6"/>
                <w:kern w:val="21"/>
                <w:sz w:val="24"/>
                <w:szCs w:val="24"/>
              </w:rPr>
              <w:fldChar w:fldCharType="end"/>
            </w:r>
          </w:p>
        </w:tc>
        <w:tc>
          <w:tcPr>
            <w:tcW w:w="1701" w:type="dxa"/>
            <w:tcBorders>
              <w:top w:val="single" w:color="auto" w:sz="8" w:space="0"/>
            </w:tcBorders>
            <w:tcMar>
              <w:left w:w="28" w:type="dxa"/>
              <w:right w:w="28" w:type="dxa"/>
            </w:tcMar>
            <w:vAlign w:val="center"/>
          </w:tcPr>
          <w:p w14:paraId="1A858602">
            <w:pPr>
              <w:pStyle w:val="55"/>
              <w:autoSpaceDE/>
              <w:autoSpaceDN/>
              <w:adjustRightInd/>
              <w:snapToGrid/>
              <w:ind w:left="0" w:leftChars="0" w:firstLine="0" w:firstLineChars="0"/>
              <w:rPr>
                <w:snapToGrid w:val="0"/>
                <w:color w:val="auto"/>
                <w:spacing w:val="-6"/>
                <w:kern w:val="21"/>
                <w:sz w:val="24"/>
                <w:szCs w:val="24"/>
              </w:rPr>
            </w:pPr>
            <w:r>
              <w:rPr>
                <w:snapToGrid w:val="0"/>
                <w:color w:val="auto"/>
                <w:spacing w:val="-6"/>
                <w:kern w:val="21"/>
                <w:sz w:val="24"/>
                <w:szCs w:val="24"/>
              </w:rPr>
              <w:t>在建工程</w:t>
            </w:r>
          </w:p>
          <w:p w14:paraId="0F72CAC1">
            <w:pPr>
              <w:pStyle w:val="55"/>
              <w:autoSpaceDE/>
              <w:autoSpaceDN/>
              <w:adjustRightInd/>
              <w:snapToGrid/>
              <w:ind w:left="0" w:leftChars="0" w:firstLine="0" w:firstLineChars="0"/>
              <w:rPr>
                <w:snapToGrid w:val="0"/>
                <w:color w:val="auto"/>
                <w:spacing w:val="-6"/>
                <w:kern w:val="21"/>
                <w:sz w:val="24"/>
                <w:szCs w:val="24"/>
              </w:rPr>
            </w:pPr>
            <w:r>
              <w:rPr>
                <w:snapToGrid w:val="0"/>
                <w:color w:val="auto"/>
                <w:spacing w:val="-6"/>
                <w:kern w:val="21"/>
                <w:sz w:val="24"/>
                <w:szCs w:val="24"/>
              </w:rPr>
              <w:t>排放量（固体废物产生量）</w:t>
            </w:r>
            <w:r>
              <w:rPr>
                <w:snapToGrid w:val="0"/>
                <w:color w:val="auto"/>
                <w:spacing w:val="-6"/>
                <w:kern w:val="21"/>
                <w:sz w:val="24"/>
                <w:szCs w:val="24"/>
              </w:rPr>
              <w:fldChar w:fldCharType="begin"/>
            </w:r>
            <w:r>
              <w:rPr>
                <w:snapToGrid w:val="0"/>
                <w:color w:val="auto"/>
                <w:spacing w:val="-6"/>
                <w:kern w:val="21"/>
                <w:sz w:val="24"/>
                <w:szCs w:val="24"/>
              </w:rPr>
              <w:instrText xml:space="preserve"> = 3 \* GB3 \* MERGEFORMAT </w:instrText>
            </w:r>
            <w:r>
              <w:rPr>
                <w:snapToGrid w:val="0"/>
                <w:color w:val="auto"/>
                <w:spacing w:val="-6"/>
                <w:kern w:val="21"/>
                <w:sz w:val="24"/>
                <w:szCs w:val="24"/>
              </w:rPr>
              <w:fldChar w:fldCharType="separate"/>
            </w:r>
            <w:r>
              <w:rPr>
                <w:color w:val="auto"/>
                <w:sz w:val="24"/>
                <w:szCs w:val="24"/>
              </w:rPr>
              <w:t>③</w:t>
            </w:r>
            <w:r>
              <w:rPr>
                <w:snapToGrid w:val="0"/>
                <w:color w:val="auto"/>
                <w:spacing w:val="-6"/>
                <w:kern w:val="21"/>
                <w:sz w:val="24"/>
                <w:szCs w:val="24"/>
              </w:rPr>
              <w:fldChar w:fldCharType="end"/>
            </w:r>
          </w:p>
        </w:tc>
        <w:tc>
          <w:tcPr>
            <w:tcW w:w="1559" w:type="dxa"/>
            <w:tcBorders>
              <w:top w:val="single" w:color="auto" w:sz="8" w:space="0"/>
            </w:tcBorders>
            <w:tcMar>
              <w:left w:w="28" w:type="dxa"/>
              <w:right w:w="28" w:type="dxa"/>
            </w:tcMar>
            <w:vAlign w:val="center"/>
          </w:tcPr>
          <w:p w14:paraId="41D9014A">
            <w:pPr>
              <w:pStyle w:val="55"/>
              <w:autoSpaceDE/>
              <w:autoSpaceDN/>
              <w:adjustRightInd/>
              <w:snapToGrid/>
              <w:ind w:left="0" w:leftChars="0" w:firstLine="0" w:firstLineChars="0"/>
              <w:rPr>
                <w:snapToGrid w:val="0"/>
                <w:color w:val="auto"/>
                <w:spacing w:val="-6"/>
                <w:kern w:val="21"/>
                <w:sz w:val="24"/>
                <w:szCs w:val="24"/>
              </w:rPr>
            </w:pPr>
            <w:r>
              <w:rPr>
                <w:snapToGrid w:val="0"/>
                <w:color w:val="auto"/>
                <w:spacing w:val="-6"/>
                <w:kern w:val="21"/>
                <w:sz w:val="24"/>
                <w:szCs w:val="24"/>
              </w:rPr>
              <w:t>本项目</w:t>
            </w:r>
          </w:p>
          <w:p w14:paraId="3D13500C">
            <w:pPr>
              <w:pStyle w:val="55"/>
              <w:autoSpaceDE/>
              <w:autoSpaceDN/>
              <w:adjustRightInd/>
              <w:snapToGrid/>
              <w:ind w:left="0" w:leftChars="0" w:firstLine="0" w:firstLineChars="0"/>
              <w:rPr>
                <w:snapToGrid w:val="0"/>
                <w:color w:val="auto"/>
                <w:spacing w:val="-6"/>
                <w:kern w:val="21"/>
                <w:sz w:val="24"/>
                <w:szCs w:val="24"/>
              </w:rPr>
            </w:pPr>
            <w:r>
              <w:rPr>
                <w:snapToGrid w:val="0"/>
                <w:color w:val="auto"/>
                <w:spacing w:val="-6"/>
                <w:kern w:val="21"/>
                <w:sz w:val="24"/>
                <w:szCs w:val="24"/>
              </w:rPr>
              <w:t>排放量（固体废物产生量）</w:t>
            </w:r>
            <w:r>
              <w:rPr>
                <w:snapToGrid w:val="0"/>
                <w:color w:val="auto"/>
                <w:spacing w:val="-6"/>
                <w:kern w:val="21"/>
                <w:sz w:val="24"/>
                <w:szCs w:val="24"/>
              </w:rPr>
              <w:fldChar w:fldCharType="begin"/>
            </w:r>
            <w:r>
              <w:rPr>
                <w:snapToGrid w:val="0"/>
                <w:color w:val="auto"/>
                <w:spacing w:val="-6"/>
                <w:kern w:val="21"/>
                <w:sz w:val="24"/>
                <w:szCs w:val="24"/>
              </w:rPr>
              <w:instrText xml:space="preserve"> = 4 \* GB3 \* MERGEFORMAT </w:instrText>
            </w:r>
            <w:r>
              <w:rPr>
                <w:snapToGrid w:val="0"/>
                <w:color w:val="auto"/>
                <w:spacing w:val="-6"/>
                <w:kern w:val="21"/>
                <w:sz w:val="24"/>
                <w:szCs w:val="24"/>
              </w:rPr>
              <w:fldChar w:fldCharType="separate"/>
            </w:r>
            <w:r>
              <w:rPr>
                <w:color w:val="auto"/>
                <w:sz w:val="24"/>
                <w:szCs w:val="24"/>
              </w:rPr>
              <w:t>④</w:t>
            </w:r>
            <w:r>
              <w:rPr>
                <w:snapToGrid w:val="0"/>
                <w:color w:val="auto"/>
                <w:spacing w:val="-6"/>
                <w:kern w:val="21"/>
                <w:sz w:val="24"/>
                <w:szCs w:val="24"/>
              </w:rPr>
              <w:fldChar w:fldCharType="end"/>
            </w:r>
          </w:p>
        </w:tc>
        <w:tc>
          <w:tcPr>
            <w:tcW w:w="1613" w:type="dxa"/>
            <w:tcBorders>
              <w:top w:val="single" w:color="auto" w:sz="8" w:space="0"/>
            </w:tcBorders>
            <w:tcMar>
              <w:left w:w="28" w:type="dxa"/>
              <w:right w:w="28" w:type="dxa"/>
            </w:tcMar>
            <w:vAlign w:val="center"/>
          </w:tcPr>
          <w:p w14:paraId="28F29FDF">
            <w:pPr>
              <w:pStyle w:val="55"/>
              <w:autoSpaceDE/>
              <w:autoSpaceDN/>
              <w:adjustRightInd/>
              <w:snapToGrid/>
              <w:ind w:left="0" w:leftChars="0" w:firstLine="0" w:firstLineChars="0"/>
              <w:rPr>
                <w:snapToGrid w:val="0"/>
                <w:color w:val="auto"/>
                <w:spacing w:val="-16"/>
                <w:kern w:val="21"/>
                <w:sz w:val="24"/>
                <w:szCs w:val="24"/>
              </w:rPr>
            </w:pPr>
            <w:r>
              <w:rPr>
                <w:snapToGrid w:val="0"/>
                <w:color w:val="auto"/>
                <w:spacing w:val="-16"/>
                <w:kern w:val="21"/>
                <w:sz w:val="24"/>
                <w:szCs w:val="24"/>
              </w:rPr>
              <w:t>以新带老削减量</w:t>
            </w:r>
          </w:p>
          <w:p w14:paraId="7EEBFABC">
            <w:pPr>
              <w:pStyle w:val="55"/>
              <w:autoSpaceDE/>
              <w:autoSpaceDN/>
              <w:adjustRightInd/>
              <w:snapToGrid/>
              <w:ind w:left="0" w:leftChars="0" w:firstLine="0" w:firstLineChars="0"/>
              <w:rPr>
                <w:snapToGrid w:val="0"/>
                <w:color w:val="auto"/>
                <w:spacing w:val="-16"/>
                <w:kern w:val="21"/>
                <w:sz w:val="24"/>
                <w:szCs w:val="24"/>
              </w:rPr>
            </w:pPr>
            <w:r>
              <w:rPr>
                <w:snapToGrid w:val="0"/>
                <w:color w:val="auto"/>
                <w:spacing w:val="-16"/>
                <w:kern w:val="21"/>
                <w:sz w:val="24"/>
                <w:szCs w:val="24"/>
              </w:rPr>
              <w:t>（新建项目不填）</w:t>
            </w:r>
            <w:r>
              <w:rPr>
                <w:snapToGrid w:val="0"/>
                <w:color w:val="auto"/>
                <w:spacing w:val="-16"/>
                <w:kern w:val="21"/>
                <w:sz w:val="24"/>
                <w:szCs w:val="24"/>
              </w:rPr>
              <w:fldChar w:fldCharType="begin"/>
            </w:r>
            <w:r>
              <w:rPr>
                <w:snapToGrid w:val="0"/>
                <w:color w:val="auto"/>
                <w:spacing w:val="-16"/>
                <w:kern w:val="21"/>
                <w:sz w:val="24"/>
                <w:szCs w:val="24"/>
              </w:rPr>
              <w:instrText xml:space="preserve"> = 5 \* GB3 \* MERGEFORMAT </w:instrText>
            </w:r>
            <w:r>
              <w:rPr>
                <w:snapToGrid w:val="0"/>
                <w:color w:val="auto"/>
                <w:spacing w:val="-16"/>
                <w:kern w:val="21"/>
                <w:sz w:val="24"/>
                <w:szCs w:val="24"/>
              </w:rPr>
              <w:fldChar w:fldCharType="separate"/>
            </w:r>
            <w:r>
              <w:rPr>
                <w:color w:val="auto"/>
                <w:sz w:val="24"/>
                <w:szCs w:val="24"/>
              </w:rPr>
              <w:t>⑤</w:t>
            </w:r>
            <w:r>
              <w:rPr>
                <w:snapToGrid w:val="0"/>
                <w:color w:val="auto"/>
                <w:spacing w:val="-16"/>
                <w:kern w:val="21"/>
                <w:sz w:val="24"/>
                <w:szCs w:val="24"/>
              </w:rPr>
              <w:fldChar w:fldCharType="end"/>
            </w:r>
          </w:p>
        </w:tc>
        <w:tc>
          <w:tcPr>
            <w:tcW w:w="1665" w:type="dxa"/>
            <w:tcBorders>
              <w:top w:val="single" w:color="auto" w:sz="8" w:space="0"/>
            </w:tcBorders>
            <w:tcMar>
              <w:left w:w="28" w:type="dxa"/>
              <w:right w:w="28" w:type="dxa"/>
            </w:tcMar>
            <w:vAlign w:val="center"/>
          </w:tcPr>
          <w:p w14:paraId="3DFEFE80">
            <w:pPr>
              <w:pStyle w:val="55"/>
              <w:autoSpaceDE/>
              <w:autoSpaceDN/>
              <w:adjustRightInd/>
              <w:snapToGrid/>
              <w:ind w:left="0" w:leftChars="0" w:firstLine="0" w:firstLineChars="0"/>
              <w:rPr>
                <w:snapToGrid w:val="0"/>
                <w:color w:val="auto"/>
                <w:spacing w:val="-16"/>
                <w:kern w:val="21"/>
                <w:sz w:val="24"/>
                <w:szCs w:val="24"/>
              </w:rPr>
            </w:pPr>
            <w:r>
              <w:rPr>
                <w:snapToGrid w:val="0"/>
                <w:color w:val="auto"/>
                <w:spacing w:val="-16"/>
                <w:kern w:val="21"/>
                <w:sz w:val="24"/>
                <w:szCs w:val="24"/>
              </w:rPr>
              <w:t>本项目建成后</w:t>
            </w:r>
          </w:p>
          <w:p w14:paraId="7A76463E">
            <w:pPr>
              <w:pStyle w:val="55"/>
              <w:autoSpaceDE/>
              <w:autoSpaceDN/>
              <w:adjustRightInd/>
              <w:snapToGrid/>
              <w:ind w:left="0" w:leftChars="0" w:firstLine="0" w:firstLineChars="0"/>
              <w:rPr>
                <w:snapToGrid w:val="0"/>
                <w:color w:val="auto"/>
                <w:spacing w:val="-16"/>
                <w:kern w:val="21"/>
                <w:sz w:val="24"/>
                <w:szCs w:val="24"/>
              </w:rPr>
            </w:pPr>
            <w:r>
              <w:rPr>
                <w:snapToGrid w:val="0"/>
                <w:color w:val="auto"/>
                <w:spacing w:val="-16"/>
                <w:kern w:val="21"/>
                <w:sz w:val="24"/>
                <w:szCs w:val="24"/>
              </w:rPr>
              <w:t>全厂排放量（固体废物产生量）</w:t>
            </w:r>
            <w:r>
              <w:rPr>
                <w:snapToGrid w:val="0"/>
                <w:color w:val="auto"/>
                <w:spacing w:val="-16"/>
                <w:kern w:val="21"/>
                <w:sz w:val="24"/>
                <w:szCs w:val="24"/>
              </w:rPr>
              <w:fldChar w:fldCharType="begin"/>
            </w:r>
            <w:r>
              <w:rPr>
                <w:snapToGrid w:val="0"/>
                <w:color w:val="auto"/>
                <w:spacing w:val="-16"/>
                <w:kern w:val="21"/>
                <w:sz w:val="24"/>
                <w:szCs w:val="24"/>
              </w:rPr>
              <w:instrText xml:space="preserve"> = 6 \* GB3 \* MERGEFORMAT </w:instrText>
            </w:r>
            <w:r>
              <w:rPr>
                <w:snapToGrid w:val="0"/>
                <w:color w:val="auto"/>
                <w:spacing w:val="-16"/>
                <w:kern w:val="21"/>
                <w:sz w:val="24"/>
                <w:szCs w:val="24"/>
              </w:rPr>
              <w:fldChar w:fldCharType="separate"/>
            </w:r>
            <w:r>
              <w:rPr>
                <w:color w:val="auto"/>
                <w:sz w:val="24"/>
                <w:szCs w:val="24"/>
              </w:rPr>
              <w:t>⑥</w:t>
            </w:r>
            <w:r>
              <w:rPr>
                <w:snapToGrid w:val="0"/>
                <w:color w:val="auto"/>
                <w:spacing w:val="-16"/>
                <w:kern w:val="21"/>
                <w:sz w:val="24"/>
                <w:szCs w:val="24"/>
              </w:rPr>
              <w:fldChar w:fldCharType="end"/>
            </w:r>
          </w:p>
        </w:tc>
        <w:tc>
          <w:tcPr>
            <w:tcW w:w="1588" w:type="dxa"/>
            <w:tcBorders>
              <w:top w:val="single" w:color="auto" w:sz="8" w:space="0"/>
            </w:tcBorders>
            <w:tcMar>
              <w:left w:w="28" w:type="dxa"/>
              <w:right w:w="28" w:type="dxa"/>
            </w:tcMar>
            <w:vAlign w:val="center"/>
          </w:tcPr>
          <w:p w14:paraId="2671BF3F">
            <w:pPr>
              <w:pStyle w:val="55"/>
              <w:autoSpaceDE/>
              <w:autoSpaceDN/>
              <w:adjustRightInd/>
              <w:snapToGrid/>
              <w:ind w:left="0" w:leftChars="0" w:firstLine="0" w:firstLineChars="0"/>
              <w:rPr>
                <w:snapToGrid w:val="0"/>
                <w:color w:val="auto"/>
                <w:spacing w:val="-6"/>
                <w:kern w:val="21"/>
                <w:sz w:val="24"/>
                <w:szCs w:val="24"/>
              </w:rPr>
            </w:pPr>
            <w:r>
              <w:rPr>
                <w:snapToGrid w:val="0"/>
                <w:color w:val="auto"/>
                <w:spacing w:val="-6"/>
                <w:kern w:val="21"/>
                <w:sz w:val="24"/>
                <w:szCs w:val="24"/>
              </w:rPr>
              <w:t>变化量</w:t>
            </w:r>
          </w:p>
          <w:p w14:paraId="74C29E23">
            <w:pPr>
              <w:pStyle w:val="55"/>
              <w:autoSpaceDE/>
              <w:autoSpaceDN/>
              <w:adjustRightInd/>
              <w:snapToGrid/>
              <w:ind w:left="0" w:leftChars="0" w:firstLine="0" w:firstLineChars="0"/>
              <w:rPr>
                <w:snapToGrid w:val="0"/>
                <w:color w:val="auto"/>
                <w:spacing w:val="-6"/>
                <w:kern w:val="21"/>
                <w:sz w:val="24"/>
                <w:szCs w:val="24"/>
              </w:rPr>
            </w:pPr>
            <w:r>
              <w:rPr>
                <w:snapToGrid w:val="0"/>
                <w:color w:val="auto"/>
                <w:spacing w:val="-6"/>
                <w:kern w:val="21"/>
                <w:sz w:val="24"/>
                <w:szCs w:val="24"/>
              </w:rPr>
              <w:fldChar w:fldCharType="begin"/>
            </w:r>
            <w:r>
              <w:rPr>
                <w:snapToGrid w:val="0"/>
                <w:color w:val="auto"/>
                <w:spacing w:val="-6"/>
                <w:kern w:val="21"/>
                <w:sz w:val="24"/>
                <w:szCs w:val="24"/>
              </w:rPr>
              <w:instrText xml:space="preserve"> = 7 \* GB3 \* MERGEFORMAT </w:instrText>
            </w:r>
            <w:r>
              <w:rPr>
                <w:snapToGrid w:val="0"/>
                <w:color w:val="auto"/>
                <w:spacing w:val="-6"/>
                <w:kern w:val="21"/>
                <w:sz w:val="24"/>
                <w:szCs w:val="24"/>
              </w:rPr>
              <w:fldChar w:fldCharType="separate"/>
            </w:r>
            <w:r>
              <w:rPr>
                <w:color w:val="auto"/>
                <w:sz w:val="24"/>
                <w:szCs w:val="24"/>
              </w:rPr>
              <w:t>⑦</w:t>
            </w:r>
            <w:r>
              <w:rPr>
                <w:snapToGrid w:val="0"/>
                <w:color w:val="auto"/>
                <w:spacing w:val="-6"/>
                <w:kern w:val="21"/>
                <w:sz w:val="24"/>
                <w:szCs w:val="24"/>
              </w:rPr>
              <w:fldChar w:fldCharType="end"/>
            </w:r>
          </w:p>
        </w:tc>
      </w:tr>
      <w:tr w14:paraId="5DC164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14:paraId="63813CCE">
            <w:pPr>
              <w:pStyle w:val="55"/>
              <w:autoSpaceDE/>
              <w:autoSpaceDN/>
              <w:adjustRightInd/>
              <w:snapToGrid/>
              <w:ind w:left="0" w:leftChars="0" w:firstLine="0" w:firstLineChars="0"/>
              <w:rPr>
                <w:snapToGrid w:val="0"/>
                <w:color w:val="auto"/>
                <w:kern w:val="21"/>
                <w:sz w:val="24"/>
                <w:szCs w:val="24"/>
              </w:rPr>
            </w:pPr>
            <w:r>
              <w:rPr>
                <w:rFonts w:hint="eastAsia"/>
                <w:snapToGrid w:val="0"/>
                <w:color w:val="auto"/>
                <w:kern w:val="21"/>
                <w:sz w:val="24"/>
                <w:szCs w:val="24"/>
              </w:rPr>
              <w:t>废气</w:t>
            </w:r>
          </w:p>
        </w:tc>
        <w:tc>
          <w:tcPr>
            <w:tcW w:w="1417" w:type="dxa"/>
            <w:vAlign w:val="center"/>
          </w:tcPr>
          <w:p w14:paraId="700685CC">
            <w:pPr>
              <w:pStyle w:val="55"/>
              <w:autoSpaceDE/>
              <w:autoSpaceDN/>
              <w:adjustRightInd/>
              <w:snapToGrid/>
              <w:ind w:left="0" w:leftChars="0" w:firstLine="0" w:firstLineChars="0"/>
              <w:rPr>
                <w:snapToGrid w:val="0"/>
                <w:color w:val="auto"/>
                <w:kern w:val="21"/>
                <w:sz w:val="24"/>
                <w:szCs w:val="24"/>
              </w:rPr>
            </w:pPr>
            <w:r>
              <w:rPr>
                <w:snapToGrid w:val="0"/>
                <w:color w:val="auto"/>
                <w:kern w:val="21"/>
                <w:sz w:val="24"/>
                <w:szCs w:val="24"/>
              </w:rPr>
              <w:t>颗粒物</w:t>
            </w:r>
          </w:p>
        </w:tc>
        <w:tc>
          <w:tcPr>
            <w:tcW w:w="1701" w:type="dxa"/>
            <w:vAlign w:val="center"/>
          </w:tcPr>
          <w:p w14:paraId="4547D094">
            <w:pPr>
              <w:pStyle w:val="55"/>
              <w:autoSpaceDE/>
              <w:autoSpaceDN/>
              <w:adjustRightInd/>
              <w:snapToGrid/>
              <w:ind w:left="0" w:leftChars="0" w:firstLine="0" w:firstLineChars="0"/>
              <w:rPr>
                <w:snapToGrid w:val="0"/>
                <w:color w:val="auto"/>
                <w:kern w:val="21"/>
                <w:sz w:val="24"/>
                <w:szCs w:val="24"/>
              </w:rPr>
            </w:pPr>
            <w:r>
              <w:rPr>
                <w:color w:val="auto"/>
                <w:sz w:val="24"/>
                <w:szCs w:val="24"/>
              </w:rPr>
              <w:t>0t/a</w:t>
            </w:r>
          </w:p>
        </w:tc>
        <w:tc>
          <w:tcPr>
            <w:tcW w:w="1276" w:type="dxa"/>
            <w:vAlign w:val="center"/>
          </w:tcPr>
          <w:p w14:paraId="6F19A623">
            <w:pPr>
              <w:pStyle w:val="55"/>
              <w:autoSpaceDE/>
              <w:autoSpaceDN/>
              <w:adjustRightInd/>
              <w:snapToGrid/>
              <w:ind w:left="0" w:leftChars="0" w:firstLine="0" w:firstLineChars="0"/>
              <w:rPr>
                <w:snapToGrid w:val="0"/>
                <w:color w:val="auto"/>
                <w:kern w:val="21"/>
                <w:sz w:val="24"/>
                <w:szCs w:val="24"/>
              </w:rPr>
            </w:pPr>
            <w:r>
              <w:rPr>
                <w:rFonts w:hint="eastAsia"/>
                <w:snapToGrid w:val="0"/>
                <w:color w:val="auto"/>
                <w:kern w:val="21"/>
                <w:sz w:val="24"/>
                <w:szCs w:val="24"/>
              </w:rPr>
              <w:t>1.6t/a</w:t>
            </w:r>
          </w:p>
        </w:tc>
        <w:tc>
          <w:tcPr>
            <w:tcW w:w="1701" w:type="dxa"/>
            <w:vAlign w:val="center"/>
          </w:tcPr>
          <w:p w14:paraId="46078DE4">
            <w:pPr>
              <w:pStyle w:val="55"/>
              <w:autoSpaceDE/>
              <w:autoSpaceDN/>
              <w:adjustRightInd/>
              <w:snapToGrid/>
              <w:ind w:left="0" w:leftChars="0" w:firstLine="0" w:firstLineChars="0"/>
              <w:rPr>
                <w:snapToGrid w:val="0"/>
                <w:color w:val="auto"/>
                <w:kern w:val="21"/>
                <w:sz w:val="24"/>
                <w:szCs w:val="24"/>
              </w:rPr>
            </w:pPr>
            <w:r>
              <w:rPr>
                <w:snapToGrid w:val="0"/>
                <w:color w:val="auto"/>
                <w:kern w:val="21"/>
                <w:sz w:val="24"/>
                <w:szCs w:val="24"/>
              </w:rPr>
              <w:t>/</w:t>
            </w:r>
          </w:p>
        </w:tc>
        <w:tc>
          <w:tcPr>
            <w:tcW w:w="1559" w:type="dxa"/>
            <w:vAlign w:val="center"/>
          </w:tcPr>
          <w:p w14:paraId="2ADB435D">
            <w:pPr>
              <w:pStyle w:val="43"/>
              <w:rPr>
                <w:color w:val="auto"/>
                <w:sz w:val="24"/>
              </w:rPr>
            </w:pPr>
            <w:r>
              <w:rPr>
                <w:rFonts w:hint="eastAsia"/>
                <w:color w:val="auto"/>
                <w:sz w:val="24"/>
              </w:rPr>
              <w:t>0.926t/a</w:t>
            </w:r>
          </w:p>
        </w:tc>
        <w:tc>
          <w:tcPr>
            <w:tcW w:w="1613" w:type="dxa"/>
            <w:vAlign w:val="center"/>
          </w:tcPr>
          <w:p w14:paraId="38B410F7">
            <w:pPr>
              <w:jc w:val="center"/>
              <w:rPr>
                <w:color w:val="auto"/>
                <w:sz w:val="24"/>
              </w:rPr>
            </w:pPr>
            <w:r>
              <w:rPr>
                <w:color w:val="auto"/>
                <w:sz w:val="24"/>
              </w:rPr>
              <w:t>/</w:t>
            </w:r>
          </w:p>
        </w:tc>
        <w:tc>
          <w:tcPr>
            <w:tcW w:w="1665" w:type="dxa"/>
            <w:vAlign w:val="center"/>
          </w:tcPr>
          <w:p w14:paraId="6EFBA6D3">
            <w:pPr>
              <w:pStyle w:val="43"/>
              <w:rPr>
                <w:color w:val="auto"/>
                <w:sz w:val="24"/>
              </w:rPr>
            </w:pPr>
            <w:r>
              <w:rPr>
                <w:rFonts w:hint="eastAsia"/>
                <w:color w:val="auto"/>
                <w:sz w:val="24"/>
              </w:rPr>
              <w:t>0.926t/a</w:t>
            </w:r>
          </w:p>
        </w:tc>
        <w:tc>
          <w:tcPr>
            <w:tcW w:w="1588" w:type="dxa"/>
            <w:vAlign w:val="center"/>
          </w:tcPr>
          <w:p w14:paraId="473BD75A">
            <w:pPr>
              <w:jc w:val="center"/>
              <w:rPr>
                <w:color w:val="auto"/>
                <w:sz w:val="24"/>
              </w:rPr>
            </w:pPr>
            <w:r>
              <w:rPr>
                <w:color w:val="auto"/>
                <w:sz w:val="24"/>
              </w:rPr>
              <w:t>+</w:t>
            </w:r>
            <w:r>
              <w:rPr>
                <w:rFonts w:hint="eastAsia"/>
                <w:color w:val="auto"/>
                <w:sz w:val="24"/>
              </w:rPr>
              <w:t>0.926t/a</w:t>
            </w:r>
          </w:p>
        </w:tc>
      </w:tr>
      <w:tr w14:paraId="7FB8AF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restart"/>
            <w:vAlign w:val="center"/>
          </w:tcPr>
          <w:p w14:paraId="5F337D33">
            <w:pPr>
              <w:pStyle w:val="55"/>
              <w:autoSpaceDE/>
              <w:autoSpaceDN/>
              <w:adjustRightInd/>
              <w:snapToGrid/>
              <w:ind w:left="0" w:leftChars="0" w:firstLine="0" w:firstLineChars="0"/>
              <w:rPr>
                <w:snapToGrid w:val="0"/>
                <w:color w:val="auto"/>
                <w:kern w:val="21"/>
                <w:sz w:val="24"/>
                <w:szCs w:val="24"/>
              </w:rPr>
            </w:pPr>
            <w:r>
              <w:rPr>
                <w:snapToGrid w:val="0"/>
                <w:color w:val="auto"/>
                <w:kern w:val="21"/>
                <w:sz w:val="24"/>
                <w:szCs w:val="24"/>
              </w:rPr>
              <w:t>一般工业</w:t>
            </w:r>
          </w:p>
          <w:p w14:paraId="555709AF">
            <w:pPr>
              <w:pStyle w:val="55"/>
              <w:autoSpaceDE/>
              <w:autoSpaceDN/>
              <w:adjustRightInd/>
              <w:snapToGrid/>
              <w:ind w:left="0" w:leftChars="0" w:firstLine="0" w:firstLineChars="0"/>
              <w:rPr>
                <w:snapToGrid w:val="0"/>
                <w:color w:val="auto"/>
                <w:kern w:val="21"/>
                <w:sz w:val="24"/>
                <w:szCs w:val="24"/>
              </w:rPr>
            </w:pPr>
            <w:r>
              <w:rPr>
                <w:snapToGrid w:val="0"/>
                <w:color w:val="auto"/>
                <w:kern w:val="21"/>
                <w:sz w:val="24"/>
                <w:szCs w:val="24"/>
              </w:rPr>
              <w:t>固体废物</w:t>
            </w:r>
          </w:p>
        </w:tc>
        <w:tc>
          <w:tcPr>
            <w:tcW w:w="1417" w:type="dxa"/>
            <w:vAlign w:val="center"/>
          </w:tcPr>
          <w:p w14:paraId="071B5798">
            <w:pPr>
              <w:jc w:val="center"/>
              <w:rPr>
                <w:color w:val="auto"/>
                <w:sz w:val="24"/>
              </w:rPr>
            </w:pPr>
            <w:r>
              <w:rPr>
                <w:rFonts w:hint="eastAsia"/>
                <w:color w:val="auto"/>
                <w:sz w:val="24"/>
              </w:rPr>
              <w:t>布袋除尘器收尘</w:t>
            </w:r>
          </w:p>
        </w:tc>
        <w:tc>
          <w:tcPr>
            <w:tcW w:w="1701" w:type="dxa"/>
            <w:vAlign w:val="center"/>
          </w:tcPr>
          <w:p w14:paraId="3EFC0D9A">
            <w:pPr>
              <w:pStyle w:val="55"/>
              <w:autoSpaceDE/>
              <w:autoSpaceDN/>
              <w:adjustRightInd/>
              <w:snapToGrid/>
              <w:ind w:left="0" w:leftChars="0" w:firstLine="0" w:firstLineChars="0"/>
              <w:rPr>
                <w:snapToGrid w:val="0"/>
                <w:color w:val="auto"/>
                <w:kern w:val="21"/>
                <w:sz w:val="24"/>
                <w:szCs w:val="24"/>
              </w:rPr>
            </w:pPr>
            <w:r>
              <w:rPr>
                <w:snapToGrid w:val="0"/>
                <w:color w:val="auto"/>
                <w:kern w:val="21"/>
                <w:sz w:val="24"/>
                <w:szCs w:val="24"/>
              </w:rPr>
              <w:t>45</w:t>
            </w:r>
            <w:r>
              <w:rPr>
                <w:color w:val="auto"/>
                <w:sz w:val="24"/>
                <w:szCs w:val="24"/>
              </w:rPr>
              <w:t>t/a</w:t>
            </w:r>
          </w:p>
        </w:tc>
        <w:tc>
          <w:tcPr>
            <w:tcW w:w="1276" w:type="dxa"/>
            <w:vAlign w:val="center"/>
          </w:tcPr>
          <w:p w14:paraId="66A2AD4D">
            <w:pPr>
              <w:pStyle w:val="55"/>
              <w:autoSpaceDE/>
              <w:autoSpaceDN/>
              <w:adjustRightInd/>
              <w:snapToGrid/>
              <w:ind w:left="0" w:leftChars="0" w:firstLine="0" w:firstLineChars="0"/>
              <w:rPr>
                <w:snapToGrid w:val="0"/>
                <w:color w:val="auto"/>
                <w:kern w:val="21"/>
                <w:sz w:val="24"/>
                <w:szCs w:val="24"/>
              </w:rPr>
            </w:pPr>
            <w:r>
              <w:rPr>
                <w:snapToGrid w:val="0"/>
                <w:color w:val="auto"/>
                <w:kern w:val="21"/>
                <w:sz w:val="24"/>
                <w:szCs w:val="24"/>
              </w:rPr>
              <w:t>/</w:t>
            </w:r>
          </w:p>
        </w:tc>
        <w:tc>
          <w:tcPr>
            <w:tcW w:w="1701" w:type="dxa"/>
            <w:vAlign w:val="center"/>
          </w:tcPr>
          <w:p w14:paraId="09DF5372">
            <w:pPr>
              <w:pStyle w:val="55"/>
              <w:autoSpaceDE/>
              <w:autoSpaceDN/>
              <w:adjustRightInd/>
              <w:snapToGrid/>
              <w:ind w:left="0" w:leftChars="0" w:firstLine="0" w:firstLineChars="0"/>
              <w:rPr>
                <w:snapToGrid w:val="0"/>
                <w:color w:val="auto"/>
                <w:kern w:val="21"/>
                <w:sz w:val="24"/>
                <w:szCs w:val="24"/>
              </w:rPr>
            </w:pPr>
            <w:r>
              <w:rPr>
                <w:snapToGrid w:val="0"/>
                <w:color w:val="auto"/>
                <w:kern w:val="21"/>
                <w:sz w:val="24"/>
                <w:szCs w:val="24"/>
              </w:rPr>
              <w:t>/</w:t>
            </w:r>
          </w:p>
        </w:tc>
        <w:tc>
          <w:tcPr>
            <w:tcW w:w="1559" w:type="dxa"/>
            <w:vAlign w:val="center"/>
          </w:tcPr>
          <w:p w14:paraId="5790E22D">
            <w:pPr>
              <w:jc w:val="center"/>
              <w:rPr>
                <w:color w:val="auto"/>
                <w:sz w:val="24"/>
              </w:rPr>
            </w:pPr>
            <w:r>
              <w:rPr>
                <w:rFonts w:hint="eastAsia"/>
                <w:color w:val="auto"/>
                <w:sz w:val="24"/>
              </w:rPr>
              <w:t>190.447t/a</w:t>
            </w:r>
          </w:p>
        </w:tc>
        <w:tc>
          <w:tcPr>
            <w:tcW w:w="1613" w:type="dxa"/>
            <w:vAlign w:val="center"/>
          </w:tcPr>
          <w:p w14:paraId="6C41C72A">
            <w:pPr>
              <w:jc w:val="center"/>
              <w:rPr>
                <w:color w:val="auto"/>
                <w:sz w:val="24"/>
              </w:rPr>
            </w:pPr>
            <w:r>
              <w:rPr>
                <w:color w:val="auto"/>
                <w:sz w:val="24"/>
              </w:rPr>
              <w:t>/</w:t>
            </w:r>
          </w:p>
        </w:tc>
        <w:tc>
          <w:tcPr>
            <w:tcW w:w="1665" w:type="dxa"/>
            <w:vAlign w:val="center"/>
          </w:tcPr>
          <w:p w14:paraId="328288E6">
            <w:pPr>
              <w:jc w:val="center"/>
              <w:rPr>
                <w:color w:val="auto"/>
                <w:sz w:val="24"/>
              </w:rPr>
            </w:pPr>
            <w:r>
              <w:rPr>
                <w:rFonts w:hint="eastAsia"/>
                <w:color w:val="auto"/>
                <w:sz w:val="24"/>
              </w:rPr>
              <w:t>235.447t/a</w:t>
            </w:r>
          </w:p>
        </w:tc>
        <w:tc>
          <w:tcPr>
            <w:tcW w:w="1588" w:type="dxa"/>
            <w:vAlign w:val="center"/>
          </w:tcPr>
          <w:p w14:paraId="54CAB619">
            <w:pPr>
              <w:jc w:val="center"/>
              <w:rPr>
                <w:color w:val="auto"/>
                <w:sz w:val="24"/>
              </w:rPr>
            </w:pPr>
            <w:r>
              <w:rPr>
                <w:rFonts w:hint="eastAsia"/>
                <w:color w:val="auto"/>
                <w:sz w:val="24"/>
              </w:rPr>
              <w:t>+190.447t/a</w:t>
            </w:r>
          </w:p>
        </w:tc>
      </w:tr>
      <w:tr w14:paraId="348566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6B207AFC">
            <w:pPr>
              <w:pStyle w:val="55"/>
              <w:autoSpaceDE/>
              <w:autoSpaceDN/>
              <w:adjustRightInd/>
              <w:snapToGrid/>
              <w:ind w:left="0" w:leftChars="0" w:firstLine="0" w:firstLineChars="0"/>
              <w:rPr>
                <w:snapToGrid w:val="0"/>
                <w:color w:val="auto"/>
                <w:kern w:val="21"/>
                <w:sz w:val="24"/>
                <w:szCs w:val="24"/>
              </w:rPr>
            </w:pPr>
          </w:p>
        </w:tc>
        <w:tc>
          <w:tcPr>
            <w:tcW w:w="1417" w:type="dxa"/>
            <w:vAlign w:val="center"/>
          </w:tcPr>
          <w:p w14:paraId="581AF9BA">
            <w:pPr>
              <w:jc w:val="center"/>
              <w:rPr>
                <w:color w:val="auto"/>
                <w:sz w:val="24"/>
              </w:rPr>
            </w:pPr>
            <w:r>
              <w:rPr>
                <w:rFonts w:hint="eastAsia"/>
                <w:color w:val="auto"/>
                <w:sz w:val="24"/>
              </w:rPr>
              <w:t>沉淀池污泥</w:t>
            </w:r>
          </w:p>
        </w:tc>
        <w:tc>
          <w:tcPr>
            <w:tcW w:w="1701" w:type="dxa"/>
            <w:vAlign w:val="center"/>
          </w:tcPr>
          <w:p w14:paraId="1DEB28DE">
            <w:pPr>
              <w:pStyle w:val="55"/>
              <w:autoSpaceDE/>
              <w:autoSpaceDN/>
              <w:adjustRightInd/>
              <w:snapToGrid/>
              <w:ind w:left="0" w:leftChars="0" w:firstLine="0" w:firstLineChars="0"/>
              <w:rPr>
                <w:snapToGrid w:val="0"/>
                <w:color w:val="auto"/>
                <w:kern w:val="21"/>
                <w:sz w:val="24"/>
                <w:szCs w:val="24"/>
              </w:rPr>
            </w:pPr>
            <w:r>
              <w:rPr>
                <w:snapToGrid w:val="0"/>
                <w:color w:val="auto"/>
                <w:kern w:val="21"/>
                <w:sz w:val="24"/>
                <w:szCs w:val="24"/>
              </w:rPr>
              <w:t>0.3</w:t>
            </w:r>
            <w:r>
              <w:rPr>
                <w:color w:val="auto"/>
                <w:sz w:val="24"/>
                <w:szCs w:val="24"/>
              </w:rPr>
              <w:t>t/a</w:t>
            </w:r>
          </w:p>
        </w:tc>
        <w:tc>
          <w:tcPr>
            <w:tcW w:w="1276" w:type="dxa"/>
            <w:vAlign w:val="center"/>
          </w:tcPr>
          <w:p w14:paraId="618B8D62">
            <w:pPr>
              <w:pStyle w:val="55"/>
              <w:autoSpaceDE/>
              <w:autoSpaceDN/>
              <w:adjustRightInd/>
              <w:snapToGrid/>
              <w:ind w:left="0" w:leftChars="0" w:firstLine="0" w:firstLineChars="0"/>
              <w:rPr>
                <w:snapToGrid w:val="0"/>
                <w:color w:val="auto"/>
                <w:kern w:val="21"/>
                <w:sz w:val="24"/>
                <w:szCs w:val="24"/>
              </w:rPr>
            </w:pPr>
            <w:r>
              <w:rPr>
                <w:snapToGrid w:val="0"/>
                <w:color w:val="auto"/>
                <w:kern w:val="21"/>
                <w:sz w:val="24"/>
                <w:szCs w:val="24"/>
              </w:rPr>
              <w:t>/</w:t>
            </w:r>
          </w:p>
        </w:tc>
        <w:tc>
          <w:tcPr>
            <w:tcW w:w="1701" w:type="dxa"/>
            <w:vAlign w:val="center"/>
          </w:tcPr>
          <w:p w14:paraId="41BBE668">
            <w:pPr>
              <w:pStyle w:val="55"/>
              <w:autoSpaceDE/>
              <w:autoSpaceDN/>
              <w:adjustRightInd/>
              <w:snapToGrid/>
              <w:ind w:left="0" w:leftChars="0" w:firstLine="0" w:firstLineChars="0"/>
              <w:rPr>
                <w:snapToGrid w:val="0"/>
                <w:color w:val="auto"/>
                <w:kern w:val="21"/>
                <w:sz w:val="24"/>
                <w:szCs w:val="24"/>
              </w:rPr>
            </w:pPr>
            <w:r>
              <w:rPr>
                <w:snapToGrid w:val="0"/>
                <w:color w:val="auto"/>
                <w:kern w:val="21"/>
                <w:sz w:val="24"/>
                <w:szCs w:val="24"/>
              </w:rPr>
              <w:t>/</w:t>
            </w:r>
          </w:p>
        </w:tc>
        <w:tc>
          <w:tcPr>
            <w:tcW w:w="1559" w:type="dxa"/>
            <w:vAlign w:val="center"/>
          </w:tcPr>
          <w:p w14:paraId="6082FCA5">
            <w:pPr>
              <w:jc w:val="center"/>
              <w:rPr>
                <w:color w:val="auto"/>
                <w:sz w:val="24"/>
              </w:rPr>
            </w:pPr>
            <w:r>
              <w:rPr>
                <w:rFonts w:hint="eastAsia"/>
                <w:color w:val="auto"/>
                <w:sz w:val="24"/>
              </w:rPr>
              <w:t>0.5t/a</w:t>
            </w:r>
          </w:p>
        </w:tc>
        <w:tc>
          <w:tcPr>
            <w:tcW w:w="1613" w:type="dxa"/>
            <w:vAlign w:val="center"/>
          </w:tcPr>
          <w:p w14:paraId="1C23301E">
            <w:pPr>
              <w:jc w:val="center"/>
              <w:rPr>
                <w:color w:val="auto"/>
                <w:sz w:val="24"/>
              </w:rPr>
            </w:pPr>
            <w:r>
              <w:rPr>
                <w:color w:val="auto"/>
                <w:sz w:val="24"/>
              </w:rPr>
              <w:t>/</w:t>
            </w:r>
          </w:p>
        </w:tc>
        <w:tc>
          <w:tcPr>
            <w:tcW w:w="1665" w:type="dxa"/>
            <w:vAlign w:val="center"/>
          </w:tcPr>
          <w:p w14:paraId="0CF9B123">
            <w:pPr>
              <w:jc w:val="center"/>
              <w:rPr>
                <w:color w:val="auto"/>
                <w:sz w:val="24"/>
              </w:rPr>
            </w:pPr>
            <w:r>
              <w:rPr>
                <w:rFonts w:hint="eastAsia"/>
                <w:color w:val="auto"/>
                <w:sz w:val="24"/>
              </w:rPr>
              <w:t>0.8t/a</w:t>
            </w:r>
          </w:p>
        </w:tc>
        <w:tc>
          <w:tcPr>
            <w:tcW w:w="1588" w:type="dxa"/>
            <w:vAlign w:val="center"/>
          </w:tcPr>
          <w:p w14:paraId="620D5511">
            <w:pPr>
              <w:jc w:val="center"/>
              <w:rPr>
                <w:color w:val="auto"/>
                <w:sz w:val="24"/>
              </w:rPr>
            </w:pPr>
            <w:r>
              <w:rPr>
                <w:rFonts w:hint="eastAsia"/>
                <w:color w:val="auto"/>
                <w:sz w:val="24"/>
              </w:rPr>
              <w:t>+0.5t/a</w:t>
            </w:r>
          </w:p>
        </w:tc>
      </w:tr>
      <w:tr w14:paraId="35F408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7CC21F6B">
            <w:pPr>
              <w:pStyle w:val="55"/>
              <w:autoSpaceDE/>
              <w:autoSpaceDN/>
              <w:adjustRightInd/>
              <w:snapToGrid/>
              <w:ind w:left="0" w:leftChars="0" w:firstLine="0" w:firstLineChars="0"/>
              <w:rPr>
                <w:snapToGrid w:val="0"/>
                <w:color w:val="auto"/>
                <w:kern w:val="21"/>
                <w:sz w:val="24"/>
                <w:szCs w:val="24"/>
              </w:rPr>
            </w:pPr>
          </w:p>
        </w:tc>
        <w:tc>
          <w:tcPr>
            <w:tcW w:w="1417" w:type="dxa"/>
            <w:vAlign w:val="center"/>
          </w:tcPr>
          <w:p w14:paraId="3E3C3AC4">
            <w:pPr>
              <w:jc w:val="center"/>
              <w:rPr>
                <w:color w:val="auto"/>
                <w:sz w:val="24"/>
              </w:rPr>
            </w:pPr>
            <w:r>
              <w:rPr>
                <w:rFonts w:hint="eastAsia"/>
                <w:color w:val="auto"/>
                <w:sz w:val="24"/>
              </w:rPr>
              <w:t>不合格品</w:t>
            </w:r>
          </w:p>
        </w:tc>
        <w:tc>
          <w:tcPr>
            <w:tcW w:w="1701" w:type="dxa"/>
            <w:vAlign w:val="center"/>
          </w:tcPr>
          <w:p w14:paraId="27A74473">
            <w:pPr>
              <w:pStyle w:val="55"/>
              <w:autoSpaceDE/>
              <w:autoSpaceDN/>
              <w:adjustRightInd/>
              <w:snapToGrid/>
              <w:ind w:left="0" w:leftChars="0" w:firstLine="0" w:firstLineChars="0"/>
              <w:rPr>
                <w:snapToGrid w:val="0"/>
                <w:color w:val="auto"/>
                <w:kern w:val="21"/>
                <w:sz w:val="24"/>
                <w:szCs w:val="24"/>
              </w:rPr>
            </w:pPr>
            <w:r>
              <w:rPr>
                <w:snapToGrid w:val="0"/>
                <w:color w:val="auto"/>
                <w:kern w:val="21"/>
                <w:sz w:val="24"/>
                <w:szCs w:val="24"/>
              </w:rPr>
              <w:t>300</w:t>
            </w:r>
            <w:r>
              <w:rPr>
                <w:color w:val="auto"/>
                <w:sz w:val="24"/>
                <w:szCs w:val="24"/>
              </w:rPr>
              <w:t>t/a</w:t>
            </w:r>
          </w:p>
        </w:tc>
        <w:tc>
          <w:tcPr>
            <w:tcW w:w="1276" w:type="dxa"/>
            <w:vAlign w:val="center"/>
          </w:tcPr>
          <w:p w14:paraId="56F9C20C">
            <w:pPr>
              <w:pStyle w:val="55"/>
              <w:autoSpaceDE/>
              <w:autoSpaceDN/>
              <w:adjustRightInd/>
              <w:snapToGrid/>
              <w:ind w:left="0" w:leftChars="0" w:firstLine="0" w:firstLineChars="0"/>
              <w:rPr>
                <w:snapToGrid w:val="0"/>
                <w:color w:val="auto"/>
                <w:kern w:val="21"/>
                <w:sz w:val="24"/>
                <w:szCs w:val="24"/>
              </w:rPr>
            </w:pPr>
            <w:r>
              <w:rPr>
                <w:rFonts w:hint="eastAsia"/>
                <w:snapToGrid w:val="0"/>
                <w:color w:val="auto"/>
                <w:kern w:val="21"/>
                <w:sz w:val="24"/>
                <w:szCs w:val="24"/>
              </w:rPr>
              <w:t>/</w:t>
            </w:r>
          </w:p>
        </w:tc>
        <w:tc>
          <w:tcPr>
            <w:tcW w:w="1701" w:type="dxa"/>
            <w:vAlign w:val="center"/>
          </w:tcPr>
          <w:p w14:paraId="46963122">
            <w:pPr>
              <w:pStyle w:val="55"/>
              <w:autoSpaceDE/>
              <w:autoSpaceDN/>
              <w:adjustRightInd/>
              <w:snapToGrid/>
              <w:ind w:left="0" w:leftChars="0" w:firstLine="0" w:firstLineChars="0"/>
              <w:rPr>
                <w:snapToGrid w:val="0"/>
                <w:color w:val="auto"/>
                <w:kern w:val="21"/>
                <w:sz w:val="24"/>
                <w:szCs w:val="24"/>
              </w:rPr>
            </w:pPr>
            <w:r>
              <w:rPr>
                <w:rFonts w:hint="eastAsia"/>
                <w:snapToGrid w:val="0"/>
                <w:color w:val="auto"/>
                <w:kern w:val="21"/>
                <w:sz w:val="24"/>
                <w:szCs w:val="24"/>
              </w:rPr>
              <w:t>/</w:t>
            </w:r>
          </w:p>
        </w:tc>
        <w:tc>
          <w:tcPr>
            <w:tcW w:w="1559" w:type="dxa"/>
            <w:vAlign w:val="center"/>
          </w:tcPr>
          <w:p w14:paraId="0AE7B8FA">
            <w:pPr>
              <w:jc w:val="center"/>
              <w:rPr>
                <w:color w:val="auto"/>
                <w:sz w:val="24"/>
              </w:rPr>
            </w:pPr>
            <w:r>
              <w:rPr>
                <w:rFonts w:hint="eastAsia"/>
                <w:color w:val="auto"/>
                <w:sz w:val="24"/>
              </w:rPr>
              <w:t>955.5t/a</w:t>
            </w:r>
          </w:p>
        </w:tc>
        <w:tc>
          <w:tcPr>
            <w:tcW w:w="1613" w:type="dxa"/>
            <w:vAlign w:val="center"/>
          </w:tcPr>
          <w:p w14:paraId="76AFF734">
            <w:pPr>
              <w:jc w:val="center"/>
              <w:rPr>
                <w:color w:val="auto"/>
                <w:sz w:val="24"/>
              </w:rPr>
            </w:pPr>
            <w:r>
              <w:rPr>
                <w:rFonts w:hint="eastAsia"/>
                <w:color w:val="auto"/>
                <w:sz w:val="24"/>
              </w:rPr>
              <w:t>/</w:t>
            </w:r>
          </w:p>
        </w:tc>
        <w:tc>
          <w:tcPr>
            <w:tcW w:w="1665" w:type="dxa"/>
            <w:vAlign w:val="center"/>
          </w:tcPr>
          <w:p w14:paraId="57AB826C">
            <w:pPr>
              <w:jc w:val="center"/>
              <w:rPr>
                <w:color w:val="auto"/>
                <w:sz w:val="24"/>
              </w:rPr>
            </w:pPr>
            <w:r>
              <w:rPr>
                <w:rFonts w:hint="eastAsia"/>
                <w:color w:val="auto"/>
                <w:sz w:val="24"/>
              </w:rPr>
              <w:t>1255.5t/a</w:t>
            </w:r>
          </w:p>
        </w:tc>
        <w:tc>
          <w:tcPr>
            <w:tcW w:w="1588" w:type="dxa"/>
            <w:vAlign w:val="center"/>
          </w:tcPr>
          <w:p w14:paraId="69B73EE0">
            <w:pPr>
              <w:jc w:val="center"/>
              <w:rPr>
                <w:color w:val="auto"/>
                <w:sz w:val="24"/>
              </w:rPr>
            </w:pPr>
            <w:r>
              <w:rPr>
                <w:rFonts w:hint="eastAsia"/>
                <w:color w:val="auto"/>
                <w:sz w:val="24"/>
              </w:rPr>
              <w:t>+1255.5t/a</w:t>
            </w:r>
          </w:p>
        </w:tc>
      </w:tr>
      <w:tr w14:paraId="68E41A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6E0313EA">
            <w:pPr>
              <w:pStyle w:val="55"/>
              <w:autoSpaceDE/>
              <w:autoSpaceDN/>
              <w:adjustRightInd/>
              <w:snapToGrid/>
              <w:ind w:left="0" w:leftChars="0" w:firstLine="0" w:firstLineChars="0"/>
              <w:rPr>
                <w:snapToGrid w:val="0"/>
                <w:color w:val="auto"/>
                <w:kern w:val="21"/>
                <w:sz w:val="24"/>
                <w:szCs w:val="24"/>
              </w:rPr>
            </w:pPr>
          </w:p>
        </w:tc>
        <w:tc>
          <w:tcPr>
            <w:tcW w:w="1417" w:type="dxa"/>
            <w:vAlign w:val="center"/>
          </w:tcPr>
          <w:p w14:paraId="071FD79F">
            <w:pPr>
              <w:jc w:val="center"/>
              <w:rPr>
                <w:color w:val="auto"/>
                <w:sz w:val="24"/>
              </w:rPr>
            </w:pPr>
            <w:r>
              <w:rPr>
                <w:rFonts w:hint="eastAsia"/>
                <w:color w:val="auto"/>
                <w:sz w:val="24"/>
              </w:rPr>
              <w:t>筛分杂质</w:t>
            </w:r>
          </w:p>
        </w:tc>
        <w:tc>
          <w:tcPr>
            <w:tcW w:w="1701" w:type="dxa"/>
            <w:vAlign w:val="center"/>
          </w:tcPr>
          <w:p w14:paraId="6B9F998B">
            <w:pPr>
              <w:pStyle w:val="55"/>
              <w:autoSpaceDE/>
              <w:autoSpaceDN/>
              <w:adjustRightInd/>
              <w:snapToGrid/>
              <w:ind w:left="0" w:leftChars="0" w:firstLine="0" w:firstLineChars="0"/>
              <w:rPr>
                <w:color w:val="auto"/>
                <w:sz w:val="24"/>
                <w:szCs w:val="24"/>
              </w:rPr>
            </w:pPr>
            <w:r>
              <w:rPr>
                <w:color w:val="auto"/>
                <w:sz w:val="24"/>
                <w:szCs w:val="24"/>
              </w:rPr>
              <w:t>0t/a</w:t>
            </w:r>
          </w:p>
        </w:tc>
        <w:tc>
          <w:tcPr>
            <w:tcW w:w="1276" w:type="dxa"/>
            <w:vAlign w:val="center"/>
          </w:tcPr>
          <w:p w14:paraId="64D25ED5">
            <w:pPr>
              <w:pStyle w:val="55"/>
              <w:autoSpaceDE/>
              <w:autoSpaceDN/>
              <w:adjustRightInd/>
              <w:snapToGrid/>
              <w:ind w:left="0" w:leftChars="0" w:firstLine="0" w:firstLineChars="0"/>
              <w:rPr>
                <w:snapToGrid w:val="0"/>
                <w:color w:val="auto"/>
                <w:kern w:val="21"/>
                <w:sz w:val="24"/>
                <w:szCs w:val="24"/>
              </w:rPr>
            </w:pPr>
            <w:r>
              <w:rPr>
                <w:rFonts w:hint="eastAsia"/>
                <w:snapToGrid w:val="0"/>
                <w:color w:val="auto"/>
                <w:kern w:val="21"/>
                <w:sz w:val="24"/>
                <w:szCs w:val="24"/>
              </w:rPr>
              <w:t>/</w:t>
            </w:r>
          </w:p>
        </w:tc>
        <w:tc>
          <w:tcPr>
            <w:tcW w:w="1701" w:type="dxa"/>
            <w:vAlign w:val="center"/>
          </w:tcPr>
          <w:p w14:paraId="758CFC99">
            <w:pPr>
              <w:pStyle w:val="55"/>
              <w:autoSpaceDE/>
              <w:autoSpaceDN/>
              <w:adjustRightInd/>
              <w:snapToGrid/>
              <w:ind w:left="0" w:leftChars="0" w:firstLine="0" w:firstLineChars="0"/>
              <w:rPr>
                <w:snapToGrid w:val="0"/>
                <w:color w:val="auto"/>
                <w:kern w:val="21"/>
                <w:sz w:val="24"/>
                <w:szCs w:val="24"/>
              </w:rPr>
            </w:pPr>
            <w:r>
              <w:rPr>
                <w:rFonts w:hint="eastAsia"/>
                <w:snapToGrid w:val="0"/>
                <w:color w:val="auto"/>
                <w:kern w:val="21"/>
                <w:sz w:val="24"/>
                <w:szCs w:val="24"/>
              </w:rPr>
              <w:t>/</w:t>
            </w:r>
          </w:p>
        </w:tc>
        <w:tc>
          <w:tcPr>
            <w:tcW w:w="1559" w:type="dxa"/>
            <w:vAlign w:val="center"/>
          </w:tcPr>
          <w:p w14:paraId="3CC37703">
            <w:pPr>
              <w:jc w:val="center"/>
              <w:rPr>
                <w:color w:val="auto"/>
                <w:sz w:val="24"/>
              </w:rPr>
            </w:pPr>
            <w:r>
              <w:rPr>
                <w:rFonts w:hint="eastAsia"/>
                <w:color w:val="auto"/>
                <w:sz w:val="24"/>
              </w:rPr>
              <w:t>1.0t/a</w:t>
            </w:r>
          </w:p>
        </w:tc>
        <w:tc>
          <w:tcPr>
            <w:tcW w:w="1613" w:type="dxa"/>
            <w:vAlign w:val="center"/>
          </w:tcPr>
          <w:p w14:paraId="31B98AA1">
            <w:pPr>
              <w:jc w:val="center"/>
              <w:rPr>
                <w:color w:val="auto"/>
                <w:sz w:val="24"/>
              </w:rPr>
            </w:pPr>
          </w:p>
        </w:tc>
        <w:tc>
          <w:tcPr>
            <w:tcW w:w="1665" w:type="dxa"/>
            <w:vAlign w:val="center"/>
          </w:tcPr>
          <w:p w14:paraId="3608027A">
            <w:pPr>
              <w:jc w:val="center"/>
              <w:rPr>
                <w:color w:val="auto"/>
                <w:sz w:val="24"/>
              </w:rPr>
            </w:pPr>
            <w:r>
              <w:rPr>
                <w:rFonts w:hint="eastAsia"/>
                <w:color w:val="auto"/>
                <w:sz w:val="24"/>
              </w:rPr>
              <w:t>1.0t/a</w:t>
            </w:r>
          </w:p>
        </w:tc>
        <w:tc>
          <w:tcPr>
            <w:tcW w:w="1588" w:type="dxa"/>
            <w:vAlign w:val="center"/>
          </w:tcPr>
          <w:p w14:paraId="6C53E0CD">
            <w:pPr>
              <w:jc w:val="center"/>
              <w:rPr>
                <w:color w:val="auto"/>
                <w:sz w:val="24"/>
              </w:rPr>
            </w:pPr>
            <w:r>
              <w:rPr>
                <w:rFonts w:hint="eastAsia"/>
                <w:color w:val="auto"/>
                <w:sz w:val="24"/>
              </w:rPr>
              <w:t>+1.0t/a</w:t>
            </w:r>
          </w:p>
        </w:tc>
      </w:tr>
      <w:tr w14:paraId="799FBB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11DB534A">
            <w:pPr>
              <w:pStyle w:val="55"/>
              <w:autoSpaceDE/>
              <w:autoSpaceDN/>
              <w:adjustRightInd/>
              <w:snapToGrid/>
              <w:ind w:left="0" w:leftChars="0" w:firstLine="0" w:firstLineChars="0"/>
              <w:rPr>
                <w:snapToGrid w:val="0"/>
                <w:color w:val="auto"/>
                <w:kern w:val="21"/>
                <w:sz w:val="24"/>
                <w:szCs w:val="24"/>
              </w:rPr>
            </w:pPr>
          </w:p>
        </w:tc>
        <w:tc>
          <w:tcPr>
            <w:tcW w:w="1417" w:type="dxa"/>
            <w:vAlign w:val="center"/>
          </w:tcPr>
          <w:p w14:paraId="2616FCF9">
            <w:pPr>
              <w:jc w:val="center"/>
              <w:rPr>
                <w:color w:val="auto"/>
                <w:sz w:val="24"/>
              </w:rPr>
            </w:pPr>
            <w:r>
              <w:rPr>
                <w:rFonts w:hint="eastAsia"/>
                <w:color w:val="auto"/>
                <w:sz w:val="24"/>
              </w:rPr>
              <w:t>废包装材料</w:t>
            </w:r>
          </w:p>
        </w:tc>
        <w:tc>
          <w:tcPr>
            <w:tcW w:w="1701" w:type="dxa"/>
            <w:vAlign w:val="center"/>
          </w:tcPr>
          <w:p w14:paraId="5AF3B40C">
            <w:pPr>
              <w:pStyle w:val="55"/>
              <w:autoSpaceDE/>
              <w:autoSpaceDN/>
              <w:adjustRightInd/>
              <w:snapToGrid/>
              <w:ind w:left="0" w:leftChars="0" w:firstLine="0" w:firstLineChars="0"/>
              <w:rPr>
                <w:color w:val="auto"/>
                <w:sz w:val="24"/>
                <w:szCs w:val="24"/>
              </w:rPr>
            </w:pPr>
            <w:r>
              <w:rPr>
                <w:color w:val="auto"/>
                <w:sz w:val="24"/>
                <w:szCs w:val="24"/>
              </w:rPr>
              <w:t>0.5t/a</w:t>
            </w:r>
          </w:p>
        </w:tc>
        <w:tc>
          <w:tcPr>
            <w:tcW w:w="1276" w:type="dxa"/>
            <w:vAlign w:val="center"/>
          </w:tcPr>
          <w:p w14:paraId="524F1729">
            <w:pPr>
              <w:pStyle w:val="55"/>
              <w:autoSpaceDE/>
              <w:autoSpaceDN/>
              <w:adjustRightInd/>
              <w:snapToGrid/>
              <w:ind w:left="0" w:leftChars="0" w:firstLine="0" w:firstLineChars="0"/>
              <w:rPr>
                <w:snapToGrid w:val="0"/>
                <w:color w:val="auto"/>
                <w:kern w:val="21"/>
                <w:sz w:val="24"/>
                <w:szCs w:val="24"/>
              </w:rPr>
            </w:pPr>
            <w:r>
              <w:rPr>
                <w:rFonts w:hint="eastAsia"/>
                <w:snapToGrid w:val="0"/>
                <w:color w:val="auto"/>
                <w:kern w:val="21"/>
                <w:sz w:val="24"/>
                <w:szCs w:val="24"/>
              </w:rPr>
              <w:t>/</w:t>
            </w:r>
          </w:p>
        </w:tc>
        <w:tc>
          <w:tcPr>
            <w:tcW w:w="1701" w:type="dxa"/>
            <w:vAlign w:val="center"/>
          </w:tcPr>
          <w:p w14:paraId="3F3861D4">
            <w:pPr>
              <w:pStyle w:val="55"/>
              <w:autoSpaceDE/>
              <w:autoSpaceDN/>
              <w:adjustRightInd/>
              <w:snapToGrid/>
              <w:ind w:left="0" w:leftChars="0" w:firstLine="0" w:firstLineChars="0"/>
              <w:rPr>
                <w:snapToGrid w:val="0"/>
                <w:color w:val="auto"/>
                <w:kern w:val="21"/>
                <w:sz w:val="24"/>
                <w:szCs w:val="24"/>
              </w:rPr>
            </w:pPr>
            <w:r>
              <w:rPr>
                <w:rFonts w:hint="eastAsia"/>
                <w:snapToGrid w:val="0"/>
                <w:color w:val="auto"/>
                <w:kern w:val="21"/>
                <w:sz w:val="24"/>
                <w:szCs w:val="24"/>
              </w:rPr>
              <w:t>/</w:t>
            </w:r>
          </w:p>
        </w:tc>
        <w:tc>
          <w:tcPr>
            <w:tcW w:w="1559" w:type="dxa"/>
            <w:vAlign w:val="center"/>
          </w:tcPr>
          <w:p w14:paraId="710DC500">
            <w:pPr>
              <w:jc w:val="center"/>
              <w:rPr>
                <w:color w:val="auto"/>
                <w:sz w:val="24"/>
              </w:rPr>
            </w:pPr>
            <w:r>
              <w:rPr>
                <w:rFonts w:hint="eastAsia"/>
                <w:color w:val="auto"/>
                <w:sz w:val="24"/>
              </w:rPr>
              <w:t>2.0t/a</w:t>
            </w:r>
          </w:p>
        </w:tc>
        <w:tc>
          <w:tcPr>
            <w:tcW w:w="1613" w:type="dxa"/>
            <w:vAlign w:val="center"/>
          </w:tcPr>
          <w:p w14:paraId="384B79AD">
            <w:pPr>
              <w:jc w:val="center"/>
              <w:rPr>
                <w:color w:val="auto"/>
                <w:sz w:val="24"/>
              </w:rPr>
            </w:pPr>
          </w:p>
        </w:tc>
        <w:tc>
          <w:tcPr>
            <w:tcW w:w="1665" w:type="dxa"/>
            <w:vAlign w:val="center"/>
          </w:tcPr>
          <w:p w14:paraId="4287B23F">
            <w:pPr>
              <w:jc w:val="center"/>
              <w:rPr>
                <w:color w:val="auto"/>
                <w:sz w:val="24"/>
              </w:rPr>
            </w:pPr>
            <w:r>
              <w:rPr>
                <w:rFonts w:hint="eastAsia"/>
                <w:color w:val="auto"/>
                <w:sz w:val="24"/>
              </w:rPr>
              <w:t>2.5t/a</w:t>
            </w:r>
          </w:p>
        </w:tc>
        <w:tc>
          <w:tcPr>
            <w:tcW w:w="1588" w:type="dxa"/>
            <w:vAlign w:val="center"/>
          </w:tcPr>
          <w:p w14:paraId="6ACDF0E7">
            <w:pPr>
              <w:jc w:val="center"/>
              <w:rPr>
                <w:color w:val="auto"/>
                <w:sz w:val="24"/>
              </w:rPr>
            </w:pPr>
            <w:r>
              <w:rPr>
                <w:rFonts w:hint="eastAsia"/>
                <w:color w:val="auto"/>
                <w:sz w:val="24"/>
              </w:rPr>
              <w:t>+2.0t/a</w:t>
            </w:r>
          </w:p>
        </w:tc>
      </w:tr>
      <w:tr w14:paraId="2595CC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7FF5EC8F">
            <w:pPr>
              <w:pStyle w:val="55"/>
              <w:autoSpaceDE/>
              <w:autoSpaceDN/>
              <w:adjustRightInd/>
              <w:snapToGrid/>
              <w:ind w:left="0" w:leftChars="0" w:firstLine="0" w:firstLineChars="0"/>
              <w:rPr>
                <w:snapToGrid w:val="0"/>
                <w:color w:val="auto"/>
                <w:kern w:val="21"/>
                <w:sz w:val="24"/>
                <w:szCs w:val="24"/>
              </w:rPr>
            </w:pPr>
          </w:p>
        </w:tc>
        <w:tc>
          <w:tcPr>
            <w:tcW w:w="1417" w:type="dxa"/>
            <w:vAlign w:val="center"/>
          </w:tcPr>
          <w:p w14:paraId="188138D7">
            <w:pPr>
              <w:jc w:val="center"/>
              <w:rPr>
                <w:color w:val="auto"/>
                <w:sz w:val="24"/>
              </w:rPr>
            </w:pPr>
            <w:r>
              <w:rPr>
                <w:rFonts w:hint="eastAsia"/>
                <w:color w:val="auto"/>
                <w:sz w:val="24"/>
              </w:rPr>
              <w:t>废模框</w:t>
            </w:r>
          </w:p>
        </w:tc>
        <w:tc>
          <w:tcPr>
            <w:tcW w:w="1701" w:type="dxa"/>
            <w:vAlign w:val="center"/>
          </w:tcPr>
          <w:p w14:paraId="306E5291">
            <w:pPr>
              <w:pStyle w:val="55"/>
              <w:autoSpaceDE/>
              <w:autoSpaceDN/>
              <w:adjustRightInd/>
              <w:snapToGrid/>
              <w:ind w:left="0" w:leftChars="0" w:firstLine="0" w:firstLineChars="0"/>
              <w:rPr>
                <w:color w:val="auto"/>
                <w:sz w:val="24"/>
                <w:szCs w:val="24"/>
              </w:rPr>
            </w:pPr>
            <w:r>
              <w:rPr>
                <w:color w:val="auto"/>
                <w:sz w:val="24"/>
                <w:szCs w:val="24"/>
              </w:rPr>
              <w:t>0.3t/a</w:t>
            </w:r>
          </w:p>
        </w:tc>
        <w:tc>
          <w:tcPr>
            <w:tcW w:w="1276" w:type="dxa"/>
            <w:vAlign w:val="center"/>
          </w:tcPr>
          <w:p w14:paraId="136262F0">
            <w:pPr>
              <w:pStyle w:val="55"/>
              <w:autoSpaceDE/>
              <w:autoSpaceDN/>
              <w:adjustRightInd/>
              <w:snapToGrid/>
              <w:ind w:left="0" w:leftChars="0" w:firstLine="0" w:firstLineChars="0"/>
              <w:rPr>
                <w:snapToGrid w:val="0"/>
                <w:color w:val="auto"/>
                <w:kern w:val="21"/>
                <w:sz w:val="24"/>
                <w:szCs w:val="24"/>
              </w:rPr>
            </w:pPr>
            <w:r>
              <w:rPr>
                <w:rFonts w:hint="eastAsia"/>
                <w:snapToGrid w:val="0"/>
                <w:color w:val="auto"/>
                <w:kern w:val="21"/>
                <w:sz w:val="24"/>
                <w:szCs w:val="24"/>
              </w:rPr>
              <w:t>/</w:t>
            </w:r>
          </w:p>
        </w:tc>
        <w:tc>
          <w:tcPr>
            <w:tcW w:w="1701" w:type="dxa"/>
            <w:vAlign w:val="center"/>
          </w:tcPr>
          <w:p w14:paraId="407A57FF">
            <w:pPr>
              <w:pStyle w:val="55"/>
              <w:autoSpaceDE/>
              <w:autoSpaceDN/>
              <w:adjustRightInd/>
              <w:snapToGrid/>
              <w:ind w:left="0" w:leftChars="0" w:firstLine="0" w:firstLineChars="0"/>
              <w:rPr>
                <w:snapToGrid w:val="0"/>
                <w:color w:val="auto"/>
                <w:kern w:val="21"/>
                <w:sz w:val="24"/>
                <w:szCs w:val="24"/>
              </w:rPr>
            </w:pPr>
            <w:r>
              <w:rPr>
                <w:rFonts w:hint="eastAsia"/>
                <w:snapToGrid w:val="0"/>
                <w:color w:val="auto"/>
                <w:kern w:val="21"/>
                <w:sz w:val="24"/>
                <w:szCs w:val="24"/>
              </w:rPr>
              <w:t>/</w:t>
            </w:r>
          </w:p>
        </w:tc>
        <w:tc>
          <w:tcPr>
            <w:tcW w:w="1559" w:type="dxa"/>
            <w:vAlign w:val="center"/>
          </w:tcPr>
          <w:p w14:paraId="308E9E11">
            <w:pPr>
              <w:jc w:val="center"/>
              <w:rPr>
                <w:color w:val="auto"/>
                <w:sz w:val="24"/>
              </w:rPr>
            </w:pPr>
            <w:r>
              <w:rPr>
                <w:rFonts w:hint="eastAsia"/>
                <w:color w:val="auto"/>
                <w:sz w:val="24"/>
              </w:rPr>
              <w:t>0.9t/a</w:t>
            </w:r>
          </w:p>
        </w:tc>
        <w:tc>
          <w:tcPr>
            <w:tcW w:w="1613" w:type="dxa"/>
            <w:vAlign w:val="center"/>
          </w:tcPr>
          <w:p w14:paraId="6A52B024">
            <w:pPr>
              <w:jc w:val="center"/>
              <w:rPr>
                <w:color w:val="auto"/>
                <w:sz w:val="24"/>
              </w:rPr>
            </w:pPr>
          </w:p>
        </w:tc>
        <w:tc>
          <w:tcPr>
            <w:tcW w:w="1665" w:type="dxa"/>
            <w:vAlign w:val="center"/>
          </w:tcPr>
          <w:p w14:paraId="013C373D">
            <w:pPr>
              <w:jc w:val="center"/>
              <w:rPr>
                <w:color w:val="auto"/>
                <w:sz w:val="24"/>
              </w:rPr>
            </w:pPr>
            <w:r>
              <w:rPr>
                <w:rFonts w:hint="eastAsia"/>
                <w:color w:val="auto"/>
                <w:sz w:val="24"/>
              </w:rPr>
              <w:t>1.2t/a</w:t>
            </w:r>
          </w:p>
        </w:tc>
        <w:tc>
          <w:tcPr>
            <w:tcW w:w="1588" w:type="dxa"/>
            <w:vAlign w:val="center"/>
          </w:tcPr>
          <w:p w14:paraId="7E1FD0AF">
            <w:pPr>
              <w:jc w:val="center"/>
              <w:rPr>
                <w:color w:val="auto"/>
                <w:sz w:val="24"/>
              </w:rPr>
            </w:pPr>
            <w:r>
              <w:rPr>
                <w:rFonts w:hint="eastAsia"/>
                <w:color w:val="auto"/>
                <w:sz w:val="24"/>
              </w:rPr>
              <w:t>+0.9t/a</w:t>
            </w:r>
          </w:p>
        </w:tc>
      </w:tr>
      <w:tr w14:paraId="3566F2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restart"/>
            <w:vAlign w:val="center"/>
          </w:tcPr>
          <w:p w14:paraId="7EC9903C">
            <w:pPr>
              <w:pStyle w:val="55"/>
              <w:autoSpaceDE/>
              <w:autoSpaceDN/>
              <w:adjustRightInd/>
              <w:snapToGrid/>
              <w:ind w:left="0" w:leftChars="0" w:firstLine="0" w:firstLineChars="0"/>
              <w:rPr>
                <w:snapToGrid w:val="0"/>
                <w:color w:val="auto"/>
                <w:kern w:val="21"/>
                <w:sz w:val="24"/>
                <w:szCs w:val="24"/>
              </w:rPr>
            </w:pPr>
            <w:r>
              <w:rPr>
                <w:rFonts w:hint="eastAsia"/>
                <w:snapToGrid w:val="0"/>
                <w:color w:val="auto"/>
                <w:kern w:val="21"/>
                <w:sz w:val="24"/>
                <w:szCs w:val="24"/>
              </w:rPr>
              <w:t>危险废物</w:t>
            </w:r>
          </w:p>
        </w:tc>
        <w:tc>
          <w:tcPr>
            <w:tcW w:w="1417" w:type="dxa"/>
            <w:vAlign w:val="center"/>
          </w:tcPr>
          <w:p w14:paraId="15AF3799">
            <w:pPr>
              <w:jc w:val="center"/>
              <w:rPr>
                <w:color w:val="auto"/>
                <w:sz w:val="24"/>
              </w:rPr>
            </w:pPr>
            <w:r>
              <w:rPr>
                <w:rFonts w:hint="eastAsia"/>
                <w:color w:val="auto"/>
                <w:sz w:val="24"/>
              </w:rPr>
              <w:t>废机油</w:t>
            </w:r>
          </w:p>
        </w:tc>
        <w:tc>
          <w:tcPr>
            <w:tcW w:w="1701" w:type="dxa"/>
            <w:vAlign w:val="center"/>
          </w:tcPr>
          <w:p w14:paraId="7DF4AE56">
            <w:pPr>
              <w:pStyle w:val="55"/>
              <w:autoSpaceDE/>
              <w:autoSpaceDN/>
              <w:adjustRightInd/>
              <w:snapToGrid/>
              <w:ind w:left="0" w:leftChars="0" w:firstLine="0" w:firstLineChars="0"/>
              <w:rPr>
                <w:snapToGrid w:val="0"/>
                <w:color w:val="auto"/>
                <w:kern w:val="21"/>
                <w:sz w:val="24"/>
                <w:szCs w:val="24"/>
              </w:rPr>
            </w:pPr>
            <w:r>
              <w:rPr>
                <w:snapToGrid w:val="0"/>
                <w:color w:val="auto"/>
                <w:kern w:val="21"/>
                <w:sz w:val="24"/>
                <w:szCs w:val="24"/>
              </w:rPr>
              <w:t>0.1</w:t>
            </w:r>
            <w:r>
              <w:rPr>
                <w:color w:val="auto"/>
                <w:sz w:val="24"/>
                <w:szCs w:val="24"/>
              </w:rPr>
              <w:t>t/a</w:t>
            </w:r>
          </w:p>
        </w:tc>
        <w:tc>
          <w:tcPr>
            <w:tcW w:w="1276" w:type="dxa"/>
            <w:vAlign w:val="center"/>
          </w:tcPr>
          <w:p w14:paraId="2ED11D91">
            <w:pPr>
              <w:pStyle w:val="55"/>
              <w:autoSpaceDE/>
              <w:autoSpaceDN/>
              <w:adjustRightInd/>
              <w:snapToGrid/>
              <w:ind w:left="0" w:leftChars="0" w:firstLine="0" w:firstLineChars="0"/>
              <w:rPr>
                <w:snapToGrid w:val="0"/>
                <w:color w:val="auto"/>
                <w:kern w:val="21"/>
                <w:sz w:val="24"/>
                <w:szCs w:val="24"/>
              </w:rPr>
            </w:pPr>
            <w:r>
              <w:rPr>
                <w:snapToGrid w:val="0"/>
                <w:color w:val="auto"/>
                <w:kern w:val="21"/>
                <w:sz w:val="24"/>
                <w:szCs w:val="24"/>
              </w:rPr>
              <w:t>/</w:t>
            </w:r>
          </w:p>
        </w:tc>
        <w:tc>
          <w:tcPr>
            <w:tcW w:w="1701" w:type="dxa"/>
            <w:vAlign w:val="center"/>
          </w:tcPr>
          <w:p w14:paraId="27681520">
            <w:pPr>
              <w:pStyle w:val="55"/>
              <w:autoSpaceDE/>
              <w:autoSpaceDN/>
              <w:adjustRightInd/>
              <w:snapToGrid/>
              <w:ind w:left="0" w:leftChars="0" w:firstLine="0" w:firstLineChars="0"/>
              <w:rPr>
                <w:snapToGrid w:val="0"/>
                <w:color w:val="auto"/>
                <w:kern w:val="21"/>
                <w:sz w:val="24"/>
                <w:szCs w:val="24"/>
              </w:rPr>
            </w:pPr>
            <w:r>
              <w:rPr>
                <w:snapToGrid w:val="0"/>
                <w:color w:val="auto"/>
                <w:kern w:val="21"/>
                <w:sz w:val="24"/>
                <w:szCs w:val="24"/>
              </w:rPr>
              <w:t>/</w:t>
            </w:r>
          </w:p>
        </w:tc>
        <w:tc>
          <w:tcPr>
            <w:tcW w:w="1559" w:type="dxa"/>
            <w:vAlign w:val="center"/>
          </w:tcPr>
          <w:p w14:paraId="5EFF311C">
            <w:pPr>
              <w:jc w:val="center"/>
              <w:rPr>
                <w:color w:val="auto"/>
                <w:sz w:val="24"/>
              </w:rPr>
            </w:pPr>
            <w:r>
              <w:rPr>
                <w:rFonts w:hint="eastAsia"/>
                <w:color w:val="auto"/>
                <w:sz w:val="24"/>
              </w:rPr>
              <w:t>0.5t/a</w:t>
            </w:r>
          </w:p>
        </w:tc>
        <w:tc>
          <w:tcPr>
            <w:tcW w:w="1613" w:type="dxa"/>
            <w:vAlign w:val="center"/>
          </w:tcPr>
          <w:p w14:paraId="7F0BD9C2">
            <w:pPr>
              <w:jc w:val="center"/>
              <w:rPr>
                <w:color w:val="auto"/>
                <w:sz w:val="24"/>
              </w:rPr>
            </w:pPr>
            <w:r>
              <w:rPr>
                <w:color w:val="auto"/>
                <w:sz w:val="24"/>
              </w:rPr>
              <w:t>/</w:t>
            </w:r>
          </w:p>
        </w:tc>
        <w:tc>
          <w:tcPr>
            <w:tcW w:w="1665" w:type="dxa"/>
            <w:vAlign w:val="center"/>
          </w:tcPr>
          <w:p w14:paraId="04ADD879">
            <w:pPr>
              <w:jc w:val="center"/>
              <w:rPr>
                <w:color w:val="auto"/>
                <w:sz w:val="24"/>
              </w:rPr>
            </w:pPr>
            <w:r>
              <w:rPr>
                <w:rFonts w:hint="eastAsia"/>
                <w:color w:val="auto"/>
                <w:sz w:val="24"/>
              </w:rPr>
              <w:t>0.6t/a</w:t>
            </w:r>
          </w:p>
        </w:tc>
        <w:tc>
          <w:tcPr>
            <w:tcW w:w="1588" w:type="dxa"/>
            <w:vAlign w:val="center"/>
          </w:tcPr>
          <w:p w14:paraId="1C564A23">
            <w:pPr>
              <w:jc w:val="center"/>
              <w:rPr>
                <w:color w:val="auto"/>
                <w:sz w:val="24"/>
              </w:rPr>
            </w:pPr>
            <w:r>
              <w:rPr>
                <w:color w:val="auto"/>
                <w:sz w:val="24"/>
              </w:rPr>
              <w:t>+</w:t>
            </w:r>
            <w:r>
              <w:rPr>
                <w:rFonts w:hint="eastAsia"/>
                <w:color w:val="auto"/>
                <w:sz w:val="24"/>
              </w:rPr>
              <w:t>0.5t/a</w:t>
            </w:r>
          </w:p>
        </w:tc>
      </w:tr>
      <w:tr w14:paraId="35F557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497918D6">
            <w:pPr>
              <w:pStyle w:val="55"/>
              <w:autoSpaceDE/>
              <w:autoSpaceDN/>
              <w:adjustRightInd/>
              <w:snapToGrid/>
              <w:ind w:left="0" w:leftChars="0" w:firstLine="0" w:firstLineChars="0"/>
              <w:rPr>
                <w:snapToGrid w:val="0"/>
                <w:color w:val="auto"/>
                <w:kern w:val="21"/>
                <w:sz w:val="24"/>
                <w:szCs w:val="24"/>
              </w:rPr>
            </w:pPr>
          </w:p>
        </w:tc>
        <w:tc>
          <w:tcPr>
            <w:tcW w:w="1417" w:type="dxa"/>
            <w:vAlign w:val="center"/>
          </w:tcPr>
          <w:p w14:paraId="45BAADD9">
            <w:pPr>
              <w:jc w:val="center"/>
              <w:rPr>
                <w:color w:val="auto"/>
                <w:sz w:val="24"/>
              </w:rPr>
            </w:pPr>
            <w:r>
              <w:rPr>
                <w:rFonts w:hint="eastAsia"/>
                <w:color w:val="auto"/>
                <w:sz w:val="24"/>
              </w:rPr>
              <w:t>废机油桶</w:t>
            </w:r>
          </w:p>
        </w:tc>
        <w:tc>
          <w:tcPr>
            <w:tcW w:w="1701" w:type="dxa"/>
            <w:vAlign w:val="center"/>
          </w:tcPr>
          <w:p w14:paraId="25AC2B16">
            <w:pPr>
              <w:pStyle w:val="55"/>
              <w:autoSpaceDE/>
              <w:autoSpaceDN/>
              <w:adjustRightInd/>
              <w:snapToGrid/>
              <w:ind w:left="0" w:leftChars="0" w:firstLine="0" w:firstLineChars="0"/>
              <w:rPr>
                <w:snapToGrid w:val="0"/>
                <w:color w:val="auto"/>
                <w:kern w:val="21"/>
                <w:sz w:val="24"/>
                <w:szCs w:val="24"/>
              </w:rPr>
            </w:pPr>
            <w:r>
              <w:rPr>
                <w:snapToGrid w:val="0"/>
                <w:color w:val="auto"/>
                <w:kern w:val="21"/>
                <w:sz w:val="24"/>
                <w:szCs w:val="24"/>
              </w:rPr>
              <w:t>0.5</w:t>
            </w:r>
            <w:r>
              <w:rPr>
                <w:color w:val="auto"/>
                <w:sz w:val="24"/>
                <w:szCs w:val="24"/>
              </w:rPr>
              <w:t>t/a</w:t>
            </w:r>
          </w:p>
        </w:tc>
        <w:tc>
          <w:tcPr>
            <w:tcW w:w="1276" w:type="dxa"/>
            <w:vAlign w:val="center"/>
          </w:tcPr>
          <w:p w14:paraId="58FDA8E2">
            <w:pPr>
              <w:pStyle w:val="55"/>
              <w:autoSpaceDE/>
              <w:autoSpaceDN/>
              <w:adjustRightInd/>
              <w:snapToGrid/>
              <w:ind w:left="0" w:leftChars="0" w:firstLine="0" w:firstLineChars="0"/>
              <w:rPr>
                <w:snapToGrid w:val="0"/>
                <w:color w:val="auto"/>
                <w:kern w:val="21"/>
                <w:sz w:val="24"/>
                <w:szCs w:val="24"/>
              </w:rPr>
            </w:pPr>
            <w:r>
              <w:rPr>
                <w:rFonts w:hint="eastAsia"/>
                <w:snapToGrid w:val="0"/>
                <w:color w:val="auto"/>
                <w:kern w:val="21"/>
                <w:sz w:val="24"/>
                <w:szCs w:val="24"/>
              </w:rPr>
              <w:t>/</w:t>
            </w:r>
          </w:p>
        </w:tc>
        <w:tc>
          <w:tcPr>
            <w:tcW w:w="1701" w:type="dxa"/>
            <w:vAlign w:val="center"/>
          </w:tcPr>
          <w:p w14:paraId="1644C14B">
            <w:pPr>
              <w:pStyle w:val="55"/>
              <w:autoSpaceDE/>
              <w:autoSpaceDN/>
              <w:adjustRightInd/>
              <w:snapToGrid/>
              <w:ind w:left="0" w:leftChars="0" w:firstLine="0" w:firstLineChars="0"/>
              <w:rPr>
                <w:snapToGrid w:val="0"/>
                <w:color w:val="auto"/>
                <w:kern w:val="21"/>
                <w:sz w:val="24"/>
                <w:szCs w:val="24"/>
              </w:rPr>
            </w:pPr>
            <w:r>
              <w:rPr>
                <w:rFonts w:hint="eastAsia"/>
                <w:snapToGrid w:val="0"/>
                <w:color w:val="auto"/>
                <w:kern w:val="21"/>
                <w:sz w:val="24"/>
                <w:szCs w:val="24"/>
              </w:rPr>
              <w:t>/</w:t>
            </w:r>
          </w:p>
        </w:tc>
        <w:tc>
          <w:tcPr>
            <w:tcW w:w="1559" w:type="dxa"/>
            <w:vAlign w:val="center"/>
          </w:tcPr>
          <w:p w14:paraId="66B80FE5">
            <w:pPr>
              <w:jc w:val="center"/>
              <w:rPr>
                <w:color w:val="auto"/>
                <w:sz w:val="24"/>
              </w:rPr>
            </w:pPr>
            <w:r>
              <w:rPr>
                <w:rFonts w:hint="eastAsia"/>
                <w:color w:val="auto"/>
                <w:sz w:val="24"/>
              </w:rPr>
              <w:t>1.0t/a</w:t>
            </w:r>
          </w:p>
        </w:tc>
        <w:tc>
          <w:tcPr>
            <w:tcW w:w="1613" w:type="dxa"/>
            <w:vAlign w:val="center"/>
          </w:tcPr>
          <w:p w14:paraId="3E46A021">
            <w:pPr>
              <w:jc w:val="center"/>
              <w:rPr>
                <w:color w:val="auto"/>
                <w:sz w:val="24"/>
              </w:rPr>
            </w:pPr>
            <w:r>
              <w:rPr>
                <w:rFonts w:hint="eastAsia"/>
                <w:color w:val="auto"/>
                <w:sz w:val="24"/>
              </w:rPr>
              <w:t>/</w:t>
            </w:r>
          </w:p>
        </w:tc>
        <w:tc>
          <w:tcPr>
            <w:tcW w:w="1665" w:type="dxa"/>
            <w:vAlign w:val="center"/>
          </w:tcPr>
          <w:p w14:paraId="3679E6F5">
            <w:pPr>
              <w:jc w:val="center"/>
              <w:rPr>
                <w:color w:val="auto"/>
                <w:sz w:val="24"/>
              </w:rPr>
            </w:pPr>
            <w:r>
              <w:rPr>
                <w:rFonts w:hint="eastAsia"/>
                <w:color w:val="auto"/>
                <w:sz w:val="24"/>
              </w:rPr>
              <w:t>1.5t/a</w:t>
            </w:r>
          </w:p>
        </w:tc>
        <w:tc>
          <w:tcPr>
            <w:tcW w:w="1588" w:type="dxa"/>
            <w:vAlign w:val="center"/>
          </w:tcPr>
          <w:p w14:paraId="7D9E1E17">
            <w:pPr>
              <w:jc w:val="center"/>
              <w:rPr>
                <w:color w:val="auto"/>
                <w:sz w:val="24"/>
              </w:rPr>
            </w:pPr>
            <w:r>
              <w:rPr>
                <w:rFonts w:hint="eastAsia"/>
                <w:color w:val="auto"/>
                <w:sz w:val="24"/>
              </w:rPr>
              <w:t>+1.0t/a</w:t>
            </w:r>
          </w:p>
        </w:tc>
      </w:tr>
    </w:tbl>
    <w:p w14:paraId="20281990">
      <w:pPr>
        <w:pStyle w:val="55"/>
        <w:tabs>
          <w:tab w:val="left" w:pos="9306"/>
        </w:tabs>
        <w:spacing w:before="249" w:beforeLines="80" w:after="24"/>
        <w:ind w:left="840" w:hanging="420"/>
        <w:jc w:val="left"/>
        <w:rPr>
          <w:color w:val="auto"/>
        </w:rPr>
      </w:pPr>
      <w:r>
        <w:rPr>
          <w:rFonts w:hint="eastAsia" w:hAnsi="宋体"/>
          <w:snapToGrid w:val="0"/>
          <w:color w:val="auto"/>
          <w:kern w:val="21"/>
        </w:rPr>
        <w:t>注：</w:t>
      </w:r>
      <w:r>
        <w:rPr>
          <w:rFonts w:hAnsi="宋体"/>
          <w:snapToGrid w:val="0"/>
          <w:color w:val="auto"/>
          <w:spacing w:val="-16"/>
          <w:kern w:val="21"/>
        </w:rPr>
        <w:fldChar w:fldCharType="begin"/>
      </w:r>
      <w:r>
        <w:rPr>
          <w:rFonts w:hAnsi="宋体"/>
          <w:snapToGrid w:val="0"/>
          <w:color w:val="auto"/>
          <w:spacing w:val="-16"/>
          <w:kern w:val="21"/>
        </w:rPr>
        <w:instrText xml:space="preserve"> = 6 \* GB3 \* MERGEFORMAT </w:instrText>
      </w:r>
      <w:r>
        <w:rPr>
          <w:rFonts w:hAnsi="宋体"/>
          <w:snapToGrid w:val="0"/>
          <w:color w:val="auto"/>
          <w:spacing w:val="-16"/>
          <w:kern w:val="21"/>
        </w:rPr>
        <w:fldChar w:fldCharType="separate"/>
      </w:r>
      <w:r>
        <w:rPr>
          <w:rFonts w:hint="eastAsia" w:hAnsi="宋体"/>
          <w:color w:val="auto"/>
        </w:rPr>
        <w:t>⑥</w:t>
      </w:r>
      <w:r>
        <w:rPr>
          <w:rFonts w:hAnsi="宋体"/>
          <w:snapToGrid w:val="0"/>
          <w:color w:val="auto"/>
          <w:spacing w:val="-16"/>
          <w:kern w:val="21"/>
        </w:rPr>
        <w:fldChar w:fldCharType="end"/>
      </w:r>
      <w:r>
        <w:rPr>
          <w:rFonts w:hAnsi="宋体"/>
          <w:snapToGrid w:val="0"/>
          <w:color w:val="auto"/>
          <w:spacing w:val="-16"/>
          <w:kern w:val="21"/>
        </w:rPr>
        <w:t>=</w:t>
      </w:r>
      <w:r>
        <w:rPr>
          <w:rFonts w:hAnsi="宋体"/>
          <w:snapToGrid w:val="0"/>
          <w:color w:val="auto"/>
          <w:spacing w:val="-6"/>
          <w:kern w:val="21"/>
        </w:rPr>
        <w:fldChar w:fldCharType="begin"/>
      </w:r>
      <w:r>
        <w:rPr>
          <w:rFonts w:hAnsi="宋体"/>
          <w:snapToGrid w:val="0"/>
          <w:color w:val="auto"/>
          <w:spacing w:val="-6"/>
          <w:kern w:val="21"/>
        </w:rPr>
        <w:instrText xml:space="preserve"> = 1 \* GB3 \* MERGEFORMAT </w:instrText>
      </w:r>
      <w:r>
        <w:rPr>
          <w:rFonts w:hAnsi="宋体"/>
          <w:snapToGrid w:val="0"/>
          <w:color w:val="auto"/>
          <w:spacing w:val="-6"/>
          <w:kern w:val="21"/>
        </w:rPr>
        <w:fldChar w:fldCharType="separate"/>
      </w:r>
      <w:r>
        <w:rPr>
          <w:rFonts w:hint="eastAsia" w:hAnsi="宋体"/>
          <w:color w:val="auto"/>
        </w:rPr>
        <w:t>①</w:t>
      </w:r>
      <w:r>
        <w:rPr>
          <w:rFonts w:hAnsi="宋体"/>
          <w:snapToGrid w:val="0"/>
          <w:color w:val="auto"/>
          <w:spacing w:val="-6"/>
          <w:kern w:val="21"/>
        </w:rPr>
        <w:fldChar w:fldCharType="end"/>
      </w:r>
      <w:r>
        <w:rPr>
          <w:rFonts w:hAnsi="宋体"/>
          <w:snapToGrid w:val="0"/>
          <w:color w:val="auto"/>
          <w:spacing w:val="-6"/>
          <w:kern w:val="21"/>
        </w:rPr>
        <w:t>+</w:t>
      </w:r>
      <w:r>
        <w:rPr>
          <w:rFonts w:hAnsi="宋体"/>
          <w:snapToGrid w:val="0"/>
          <w:color w:val="auto"/>
          <w:spacing w:val="-6"/>
          <w:kern w:val="21"/>
        </w:rPr>
        <w:fldChar w:fldCharType="begin"/>
      </w:r>
      <w:r>
        <w:rPr>
          <w:rFonts w:hAnsi="宋体"/>
          <w:snapToGrid w:val="0"/>
          <w:color w:val="auto"/>
          <w:spacing w:val="-6"/>
          <w:kern w:val="21"/>
        </w:rPr>
        <w:instrText xml:space="preserve"> = 3 \* GB3 \* MERGEFORMAT </w:instrText>
      </w:r>
      <w:r>
        <w:rPr>
          <w:rFonts w:hAnsi="宋体"/>
          <w:snapToGrid w:val="0"/>
          <w:color w:val="auto"/>
          <w:spacing w:val="-6"/>
          <w:kern w:val="21"/>
        </w:rPr>
        <w:fldChar w:fldCharType="separate"/>
      </w:r>
      <w:r>
        <w:rPr>
          <w:rFonts w:hint="eastAsia" w:hAnsi="宋体"/>
          <w:color w:val="auto"/>
        </w:rPr>
        <w:t>③</w:t>
      </w:r>
      <w:r>
        <w:rPr>
          <w:rFonts w:hAnsi="宋体"/>
          <w:snapToGrid w:val="0"/>
          <w:color w:val="auto"/>
          <w:spacing w:val="-6"/>
          <w:kern w:val="21"/>
        </w:rPr>
        <w:fldChar w:fldCharType="end"/>
      </w:r>
      <w:r>
        <w:rPr>
          <w:rFonts w:hAnsi="宋体"/>
          <w:snapToGrid w:val="0"/>
          <w:color w:val="auto"/>
          <w:spacing w:val="-6"/>
          <w:kern w:val="21"/>
        </w:rPr>
        <w:t>+</w:t>
      </w:r>
      <w:r>
        <w:rPr>
          <w:rFonts w:hAnsi="宋体"/>
          <w:snapToGrid w:val="0"/>
          <w:color w:val="auto"/>
          <w:spacing w:val="-6"/>
          <w:kern w:val="21"/>
        </w:rPr>
        <w:fldChar w:fldCharType="begin"/>
      </w:r>
      <w:r>
        <w:rPr>
          <w:rFonts w:hAnsi="宋体"/>
          <w:snapToGrid w:val="0"/>
          <w:color w:val="auto"/>
          <w:spacing w:val="-6"/>
          <w:kern w:val="21"/>
        </w:rPr>
        <w:instrText xml:space="preserve"> = 4 \* GB3 \* MERGEFORMAT </w:instrText>
      </w:r>
      <w:r>
        <w:rPr>
          <w:rFonts w:hAnsi="宋体"/>
          <w:snapToGrid w:val="0"/>
          <w:color w:val="auto"/>
          <w:spacing w:val="-6"/>
          <w:kern w:val="21"/>
        </w:rPr>
        <w:fldChar w:fldCharType="separate"/>
      </w:r>
      <w:r>
        <w:rPr>
          <w:rFonts w:hint="eastAsia" w:hAnsi="宋体"/>
          <w:color w:val="auto"/>
        </w:rPr>
        <w:t>④</w:t>
      </w:r>
      <w:r>
        <w:rPr>
          <w:rFonts w:hAnsi="宋体"/>
          <w:snapToGrid w:val="0"/>
          <w:color w:val="auto"/>
          <w:spacing w:val="-6"/>
          <w:kern w:val="21"/>
        </w:rPr>
        <w:fldChar w:fldCharType="end"/>
      </w:r>
      <w:r>
        <w:rPr>
          <w:rFonts w:hAnsi="宋体"/>
          <w:snapToGrid w:val="0"/>
          <w:color w:val="auto"/>
          <w:spacing w:val="-6"/>
          <w:kern w:val="21"/>
        </w:rPr>
        <w:t>-</w:t>
      </w:r>
      <w:r>
        <w:rPr>
          <w:rFonts w:hAnsi="宋体"/>
          <w:snapToGrid w:val="0"/>
          <w:color w:val="auto"/>
          <w:spacing w:val="-16"/>
          <w:kern w:val="21"/>
        </w:rPr>
        <w:fldChar w:fldCharType="begin"/>
      </w:r>
      <w:r>
        <w:rPr>
          <w:rFonts w:hAnsi="宋体"/>
          <w:snapToGrid w:val="0"/>
          <w:color w:val="auto"/>
          <w:spacing w:val="-16"/>
          <w:kern w:val="21"/>
        </w:rPr>
        <w:instrText xml:space="preserve"> = 5 \* GB3 \* MERGEFORMAT </w:instrText>
      </w:r>
      <w:r>
        <w:rPr>
          <w:rFonts w:hAnsi="宋体"/>
          <w:snapToGrid w:val="0"/>
          <w:color w:val="auto"/>
          <w:spacing w:val="-16"/>
          <w:kern w:val="21"/>
        </w:rPr>
        <w:fldChar w:fldCharType="separate"/>
      </w:r>
      <w:r>
        <w:rPr>
          <w:rFonts w:hint="eastAsia" w:hAnsi="宋体"/>
          <w:color w:val="auto"/>
        </w:rPr>
        <w:t>⑤</w:t>
      </w:r>
      <w:r>
        <w:rPr>
          <w:rFonts w:hAnsi="宋体"/>
          <w:snapToGrid w:val="0"/>
          <w:color w:val="auto"/>
          <w:spacing w:val="-16"/>
          <w:kern w:val="21"/>
        </w:rPr>
        <w:fldChar w:fldCharType="end"/>
      </w:r>
      <w:r>
        <w:rPr>
          <w:rFonts w:hint="eastAsia" w:hAnsi="宋体"/>
          <w:snapToGrid w:val="0"/>
          <w:color w:val="auto"/>
          <w:spacing w:val="-16"/>
          <w:kern w:val="21"/>
        </w:rPr>
        <w:t>；</w:t>
      </w:r>
      <w:r>
        <w:rPr>
          <w:rFonts w:hAnsi="宋体"/>
          <w:snapToGrid w:val="0"/>
          <w:color w:val="auto"/>
          <w:spacing w:val="-6"/>
          <w:kern w:val="21"/>
        </w:rPr>
        <w:fldChar w:fldCharType="begin"/>
      </w:r>
      <w:r>
        <w:rPr>
          <w:rFonts w:hAnsi="宋体"/>
          <w:snapToGrid w:val="0"/>
          <w:color w:val="auto"/>
          <w:spacing w:val="-6"/>
          <w:kern w:val="21"/>
        </w:rPr>
        <w:instrText xml:space="preserve"> = 7 \* GB3 \* MERGEFORMAT </w:instrText>
      </w:r>
      <w:r>
        <w:rPr>
          <w:rFonts w:hAnsi="宋体"/>
          <w:snapToGrid w:val="0"/>
          <w:color w:val="auto"/>
          <w:spacing w:val="-6"/>
          <w:kern w:val="21"/>
        </w:rPr>
        <w:fldChar w:fldCharType="separate"/>
      </w:r>
      <w:r>
        <w:rPr>
          <w:rFonts w:hint="eastAsia" w:hAnsi="宋体"/>
          <w:color w:val="auto"/>
        </w:rPr>
        <w:t>⑦</w:t>
      </w:r>
      <w:r>
        <w:rPr>
          <w:rFonts w:hAnsi="宋体"/>
          <w:snapToGrid w:val="0"/>
          <w:color w:val="auto"/>
          <w:spacing w:val="-6"/>
          <w:kern w:val="21"/>
        </w:rPr>
        <w:fldChar w:fldCharType="end"/>
      </w:r>
      <w:r>
        <w:rPr>
          <w:rFonts w:hAnsi="宋体"/>
          <w:snapToGrid w:val="0"/>
          <w:color w:val="auto"/>
          <w:spacing w:val="-6"/>
          <w:kern w:val="21"/>
        </w:rPr>
        <w:t>=</w:t>
      </w:r>
      <w:r>
        <w:rPr>
          <w:rFonts w:hAnsi="宋体"/>
          <w:snapToGrid w:val="0"/>
          <w:color w:val="auto"/>
          <w:spacing w:val="-16"/>
          <w:kern w:val="21"/>
        </w:rPr>
        <w:fldChar w:fldCharType="begin"/>
      </w:r>
      <w:r>
        <w:rPr>
          <w:rFonts w:hAnsi="宋体"/>
          <w:snapToGrid w:val="0"/>
          <w:color w:val="auto"/>
          <w:spacing w:val="-16"/>
          <w:kern w:val="21"/>
        </w:rPr>
        <w:instrText xml:space="preserve"> = 6 \* GB3 \* MERGEFORMAT </w:instrText>
      </w:r>
      <w:r>
        <w:rPr>
          <w:rFonts w:hAnsi="宋体"/>
          <w:snapToGrid w:val="0"/>
          <w:color w:val="auto"/>
          <w:spacing w:val="-16"/>
          <w:kern w:val="21"/>
        </w:rPr>
        <w:fldChar w:fldCharType="separate"/>
      </w:r>
      <w:r>
        <w:rPr>
          <w:rFonts w:hint="eastAsia" w:hAnsi="宋体"/>
          <w:color w:val="auto"/>
        </w:rPr>
        <w:t>⑥</w:t>
      </w:r>
      <w:r>
        <w:rPr>
          <w:rFonts w:hAnsi="宋体"/>
          <w:snapToGrid w:val="0"/>
          <w:color w:val="auto"/>
          <w:spacing w:val="-16"/>
          <w:kern w:val="21"/>
        </w:rPr>
        <w:fldChar w:fldCharType="end"/>
      </w:r>
      <w:r>
        <w:rPr>
          <w:rFonts w:hAnsi="宋体"/>
          <w:snapToGrid w:val="0"/>
          <w:color w:val="auto"/>
          <w:spacing w:val="-16"/>
          <w:kern w:val="21"/>
        </w:rPr>
        <w:t>-</w:t>
      </w:r>
      <w:r>
        <w:rPr>
          <w:rFonts w:hAnsi="宋体"/>
          <w:snapToGrid w:val="0"/>
          <w:color w:val="auto"/>
          <w:spacing w:val="-6"/>
          <w:kern w:val="21"/>
        </w:rPr>
        <w:fldChar w:fldCharType="begin"/>
      </w:r>
      <w:r>
        <w:rPr>
          <w:rFonts w:hAnsi="宋体"/>
          <w:snapToGrid w:val="0"/>
          <w:color w:val="auto"/>
          <w:spacing w:val="-6"/>
          <w:kern w:val="21"/>
        </w:rPr>
        <w:instrText xml:space="preserve"> = 1 \* GB3 \* MERGEFORMAT </w:instrText>
      </w:r>
      <w:r>
        <w:rPr>
          <w:rFonts w:hAnsi="宋体"/>
          <w:snapToGrid w:val="0"/>
          <w:color w:val="auto"/>
          <w:spacing w:val="-6"/>
          <w:kern w:val="21"/>
        </w:rPr>
        <w:fldChar w:fldCharType="separate"/>
      </w:r>
      <w:r>
        <w:rPr>
          <w:rFonts w:hint="eastAsia" w:hAnsi="宋体"/>
          <w:color w:val="auto"/>
        </w:rPr>
        <w:t>①</w:t>
      </w:r>
      <w:r>
        <w:rPr>
          <w:rFonts w:hAnsi="宋体"/>
          <w:snapToGrid w:val="0"/>
          <w:color w:val="auto"/>
          <w:spacing w:val="-6"/>
          <w:kern w:val="21"/>
        </w:rPr>
        <w:fldChar w:fldCharType="end"/>
      </w:r>
    </w:p>
    <w:p w14:paraId="3D6973CB">
      <w:pPr>
        <w:pStyle w:val="14"/>
        <w:rPr>
          <w:rFonts w:ascii="Times New Roman" w:hAnsi="Times New Roman"/>
          <w:b/>
          <w:bCs/>
          <w:color w:val="auto"/>
          <w:sz w:val="30"/>
          <w:szCs w:val="30"/>
        </w:rPr>
      </w:pPr>
    </w:p>
    <w:sectPr>
      <w:pgSz w:w="16838" w:h="11906" w:orient="landscape"/>
      <w:pgMar w:top="1746" w:right="1440" w:bottom="1689"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18030">
    <w:altName w:val="宋体"/>
    <w:panose1 w:val="00000000000000000000"/>
    <w:charset w:val="00"/>
    <w:family w:val="auto"/>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ACF3C50" w:usb2="00000016" w:usb3="00000000" w:csb0="0004001F" w:csb1="00000000"/>
  </w:font>
  <w:font w:name="方正小标宋_GBK">
    <w:altName w:val="微软雅黑"/>
    <w:panose1 w:val="00000000000000000000"/>
    <w:charset w:val="86"/>
    <w:family w:val="script"/>
    <w:pitch w:val="default"/>
    <w:sig w:usb0="00000000" w:usb1="00000000" w:usb2="00082016" w:usb3="00000000" w:csb0="00040001"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B5810C">
    <w:pPr>
      <w:pStyle w:val="1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6DFB3A">
                          <w:pPr>
                            <w:pStyle w:val="1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336DFB3A">
                    <w:pPr>
                      <w:pStyle w:val="15"/>
                    </w:pPr>
                    <w:r>
                      <w:fldChar w:fldCharType="begin"/>
                    </w:r>
                    <w:r>
                      <w:instrText xml:space="preserve"> PAGE  \* MERGEFORMAT </w:instrText>
                    </w:r>
                    <w:r>
                      <w:fldChar w:fldCharType="separate"/>
                    </w:r>
                    <w: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93E0F6"/>
    <w:multiLevelType w:val="singleLevel"/>
    <w:tmpl w:val="8393E0F6"/>
    <w:lvl w:ilvl="0" w:tentative="0">
      <w:start w:val="1"/>
      <w:numFmt w:val="decimal"/>
      <w:suff w:val="nothing"/>
      <w:lvlText w:val="%1"/>
      <w:lvlJc w:val="center"/>
      <w:pPr>
        <w:tabs>
          <w:tab w:val="left" w:pos="4995"/>
        </w:tabs>
        <w:ind w:left="5079" w:firstLine="0"/>
      </w:pPr>
      <w:rPr>
        <w:rFonts w:hint="default"/>
      </w:rPr>
    </w:lvl>
  </w:abstractNum>
  <w:abstractNum w:abstractNumId="1">
    <w:nsid w:val="BD7C58C5"/>
    <w:multiLevelType w:val="singleLevel"/>
    <w:tmpl w:val="BD7C58C5"/>
    <w:lvl w:ilvl="0" w:tentative="0">
      <w:start w:val="1"/>
      <w:numFmt w:val="decimal"/>
      <w:suff w:val="nothing"/>
      <w:lvlText w:val="%1"/>
      <w:lvlJc w:val="left"/>
      <w:pPr>
        <w:tabs>
          <w:tab w:val="left" w:pos="420"/>
        </w:tabs>
        <w:ind w:left="0" w:firstLine="0"/>
      </w:pPr>
      <w:rPr>
        <w:rFonts w:hint="default"/>
      </w:rPr>
    </w:lvl>
  </w:abstractNum>
  <w:abstractNum w:abstractNumId="2">
    <w:nsid w:val="C51FD12F"/>
    <w:multiLevelType w:val="singleLevel"/>
    <w:tmpl w:val="C51FD12F"/>
    <w:lvl w:ilvl="0" w:tentative="0">
      <w:start w:val="1"/>
      <w:numFmt w:val="decimal"/>
      <w:suff w:val="nothing"/>
      <w:lvlText w:val="（%1）"/>
      <w:lvlJc w:val="left"/>
      <w:rPr>
        <w:rFonts w:hint="default" w:ascii="Times New Roman" w:hAnsi="Times New Roman" w:cs="Times New Roman"/>
        <w:sz w:val="24"/>
        <w:szCs w:val="24"/>
      </w:rPr>
    </w:lvl>
  </w:abstractNum>
  <w:abstractNum w:abstractNumId="3">
    <w:nsid w:val="0000000B"/>
    <w:multiLevelType w:val="singleLevel"/>
    <w:tmpl w:val="0000000B"/>
    <w:lvl w:ilvl="0" w:tentative="0">
      <w:start w:val="1"/>
      <w:numFmt w:val="decimal"/>
      <w:suff w:val="nothing"/>
      <w:lvlText w:val="表2-%1  "/>
      <w:lvlJc w:val="center"/>
      <w:pPr>
        <w:tabs>
          <w:tab w:val="left" w:pos="0"/>
        </w:tabs>
        <w:ind w:left="0" w:firstLine="0"/>
      </w:pPr>
      <w:rPr>
        <w:rFonts w:hint="default" w:ascii="Times New Roman" w:hAnsi="Times New Roman" w:eastAsia="宋体" w:cs="宋体"/>
        <w:b/>
        <w:sz w:val="24"/>
        <w:szCs w:val="21"/>
      </w:rPr>
    </w:lvl>
  </w:abstractNum>
  <w:abstractNum w:abstractNumId="4">
    <w:nsid w:val="41862CA9"/>
    <w:multiLevelType w:val="multilevel"/>
    <w:tmpl w:val="41862CA9"/>
    <w:lvl w:ilvl="0" w:tentative="0">
      <w:start w:val="1"/>
      <w:numFmt w:val="decimal"/>
      <w:suff w:val="space"/>
      <w:lvlText w:val="%1"/>
      <w:lvlJc w:val="left"/>
      <w:pPr>
        <w:ind w:left="0" w:firstLine="0"/>
      </w:pPr>
      <w:rPr>
        <w:rFonts w:hint="eastAsia"/>
        <w:sz w:val="30"/>
        <w:szCs w:val="30"/>
      </w:rPr>
    </w:lvl>
    <w:lvl w:ilvl="1" w:tentative="0">
      <w:start w:val="1"/>
      <w:numFmt w:val="decimal"/>
      <w:pStyle w:val="35"/>
      <w:suff w:val="space"/>
      <w:lvlText w:val="%1.%2"/>
      <w:lvlJc w:val="left"/>
      <w:pPr>
        <w:ind w:left="0" w:firstLine="0"/>
      </w:pPr>
      <w:rPr>
        <w:rFonts w:hint="default" w:ascii="Arial" w:hAnsi="Arial"/>
      </w:rPr>
    </w:lvl>
    <w:lvl w:ilvl="2" w:tentative="0">
      <w:start w:val="1"/>
      <w:numFmt w:val="decimal"/>
      <w:suff w:val="space"/>
      <w:lvlText w:val="%1.%2.%3"/>
      <w:lvlJc w:val="left"/>
      <w:pPr>
        <w:ind w:left="994" w:hanging="426"/>
      </w:pPr>
      <w:rPr>
        <w:rFonts w:hint="default" w:ascii="Arial" w:hAnsi="Arial"/>
      </w:rPr>
    </w:lvl>
    <w:lvl w:ilvl="3" w:tentative="0">
      <w:start w:val="1"/>
      <w:numFmt w:val="decimal"/>
      <w:suff w:val="nothing"/>
      <w:lvlText w:val="%1.%2.%3.%4"/>
      <w:lvlJc w:val="left"/>
      <w:pPr>
        <w:ind w:left="851" w:hanging="851"/>
      </w:pPr>
      <w:rPr>
        <w:rFonts w:hint="eastAsia"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
    <w:nsid w:val="47DCF8A0"/>
    <w:multiLevelType w:val="singleLevel"/>
    <w:tmpl w:val="47DCF8A0"/>
    <w:lvl w:ilvl="0" w:tentative="0">
      <w:start w:val="1"/>
      <w:numFmt w:val="decimal"/>
      <w:suff w:val="nothing"/>
      <w:lvlText w:val="（%1）"/>
      <w:lvlJc w:val="left"/>
    </w:lvl>
  </w:abstractNum>
  <w:num w:numId="1">
    <w:abstractNumId w:val="4"/>
  </w:num>
  <w:num w:numId="2">
    <w:abstractNumId w:val="3"/>
  </w:num>
  <w:num w:numId="3">
    <w:abstractNumId w:val="1"/>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2B06053"/>
    <w:rsid w:val="000342B0"/>
    <w:rsid w:val="001136DD"/>
    <w:rsid w:val="003B7365"/>
    <w:rsid w:val="00430141"/>
    <w:rsid w:val="004A5322"/>
    <w:rsid w:val="00505528"/>
    <w:rsid w:val="006334D6"/>
    <w:rsid w:val="009461F3"/>
    <w:rsid w:val="009C60C8"/>
    <w:rsid w:val="00AE21B8"/>
    <w:rsid w:val="00AF04EB"/>
    <w:rsid w:val="00C06E0C"/>
    <w:rsid w:val="00C357EB"/>
    <w:rsid w:val="00C379B8"/>
    <w:rsid w:val="00C80754"/>
    <w:rsid w:val="00C83DB5"/>
    <w:rsid w:val="00F431B9"/>
    <w:rsid w:val="010173E3"/>
    <w:rsid w:val="016F0A91"/>
    <w:rsid w:val="01804A4C"/>
    <w:rsid w:val="01995B0E"/>
    <w:rsid w:val="0227311A"/>
    <w:rsid w:val="023A4BFB"/>
    <w:rsid w:val="024A6B88"/>
    <w:rsid w:val="02AA57D9"/>
    <w:rsid w:val="02FC0103"/>
    <w:rsid w:val="038A1BB2"/>
    <w:rsid w:val="04A15406"/>
    <w:rsid w:val="05670789"/>
    <w:rsid w:val="05CF7265"/>
    <w:rsid w:val="05F9301F"/>
    <w:rsid w:val="0664493D"/>
    <w:rsid w:val="06DE1876"/>
    <w:rsid w:val="07A131C5"/>
    <w:rsid w:val="08CC4A1B"/>
    <w:rsid w:val="08E41D65"/>
    <w:rsid w:val="096E57FF"/>
    <w:rsid w:val="09B05AF2"/>
    <w:rsid w:val="09B12F53"/>
    <w:rsid w:val="0A5D1DCF"/>
    <w:rsid w:val="0A650D3F"/>
    <w:rsid w:val="0A7F7F97"/>
    <w:rsid w:val="0B9A670B"/>
    <w:rsid w:val="0C580AA0"/>
    <w:rsid w:val="0C6C713C"/>
    <w:rsid w:val="0CEC5CE7"/>
    <w:rsid w:val="0D2210AE"/>
    <w:rsid w:val="0D6671EC"/>
    <w:rsid w:val="0E2826F4"/>
    <w:rsid w:val="0E3039C1"/>
    <w:rsid w:val="0F073DDF"/>
    <w:rsid w:val="0F0B474C"/>
    <w:rsid w:val="0F3D2CE6"/>
    <w:rsid w:val="0F9A13CF"/>
    <w:rsid w:val="101051ED"/>
    <w:rsid w:val="10B95F0C"/>
    <w:rsid w:val="11C04D4D"/>
    <w:rsid w:val="11F8492D"/>
    <w:rsid w:val="122D652B"/>
    <w:rsid w:val="12980F35"/>
    <w:rsid w:val="12C0609E"/>
    <w:rsid w:val="13B14F39"/>
    <w:rsid w:val="13B81E24"/>
    <w:rsid w:val="145F6F6C"/>
    <w:rsid w:val="16490BF4"/>
    <w:rsid w:val="167A09B1"/>
    <w:rsid w:val="17935082"/>
    <w:rsid w:val="18167A61"/>
    <w:rsid w:val="189E6E29"/>
    <w:rsid w:val="18BF1EA7"/>
    <w:rsid w:val="18C94AD3"/>
    <w:rsid w:val="192F0DDA"/>
    <w:rsid w:val="193C0975"/>
    <w:rsid w:val="194128BC"/>
    <w:rsid w:val="195B16B9"/>
    <w:rsid w:val="1A393593"/>
    <w:rsid w:val="1A951111"/>
    <w:rsid w:val="1ADF238C"/>
    <w:rsid w:val="1AF13750"/>
    <w:rsid w:val="1B010432"/>
    <w:rsid w:val="1BBB516C"/>
    <w:rsid w:val="1C441FDC"/>
    <w:rsid w:val="1D725739"/>
    <w:rsid w:val="1E7251EA"/>
    <w:rsid w:val="1F0E3293"/>
    <w:rsid w:val="1F53128A"/>
    <w:rsid w:val="1FCC2438"/>
    <w:rsid w:val="1FF97A4C"/>
    <w:rsid w:val="201C308A"/>
    <w:rsid w:val="208F63AA"/>
    <w:rsid w:val="210F6A95"/>
    <w:rsid w:val="21156E7B"/>
    <w:rsid w:val="216929AF"/>
    <w:rsid w:val="219C2D85"/>
    <w:rsid w:val="22625D7D"/>
    <w:rsid w:val="22CF0F38"/>
    <w:rsid w:val="22EB5E41"/>
    <w:rsid w:val="23014C38"/>
    <w:rsid w:val="23201794"/>
    <w:rsid w:val="242B2707"/>
    <w:rsid w:val="246A3ACB"/>
    <w:rsid w:val="246D6C5B"/>
    <w:rsid w:val="24AC1531"/>
    <w:rsid w:val="250E5595"/>
    <w:rsid w:val="256B13EC"/>
    <w:rsid w:val="25B212FD"/>
    <w:rsid w:val="260B2C5C"/>
    <w:rsid w:val="262477ED"/>
    <w:rsid w:val="270C54E6"/>
    <w:rsid w:val="28017DE6"/>
    <w:rsid w:val="2874261D"/>
    <w:rsid w:val="28784D1F"/>
    <w:rsid w:val="2AF14141"/>
    <w:rsid w:val="2B7B1C5D"/>
    <w:rsid w:val="2C0B1EB7"/>
    <w:rsid w:val="2CA64AB8"/>
    <w:rsid w:val="2D88753D"/>
    <w:rsid w:val="2DE83C4D"/>
    <w:rsid w:val="2E0E500A"/>
    <w:rsid w:val="2E232138"/>
    <w:rsid w:val="2E24069D"/>
    <w:rsid w:val="2E7B2FD1"/>
    <w:rsid w:val="2F30068F"/>
    <w:rsid w:val="2F782CC6"/>
    <w:rsid w:val="30801AC4"/>
    <w:rsid w:val="309646AE"/>
    <w:rsid w:val="30EF07B5"/>
    <w:rsid w:val="3119173B"/>
    <w:rsid w:val="312C0E59"/>
    <w:rsid w:val="316D3DF6"/>
    <w:rsid w:val="32423949"/>
    <w:rsid w:val="32655415"/>
    <w:rsid w:val="32917FB8"/>
    <w:rsid w:val="32C91500"/>
    <w:rsid w:val="3337290D"/>
    <w:rsid w:val="334B460B"/>
    <w:rsid w:val="33541711"/>
    <w:rsid w:val="33784CD4"/>
    <w:rsid w:val="338956F5"/>
    <w:rsid w:val="341D14DA"/>
    <w:rsid w:val="34384B8F"/>
    <w:rsid w:val="34C44675"/>
    <w:rsid w:val="35067E71"/>
    <w:rsid w:val="35380BBF"/>
    <w:rsid w:val="35F1226D"/>
    <w:rsid w:val="3627310D"/>
    <w:rsid w:val="36783DDF"/>
    <w:rsid w:val="3724764D"/>
    <w:rsid w:val="37A61E10"/>
    <w:rsid w:val="37C130EE"/>
    <w:rsid w:val="380F3E59"/>
    <w:rsid w:val="385C5F52"/>
    <w:rsid w:val="38DD3780"/>
    <w:rsid w:val="3909042B"/>
    <w:rsid w:val="390E5EBF"/>
    <w:rsid w:val="391E1026"/>
    <w:rsid w:val="39E06351"/>
    <w:rsid w:val="3A080BE1"/>
    <w:rsid w:val="3A7C284C"/>
    <w:rsid w:val="3AC058DE"/>
    <w:rsid w:val="3AC95E1B"/>
    <w:rsid w:val="3AFC596C"/>
    <w:rsid w:val="3B63202C"/>
    <w:rsid w:val="3B726A2E"/>
    <w:rsid w:val="3BAC19BF"/>
    <w:rsid w:val="3BBA232E"/>
    <w:rsid w:val="3C160222"/>
    <w:rsid w:val="3C574020"/>
    <w:rsid w:val="3CC616A7"/>
    <w:rsid w:val="3CE04016"/>
    <w:rsid w:val="3D4756E6"/>
    <w:rsid w:val="3DB122E7"/>
    <w:rsid w:val="3DBF6A48"/>
    <w:rsid w:val="3E080D4E"/>
    <w:rsid w:val="3E3F4D6C"/>
    <w:rsid w:val="3ECF4342"/>
    <w:rsid w:val="3F255D10"/>
    <w:rsid w:val="3FA61074"/>
    <w:rsid w:val="40CF0629"/>
    <w:rsid w:val="40EB2F89"/>
    <w:rsid w:val="41B846B1"/>
    <w:rsid w:val="41C37A62"/>
    <w:rsid w:val="41F63994"/>
    <w:rsid w:val="42366486"/>
    <w:rsid w:val="424A4629"/>
    <w:rsid w:val="42664FBD"/>
    <w:rsid w:val="427B022A"/>
    <w:rsid w:val="428E1E1E"/>
    <w:rsid w:val="42B21FB1"/>
    <w:rsid w:val="43A64DE7"/>
    <w:rsid w:val="43C2709E"/>
    <w:rsid w:val="44861627"/>
    <w:rsid w:val="44EE4DF6"/>
    <w:rsid w:val="44FE14DD"/>
    <w:rsid w:val="451B7573"/>
    <w:rsid w:val="45A8769B"/>
    <w:rsid w:val="45EE1552"/>
    <w:rsid w:val="45F35DA4"/>
    <w:rsid w:val="46284338"/>
    <w:rsid w:val="462B1A82"/>
    <w:rsid w:val="46804174"/>
    <w:rsid w:val="46841EB6"/>
    <w:rsid w:val="46BF6A4A"/>
    <w:rsid w:val="46F25071"/>
    <w:rsid w:val="47DE0990"/>
    <w:rsid w:val="483D1893"/>
    <w:rsid w:val="490C4003"/>
    <w:rsid w:val="4943251C"/>
    <w:rsid w:val="49C01457"/>
    <w:rsid w:val="49E12311"/>
    <w:rsid w:val="4A1B48DF"/>
    <w:rsid w:val="4A3B221C"/>
    <w:rsid w:val="4B6C3036"/>
    <w:rsid w:val="4BBE3EC0"/>
    <w:rsid w:val="4C716172"/>
    <w:rsid w:val="4C87625C"/>
    <w:rsid w:val="4D15023A"/>
    <w:rsid w:val="4DAE5A6A"/>
    <w:rsid w:val="4DED20EF"/>
    <w:rsid w:val="4E0D2791"/>
    <w:rsid w:val="4E2708BB"/>
    <w:rsid w:val="4E481A1B"/>
    <w:rsid w:val="4E704ACE"/>
    <w:rsid w:val="4E811FB7"/>
    <w:rsid w:val="4F1B712F"/>
    <w:rsid w:val="4F4E7E9B"/>
    <w:rsid w:val="4FAE3B00"/>
    <w:rsid w:val="4FAF11C7"/>
    <w:rsid w:val="4FC64A91"/>
    <w:rsid w:val="4FC9093A"/>
    <w:rsid w:val="5032028D"/>
    <w:rsid w:val="503404A9"/>
    <w:rsid w:val="5055503D"/>
    <w:rsid w:val="50585DB8"/>
    <w:rsid w:val="50F6750C"/>
    <w:rsid w:val="514E559A"/>
    <w:rsid w:val="530F0D59"/>
    <w:rsid w:val="53246ECE"/>
    <w:rsid w:val="53446C55"/>
    <w:rsid w:val="53F71AF1"/>
    <w:rsid w:val="541D74A6"/>
    <w:rsid w:val="544F0FEA"/>
    <w:rsid w:val="54754BEC"/>
    <w:rsid w:val="549A0AF6"/>
    <w:rsid w:val="54B716A8"/>
    <w:rsid w:val="54FB77E7"/>
    <w:rsid w:val="55B55BE8"/>
    <w:rsid w:val="562E7748"/>
    <w:rsid w:val="567A298E"/>
    <w:rsid w:val="56BC6B02"/>
    <w:rsid w:val="581D1822"/>
    <w:rsid w:val="58F92290"/>
    <w:rsid w:val="594159E5"/>
    <w:rsid w:val="596F60AE"/>
    <w:rsid w:val="59EE791A"/>
    <w:rsid w:val="5B6065F6"/>
    <w:rsid w:val="5C250119"/>
    <w:rsid w:val="5C2E163D"/>
    <w:rsid w:val="5C6171FB"/>
    <w:rsid w:val="5C827377"/>
    <w:rsid w:val="5CA975F9"/>
    <w:rsid w:val="5D2373AA"/>
    <w:rsid w:val="5D794B00"/>
    <w:rsid w:val="5D81369C"/>
    <w:rsid w:val="5E96232F"/>
    <w:rsid w:val="5EAE58CA"/>
    <w:rsid w:val="5EB46155"/>
    <w:rsid w:val="5EF332DD"/>
    <w:rsid w:val="5F1F2324"/>
    <w:rsid w:val="5F265461"/>
    <w:rsid w:val="611063C8"/>
    <w:rsid w:val="613D1187"/>
    <w:rsid w:val="61CB6793"/>
    <w:rsid w:val="61D70C94"/>
    <w:rsid w:val="61E92171"/>
    <w:rsid w:val="624E5F76"/>
    <w:rsid w:val="62A11CF0"/>
    <w:rsid w:val="62F34AE7"/>
    <w:rsid w:val="63367C3C"/>
    <w:rsid w:val="633F2F95"/>
    <w:rsid w:val="63DA241B"/>
    <w:rsid w:val="63DC6EDD"/>
    <w:rsid w:val="63E1404C"/>
    <w:rsid w:val="642B176B"/>
    <w:rsid w:val="64BB489D"/>
    <w:rsid w:val="64BE438D"/>
    <w:rsid w:val="64F93617"/>
    <w:rsid w:val="65271F32"/>
    <w:rsid w:val="66DB1226"/>
    <w:rsid w:val="672C3830"/>
    <w:rsid w:val="674566A0"/>
    <w:rsid w:val="674E7C4A"/>
    <w:rsid w:val="687152A7"/>
    <w:rsid w:val="68AB6599"/>
    <w:rsid w:val="690F79D4"/>
    <w:rsid w:val="69DC008B"/>
    <w:rsid w:val="69F66377"/>
    <w:rsid w:val="6A070584"/>
    <w:rsid w:val="6A205706"/>
    <w:rsid w:val="6A386990"/>
    <w:rsid w:val="6A6508E6"/>
    <w:rsid w:val="6A7654C6"/>
    <w:rsid w:val="6AA70ABD"/>
    <w:rsid w:val="6AA875D6"/>
    <w:rsid w:val="6AB37DC4"/>
    <w:rsid w:val="6B0A20DA"/>
    <w:rsid w:val="6B830D9E"/>
    <w:rsid w:val="6BCF0C2E"/>
    <w:rsid w:val="6C603AAE"/>
    <w:rsid w:val="6D285DB2"/>
    <w:rsid w:val="6D415B5B"/>
    <w:rsid w:val="6D5C4995"/>
    <w:rsid w:val="6D9739CD"/>
    <w:rsid w:val="6D981C1F"/>
    <w:rsid w:val="6DBA7698"/>
    <w:rsid w:val="6DFA6436"/>
    <w:rsid w:val="6E971ED7"/>
    <w:rsid w:val="6F046E40"/>
    <w:rsid w:val="6F2F210F"/>
    <w:rsid w:val="6F3F0FBC"/>
    <w:rsid w:val="6FA80114"/>
    <w:rsid w:val="70544BEF"/>
    <w:rsid w:val="707324D0"/>
    <w:rsid w:val="70F11827"/>
    <w:rsid w:val="71EF202A"/>
    <w:rsid w:val="72B06053"/>
    <w:rsid w:val="72DC25AE"/>
    <w:rsid w:val="72F01C9E"/>
    <w:rsid w:val="73104006"/>
    <w:rsid w:val="731D3F85"/>
    <w:rsid w:val="737C169B"/>
    <w:rsid w:val="73A62BBC"/>
    <w:rsid w:val="74225BA3"/>
    <w:rsid w:val="74890514"/>
    <w:rsid w:val="74C4658C"/>
    <w:rsid w:val="74D70462"/>
    <w:rsid w:val="755521A4"/>
    <w:rsid w:val="7575257F"/>
    <w:rsid w:val="75E11C8A"/>
    <w:rsid w:val="760D6F22"/>
    <w:rsid w:val="764D37C3"/>
    <w:rsid w:val="77277B70"/>
    <w:rsid w:val="773A0A2A"/>
    <w:rsid w:val="77EE653D"/>
    <w:rsid w:val="78006D3F"/>
    <w:rsid w:val="780A2D68"/>
    <w:rsid w:val="787C57E1"/>
    <w:rsid w:val="78C1440E"/>
    <w:rsid w:val="79825532"/>
    <w:rsid w:val="7A03714A"/>
    <w:rsid w:val="7B424F78"/>
    <w:rsid w:val="7B7535A0"/>
    <w:rsid w:val="7B7905ED"/>
    <w:rsid w:val="7BDD410A"/>
    <w:rsid w:val="7BE84056"/>
    <w:rsid w:val="7BEB1AB4"/>
    <w:rsid w:val="7C34026E"/>
    <w:rsid w:val="7C403C88"/>
    <w:rsid w:val="7C594C70"/>
    <w:rsid w:val="7C9E6B26"/>
    <w:rsid w:val="7D083FA0"/>
    <w:rsid w:val="7D4E22FA"/>
    <w:rsid w:val="7DA63EE4"/>
    <w:rsid w:val="7E5F5E41"/>
    <w:rsid w:val="7EC16AFC"/>
    <w:rsid w:val="7FC20D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35" w:semiHidden="0" w:name="caption"/>
    <w:lsdException w:qFormat="1" w:uiPriority="99"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qFormat/>
    <w:uiPriority w:val="0"/>
    <w:pPr>
      <w:keepNext/>
      <w:keepLines/>
      <w:adjustRightInd w:val="0"/>
      <w:spacing w:line="348" w:lineRule="auto"/>
      <w:textAlignment w:val="baseline"/>
      <w:outlineLvl w:val="1"/>
    </w:pPr>
    <w:rPr>
      <w:b/>
      <w:bCs/>
      <w:kern w:val="0"/>
      <w:sz w:val="28"/>
      <w:szCs w:val="28"/>
    </w:rPr>
  </w:style>
  <w:style w:type="paragraph" w:styleId="2">
    <w:name w:val="heading 3"/>
    <w:basedOn w:val="1"/>
    <w:next w:val="1"/>
    <w:unhideWhenUsed/>
    <w:qFormat/>
    <w:uiPriority w:val="0"/>
    <w:pPr>
      <w:keepNext/>
      <w:keepLines/>
      <w:spacing w:line="360" w:lineRule="auto"/>
      <w:jc w:val="left"/>
      <w:outlineLvl w:val="2"/>
    </w:pPr>
    <w:rPr>
      <w:rFonts w:asciiTheme="minorHAnsi" w:hAnsiTheme="minorHAnsi"/>
      <w:b/>
    </w:rPr>
  </w:style>
  <w:style w:type="paragraph" w:styleId="4">
    <w:name w:val="heading 4"/>
    <w:basedOn w:val="1"/>
    <w:next w:val="1"/>
    <w:qFormat/>
    <w:uiPriority w:val="0"/>
    <w:pPr>
      <w:outlineLvl w:val="3"/>
    </w:pPr>
    <w:rPr>
      <w:rFonts w:ascii="宋体" w:hAnsi="宋体"/>
      <w:b/>
      <w:bCs/>
      <w:sz w:val="24"/>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5">
    <w:name w:val="List 3"/>
    <w:basedOn w:val="1"/>
    <w:next w:val="1"/>
    <w:qFormat/>
    <w:uiPriority w:val="0"/>
    <w:pPr>
      <w:spacing w:line="288" w:lineRule="auto"/>
      <w:ind w:left="1260" w:hanging="420"/>
    </w:pPr>
    <w:rPr>
      <w:sz w:val="24"/>
      <w:szCs w:val="20"/>
    </w:rPr>
  </w:style>
  <w:style w:type="paragraph" w:styleId="6">
    <w:name w:val="Normal Indent"/>
    <w:basedOn w:val="1"/>
    <w:next w:val="1"/>
    <w:qFormat/>
    <w:uiPriority w:val="0"/>
    <w:pPr>
      <w:ind w:firstLine="200" w:firstLineChars="200"/>
    </w:pPr>
    <w:rPr>
      <w:sz w:val="28"/>
    </w:rPr>
  </w:style>
  <w:style w:type="paragraph" w:styleId="7">
    <w:name w:val="caption"/>
    <w:basedOn w:val="1"/>
    <w:next w:val="1"/>
    <w:qFormat/>
    <w:uiPriority w:val="35"/>
    <w:pPr>
      <w:spacing w:before="120" w:line="360" w:lineRule="auto"/>
      <w:jc w:val="center"/>
    </w:pPr>
    <w:rPr>
      <w:rFonts w:eastAsia="黑体"/>
      <w:szCs w:val="20"/>
    </w:rPr>
  </w:style>
  <w:style w:type="paragraph" w:styleId="8">
    <w:name w:val="annotation text"/>
    <w:basedOn w:val="1"/>
    <w:link w:val="68"/>
    <w:qFormat/>
    <w:uiPriority w:val="0"/>
    <w:rPr>
      <w:sz w:val="24"/>
      <w:szCs w:val="20"/>
    </w:rPr>
  </w:style>
  <w:style w:type="paragraph" w:styleId="9">
    <w:name w:val="Body Text"/>
    <w:basedOn w:val="1"/>
    <w:next w:val="10"/>
    <w:semiHidden/>
    <w:qFormat/>
    <w:uiPriority w:val="0"/>
  </w:style>
  <w:style w:type="paragraph" w:customStyle="1" w:styleId="10">
    <w:name w:val="xl27"/>
    <w:basedOn w:val="1"/>
    <w:next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rPr>
  </w:style>
  <w:style w:type="paragraph" w:styleId="11">
    <w:name w:val="Body Text Indent"/>
    <w:basedOn w:val="1"/>
    <w:next w:val="12"/>
    <w:qFormat/>
    <w:uiPriority w:val="0"/>
    <w:pPr>
      <w:spacing w:after="120"/>
      <w:ind w:left="420" w:leftChars="200"/>
    </w:pPr>
    <w:rPr>
      <w:kern w:val="0"/>
      <w:sz w:val="24"/>
      <w:szCs w:val="20"/>
    </w:rPr>
  </w:style>
  <w:style w:type="paragraph" w:styleId="12">
    <w:name w:val="Body Text Indent 2"/>
    <w:basedOn w:val="1"/>
    <w:next w:val="13"/>
    <w:qFormat/>
    <w:uiPriority w:val="0"/>
    <w:pPr>
      <w:ind w:left="435"/>
    </w:pPr>
    <w:rPr>
      <w:sz w:val="24"/>
    </w:rPr>
  </w:style>
  <w:style w:type="paragraph" w:styleId="13">
    <w:name w:val="Body Text First Indent 2"/>
    <w:basedOn w:val="11"/>
    <w:next w:val="1"/>
    <w:qFormat/>
    <w:uiPriority w:val="99"/>
    <w:pPr>
      <w:ind w:firstLine="420" w:firstLineChars="200"/>
    </w:pPr>
    <w:rPr>
      <w:szCs w:val="24"/>
    </w:rPr>
  </w:style>
  <w:style w:type="paragraph" w:styleId="14">
    <w:name w:val="Plain Text"/>
    <w:basedOn w:val="1"/>
    <w:unhideWhenUsed/>
    <w:qFormat/>
    <w:uiPriority w:val="0"/>
    <w:pPr>
      <w:spacing w:before="120" w:line="400" w:lineRule="exact"/>
    </w:pPr>
    <w:rPr>
      <w:rFonts w:ascii="宋体" w:hAnsi="Courier New"/>
      <w:spacing w:val="-2"/>
      <w:kern w:val="28"/>
      <w:szCs w:val="20"/>
    </w:rPr>
  </w:style>
  <w:style w:type="paragraph" w:styleId="15">
    <w:name w:val="footer"/>
    <w:basedOn w:val="1"/>
    <w:qFormat/>
    <w:uiPriority w:val="0"/>
    <w:pPr>
      <w:tabs>
        <w:tab w:val="center" w:pos="4153"/>
        <w:tab w:val="right" w:pos="8306"/>
      </w:tabs>
      <w:snapToGrid w:val="0"/>
      <w:jc w:val="left"/>
    </w:pPr>
    <w:rPr>
      <w:sz w:val="18"/>
    </w:rPr>
  </w:style>
  <w:style w:type="paragraph" w:styleId="16">
    <w:name w:val="envelope return"/>
    <w:basedOn w:val="1"/>
    <w:unhideWhenUsed/>
    <w:qFormat/>
    <w:uiPriority w:val="99"/>
    <w:pPr>
      <w:snapToGrid w:val="0"/>
    </w:pPr>
    <w:rPr>
      <w:rFonts w:ascii="Arial" w:hAnsi="Arial"/>
    </w:rPr>
  </w:style>
  <w:style w:type="paragraph" w:styleId="17">
    <w:name w:val="header"/>
    <w:basedOn w:val="1"/>
    <w:next w:val="9"/>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8">
    <w:name w:val="List"/>
    <w:basedOn w:val="1"/>
    <w:next w:val="9"/>
    <w:qFormat/>
    <w:uiPriority w:val="0"/>
    <w:pPr>
      <w:ind w:left="200" w:hanging="200" w:hangingChars="200"/>
    </w:pPr>
  </w:style>
  <w:style w:type="paragraph" w:styleId="19">
    <w:name w:val="table of figures"/>
    <w:basedOn w:val="1"/>
    <w:next w:val="1"/>
    <w:unhideWhenUsed/>
    <w:qFormat/>
    <w:uiPriority w:val="99"/>
    <w:pPr>
      <w:ind w:left="200" w:leftChars="200" w:hanging="200" w:hangingChars="200"/>
    </w:pPr>
  </w:style>
  <w:style w:type="paragraph" w:styleId="20">
    <w:name w:val="Body Text 2"/>
    <w:basedOn w:val="1"/>
    <w:qFormat/>
    <w:uiPriority w:val="0"/>
    <w:pPr>
      <w:spacing w:after="120" w:line="480" w:lineRule="auto"/>
    </w:pPr>
  </w:style>
  <w:style w:type="paragraph" w:styleId="21">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2">
    <w:name w:val="annotation subject"/>
    <w:basedOn w:val="8"/>
    <w:next w:val="8"/>
    <w:link w:val="69"/>
    <w:qFormat/>
    <w:uiPriority w:val="0"/>
    <w:pPr>
      <w:jc w:val="left"/>
    </w:pPr>
    <w:rPr>
      <w:b/>
      <w:bCs/>
      <w:sz w:val="21"/>
      <w:szCs w:val="24"/>
    </w:rPr>
  </w:style>
  <w:style w:type="paragraph" w:styleId="23">
    <w:name w:val="Body Text First Indent"/>
    <w:basedOn w:val="9"/>
    <w:next w:val="1"/>
    <w:qFormat/>
    <w:uiPriority w:val="0"/>
    <w:pPr>
      <w:ind w:firstLine="420" w:firstLineChars="100"/>
    </w:p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annotation reference"/>
    <w:basedOn w:val="26"/>
    <w:semiHidden/>
    <w:qFormat/>
    <w:uiPriority w:val="0"/>
    <w:rPr>
      <w:sz w:val="21"/>
    </w:rPr>
  </w:style>
  <w:style w:type="paragraph" w:customStyle="1" w:styleId="28">
    <w:name w:val="Default"/>
    <w:basedOn w:val="29"/>
    <w:next w:val="30"/>
    <w:qFormat/>
    <w:uiPriority w:val="99"/>
    <w:rPr>
      <w:rFonts w:cs="宋体"/>
      <w:color w:val="000000"/>
      <w:sz w:val="24"/>
    </w:rPr>
  </w:style>
  <w:style w:type="paragraph" w:customStyle="1" w:styleId="29">
    <w:name w:val="文本"/>
    <w:basedOn w:val="1"/>
    <w:next w:val="1"/>
    <w:qFormat/>
    <w:uiPriority w:val="99"/>
    <w:pPr>
      <w:autoSpaceDE w:val="0"/>
      <w:autoSpaceDN w:val="0"/>
      <w:ind w:firstLine="480"/>
    </w:pPr>
    <w:rPr>
      <w:lang w:val="zh-CN"/>
    </w:rPr>
  </w:style>
  <w:style w:type="paragraph" w:customStyle="1" w:styleId="30">
    <w:name w:val="1正文段落"/>
    <w:basedOn w:val="1"/>
    <w:qFormat/>
    <w:uiPriority w:val="0"/>
    <w:pPr>
      <w:spacing w:line="360" w:lineRule="auto"/>
      <w:ind w:firstLine="480" w:firstLineChars="200"/>
      <w:jc w:val="left"/>
    </w:pPr>
    <w:rPr>
      <w:kern w:val="0"/>
      <w:sz w:val="24"/>
      <w:szCs w:val="22"/>
    </w:rPr>
  </w:style>
  <w:style w:type="paragraph" w:customStyle="1" w:styleId="31">
    <w:name w:val="A-正文"/>
    <w:basedOn w:val="1"/>
    <w:qFormat/>
    <w:uiPriority w:val="0"/>
    <w:pPr>
      <w:spacing w:line="560" w:lineRule="exact"/>
      <w:ind w:firstLine="560" w:firstLineChars="200"/>
    </w:pPr>
    <w:rPr>
      <w:rFonts w:eastAsia="仿宋_GB2312"/>
      <w:kern w:val="0"/>
      <w:sz w:val="24"/>
    </w:rPr>
  </w:style>
  <w:style w:type="paragraph" w:customStyle="1" w:styleId="32">
    <w:name w:val="Table Text"/>
    <w:basedOn w:val="1"/>
    <w:semiHidden/>
    <w:qFormat/>
    <w:uiPriority w:val="0"/>
    <w:rPr>
      <w:rFonts w:ascii="宋体" w:hAnsi="宋体" w:cs="宋体"/>
      <w:sz w:val="24"/>
      <w:lang w:eastAsia="en-US"/>
    </w:rPr>
  </w:style>
  <w:style w:type="paragraph" w:customStyle="1" w:styleId="33">
    <w:name w:val="A标准格式"/>
    <w:basedOn w:val="1"/>
    <w:autoRedefine/>
    <w:qFormat/>
    <w:uiPriority w:val="0"/>
    <w:pPr>
      <w:spacing w:line="440" w:lineRule="exact"/>
      <w:ind w:firstLine="480" w:firstLineChars="200"/>
    </w:pPr>
  </w:style>
  <w:style w:type="paragraph" w:customStyle="1" w:styleId="34">
    <w:name w:val="纯文本1"/>
    <w:basedOn w:val="1"/>
    <w:qFormat/>
    <w:uiPriority w:val="0"/>
    <w:rPr>
      <w:rFonts w:ascii="宋体" w:hAnsi="Courier New"/>
      <w:szCs w:val="20"/>
    </w:rPr>
  </w:style>
  <w:style w:type="paragraph" w:customStyle="1" w:styleId="35">
    <w:name w:val="标题2"/>
    <w:basedOn w:val="3"/>
    <w:autoRedefine/>
    <w:qFormat/>
    <w:uiPriority w:val="0"/>
    <w:pPr>
      <w:numPr>
        <w:ilvl w:val="1"/>
        <w:numId w:val="1"/>
      </w:numPr>
      <w:spacing w:line="440" w:lineRule="exact"/>
    </w:pPr>
  </w:style>
  <w:style w:type="paragraph" w:customStyle="1" w:styleId="36">
    <w:name w:val="样式35"/>
    <w:basedOn w:val="1"/>
    <w:autoRedefine/>
    <w:qFormat/>
    <w:uiPriority w:val="0"/>
    <w:pPr>
      <w:spacing w:line="312" w:lineRule="auto"/>
      <w:ind w:firstLine="567"/>
    </w:pPr>
    <w:rPr>
      <w:rFonts w:ascii="宋体"/>
      <w:sz w:val="28"/>
    </w:rPr>
  </w:style>
  <w:style w:type="paragraph" w:styleId="37">
    <w:name w:val="List Paragraph"/>
    <w:basedOn w:val="1"/>
    <w:qFormat/>
    <w:uiPriority w:val="34"/>
    <w:pPr>
      <w:ind w:firstLine="420" w:firstLineChars="200"/>
    </w:pPr>
  </w:style>
  <w:style w:type="table" w:customStyle="1" w:styleId="38">
    <w:name w:val="Table Normal"/>
    <w:semiHidden/>
    <w:unhideWhenUsed/>
    <w:qFormat/>
    <w:uiPriority w:val="0"/>
    <w:tblPr>
      <w:tblCellMar>
        <w:top w:w="0" w:type="dxa"/>
        <w:left w:w="0" w:type="dxa"/>
        <w:bottom w:w="0" w:type="dxa"/>
        <w:right w:w="0" w:type="dxa"/>
      </w:tblCellMar>
    </w:tblPr>
  </w:style>
  <w:style w:type="paragraph" w:customStyle="1" w:styleId="39">
    <w:name w:val="样式12"/>
    <w:basedOn w:val="1"/>
    <w:qFormat/>
    <w:uiPriority w:val="0"/>
    <w:pPr>
      <w:jc w:val="center"/>
    </w:pPr>
    <w:rPr>
      <w:szCs w:val="21"/>
    </w:rPr>
  </w:style>
  <w:style w:type="paragraph" w:customStyle="1" w:styleId="40">
    <w:name w:val="正文文本缩进1"/>
    <w:basedOn w:val="1"/>
    <w:qFormat/>
    <w:uiPriority w:val="0"/>
    <w:pPr>
      <w:ind w:firstLine="538" w:firstLineChars="192"/>
    </w:pPr>
    <w:rPr>
      <w:sz w:val="28"/>
    </w:rPr>
  </w:style>
  <w:style w:type="paragraph" w:customStyle="1" w:styleId="41">
    <w:name w:val="正文 首行缩进:  2 字符"/>
    <w:qFormat/>
    <w:uiPriority w:val="0"/>
    <w:pPr>
      <w:widowControl w:val="0"/>
      <w:spacing w:beforeLines="50" w:line="360" w:lineRule="auto"/>
      <w:ind w:firstLine="420" w:firstLineChars="200"/>
      <w:jc w:val="both"/>
    </w:pPr>
    <w:rPr>
      <w:rFonts w:ascii="宋体" w:hAnsi="宋体" w:eastAsia="宋体" w:cs="Times New Roman"/>
      <w:color w:val="000000"/>
      <w:kern w:val="2"/>
      <w:sz w:val="21"/>
      <w:szCs w:val="24"/>
      <w:lang w:val="en-US" w:eastAsia="zh-CN" w:bidi="ar-SA"/>
    </w:rPr>
  </w:style>
  <w:style w:type="paragraph" w:customStyle="1" w:styleId="42">
    <w:name w:val="表格字体"/>
    <w:basedOn w:val="43"/>
    <w:next w:val="1"/>
    <w:qFormat/>
    <w:uiPriority w:val="0"/>
  </w:style>
  <w:style w:type="paragraph" w:customStyle="1" w:styleId="43">
    <w:name w:val="表格文字"/>
    <w:basedOn w:val="6"/>
    <w:autoRedefine/>
    <w:qFormat/>
    <w:uiPriority w:val="0"/>
    <w:pPr>
      <w:ind w:firstLine="0" w:firstLineChars="0"/>
      <w:jc w:val="center"/>
    </w:pPr>
    <w:rPr>
      <w:sz w:val="21"/>
      <w:szCs w:val="21"/>
    </w:rPr>
  </w:style>
  <w:style w:type="paragraph" w:customStyle="1" w:styleId="44">
    <w:name w:val="表标题"/>
    <w:basedOn w:val="1"/>
    <w:autoRedefine/>
    <w:qFormat/>
    <w:uiPriority w:val="0"/>
    <w:pPr>
      <w:jc w:val="center"/>
    </w:pPr>
    <w:rPr>
      <w:rFonts w:hint="eastAsia"/>
      <w:b/>
    </w:rPr>
  </w:style>
  <w:style w:type="paragraph" w:customStyle="1" w:styleId="45">
    <w:name w:val="表格内容"/>
    <w:basedOn w:val="46"/>
    <w:next w:val="1"/>
    <w:autoRedefine/>
    <w:qFormat/>
    <w:uiPriority w:val="0"/>
    <w:pPr>
      <w:spacing w:line="240" w:lineRule="atLeast"/>
    </w:pPr>
    <w:rPr>
      <w:sz w:val="21"/>
    </w:rPr>
  </w:style>
  <w:style w:type="paragraph" w:customStyle="1" w:styleId="46">
    <w:name w:val="表格标题"/>
    <w:basedOn w:val="18"/>
    <w:next w:val="45"/>
    <w:autoRedefine/>
    <w:qFormat/>
    <w:uiPriority w:val="0"/>
    <w:pPr>
      <w:spacing w:line="360" w:lineRule="auto"/>
      <w:jc w:val="center"/>
    </w:pPr>
    <w:rPr>
      <w:b/>
      <w:sz w:val="24"/>
      <w:szCs w:val="21"/>
    </w:rPr>
  </w:style>
  <w:style w:type="paragraph" w:customStyle="1" w:styleId="47">
    <w:name w:val="A正文"/>
    <w:basedOn w:val="1"/>
    <w:qFormat/>
    <w:uiPriority w:val="0"/>
    <w:pPr>
      <w:overflowPunct w:val="0"/>
    </w:pPr>
  </w:style>
  <w:style w:type="paragraph" w:customStyle="1" w:styleId="48">
    <w:name w:val="表头"/>
    <w:basedOn w:val="6"/>
    <w:next w:val="1"/>
    <w:autoRedefine/>
    <w:qFormat/>
    <w:uiPriority w:val="0"/>
    <w:pPr>
      <w:tabs>
        <w:tab w:val="left" w:pos="315"/>
        <w:tab w:val="left" w:pos="425"/>
      </w:tabs>
      <w:spacing w:line="320" w:lineRule="atLeast"/>
      <w:jc w:val="center"/>
    </w:pPr>
    <w:rPr>
      <w:rFonts w:eastAsia="黑体"/>
      <w:spacing w:val="-10"/>
      <w:szCs w:val="20"/>
    </w:rPr>
  </w:style>
  <w:style w:type="paragraph" w:customStyle="1" w:styleId="49">
    <w:name w:val="表格内文字"/>
    <w:basedOn w:val="1"/>
    <w:autoRedefine/>
    <w:qFormat/>
    <w:uiPriority w:val="0"/>
    <w:pPr>
      <w:tabs>
        <w:tab w:val="left" w:pos="0"/>
      </w:tabs>
      <w:jc w:val="center"/>
    </w:pPr>
    <w:rPr>
      <w:rFonts w:eastAsia="仿宋_GB2312"/>
      <w:sz w:val="24"/>
    </w:rPr>
  </w:style>
  <w:style w:type="paragraph" w:customStyle="1" w:styleId="50">
    <w:name w:val="Char Char Char Char Char Char1 Char Char Char Char"/>
    <w:basedOn w:val="1"/>
    <w:next w:val="1"/>
    <w:autoRedefine/>
    <w:semiHidden/>
    <w:qFormat/>
    <w:uiPriority w:val="0"/>
    <w:pPr>
      <w:ind w:firstLine="200" w:firstLineChars="200"/>
    </w:pPr>
    <w:rPr>
      <w:rFonts w:ascii="宋体" w:hAnsi="宋体" w:cs="宋体"/>
    </w:rPr>
  </w:style>
  <w:style w:type="paragraph" w:customStyle="1" w:styleId="51">
    <w:name w:val="正文01"/>
    <w:basedOn w:val="1"/>
    <w:qFormat/>
    <w:uiPriority w:val="0"/>
    <w:pPr>
      <w:spacing w:before="60" w:line="460" w:lineRule="exact"/>
      <w:ind w:firstLine="200" w:firstLineChars="200"/>
    </w:pPr>
    <w:rPr>
      <w:rFonts w:ascii="Arial" w:hAnsi="Arial"/>
      <w:color w:val="000000"/>
      <w:sz w:val="24"/>
    </w:rPr>
  </w:style>
  <w:style w:type="paragraph" w:customStyle="1" w:styleId="52">
    <w:name w:val="Default1"/>
    <w:autoRedefine/>
    <w:qFormat/>
    <w:uiPriority w:val="0"/>
    <w:pPr>
      <w:widowControl w:val="0"/>
      <w:autoSpaceDE w:val="0"/>
      <w:autoSpaceDN w:val="0"/>
      <w:adjustRightInd w:val="0"/>
      <w:spacing w:after="160" w:line="252" w:lineRule="auto"/>
      <w:jc w:val="both"/>
    </w:pPr>
    <w:rPr>
      <w:rFonts w:ascii="宋体" w:hAnsi="Calibri" w:eastAsia="宋体" w:cs="宋体"/>
      <w:color w:val="000000"/>
      <w:sz w:val="24"/>
      <w:szCs w:val="24"/>
      <w:lang w:val="en-US" w:eastAsia="zh-CN" w:bidi="ar-SA"/>
    </w:rPr>
  </w:style>
  <w:style w:type="paragraph" w:customStyle="1" w:styleId="53">
    <w:name w:val="表头样式1"/>
    <w:basedOn w:val="1"/>
    <w:qFormat/>
    <w:uiPriority w:val="0"/>
    <w:pPr>
      <w:snapToGrid w:val="0"/>
      <w:jc w:val="center"/>
    </w:pPr>
    <w:rPr>
      <w:rFonts w:ascii="楷体_GB2312" w:hAnsi="宋体" w:eastAsia="楷体_GB2312" w:cs="宋体"/>
      <w:b/>
      <w:bCs/>
    </w:rPr>
  </w:style>
  <w:style w:type="paragraph" w:customStyle="1" w:styleId="54">
    <w:name w:val="图、表标题"/>
    <w:basedOn w:val="1"/>
    <w:autoRedefine/>
    <w:qFormat/>
    <w:uiPriority w:val="0"/>
    <w:pPr>
      <w:jc w:val="center"/>
    </w:pPr>
    <w:rPr>
      <w:b/>
    </w:rPr>
  </w:style>
  <w:style w:type="paragraph" w:customStyle="1" w:styleId="55">
    <w:name w:val="表格"/>
    <w:basedOn w:val="19"/>
    <w:autoRedefine/>
    <w:qFormat/>
    <w:uiPriority w:val="0"/>
    <w:pPr>
      <w:autoSpaceDE w:val="0"/>
      <w:autoSpaceDN w:val="0"/>
      <w:adjustRightInd w:val="0"/>
      <w:snapToGrid w:val="0"/>
      <w:jc w:val="center"/>
    </w:pPr>
    <w:rPr>
      <w:color w:val="000000" w:themeColor="text1"/>
      <w:szCs w:val="21"/>
      <w14:textFill>
        <w14:solidFill>
          <w14:schemeClr w14:val="tx1"/>
        </w14:solidFill>
      </w14:textFill>
    </w:rPr>
  </w:style>
  <w:style w:type="character" w:customStyle="1" w:styleId="56">
    <w:name w:val="16"/>
    <w:qFormat/>
    <w:uiPriority w:val="0"/>
    <w:rPr>
      <w:rFonts w:hint="eastAsia" w:ascii="宋体" w:hAnsi="宋体" w:eastAsia="宋体"/>
      <w:b/>
      <w:bCs/>
      <w:color w:val="333333"/>
      <w:sz w:val="18"/>
      <w:szCs w:val="18"/>
    </w:rPr>
  </w:style>
  <w:style w:type="character" w:customStyle="1" w:styleId="57">
    <w:name w:val="15"/>
    <w:qFormat/>
    <w:uiPriority w:val="0"/>
    <w:rPr>
      <w:rFonts w:hint="default" w:ascii="Times New Roman" w:hAnsi="Times New Roman" w:cs="Times New Roman"/>
    </w:rPr>
  </w:style>
  <w:style w:type="character" w:customStyle="1" w:styleId="58">
    <w:name w:val="17"/>
    <w:qFormat/>
    <w:uiPriority w:val="0"/>
    <w:rPr>
      <w:rFonts w:hint="default" w:ascii="Tahoma" w:hAnsi="Tahoma" w:cs="Tahoma"/>
      <w:color w:val="333333"/>
      <w:sz w:val="22"/>
      <w:szCs w:val="22"/>
    </w:rPr>
  </w:style>
  <w:style w:type="paragraph" w:customStyle="1" w:styleId="59">
    <w:name w:val="样式13"/>
    <w:basedOn w:val="1"/>
    <w:qFormat/>
    <w:uiPriority w:val="0"/>
    <w:pPr>
      <w:spacing w:line="360" w:lineRule="auto"/>
      <w:ind w:firstLine="480" w:firstLineChars="200"/>
    </w:pPr>
    <w:rPr>
      <w:color w:val="000000"/>
      <w:sz w:val="24"/>
    </w:rPr>
  </w:style>
  <w:style w:type="paragraph" w:customStyle="1" w:styleId="60">
    <w:name w:val="列出段落1"/>
    <w:basedOn w:val="1"/>
    <w:qFormat/>
    <w:uiPriority w:val="34"/>
    <w:pPr>
      <w:ind w:firstLine="420" w:firstLineChars="200"/>
    </w:pPr>
    <w:rPr>
      <w:rFonts w:ascii="Calibri" w:hAnsi="Calibri"/>
    </w:rPr>
  </w:style>
  <w:style w:type="paragraph" w:customStyle="1" w:styleId="61">
    <w:name w:val="正式文本"/>
    <w:basedOn w:val="1"/>
    <w:qFormat/>
    <w:uiPriority w:val="0"/>
    <w:pPr>
      <w:adjustRightInd w:val="0"/>
      <w:snapToGrid w:val="0"/>
      <w:spacing w:line="360" w:lineRule="auto"/>
      <w:ind w:firstLine="420" w:firstLineChars="200"/>
      <w:jc w:val="left"/>
    </w:pPr>
    <w:rPr>
      <w:bCs/>
      <w:szCs w:val="21"/>
    </w:rPr>
  </w:style>
  <w:style w:type="character" w:customStyle="1" w:styleId="62">
    <w:name w:val="fontstyle11"/>
    <w:qFormat/>
    <w:uiPriority w:val="0"/>
    <w:rPr>
      <w:rFonts w:hint="default" w:ascii="Times New Roman" w:hAnsi="Times New Roman" w:cs="Times New Roman"/>
      <w:b/>
      <w:color w:val="000000"/>
      <w:sz w:val="22"/>
      <w:szCs w:val="22"/>
    </w:rPr>
  </w:style>
  <w:style w:type="paragraph" w:customStyle="1" w:styleId="63">
    <w:name w:val="yt表内"/>
    <w:basedOn w:val="64"/>
    <w:next w:val="64"/>
    <w:autoRedefine/>
    <w:qFormat/>
    <w:uiPriority w:val="0"/>
    <w:pPr>
      <w:tabs>
        <w:tab w:val="left" w:pos="1068"/>
      </w:tabs>
      <w:spacing w:line="240" w:lineRule="atLeast"/>
      <w:ind w:firstLine="0"/>
      <w:jc w:val="center"/>
    </w:pPr>
    <w:rPr>
      <w:sz w:val="21"/>
      <w:szCs w:val="21"/>
    </w:rPr>
  </w:style>
  <w:style w:type="paragraph" w:customStyle="1" w:styleId="64">
    <w:name w:val="yt正文"/>
    <w:basedOn w:val="6"/>
    <w:next w:val="12"/>
    <w:autoRedefine/>
    <w:qFormat/>
    <w:uiPriority w:val="0"/>
    <w:pPr>
      <w:tabs>
        <w:tab w:val="left" w:pos="1068"/>
      </w:tabs>
      <w:spacing w:line="360" w:lineRule="auto"/>
    </w:pPr>
    <w:rPr>
      <w:sz w:val="24"/>
    </w:rPr>
  </w:style>
  <w:style w:type="paragraph" w:customStyle="1" w:styleId="65">
    <w:name w:val="正文001"/>
    <w:basedOn w:val="1"/>
    <w:autoRedefine/>
    <w:qFormat/>
    <w:uiPriority w:val="0"/>
    <w:pPr>
      <w:spacing w:before="60" w:line="420" w:lineRule="exact"/>
      <w:ind w:firstLine="482"/>
    </w:pPr>
    <w:rPr>
      <w:rFonts w:ascii="宋体" w:hAnsi="宋体"/>
    </w:rPr>
  </w:style>
  <w:style w:type="paragraph" w:customStyle="1" w:styleId="66">
    <w:name w:val="表"/>
    <w:basedOn w:val="18"/>
    <w:autoRedefine/>
    <w:qFormat/>
    <w:uiPriority w:val="0"/>
    <w:pPr>
      <w:keepNext/>
      <w:keepLines/>
      <w:spacing w:before="60" w:after="60" w:line="240" w:lineRule="exact"/>
      <w:ind w:left="0" w:firstLine="0" w:firstLineChars="0"/>
      <w:jc w:val="center"/>
    </w:pPr>
  </w:style>
  <w:style w:type="paragraph" w:customStyle="1" w:styleId="67">
    <w:name w:val="图表表题"/>
    <w:basedOn w:val="1"/>
    <w:autoRedefine/>
    <w:qFormat/>
    <w:uiPriority w:val="0"/>
    <w:pPr>
      <w:autoSpaceDE w:val="0"/>
      <w:autoSpaceDN w:val="0"/>
      <w:adjustRightInd w:val="0"/>
      <w:snapToGrid w:val="0"/>
      <w:jc w:val="center"/>
    </w:pPr>
    <w:rPr>
      <w:rFonts w:hint="eastAsia" w:cs="宋体"/>
      <w:b/>
      <w:bCs/>
    </w:rPr>
  </w:style>
  <w:style w:type="character" w:customStyle="1" w:styleId="68">
    <w:name w:val="批注文字 字符"/>
    <w:basedOn w:val="26"/>
    <w:link w:val="8"/>
    <w:qFormat/>
    <w:uiPriority w:val="0"/>
    <w:rPr>
      <w:kern w:val="2"/>
      <w:sz w:val="24"/>
    </w:rPr>
  </w:style>
  <w:style w:type="character" w:customStyle="1" w:styleId="69">
    <w:name w:val="批注主题 字符"/>
    <w:basedOn w:val="68"/>
    <w:link w:val="22"/>
    <w:qFormat/>
    <w:uiPriority w:val="0"/>
    <w:rPr>
      <w:b/>
      <w:bCs/>
      <w:kern w:val="2"/>
      <w:sz w:val="21"/>
      <w:szCs w:val="24"/>
    </w:rPr>
  </w:style>
  <w:style w:type="paragraph" w:styleId="70">
    <w:name w:val="No Spacing"/>
    <w:basedOn w:val="1"/>
    <w:qFormat/>
    <w:uiPriority w:val="1"/>
    <w:pPr>
      <w:jc w:val="center"/>
    </w:pPr>
    <w:rPr>
      <w:rFonts w:cstheme="minorBidi"/>
      <w:szCs w:val="22"/>
    </w:rPr>
  </w:style>
  <w:style w:type="paragraph" w:customStyle="1" w:styleId="71">
    <w:name w:val="6表内容"/>
    <w:basedOn w:val="1"/>
    <w:qFormat/>
    <w:uiPriority w:val="0"/>
    <w:pPr>
      <w:jc w:val="center"/>
    </w:pPr>
    <w:rPr>
      <w:rFonts w:cs="宋体"/>
      <w:color w:val="000000"/>
      <w:szCs w:val="20"/>
    </w:rPr>
  </w:style>
  <w:style w:type="paragraph" w:customStyle="1" w:styleId="72">
    <w:name w:val="正文文本缩进2"/>
    <w:basedOn w:val="1"/>
    <w:qFormat/>
    <w:uiPriority w:val="0"/>
    <w:pPr>
      <w:ind w:firstLine="538" w:firstLineChars="192"/>
    </w:pPr>
    <w:rPr>
      <w:sz w:val="28"/>
    </w:rPr>
  </w:style>
  <w:style w:type="paragraph" w:customStyle="1" w:styleId="73">
    <w:name w:val="桂表文"/>
    <w:basedOn w:val="1"/>
    <w:qFormat/>
    <w:uiPriority w:val="0"/>
    <w:pPr>
      <w:tabs>
        <w:tab w:val="left" w:pos="945"/>
        <w:tab w:val="right" w:leader="dot" w:pos="1155"/>
        <w:tab w:val="left" w:pos="8715"/>
      </w:tabs>
      <w:adjustRightInd w:val="0"/>
      <w:snapToGrid/>
      <w:jc w:val="center"/>
    </w:pPr>
    <w:rPr>
      <w:rFonts w:ascii="Times New Roman" w:hAnsi="Times New Roman" w:eastAsia="宋体" w:cs="宋体"/>
      <w:color w:val="000000"/>
      <w:kern w:val="0"/>
      <w:szCs w:val="21"/>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6.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5.wmf"/><Relationship Id="rId18" Type="http://schemas.openxmlformats.org/officeDocument/2006/relationships/image" Target="media/image14.wmf"/><Relationship Id="rId17" Type="http://schemas.openxmlformats.org/officeDocument/2006/relationships/image" Target="media/image13.wmf"/><Relationship Id="rId16" Type="http://schemas.openxmlformats.org/officeDocument/2006/relationships/image" Target="media/image12.wmf"/><Relationship Id="rId15" Type="http://schemas.openxmlformats.org/officeDocument/2006/relationships/image" Target="media/image11.wmf"/><Relationship Id="rId14" Type="http://schemas.openxmlformats.org/officeDocument/2006/relationships/image" Target="media/image10.wmf"/><Relationship Id="rId13" Type="http://schemas.openxmlformats.org/officeDocument/2006/relationships/image" Target="media/image9.wmf"/><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"/>
    </extobj>
    <extobj name="F360BE8B-6686-4F3D-AEAF-501FE73E4058-2">
      <extobjdata type="F360BE8B-6686-4F3D-AEAF-501FE73E4058" data="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"/>
    </extobj>
    <extobj name="F360BE8B-6686-4F3D-AEAF-501FE73E4058-3">
      <extobjdata type="F360BE8B-6686-4F3D-AEAF-501FE73E4058" data="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"/>
    </extobj>
    <extobj name="F360BE8B-6686-4F3D-AEAF-501FE73E4058-4">
      <extobjdata type="F360BE8B-6686-4F3D-AEAF-501FE73E4058" data="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78</Pages>
  <Words>121</Words>
  <Characters>150</Characters>
  <Lines>5627</Lines>
  <Paragraphs>3246</Paragraphs>
  <TotalTime>24</TotalTime>
  <ScaleCrop>false</ScaleCrop>
  <LinksUpToDate>false</LinksUpToDate>
  <CharactersWithSpaces>214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2025-05-30T08:59:00Z</dcterms:created>
  <dc:creator>张毅</dc:creator>
  <cp:lastModifiedBy>段梦梦</cp:lastModifiedBy>
  <dcterms:modified xsi:type="dcterms:W3CDTF">2026-01-06T01:47:43Z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F45EBF5247AF4B0C81AB8037EC2003C9_11</vt:lpwstr>
  </property>
  <property fmtid="{D5CDD505-2E9C-101B-9397-08002B2CF9AE}" pid="4" name="KSOTemplateDocerSaveRecord">
    <vt:lpwstr>eyJoZGlkIjoiYjk1MjlkOGJiYzlmYjcwMDNmOWU4YTZjMGRhODZiZmMiLCJ1c2VySWQiOiI0MjM3NjA2MjEifQ==</vt:lpwstr>
  </property>
</Properties>
</file>