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DB37">
      <w:pPr>
        <w:widowControl/>
        <w:shd w:val="clear" w:color="auto" w:fill="FFFFFF"/>
        <w:suppressAutoHyphens/>
        <w:spacing w:line="600" w:lineRule="exact"/>
        <w:jc w:val="left"/>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rPr>
        <w:t>附件</w:t>
      </w:r>
      <w:r>
        <w:rPr>
          <w:rFonts w:hint="eastAsia" w:ascii="方正小标宋简体" w:hAnsi="方正小标宋简体" w:eastAsia="方正小标宋简体" w:cs="方正小标宋简体"/>
          <w:color w:val="000000"/>
          <w:kern w:val="0"/>
          <w:sz w:val="32"/>
          <w:szCs w:val="32"/>
          <w:lang w:val="en-US" w:eastAsia="zh-CN"/>
        </w:rPr>
        <w:t>1</w:t>
      </w:r>
      <w:bookmarkStart w:id="0" w:name="_GoBack"/>
      <w:bookmarkEnd w:id="0"/>
    </w:p>
    <w:p w14:paraId="1E51C098">
      <w:pPr>
        <w:widowControl/>
        <w:shd w:val="clear" w:color="auto" w:fill="FFFFFF"/>
        <w:suppressAutoHyphens/>
        <w:spacing w:line="600" w:lineRule="exact"/>
        <w:jc w:val="center"/>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rPr>
        <w:t>宿州市</w:t>
      </w:r>
      <w:r>
        <w:rPr>
          <w:rFonts w:hint="eastAsia" w:ascii="方正小标宋_GBK" w:hAnsi="方正小标宋_GBK" w:eastAsia="方正小标宋_GBK" w:cs="方正小标宋_GBK"/>
          <w:color w:val="000000"/>
          <w:kern w:val="0"/>
          <w:sz w:val="44"/>
          <w:szCs w:val="44"/>
        </w:rPr>
        <w:t>埇</w:t>
      </w:r>
      <w:r>
        <w:rPr>
          <w:rFonts w:hint="eastAsia" w:ascii="方正小标宋简体" w:hAnsi="方正小标宋简体" w:eastAsia="方正小标宋简体" w:cs="方正小标宋简体"/>
          <w:color w:val="000000"/>
          <w:kern w:val="0"/>
          <w:sz w:val="44"/>
          <w:szCs w:val="44"/>
        </w:rPr>
        <w:t>桥区应急管理局行政权力清单和责任清单</w:t>
      </w:r>
      <w:r>
        <w:rPr>
          <w:rFonts w:hint="eastAsia" w:ascii="方正小标宋简体" w:hAnsi="方正小标宋简体" w:eastAsia="方正小标宋简体" w:cs="方正小标宋简体"/>
          <w:color w:val="000000"/>
          <w:kern w:val="0"/>
          <w:sz w:val="44"/>
          <w:szCs w:val="44"/>
          <w:lang w:eastAsia="zh-CN"/>
        </w:rPr>
        <w:t>（</w:t>
      </w:r>
      <w:r>
        <w:rPr>
          <w:rFonts w:hint="eastAsia" w:ascii="方正小标宋简体" w:hAnsi="方正小标宋简体" w:eastAsia="方正小标宋简体" w:cs="方正小标宋简体"/>
          <w:color w:val="000000"/>
          <w:kern w:val="0"/>
          <w:sz w:val="44"/>
          <w:szCs w:val="44"/>
          <w:lang w:val="en-US" w:eastAsia="zh-CN"/>
        </w:rPr>
        <w:t>2025年版</w:t>
      </w:r>
      <w:r>
        <w:rPr>
          <w:rFonts w:hint="eastAsia" w:ascii="方正小标宋简体" w:hAnsi="方正小标宋简体" w:eastAsia="方正小标宋简体" w:cs="方正小标宋简体"/>
          <w:color w:val="000000"/>
          <w:kern w:val="0"/>
          <w:sz w:val="44"/>
          <w:szCs w:val="44"/>
          <w:lang w:eastAsia="zh-CN"/>
        </w:rPr>
        <w:t>）</w:t>
      </w:r>
    </w:p>
    <w:p w14:paraId="1A2FBC28">
      <w:pPr>
        <w:widowControl/>
        <w:shd w:val="clear" w:color="auto" w:fill="FFFFFF"/>
        <w:suppressAutoHyphens/>
        <w:spacing w:line="600" w:lineRule="exact"/>
        <w:jc w:val="center"/>
        <w:rPr>
          <w:rFonts w:hint="eastAsia" w:ascii="方正小标宋简体" w:hAnsi="方正小标宋简体" w:eastAsia="方正小标宋简体" w:cs="方正小标宋简体"/>
          <w:color w:val="000000"/>
          <w:kern w:val="0"/>
          <w:sz w:val="44"/>
          <w:szCs w:val="44"/>
          <w:lang w:eastAsia="zh-CN"/>
        </w:rPr>
      </w:pPr>
    </w:p>
    <w:tbl>
      <w:tblPr>
        <w:tblStyle w:val="4"/>
        <w:tblW w:w="14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096"/>
        <w:gridCol w:w="1850"/>
        <w:gridCol w:w="1500"/>
        <w:gridCol w:w="3726"/>
        <w:gridCol w:w="2942"/>
        <w:gridCol w:w="2888"/>
      </w:tblGrid>
      <w:tr w14:paraId="0F24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8" w:type="dxa"/>
            <w:noWrap w:val="0"/>
            <w:vAlign w:val="center"/>
          </w:tcPr>
          <w:p w14:paraId="0FB127D4">
            <w:pPr>
              <w:widowControl/>
              <w:suppressAutoHyphens/>
              <w:snapToGrid w:val="0"/>
              <w:spacing w:line="240" w:lineRule="auto"/>
              <w:ind w:left="0" w:leftChars="0" w:right="0" w:rightChars="0" w:firstLine="0" w:firstLineChars="0"/>
              <w:jc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序号</w:t>
            </w:r>
          </w:p>
        </w:tc>
        <w:tc>
          <w:tcPr>
            <w:tcW w:w="1096" w:type="dxa"/>
            <w:noWrap w:val="0"/>
            <w:vAlign w:val="center"/>
          </w:tcPr>
          <w:p w14:paraId="474D5B0F">
            <w:pPr>
              <w:widowControl/>
              <w:suppressAutoHyphens/>
              <w:snapToGrid w:val="0"/>
              <w:spacing w:line="240" w:lineRule="auto"/>
              <w:ind w:left="0" w:leftChars="0" w:right="0" w:rightChars="0" w:firstLine="0" w:firstLineChars="0"/>
              <w:jc w:val="center"/>
              <w:rPr>
                <w:rFonts w:hint="eastAsia"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权力</w:t>
            </w:r>
          </w:p>
          <w:p w14:paraId="2BA19909">
            <w:pPr>
              <w:widowControl/>
              <w:suppressAutoHyphens/>
              <w:snapToGrid w:val="0"/>
              <w:spacing w:line="240" w:lineRule="auto"/>
              <w:ind w:left="0" w:leftChars="0" w:right="0" w:rightChars="0" w:firstLine="0" w:firstLineChars="0"/>
              <w:jc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类型</w:t>
            </w:r>
          </w:p>
        </w:tc>
        <w:tc>
          <w:tcPr>
            <w:tcW w:w="1850" w:type="dxa"/>
            <w:noWrap w:val="0"/>
            <w:vAlign w:val="center"/>
          </w:tcPr>
          <w:p w14:paraId="41AA767F">
            <w:pPr>
              <w:widowControl/>
              <w:suppressAutoHyphens/>
              <w:snapToGrid w:val="0"/>
              <w:spacing w:line="240" w:lineRule="auto"/>
              <w:ind w:left="0" w:leftChars="0" w:right="0" w:rightChars="0" w:firstLine="0" w:firstLineChars="0"/>
              <w:jc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事项名称</w:t>
            </w:r>
          </w:p>
        </w:tc>
        <w:tc>
          <w:tcPr>
            <w:tcW w:w="1500" w:type="dxa"/>
            <w:noWrap w:val="0"/>
            <w:vAlign w:val="center"/>
          </w:tcPr>
          <w:p w14:paraId="3A7C61A2">
            <w:pPr>
              <w:widowControl/>
              <w:suppressAutoHyphens/>
              <w:snapToGrid w:val="0"/>
              <w:spacing w:line="240" w:lineRule="auto"/>
              <w:ind w:left="0" w:leftChars="0" w:right="0" w:rightChars="0" w:firstLine="0" w:firstLineChars="0"/>
              <w:jc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子项</w:t>
            </w:r>
          </w:p>
        </w:tc>
        <w:tc>
          <w:tcPr>
            <w:tcW w:w="3726" w:type="dxa"/>
            <w:noWrap w:val="0"/>
            <w:vAlign w:val="center"/>
          </w:tcPr>
          <w:p w14:paraId="558EF377">
            <w:pPr>
              <w:widowControl/>
              <w:suppressAutoHyphens/>
              <w:snapToGrid w:val="0"/>
              <w:spacing w:line="240" w:lineRule="auto"/>
              <w:ind w:left="0" w:leftChars="0" w:right="0" w:rightChars="0" w:firstLine="0" w:firstLineChars="0"/>
              <w:jc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设定和实施依据</w:t>
            </w:r>
          </w:p>
        </w:tc>
        <w:tc>
          <w:tcPr>
            <w:tcW w:w="2942" w:type="dxa"/>
            <w:noWrap w:val="0"/>
            <w:vAlign w:val="center"/>
          </w:tcPr>
          <w:p w14:paraId="00BE76B1">
            <w:pPr>
              <w:widowControl/>
              <w:suppressAutoHyphens/>
              <w:snapToGrid w:val="0"/>
              <w:spacing w:line="240" w:lineRule="auto"/>
              <w:ind w:left="0" w:leftChars="0" w:right="0" w:rightChars="0" w:firstLine="0" w:firstLineChars="0"/>
              <w:jc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责任事项</w:t>
            </w:r>
          </w:p>
        </w:tc>
        <w:tc>
          <w:tcPr>
            <w:tcW w:w="2888" w:type="dxa"/>
            <w:noWrap w:val="0"/>
            <w:vAlign w:val="center"/>
          </w:tcPr>
          <w:p w14:paraId="206A01E7">
            <w:pPr>
              <w:widowControl/>
              <w:suppressAutoHyphens/>
              <w:snapToGrid w:val="0"/>
              <w:ind w:left="0" w:leftChars="0" w:right="0" w:rightChars="0" w:firstLine="0" w:firstLineChars="0"/>
              <w:jc w:val="center"/>
              <w:textAlignment w:val="center"/>
              <w:rPr>
                <w:rFonts w:ascii="方正黑体_GBK" w:hAnsi="方正黑体_GBK" w:eastAsia="方正黑体_GBK" w:cs="方正黑体_GBK"/>
                <w:b/>
                <w:color w:val="000000"/>
                <w:kern w:val="0"/>
                <w:sz w:val="28"/>
                <w:szCs w:val="28"/>
              </w:rPr>
            </w:pPr>
            <w:r>
              <w:rPr>
                <w:rFonts w:hint="eastAsia" w:ascii="方正黑体_GBK" w:hAnsi="方正黑体_GBK" w:eastAsia="方正黑体_GBK" w:cs="方正黑体_GBK"/>
                <w:b/>
                <w:color w:val="000000"/>
                <w:kern w:val="0"/>
                <w:sz w:val="28"/>
                <w:szCs w:val="28"/>
              </w:rPr>
              <w:t>追责情形</w:t>
            </w:r>
          </w:p>
        </w:tc>
      </w:tr>
      <w:tr w14:paraId="7F88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171CF0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28"/>
              </w:rPr>
              <w:t>1</w:t>
            </w:r>
          </w:p>
        </w:tc>
        <w:tc>
          <w:tcPr>
            <w:tcW w:w="1096" w:type="dxa"/>
            <w:noWrap w:val="0"/>
            <w:vAlign w:val="center"/>
          </w:tcPr>
          <w:p w14:paraId="1CE68FF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行政许可</w:t>
            </w:r>
          </w:p>
        </w:tc>
        <w:tc>
          <w:tcPr>
            <w:tcW w:w="1850" w:type="dxa"/>
            <w:noWrap w:val="0"/>
            <w:vAlign w:val="center"/>
          </w:tcPr>
          <w:p w14:paraId="1D57438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石油天然气建设项目安全设施设计审查</w:t>
            </w:r>
          </w:p>
        </w:tc>
        <w:tc>
          <w:tcPr>
            <w:tcW w:w="1500" w:type="dxa"/>
            <w:noWrap w:val="0"/>
            <w:vAlign w:val="center"/>
          </w:tcPr>
          <w:p w14:paraId="72A1D45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00B2E06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333333"/>
                <w:kern w:val="0"/>
                <w:sz w:val="16"/>
                <w:szCs w:val="16"/>
              </w:rPr>
              <w:t>1.《中华人民共和国安全生产法》第三十三条：矿山、金属冶炼建设项目和用于生产、储存、装卸危险物品的建设项目的安全设施设计应当按照国家有关规定报经有关部门审查，审查部门及其负责审查的人员对审查结果负责。</w:t>
            </w:r>
            <w:r>
              <w:rPr>
                <w:rFonts w:hint="eastAsia" w:ascii="Times New Roman" w:hAnsi="宋体" w:eastAsia="宋体" w:cs="宋体"/>
                <w:color w:val="333333"/>
                <w:kern w:val="0"/>
                <w:sz w:val="16"/>
                <w:szCs w:val="16"/>
              </w:rPr>
              <w:br w:type="textWrapping"/>
            </w:r>
            <w:r>
              <w:rPr>
                <w:rFonts w:hint="eastAsia" w:ascii="Times New Roman" w:hAnsi="宋体" w:eastAsia="宋体" w:cs="宋体"/>
                <w:color w:val="333333"/>
                <w:kern w:val="0"/>
                <w:sz w:val="16"/>
                <w:szCs w:val="16"/>
              </w:rPr>
              <w:t>2.《建设项目安全设施“三同时”监督管理办法》第五条：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第十二条：本办法第七条第（一）项、第（二）项、第（三）项、第（四）项规定的建设项目安全设施设计完成后，生产经营单位应当按照本办法第五条的规定向安全生产监督管理部门提出审查申请。</w:t>
            </w:r>
          </w:p>
        </w:tc>
        <w:tc>
          <w:tcPr>
            <w:tcW w:w="2942" w:type="dxa"/>
            <w:noWrap w:val="0"/>
            <w:vAlign w:val="center"/>
          </w:tcPr>
          <w:p w14:paraId="492E2C01">
            <w:pPr>
              <w:snapToGrid w:val="0"/>
              <w:ind w:left="0" w:leftChars="0" w:right="0" w:rightChars="0" w:firstLine="0" w:firstLineChars="0"/>
              <w:jc w:val="left"/>
              <w:rPr>
                <w:rFonts w:ascii="Times New Roman" w:eastAsia="宋体"/>
                <w:color w:val="000000"/>
                <w:kern w:val="0"/>
                <w:sz w:val="16"/>
                <w:szCs w:val="16"/>
              </w:rPr>
            </w:pPr>
            <w:r>
              <w:rPr>
                <w:rFonts w:ascii="Times New Roman" w:eastAsia="宋体"/>
                <w:color w:val="000000"/>
                <w:kern w:val="0"/>
                <w:sz w:val="16"/>
                <w:szCs w:val="16"/>
              </w:rPr>
              <w:t>1</w:t>
            </w:r>
            <w:r>
              <w:rPr>
                <w:rFonts w:hint="eastAsia" w:ascii="Times New Roman" w:eastAsia="宋体"/>
                <w:color w:val="000000"/>
                <w:kern w:val="0"/>
                <w:sz w:val="16"/>
                <w:szCs w:val="16"/>
              </w:rPr>
              <w:t>、受理阶段责任：公示依法应当提交的材料；一次性告知补正材料；依法受理或不予受理（不予受理应当告知理由）。</w:t>
            </w:r>
            <w:r>
              <w:rPr>
                <w:rFonts w:ascii="Times New Roman" w:eastAsia="宋体"/>
                <w:color w:val="000000"/>
                <w:kern w:val="0"/>
                <w:sz w:val="16"/>
                <w:szCs w:val="16"/>
              </w:rPr>
              <w:t>2</w:t>
            </w:r>
            <w:r>
              <w:rPr>
                <w:rFonts w:hint="eastAsia" w:ascii="Times New Roman" w:eastAsia="宋体"/>
                <w:color w:val="000000"/>
                <w:kern w:val="0"/>
                <w:sz w:val="16"/>
                <w:szCs w:val="16"/>
              </w:rPr>
              <w:t>、审查阶段责任：材料审核，认为必要时到现场进行核查，提出初审意见。</w:t>
            </w:r>
            <w:r>
              <w:rPr>
                <w:rFonts w:ascii="Times New Roman" w:eastAsia="宋体"/>
                <w:color w:val="000000"/>
                <w:kern w:val="0"/>
                <w:sz w:val="16"/>
                <w:szCs w:val="16"/>
              </w:rPr>
              <w:t>3</w:t>
            </w:r>
            <w:r>
              <w:rPr>
                <w:rFonts w:hint="eastAsia" w:ascii="Times New Roman" w:eastAsia="宋体"/>
                <w:color w:val="000000"/>
                <w:kern w:val="0"/>
                <w:sz w:val="16"/>
                <w:szCs w:val="16"/>
              </w:rPr>
              <w:t>、决定阶段责任：作出决定（不予行政许可的应当告知理由），按时办结，告知。</w:t>
            </w:r>
            <w:r>
              <w:rPr>
                <w:rFonts w:ascii="Times New Roman" w:eastAsia="宋体"/>
                <w:color w:val="000000"/>
                <w:kern w:val="0"/>
                <w:sz w:val="16"/>
                <w:szCs w:val="16"/>
              </w:rPr>
              <w:t>4</w:t>
            </w:r>
            <w:r>
              <w:rPr>
                <w:rFonts w:hint="eastAsia" w:ascii="Times New Roman" w:eastAsia="宋体"/>
                <w:color w:val="000000"/>
                <w:kern w:val="0"/>
                <w:sz w:val="16"/>
                <w:szCs w:val="16"/>
              </w:rPr>
              <w:t>、送达阶段责任：制作备案证，规定时间内送达，定期在本局政府网站公开。</w:t>
            </w:r>
            <w:r>
              <w:rPr>
                <w:rFonts w:ascii="Times New Roman" w:eastAsia="宋体"/>
                <w:color w:val="000000"/>
                <w:kern w:val="0"/>
                <w:sz w:val="16"/>
                <w:szCs w:val="16"/>
              </w:rPr>
              <w:t>5</w:t>
            </w:r>
            <w:r>
              <w:rPr>
                <w:rFonts w:hint="eastAsia" w:ascii="Times New Roman" w:eastAsia="宋体"/>
                <w:color w:val="000000"/>
                <w:kern w:val="0"/>
                <w:sz w:val="16"/>
                <w:szCs w:val="16"/>
              </w:rPr>
              <w:t>、事后监管责任：加强对危险化学品企业的监督检查，使其生产经营活动按照法律法规的规定开展。</w:t>
            </w:r>
          </w:p>
        </w:tc>
        <w:tc>
          <w:tcPr>
            <w:tcW w:w="2888" w:type="dxa"/>
            <w:noWrap w:val="0"/>
            <w:vAlign w:val="center"/>
          </w:tcPr>
          <w:p w14:paraId="51C73E11">
            <w:pPr>
              <w:snapToGrid w:val="0"/>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不履行或不正确履行行政职责，有下列情形的，行政机关及相关工作人员应承担相应责任：</w:t>
            </w:r>
            <w:r>
              <w:rPr>
                <w:rFonts w:ascii="Times New Roman" w:eastAsia="宋体"/>
                <w:color w:val="000000"/>
                <w:kern w:val="0"/>
                <w:sz w:val="16"/>
                <w:szCs w:val="16"/>
              </w:rPr>
              <w:t>1</w:t>
            </w:r>
            <w:r>
              <w:rPr>
                <w:rFonts w:hint="eastAsia" w:ascii="Times New Roman" w:eastAsia="宋体"/>
                <w:color w:val="000000"/>
                <w:kern w:val="0"/>
                <w:sz w:val="16"/>
                <w:szCs w:val="16"/>
              </w:rPr>
              <w:t>、对符合法定条件的经营者申请不予受理、备案的；</w:t>
            </w:r>
            <w:r>
              <w:rPr>
                <w:rFonts w:ascii="Times New Roman" w:eastAsia="宋体"/>
                <w:color w:val="000000"/>
                <w:kern w:val="0"/>
                <w:sz w:val="16"/>
                <w:szCs w:val="16"/>
              </w:rPr>
              <w:t>2</w:t>
            </w:r>
            <w:r>
              <w:rPr>
                <w:rFonts w:hint="eastAsia" w:ascii="Times New Roman" w:eastAsia="宋体"/>
                <w:color w:val="000000"/>
                <w:kern w:val="0"/>
                <w:sz w:val="16"/>
                <w:szCs w:val="16"/>
              </w:rPr>
              <w:t>、向不符合法定安全生产条件的经营者颁发备案证明的；</w:t>
            </w:r>
            <w:r>
              <w:rPr>
                <w:rFonts w:ascii="Times New Roman" w:eastAsia="宋体"/>
                <w:color w:val="000000"/>
                <w:kern w:val="0"/>
                <w:sz w:val="16"/>
                <w:szCs w:val="16"/>
              </w:rPr>
              <w:t>3</w:t>
            </w:r>
            <w:r>
              <w:rPr>
                <w:rFonts w:hint="eastAsia" w:ascii="Times New Roman" w:eastAsia="宋体"/>
                <w:color w:val="000000"/>
                <w:kern w:val="0"/>
                <w:sz w:val="16"/>
                <w:szCs w:val="16"/>
              </w:rPr>
              <w:t>、发现经营者未依法取得经营许可证擅自从事生产活动，不依法处理的；</w:t>
            </w:r>
            <w:r>
              <w:rPr>
                <w:rFonts w:ascii="Times New Roman" w:eastAsia="宋体"/>
                <w:color w:val="000000"/>
                <w:kern w:val="0"/>
                <w:sz w:val="16"/>
                <w:szCs w:val="16"/>
              </w:rPr>
              <w:t>4</w:t>
            </w:r>
            <w:r>
              <w:rPr>
                <w:rFonts w:hint="eastAsia" w:ascii="Times New Roman" w:eastAsia="宋体"/>
                <w:color w:val="000000"/>
                <w:kern w:val="0"/>
                <w:sz w:val="16"/>
                <w:szCs w:val="16"/>
              </w:rPr>
              <w:t>、超越、滥用法定职权致使行政执法行为被撤销、变更、确认违法，或者被责令履行法定职责、承担行政赔偿责任的；</w:t>
            </w:r>
            <w:r>
              <w:rPr>
                <w:rFonts w:ascii="Times New Roman" w:eastAsia="宋体"/>
                <w:color w:val="000000"/>
                <w:kern w:val="0"/>
                <w:sz w:val="16"/>
                <w:szCs w:val="16"/>
              </w:rPr>
              <w:t>5</w:t>
            </w:r>
            <w:r>
              <w:rPr>
                <w:rFonts w:hint="eastAsia" w:ascii="Times New Roman" w:eastAsia="宋体"/>
                <w:color w:val="000000"/>
                <w:kern w:val="0"/>
                <w:sz w:val="16"/>
                <w:szCs w:val="16"/>
              </w:rPr>
              <w:t>、对经责令整改仍不具备安全生产条件的生产经营单位，不撤销原行政许可、审批或者不依法查处的；</w:t>
            </w:r>
            <w:r>
              <w:rPr>
                <w:rFonts w:ascii="Times New Roman" w:eastAsia="宋体"/>
                <w:color w:val="000000"/>
                <w:kern w:val="0"/>
                <w:sz w:val="16"/>
                <w:szCs w:val="16"/>
              </w:rPr>
              <w:t>6</w:t>
            </w:r>
            <w:r>
              <w:rPr>
                <w:rFonts w:hint="eastAsia" w:ascii="Times New Roman" w:eastAsia="宋体"/>
                <w:color w:val="000000"/>
                <w:kern w:val="0"/>
                <w:sz w:val="16"/>
                <w:szCs w:val="16"/>
              </w:rPr>
              <w:t>、其他违反法律法规规章文件规定的行为。</w:t>
            </w:r>
          </w:p>
        </w:tc>
      </w:tr>
      <w:tr w14:paraId="11CA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40CCECC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28"/>
              </w:rPr>
              <w:t>2</w:t>
            </w:r>
          </w:p>
        </w:tc>
        <w:tc>
          <w:tcPr>
            <w:tcW w:w="1096" w:type="dxa"/>
            <w:noWrap w:val="0"/>
            <w:vAlign w:val="center"/>
          </w:tcPr>
          <w:p w14:paraId="65AF66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行政许可</w:t>
            </w:r>
          </w:p>
        </w:tc>
        <w:tc>
          <w:tcPr>
            <w:tcW w:w="1850" w:type="dxa"/>
            <w:noWrap w:val="0"/>
            <w:vAlign w:val="center"/>
          </w:tcPr>
          <w:p w14:paraId="750DFD2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矿山建设项目安全设施设计审查</w:t>
            </w:r>
          </w:p>
        </w:tc>
        <w:tc>
          <w:tcPr>
            <w:tcW w:w="1500" w:type="dxa"/>
            <w:noWrap w:val="0"/>
            <w:vAlign w:val="center"/>
          </w:tcPr>
          <w:p w14:paraId="0053721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非煤矿山</w:t>
            </w:r>
          </w:p>
        </w:tc>
        <w:tc>
          <w:tcPr>
            <w:tcW w:w="3726" w:type="dxa"/>
            <w:noWrap w:val="0"/>
            <w:vAlign w:val="center"/>
          </w:tcPr>
          <w:p w14:paraId="14A3912C">
            <w:pPr>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333333"/>
                <w:kern w:val="0"/>
                <w:sz w:val="16"/>
                <w:szCs w:val="16"/>
                <w:shd w:val="clear" w:color="auto" w:fill="FFFFFF"/>
              </w:rPr>
              <w:t>《中华人民共和国安全生产法》（2014年8月31日主席令第十三号）第三十条。</w:t>
            </w:r>
          </w:p>
        </w:tc>
        <w:tc>
          <w:tcPr>
            <w:tcW w:w="2942" w:type="dxa"/>
            <w:noWrap w:val="0"/>
            <w:vAlign w:val="center"/>
          </w:tcPr>
          <w:p w14:paraId="06291563">
            <w:pPr>
              <w:snapToGrid w:val="0"/>
              <w:ind w:left="0" w:leftChars="0" w:right="0" w:rightChars="0" w:firstLine="0" w:firstLineChars="0"/>
              <w:jc w:val="left"/>
              <w:rPr>
                <w:rFonts w:ascii="Times New Roman" w:eastAsia="宋体"/>
                <w:color w:val="000000"/>
                <w:kern w:val="0"/>
                <w:sz w:val="16"/>
                <w:szCs w:val="16"/>
              </w:rPr>
            </w:pPr>
            <w:r>
              <w:rPr>
                <w:rFonts w:ascii="Times New Roman" w:eastAsia="宋体"/>
                <w:color w:val="000000"/>
                <w:kern w:val="0"/>
                <w:sz w:val="16"/>
                <w:szCs w:val="16"/>
              </w:rPr>
              <w:t>1</w:t>
            </w:r>
            <w:r>
              <w:rPr>
                <w:rFonts w:hint="eastAsia" w:ascii="Times New Roman" w:eastAsia="宋体"/>
                <w:color w:val="000000"/>
                <w:kern w:val="0"/>
                <w:sz w:val="16"/>
                <w:szCs w:val="16"/>
              </w:rPr>
              <w:t>、受理阶段责任：公示依法应当提交的材料；一次性告知补正材料；依法受理或不予受理（不予受理应当告知理由）。</w:t>
            </w:r>
            <w:r>
              <w:rPr>
                <w:rFonts w:ascii="Times New Roman" w:eastAsia="宋体"/>
                <w:color w:val="000000"/>
                <w:kern w:val="0"/>
                <w:sz w:val="16"/>
                <w:szCs w:val="16"/>
              </w:rPr>
              <w:t>2</w:t>
            </w:r>
            <w:r>
              <w:rPr>
                <w:rFonts w:hint="eastAsia" w:ascii="Times New Roman" w:eastAsia="宋体"/>
                <w:color w:val="000000"/>
                <w:kern w:val="0"/>
                <w:sz w:val="16"/>
                <w:szCs w:val="16"/>
              </w:rPr>
              <w:t>、审查阶段责任：材料审核，认为必要时到现场进行核查，提出初审意见。</w:t>
            </w:r>
            <w:r>
              <w:rPr>
                <w:rFonts w:ascii="Times New Roman" w:eastAsia="宋体"/>
                <w:color w:val="000000"/>
                <w:kern w:val="0"/>
                <w:sz w:val="16"/>
                <w:szCs w:val="16"/>
              </w:rPr>
              <w:t>3</w:t>
            </w:r>
            <w:r>
              <w:rPr>
                <w:rFonts w:hint="eastAsia" w:ascii="Times New Roman" w:eastAsia="宋体"/>
                <w:color w:val="000000"/>
                <w:kern w:val="0"/>
                <w:sz w:val="16"/>
                <w:szCs w:val="16"/>
              </w:rPr>
              <w:t>、决定阶段责任：作出决定（不予行政许可的应当告知理由），按时办结，告知。</w:t>
            </w:r>
            <w:r>
              <w:rPr>
                <w:rFonts w:ascii="Times New Roman" w:eastAsia="宋体"/>
                <w:color w:val="000000"/>
                <w:kern w:val="0"/>
                <w:sz w:val="16"/>
                <w:szCs w:val="16"/>
              </w:rPr>
              <w:t>4</w:t>
            </w:r>
            <w:r>
              <w:rPr>
                <w:rFonts w:hint="eastAsia" w:ascii="Times New Roman" w:eastAsia="宋体"/>
                <w:color w:val="000000"/>
                <w:kern w:val="0"/>
                <w:sz w:val="16"/>
                <w:szCs w:val="16"/>
              </w:rPr>
              <w:t>、送达阶段责任：制作备案证，规定时间内送达，定期在本局政府网站公开。</w:t>
            </w:r>
            <w:r>
              <w:rPr>
                <w:rFonts w:ascii="Times New Roman" w:eastAsia="宋体"/>
                <w:color w:val="000000"/>
                <w:kern w:val="0"/>
                <w:sz w:val="16"/>
                <w:szCs w:val="16"/>
              </w:rPr>
              <w:t>5</w:t>
            </w:r>
            <w:r>
              <w:rPr>
                <w:rFonts w:hint="eastAsia" w:ascii="Times New Roman" w:eastAsia="宋体"/>
                <w:color w:val="000000"/>
                <w:kern w:val="0"/>
                <w:sz w:val="16"/>
                <w:szCs w:val="16"/>
              </w:rPr>
              <w:t>、事后监管责任：加强对危险化学品企业的监督检查，使其生产经营活动按照法律法规的规定开展。</w:t>
            </w:r>
          </w:p>
        </w:tc>
        <w:tc>
          <w:tcPr>
            <w:tcW w:w="2888" w:type="dxa"/>
            <w:noWrap w:val="0"/>
            <w:vAlign w:val="center"/>
          </w:tcPr>
          <w:p w14:paraId="22FBF0B1">
            <w:pPr>
              <w:snapToGrid w:val="0"/>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不履行或不正确履行行政职责，有下列情形的，行政机关及相关工作人员应承担相应责任：</w:t>
            </w:r>
            <w:r>
              <w:rPr>
                <w:rFonts w:ascii="Times New Roman" w:eastAsia="宋体"/>
                <w:color w:val="000000"/>
                <w:kern w:val="0"/>
                <w:sz w:val="16"/>
                <w:szCs w:val="16"/>
              </w:rPr>
              <w:t>1</w:t>
            </w:r>
            <w:r>
              <w:rPr>
                <w:rFonts w:hint="eastAsia" w:ascii="Times New Roman" w:eastAsia="宋体"/>
                <w:color w:val="000000"/>
                <w:kern w:val="0"/>
                <w:sz w:val="16"/>
                <w:szCs w:val="16"/>
              </w:rPr>
              <w:t>、对符合法定条件的经营者申请不予受理、备案的；</w:t>
            </w:r>
            <w:r>
              <w:rPr>
                <w:rFonts w:ascii="Times New Roman" w:eastAsia="宋体"/>
                <w:color w:val="000000"/>
                <w:kern w:val="0"/>
                <w:sz w:val="16"/>
                <w:szCs w:val="16"/>
              </w:rPr>
              <w:t>2</w:t>
            </w:r>
            <w:r>
              <w:rPr>
                <w:rFonts w:hint="eastAsia" w:ascii="Times New Roman" w:eastAsia="宋体"/>
                <w:color w:val="000000"/>
                <w:kern w:val="0"/>
                <w:sz w:val="16"/>
                <w:szCs w:val="16"/>
              </w:rPr>
              <w:t>、向不符合法定安全生产条件的经营者颁发备案证明的；</w:t>
            </w:r>
            <w:r>
              <w:rPr>
                <w:rFonts w:ascii="Times New Roman" w:eastAsia="宋体"/>
                <w:color w:val="000000"/>
                <w:kern w:val="0"/>
                <w:sz w:val="16"/>
                <w:szCs w:val="16"/>
              </w:rPr>
              <w:t>3</w:t>
            </w:r>
            <w:r>
              <w:rPr>
                <w:rFonts w:hint="eastAsia" w:ascii="Times New Roman" w:eastAsia="宋体"/>
                <w:color w:val="000000"/>
                <w:kern w:val="0"/>
                <w:sz w:val="16"/>
                <w:szCs w:val="16"/>
              </w:rPr>
              <w:t>、发现经营者未依法取得经营许可证擅自从事生产活动，不依法处理的；</w:t>
            </w:r>
            <w:r>
              <w:rPr>
                <w:rFonts w:ascii="Times New Roman" w:eastAsia="宋体"/>
                <w:color w:val="000000"/>
                <w:kern w:val="0"/>
                <w:sz w:val="16"/>
                <w:szCs w:val="16"/>
              </w:rPr>
              <w:t>4</w:t>
            </w:r>
            <w:r>
              <w:rPr>
                <w:rFonts w:hint="eastAsia" w:ascii="Times New Roman" w:eastAsia="宋体"/>
                <w:color w:val="000000"/>
                <w:kern w:val="0"/>
                <w:sz w:val="16"/>
                <w:szCs w:val="16"/>
              </w:rPr>
              <w:t>、超越、滥用法定职权致使行政执法行为被撤销、变更、确认违法，或者被责令履行法定职责、承担行政赔偿责任的；</w:t>
            </w:r>
            <w:r>
              <w:rPr>
                <w:rFonts w:ascii="Times New Roman" w:eastAsia="宋体"/>
                <w:color w:val="000000"/>
                <w:kern w:val="0"/>
                <w:sz w:val="16"/>
                <w:szCs w:val="16"/>
              </w:rPr>
              <w:t>5</w:t>
            </w:r>
            <w:r>
              <w:rPr>
                <w:rFonts w:hint="eastAsia" w:ascii="Times New Roman" w:eastAsia="宋体"/>
                <w:color w:val="000000"/>
                <w:kern w:val="0"/>
                <w:sz w:val="16"/>
                <w:szCs w:val="16"/>
              </w:rPr>
              <w:t>、对经责令整改仍不具备安全生产条件的生产经营单位，不撤销原行政许可、审批或者不依法查处的；</w:t>
            </w:r>
            <w:r>
              <w:rPr>
                <w:rFonts w:ascii="Times New Roman" w:eastAsia="宋体"/>
                <w:color w:val="000000"/>
                <w:kern w:val="0"/>
                <w:sz w:val="16"/>
                <w:szCs w:val="16"/>
              </w:rPr>
              <w:t>6</w:t>
            </w:r>
            <w:r>
              <w:rPr>
                <w:rFonts w:hint="eastAsia" w:ascii="Times New Roman" w:eastAsia="宋体"/>
                <w:color w:val="000000"/>
                <w:kern w:val="0"/>
                <w:sz w:val="16"/>
                <w:szCs w:val="16"/>
              </w:rPr>
              <w:t>、其他违反法律法规规章文件规定的行为。</w:t>
            </w:r>
          </w:p>
        </w:tc>
      </w:tr>
      <w:tr w14:paraId="701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776BC0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28"/>
              </w:rPr>
              <w:t>3</w:t>
            </w:r>
          </w:p>
        </w:tc>
        <w:tc>
          <w:tcPr>
            <w:tcW w:w="1096" w:type="dxa"/>
            <w:noWrap w:val="0"/>
            <w:vAlign w:val="center"/>
          </w:tcPr>
          <w:p w14:paraId="63A9279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行政许可</w:t>
            </w:r>
          </w:p>
        </w:tc>
        <w:tc>
          <w:tcPr>
            <w:tcW w:w="1850" w:type="dxa"/>
            <w:noWrap w:val="0"/>
            <w:vAlign w:val="center"/>
          </w:tcPr>
          <w:p w14:paraId="12495EF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金属冶炼建设项目安全设施设计审查</w:t>
            </w:r>
          </w:p>
        </w:tc>
        <w:tc>
          <w:tcPr>
            <w:tcW w:w="1500" w:type="dxa"/>
            <w:noWrap w:val="0"/>
            <w:vAlign w:val="center"/>
          </w:tcPr>
          <w:p w14:paraId="2F64FD4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F5D3160">
            <w:pPr>
              <w:snapToGrid w:val="0"/>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rPr>
              <w:t>1.《中华人民共和国安全生产法》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r>
              <w:rPr>
                <w:rFonts w:hint="eastAsia" w:ascii="Times New Roman" w:hAnsi="宋体" w:eastAsia="宋体" w:cs="宋体"/>
                <w:color w:val="000000"/>
                <w:kern w:val="0"/>
                <w:sz w:val="16"/>
                <w:szCs w:val="16"/>
              </w:rPr>
              <w:br w:type="textWrapping"/>
            </w:r>
            <w:r>
              <w:rPr>
                <w:rFonts w:hint="eastAsia" w:ascii="Times New Roman" w:hAnsi="宋体" w:eastAsia="宋体" w:cs="宋体"/>
                <w:color w:val="000000"/>
                <w:kern w:val="0"/>
                <w:sz w:val="16"/>
                <w:szCs w:val="16"/>
              </w:rPr>
              <w:t>2.《建设项目安全设施“三同时”监督管理办法》（国家安全生产监督管理总局令2010年第36号，2015年4月2日国家安全生产监督管理总局令77号修正）第五第二款、第三款：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w:t>
            </w:r>
          </w:p>
        </w:tc>
        <w:tc>
          <w:tcPr>
            <w:tcW w:w="2942" w:type="dxa"/>
            <w:noWrap w:val="0"/>
            <w:vAlign w:val="center"/>
          </w:tcPr>
          <w:p w14:paraId="075665C3">
            <w:pPr>
              <w:snapToGrid w:val="0"/>
              <w:ind w:left="0" w:leftChars="0" w:right="0" w:rightChars="0" w:firstLine="0" w:firstLineChars="0"/>
              <w:jc w:val="left"/>
              <w:rPr>
                <w:rFonts w:ascii="Times New Roman" w:eastAsia="宋体"/>
                <w:color w:val="000000"/>
                <w:kern w:val="0"/>
                <w:sz w:val="16"/>
                <w:szCs w:val="16"/>
              </w:rPr>
            </w:pPr>
            <w:r>
              <w:rPr>
                <w:rFonts w:ascii="Times New Roman" w:eastAsia="宋体"/>
                <w:color w:val="000000"/>
                <w:kern w:val="0"/>
                <w:sz w:val="16"/>
                <w:szCs w:val="16"/>
              </w:rPr>
              <w:t>1</w:t>
            </w:r>
            <w:r>
              <w:rPr>
                <w:rFonts w:hint="eastAsia" w:ascii="Times New Roman" w:eastAsia="宋体"/>
                <w:color w:val="000000"/>
                <w:kern w:val="0"/>
                <w:sz w:val="16"/>
                <w:szCs w:val="16"/>
              </w:rPr>
              <w:t>、受理阶段责任：公示依法应当提交的材料；一次性告知补正材料；依法受理或不予受理（不予受理应当告知理由）。</w:t>
            </w:r>
            <w:r>
              <w:rPr>
                <w:rFonts w:ascii="Times New Roman" w:eastAsia="宋体"/>
                <w:color w:val="000000"/>
                <w:kern w:val="0"/>
                <w:sz w:val="16"/>
                <w:szCs w:val="16"/>
              </w:rPr>
              <w:t>2</w:t>
            </w:r>
            <w:r>
              <w:rPr>
                <w:rFonts w:hint="eastAsia" w:ascii="Times New Roman" w:eastAsia="宋体"/>
                <w:color w:val="000000"/>
                <w:kern w:val="0"/>
                <w:sz w:val="16"/>
                <w:szCs w:val="16"/>
              </w:rPr>
              <w:t>、审查阶段责任：材料审核，认为必要时到现场进行核查，提出初审意见。</w:t>
            </w:r>
            <w:r>
              <w:rPr>
                <w:rFonts w:ascii="Times New Roman" w:eastAsia="宋体"/>
                <w:color w:val="000000"/>
                <w:kern w:val="0"/>
                <w:sz w:val="16"/>
                <w:szCs w:val="16"/>
              </w:rPr>
              <w:t>3</w:t>
            </w:r>
            <w:r>
              <w:rPr>
                <w:rFonts w:hint="eastAsia" w:ascii="Times New Roman" w:eastAsia="宋体"/>
                <w:color w:val="000000"/>
                <w:kern w:val="0"/>
                <w:sz w:val="16"/>
                <w:szCs w:val="16"/>
              </w:rPr>
              <w:t>、决定阶段责任：作出决定（不予行政许可的应当告知理由），按时办结，告知。</w:t>
            </w:r>
            <w:r>
              <w:rPr>
                <w:rFonts w:ascii="Times New Roman" w:eastAsia="宋体"/>
                <w:color w:val="000000"/>
                <w:kern w:val="0"/>
                <w:sz w:val="16"/>
                <w:szCs w:val="16"/>
              </w:rPr>
              <w:t>4</w:t>
            </w:r>
            <w:r>
              <w:rPr>
                <w:rFonts w:hint="eastAsia" w:ascii="Times New Roman" w:eastAsia="宋体"/>
                <w:color w:val="000000"/>
                <w:kern w:val="0"/>
                <w:sz w:val="16"/>
                <w:szCs w:val="16"/>
              </w:rPr>
              <w:t>、送达阶段责任：制作备案证，规定时间内送达，定期在本局政府网站公开。</w:t>
            </w:r>
            <w:r>
              <w:rPr>
                <w:rFonts w:ascii="Times New Roman" w:eastAsia="宋体"/>
                <w:color w:val="000000"/>
                <w:kern w:val="0"/>
                <w:sz w:val="16"/>
                <w:szCs w:val="16"/>
              </w:rPr>
              <w:t>5</w:t>
            </w:r>
            <w:r>
              <w:rPr>
                <w:rFonts w:hint="eastAsia" w:ascii="Times New Roman" w:eastAsia="宋体"/>
                <w:color w:val="000000"/>
                <w:kern w:val="0"/>
                <w:sz w:val="16"/>
                <w:szCs w:val="16"/>
              </w:rPr>
              <w:t>、事后监管责任：加强对危险化学品企业的监督检查，使其生产经营活动按照法律法规的规定开展。</w:t>
            </w:r>
          </w:p>
        </w:tc>
        <w:tc>
          <w:tcPr>
            <w:tcW w:w="2888" w:type="dxa"/>
            <w:noWrap w:val="0"/>
            <w:vAlign w:val="center"/>
          </w:tcPr>
          <w:p w14:paraId="4DB97B9A">
            <w:pPr>
              <w:snapToGrid w:val="0"/>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不履行或不正确履行行政职责，有下列情形的，行政机关及相关工作人员应承担相应责任：</w:t>
            </w:r>
            <w:r>
              <w:rPr>
                <w:rFonts w:ascii="Times New Roman" w:eastAsia="宋体"/>
                <w:color w:val="000000"/>
                <w:kern w:val="0"/>
                <w:sz w:val="16"/>
                <w:szCs w:val="16"/>
              </w:rPr>
              <w:t>1</w:t>
            </w:r>
            <w:r>
              <w:rPr>
                <w:rFonts w:hint="eastAsia" w:ascii="Times New Roman" w:eastAsia="宋体"/>
                <w:color w:val="000000"/>
                <w:kern w:val="0"/>
                <w:sz w:val="16"/>
                <w:szCs w:val="16"/>
              </w:rPr>
              <w:t>、对符合法定条件的经营者申请不予受理、备案的；</w:t>
            </w:r>
            <w:r>
              <w:rPr>
                <w:rFonts w:ascii="Times New Roman" w:eastAsia="宋体"/>
                <w:color w:val="000000"/>
                <w:kern w:val="0"/>
                <w:sz w:val="16"/>
                <w:szCs w:val="16"/>
              </w:rPr>
              <w:t>2</w:t>
            </w:r>
            <w:r>
              <w:rPr>
                <w:rFonts w:hint="eastAsia" w:ascii="Times New Roman" w:eastAsia="宋体"/>
                <w:color w:val="000000"/>
                <w:kern w:val="0"/>
                <w:sz w:val="16"/>
                <w:szCs w:val="16"/>
              </w:rPr>
              <w:t>、向不符合法定安全生产条件的经营者颁发备案证明的；</w:t>
            </w:r>
            <w:r>
              <w:rPr>
                <w:rFonts w:ascii="Times New Roman" w:eastAsia="宋体"/>
                <w:color w:val="000000"/>
                <w:kern w:val="0"/>
                <w:sz w:val="16"/>
                <w:szCs w:val="16"/>
              </w:rPr>
              <w:t>3</w:t>
            </w:r>
            <w:r>
              <w:rPr>
                <w:rFonts w:hint="eastAsia" w:ascii="Times New Roman" w:eastAsia="宋体"/>
                <w:color w:val="000000"/>
                <w:kern w:val="0"/>
                <w:sz w:val="16"/>
                <w:szCs w:val="16"/>
              </w:rPr>
              <w:t>、发现经营者未依法取得经营许可证擅自从事生产活动，不依法处理的；</w:t>
            </w:r>
            <w:r>
              <w:rPr>
                <w:rFonts w:ascii="Times New Roman" w:eastAsia="宋体"/>
                <w:color w:val="000000"/>
                <w:kern w:val="0"/>
                <w:sz w:val="16"/>
                <w:szCs w:val="16"/>
              </w:rPr>
              <w:t>4</w:t>
            </w:r>
            <w:r>
              <w:rPr>
                <w:rFonts w:hint="eastAsia" w:ascii="Times New Roman" w:eastAsia="宋体"/>
                <w:color w:val="000000"/>
                <w:kern w:val="0"/>
                <w:sz w:val="16"/>
                <w:szCs w:val="16"/>
              </w:rPr>
              <w:t>、超越、滥用法定职权致使行政执法行为被撤销、变更、确认违法，或者被责令履行法定职责、承担行政赔偿责任的；</w:t>
            </w:r>
            <w:r>
              <w:rPr>
                <w:rFonts w:ascii="Times New Roman" w:eastAsia="宋体"/>
                <w:color w:val="000000"/>
                <w:kern w:val="0"/>
                <w:sz w:val="16"/>
                <w:szCs w:val="16"/>
              </w:rPr>
              <w:t>5</w:t>
            </w:r>
            <w:r>
              <w:rPr>
                <w:rFonts w:hint="eastAsia" w:ascii="Times New Roman" w:eastAsia="宋体"/>
                <w:color w:val="000000"/>
                <w:kern w:val="0"/>
                <w:sz w:val="16"/>
                <w:szCs w:val="16"/>
              </w:rPr>
              <w:t>、对经责令整改仍不具备安全生产条件的生产经营单位，不撤销原行政许可、审批或者不依法查处的；</w:t>
            </w:r>
            <w:r>
              <w:rPr>
                <w:rFonts w:ascii="Times New Roman" w:eastAsia="宋体"/>
                <w:color w:val="000000"/>
                <w:kern w:val="0"/>
                <w:sz w:val="16"/>
                <w:szCs w:val="16"/>
              </w:rPr>
              <w:t>6</w:t>
            </w:r>
            <w:r>
              <w:rPr>
                <w:rFonts w:hint="eastAsia" w:ascii="Times New Roman" w:eastAsia="宋体"/>
                <w:color w:val="000000"/>
                <w:kern w:val="0"/>
                <w:sz w:val="16"/>
                <w:szCs w:val="16"/>
              </w:rPr>
              <w:t>、其他违反法律法规规章文件规定的行为。</w:t>
            </w:r>
          </w:p>
        </w:tc>
      </w:tr>
      <w:tr w14:paraId="73E7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897437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28"/>
              </w:rPr>
              <w:t>4</w:t>
            </w:r>
          </w:p>
        </w:tc>
        <w:tc>
          <w:tcPr>
            <w:tcW w:w="1096" w:type="dxa"/>
            <w:noWrap w:val="0"/>
            <w:vAlign w:val="center"/>
          </w:tcPr>
          <w:p w14:paraId="6132290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行政许可</w:t>
            </w:r>
          </w:p>
        </w:tc>
        <w:tc>
          <w:tcPr>
            <w:tcW w:w="1850" w:type="dxa"/>
            <w:noWrap w:val="0"/>
            <w:vAlign w:val="center"/>
          </w:tcPr>
          <w:p w14:paraId="3977644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烟花爆竹经营许可</w:t>
            </w:r>
          </w:p>
        </w:tc>
        <w:tc>
          <w:tcPr>
            <w:tcW w:w="1500" w:type="dxa"/>
            <w:noWrap w:val="0"/>
            <w:vAlign w:val="center"/>
          </w:tcPr>
          <w:p w14:paraId="111358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rPr>
              <w:t>烟花爆竹经营许可（零售）</w:t>
            </w:r>
          </w:p>
        </w:tc>
        <w:tc>
          <w:tcPr>
            <w:tcW w:w="3726" w:type="dxa"/>
            <w:noWrap w:val="0"/>
            <w:vAlign w:val="center"/>
          </w:tcPr>
          <w:p w14:paraId="26480A4B">
            <w:pPr>
              <w:snapToGrid w:val="0"/>
              <w:ind w:left="0" w:leftChars="0" w:right="0" w:rightChars="0" w:firstLine="0" w:firstLineChars="0"/>
              <w:jc w:val="left"/>
              <w:rPr>
                <w:rFonts w:hint="eastAsia" w:ascii="Times New Roman" w:hAnsi="宋体" w:eastAsia="宋体" w:cs="宋体"/>
                <w:color w:val="333333"/>
                <w:kern w:val="0"/>
                <w:sz w:val="16"/>
                <w:szCs w:val="16"/>
                <w:shd w:val="clear" w:color="auto" w:fill="FFFFFF"/>
              </w:rPr>
            </w:pPr>
            <w:r>
              <w:rPr>
                <w:rFonts w:hint="eastAsia" w:ascii="Times New Roman" w:hAnsi="宋体" w:eastAsia="宋体" w:cs="宋体"/>
                <w:color w:val="000000"/>
                <w:kern w:val="0"/>
                <w:sz w:val="16"/>
                <w:szCs w:val="16"/>
              </w:rPr>
              <w:t>《烟花爆竹安全管理条例》第十九条第一、二款</w:t>
            </w:r>
            <w:r>
              <w:rPr>
                <w:rFonts w:hint="eastAsia" w:ascii="Times New Roman" w:hAnsi="宋体" w:eastAsia="宋体" w:cs="宋体"/>
                <w:color w:val="000000"/>
                <w:kern w:val="0"/>
                <w:sz w:val="16"/>
                <w:szCs w:val="16"/>
              </w:rPr>
              <w:br w:type="textWrapping"/>
            </w:r>
            <w:r>
              <w:rPr>
                <w:rFonts w:hint="eastAsia" w:ascii="Times New Roman" w:hAnsi="宋体" w:eastAsia="宋体" w:cs="宋体"/>
                <w:color w:val="000000"/>
                <w:kern w:val="0"/>
                <w:sz w:val="16"/>
                <w:szCs w:val="16"/>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tc>
        <w:tc>
          <w:tcPr>
            <w:tcW w:w="2942" w:type="dxa"/>
            <w:noWrap w:val="0"/>
            <w:vAlign w:val="center"/>
          </w:tcPr>
          <w:p w14:paraId="16FC778A">
            <w:pPr>
              <w:snapToGrid w:val="0"/>
              <w:ind w:left="0" w:leftChars="0" w:right="0" w:rightChars="0" w:firstLine="0" w:firstLineChars="0"/>
              <w:jc w:val="left"/>
              <w:rPr>
                <w:rFonts w:ascii="Times New Roman" w:eastAsia="宋体"/>
                <w:color w:val="000000"/>
                <w:kern w:val="0"/>
                <w:sz w:val="16"/>
                <w:szCs w:val="16"/>
              </w:rPr>
            </w:pPr>
            <w:r>
              <w:rPr>
                <w:rFonts w:ascii="Times New Roman" w:eastAsia="宋体"/>
                <w:color w:val="000000"/>
                <w:kern w:val="0"/>
                <w:sz w:val="16"/>
                <w:szCs w:val="16"/>
              </w:rPr>
              <w:t>1</w:t>
            </w:r>
            <w:r>
              <w:rPr>
                <w:rFonts w:hint="eastAsia" w:ascii="Times New Roman" w:eastAsia="宋体"/>
                <w:color w:val="000000"/>
                <w:kern w:val="0"/>
                <w:sz w:val="16"/>
                <w:szCs w:val="16"/>
              </w:rPr>
              <w:t>、受理阶段责任：公示依法应当提交的材料；一次性告知补正材料；依法受理或不予受理（不予受理应当告知理由）。</w:t>
            </w:r>
            <w:r>
              <w:rPr>
                <w:rFonts w:ascii="Times New Roman" w:eastAsia="宋体"/>
                <w:color w:val="000000"/>
                <w:kern w:val="0"/>
                <w:sz w:val="16"/>
                <w:szCs w:val="16"/>
              </w:rPr>
              <w:t>2</w:t>
            </w:r>
            <w:r>
              <w:rPr>
                <w:rFonts w:hint="eastAsia" w:ascii="Times New Roman" w:eastAsia="宋体"/>
                <w:color w:val="000000"/>
                <w:kern w:val="0"/>
                <w:sz w:val="16"/>
                <w:szCs w:val="16"/>
              </w:rPr>
              <w:t>、审查阶段责任：材料审核，认为必要时到现场进行核查，提出初审意见。</w:t>
            </w:r>
            <w:r>
              <w:rPr>
                <w:rFonts w:ascii="Times New Roman" w:eastAsia="宋体"/>
                <w:color w:val="000000"/>
                <w:kern w:val="0"/>
                <w:sz w:val="16"/>
                <w:szCs w:val="16"/>
              </w:rPr>
              <w:t>3</w:t>
            </w:r>
            <w:r>
              <w:rPr>
                <w:rFonts w:hint="eastAsia" w:ascii="Times New Roman" w:eastAsia="宋体"/>
                <w:color w:val="000000"/>
                <w:kern w:val="0"/>
                <w:sz w:val="16"/>
                <w:szCs w:val="16"/>
              </w:rPr>
              <w:t>、决定阶段责任：作出决定（不予行政许可的应当告知理由），按时办结，告知。</w:t>
            </w:r>
            <w:r>
              <w:rPr>
                <w:rFonts w:ascii="Times New Roman" w:eastAsia="宋体"/>
                <w:color w:val="000000"/>
                <w:kern w:val="0"/>
                <w:sz w:val="16"/>
                <w:szCs w:val="16"/>
              </w:rPr>
              <w:t>4</w:t>
            </w:r>
            <w:r>
              <w:rPr>
                <w:rFonts w:hint="eastAsia" w:ascii="Times New Roman" w:eastAsia="宋体"/>
                <w:color w:val="000000"/>
                <w:kern w:val="0"/>
                <w:sz w:val="16"/>
                <w:szCs w:val="16"/>
              </w:rPr>
              <w:t>、送达阶段责任：制作许可证，规定时间内送达，定期在本局政府网站公开。</w:t>
            </w:r>
            <w:r>
              <w:rPr>
                <w:rFonts w:ascii="Times New Roman" w:eastAsia="宋体"/>
                <w:color w:val="000000"/>
                <w:kern w:val="0"/>
                <w:sz w:val="16"/>
                <w:szCs w:val="16"/>
              </w:rPr>
              <w:t>5</w:t>
            </w:r>
            <w:r>
              <w:rPr>
                <w:rFonts w:hint="eastAsia" w:ascii="Times New Roman" w:eastAsia="宋体"/>
                <w:color w:val="000000"/>
                <w:kern w:val="0"/>
                <w:sz w:val="16"/>
                <w:szCs w:val="16"/>
              </w:rPr>
              <w:t>、事后监管责任：加强对危险化学品企业的监督检查，使其生产经营活动按照法律法规的规定开展。</w:t>
            </w:r>
          </w:p>
        </w:tc>
        <w:tc>
          <w:tcPr>
            <w:tcW w:w="2888" w:type="dxa"/>
            <w:noWrap w:val="0"/>
            <w:vAlign w:val="center"/>
          </w:tcPr>
          <w:p w14:paraId="54D7B09A">
            <w:pPr>
              <w:snapToGrid w:val="0"/>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不履行或不正确履行行政职责，有下列情形的，行政机关及相关工作人员应承担相应责任：</w:t>
            </w:r>
            <w:r>
              <w:rPr>
                <w:rFonts w:ascii="Times New Roman" w:eastAsia="宋体"/>
                <w:color w:val="000000"/>
                <w:kern w:val="0"/>
                <w:sz w:val="16"/>
                <w:szCs w:val="16"/>
              </w:rPr>
              <w:t>1</w:t>
            </w:r>
            <w:r>
              <w:rPr>
                <w:rFonts w:hint="eastAsia" w:ascii="Times New Roman" w:eastAsia="宋体"/>
                <w:color w:val="000000"/>
                <w:kern w:val="0"/>
                <w:sz w:val="16"/>
                <w:szCs w:val="16"/>
              </w:rPr>
              <w:t>、对符合法定条件的经营者申请不予受理、备案的；</w:t>
            </w:r>
            <w:r>
              <w:rPr>
                <w:rFonts w:ascii="Times New Roman" w:eastAsia="宋体"/>
                <w:color w:val="000000"/>
                <w:kern w:val="0"/>
                <w:sz w:val="16"/>
                <w:szCs w:val="16"/>
              </w:rPr>
              <w:t>2</w:t>
            </w:r>
            <w:r>
              <w:rPr>
                <w:rFonts w:hint="eastAsia" w:ascii="Times New Roman" w:eastAsia="宋体"/>
                <w:color w:val="000000"/>
                <w:kern w:val="0"/>
                <w:sz w:val="16"/>
                <w:szCs w:val="16"/>
              </w:rPr>
              <w:t>、向不符合法定安全生产条件的经营者颁发备案证明的；</w:t>
            </w:r>
            <w:r>
              <w:rPr>
                <w:rFonts w:ascii="Times New Roman" w:eastAsia="宋体"/>
                <w:color w:val="000000"/>
                <w:kern w:val="0"/>
                <w:sz w:val="16"/>
                <w:szCs w:val="16"/>
              </w:rPr>
              <w:t>3</w:t>
            </w:r>
            <w:r>
              <w:rPr>
                <w:rFonts w:hint="eastAsia" w:ascii="Times New Roman" w:eastAsia="宋体"/>
                <w:color w:val="000000"/>
                <w:kern w:val="0"/>
                <w:sz w:val="16"/>
                <w:szCs w:val="16"/>
              </w:rPr>
              <w:t>、发现经营者未依法取得经营许可证擅自从事生产活动，不依法处理的；</w:t>
            </w:r>
            <w:r>
              <w:rPr>
                <w:rFonts w:ascii="Times New Roman" w:eastAsia="宋体"/>
                <w:color w:val="000000"/>
                <w:kern w:val="0"/>
                <w:sz w:val="16"/>
                <w:szCs w:val="16"/>
              </w:rPr>
              <w:t>4</w:t>
            </w:r>
            <w:r>
              <w:rPr>
                <w:rFonts w:hint="eastAsia" w:ascii="Times New Roman" w:eastAsia="宋体"/>
                <w:color w:val="000000"/>
                <w:kern w:val="0"/>
                <w:sz w:val="16"/>
                <w:szCs w:val="16"/>
              </w:rPr>
              <w:t>、超越、滥用法定职权致使行政执法行为被撤销、变更、确认违法，或者被责令履行法定职责、承担行政赔偿责任的；</w:t>
            </w:r>
            <w:r>
              <w:rPr>
                <w:rFonts w:ascii="Times New Roman" w:eastAsia="宋体"/>
                <w:color w:val="000000"/>
                <w:kern w:val="0"/>
                <w:sz w:val="16"/>
                <w:szCs w:val="16"/>
              </w:rPr>
              <w:t>5</w:t>
            </w:r>
            <w:r>
              <w:rPr>
                <w:rFonts w:hint="eastAsia" w:ascii="Times New Roman" w:eastAsia="宋体"/>
                <w:color w:val="000000"/>
                <w:kern w:val="0"/>
                <w:sz w:val="16"/>
                <w:szCs w:val="16"/>
              </w:rPr>
              <w:t>、对经责令整改仍不具备安全生产条件的生产经营单位，不撤销原行政许可、审批或者不依法查处的；</w:t>
            </w:r>
            <w:r>
              <w:rPr>
                <w:rFonts w:ascii="Times New Roman" w:eastAsia="宋体"/>
                <w:color w:val="000000"/>
                <w:kern w:val="0"/>
                <w:sz w:val="16"/>
                <w:szCs w:val="16"/>
              </w:rPr>
              <w:t>6</w:t>
            </w:r>
            <w:r>
              <w:rPr>
                <w:rFonts w:hint="eastAsia" w:ascii="Times New Roman" w:eastAsia="宋体"/>
                <w:color w:val="000000"/>
                <w:kern w:val="0"/>
                <w:sz w:val="16"/>
                <w:szCs w:val="16"/>
              </w:rPr>
              <w:t>、其他违反法律法规规章文件规定的行为。</w:t>
            </w:r>
          </w:p>
        </w:tc>
      </w:tr>
      <w:tr w14:paraId="0C2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A06F5B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28"/>
              </w:rPr>
              <w:t>5</w:t>
            </w:r>
          </w:p>
        </w:tc>
        <w:tc>
          <w:tcPr>
            <w:tcW w:w="1096" w:type="dxa"/>
            <w:noWrap w:val="0"/>
            <w:vAlign w:val="center"/>
          </w:tcPr>
          <w:p w14:paraId="277CAE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行政许可</w:t>
            </w:r>
          </w:p>
        </w:tc>
        <w:tc>
          <w:tcPr>
            <w:tcW w:w="1850" w:type="dxa"/>
            <w:noWrap w:val="0"/>
            <w:vAlign w:val="center"/>
          </w:tcPr>
          <w:p w14:paraId="4F3AC88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危险化学品经营许可</w:t>
            </w:r>
          </w:p>
        </w:tc>
        <w:tc>
          <w:tcPr>
            <w:tcW w:w="1500" w:type="dxa"/>
            <w:noWrap w:val="0"/>
            <w:vAlign w:val="center"/>
          </w:tcPr>
          <w:p w14:paraId="5BF58F0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危险化学品经营许可（无储存）</w:t>
            </w:r>
          </w:p>
        </w:tc>
        <w:tc>
          <w:tcPr>
            <w:tcW w:w="3726" w:type="dxa"/>
            <w:noWrap w:val="0"/>
            <w:vAlign w:val="center"/>
          </w:tcPr>
          <w:p w14:paraId="2C0ABE01">
            <w:pPr>
              <w:snapToGrid w:val="0"/>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rPr>
              <w:t>1.《危险化学品安全管理条例》第三十三条：国家对危险化学品经营（包括仓储经营，下同）实行许可制度。未经许可，任何单位和个人不得经营危险化学品。</w:t>
            </w:r>
            <w:r>
              <w:rPr>
                <w:rFonts w:hint="eastAsia" w:ascii="Times New Roman" w:hAnsi="宋体" w:eastAsia="宋体" w:cs="宋体"/>
                <w:color w:val="000000"/>
                <w:kern w:val="0"/>
                <w:sz w:val="16"/>
                <w:szCs w:val="16"/>
              </w:rPr>
              <w:br w:type="textWrapping"/>
            </w:r>
            <w:r>
              <w:rPr>
                <w:rFonts w:hint="eastAsia" w:ascii="Times New Roman" w:hAnsi="宋体" w:eastAsia="宋体" w:cs="宋体"/>
                <w:color w:val="000000"/>
                <w:kern w:val="0"/>
                <w:sz w:val="16"/>
                <w:szCs w:val="16"/>
              </w:rPr>
              <w:t>第三十五条第一款：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w:t>
            </w:r>
            <w:r>
              <w:rPr>
                <w:rFonts w:hint="eastAsia" w:ascii="Times New Roman" w:hAnsi="宋体" w:eastAsia="宋体" w:cs="宋体"/>
                <w:color w:val="000000"/>
                <w:kern w:val="0"/>
                <w:sz w:val="16"/>
                <w:szCs w:val="16"/>
              </w:rPr>
              <w:br w:type="textWrapping"/>
            </w:r>
            <w:r>
              <w:rPr>
                <w:rFonts w:hint="eastAsia" w:ascii="Times New Roman" w:hAnsi="宋体" w:eastAsia="宋体" w:cs="宋体"/>
                <w:color w:val="000000"/>
                <w:kern w:val="0"/>
                <w:sz w:val="16"/>
                <w:szCs w:val="16"/>
              </w:rPr>
              <w:t>2.《危险化学品经营许可证管理办法》第五条 县级人民政府安全生产监督管理部门（以下简称县级发证机关）负责本行政区域内本条第三款规定以外企业的经营许可证审批、颁发；没有设立县级发证机关的，其经营许可证由市级发证机关审批、颁发。</w:t>
            </w:r>
          </w:p>
        </w:tc>
        <w:tc>
          <w:tcPr>
            <w:tcW w:w="2942" w:type="dxa"/>
            <w:noWrap w:val="0"/>
            <w:vAlign w:val="center"/>
          </w:tcPr>
          <w:p w14:paraId="06906E5D">
            <w:pPr>
              <w:snapToGrid w:val="0"/>
              <w:ind w:left="0" w:leftChars="0" w:right="0" w:rightChars="0" w:firstLine="0" w:firstLineChars="0"/>
              <w:jc w:val="left"/>
              <w:rPr>
                <w:rFonts w:ascii="Times New Roman" w:eastAsia="宋体"/>
                <w:color w:val="000000"/>
                <w:kern w:val="0"/>
                <w:sz w:val="16"/>
                <w:szCs w:val="16"/>
              </w:rPr>
            </w:pPr>
            <w:r>
              <w:rPr>
                <w:rFonts w:ascii="Times New Roman" w:eastAsia="宋体"/>
                <w:color w:val="000000"/>
                <w:kern w:val="0"/>
                <w:sz w:val="16"/>
                <w:szCs w:val="16"/>
              </w:rPr>
              <w:t>1</w:t>
            </w:r>
            <w:r>
              <w:rPr>
                <w:rFonts w:hint="eastAsia" w:ascii="Times New Roman" w:eastAsia="宋体"/>
                <w:color w:val="000000"/>
                <w:kern w:val="0"/>
                <w:sz w:val="16"/>
                <w:szCs w:val="16"/>
              </w:rPr>
              <w:t>、受理阶段责任：公示依法应当提交的材料；一次性告知补正材料；依法受理或不予受理（不予受理应当告知理由）。</w:t>
            </w:r>
            <w:r>
              <w:rPr>
                <w:rFonts w:ascii="Times New Roman" w:eastAsia="宋体"/>
                <w:color w:val="000000"/>
                <w:kern w:val="0"/>
                <w:sz w:val="16"/>
                <w:szCs w:val="16"/>
              </w:rPr>
              <w:t>2</w:t>
            </w:r>
            <w:r>
              <w:rPr>
                <w:rFonts w:hint="eastAsia" w:ascii="Times New Roman" w:eastAsia="宋体"/>
                <w:color w:val="000000"/>
                <w:kern w:val="0"/>
                <w:sz w:val="16"/>
                <w:szCs w:val="16"/>
              </w:rPr>
              <w:t>、审查阶段责任：材料审核，认为必要时到现场进行核查，提出初审意见。</w:t>
            </w:r>
            <w:r>
              <w:rPr>
                <w:rFonts w:ascii="Times New Roman" w:eastAsia="宋体"/>
                <w:color w:val="000000"/>
                <w:kern w:val="0"/>
                <w:sz w:val="16"/>
                <w:szCs w:val="16"/>
              </w:rPr>
              <w:t>3</w:t>
            </w:r>
            <w:r>
              <w:rPr>
                <w:rFonts w:hint="eastAsia" w:ascii="Times New Roman" w:eastAsia="宋体"/>
                <w:color w:val="000000"/>
                <w:kern w:val="0"/>
                <w:sz w:val="16"/>
                <w:szCs w:val="16"/>
              </w:rPr>
              <w:t>、决定阶段责任：作出决定（不予行政许可的应当告知理由），按时办结，告知。</w:t>
            </w:r>
            <w:r>
              <w:rPr>
                <w:rFonts w:ascii="Times New Roman" w:eastAsia="宋体"/>
                <w:color w:val="000000"/>
                <w:kern w:val="0"/>
                <w:sz w:val="16"/>
                <w:szCs w:val="16"/>
              </w:rPr>
              <w:t>4</w:t>
            </w:r>
            <w:r>
              <w:rPr>
                <w:rFonts w:hint="eastAsia" w:ascii="Times New Roman" w:eastAsia="宋体"/>
                <w:color w:val="000000"/>
                <w:kern w:val="0"/>
                <w:sz w:val="16"/>
                <w:szCs w:val="16"/>
              </w:rPr>
              <w:t>、送达阶段责任：制作许可证，规定时间内送达，定期在本局政府网站公开。</w:t>
            </w:r>
            <w:r>
              <w:rPr>
                <w:rFonts w:ascii="Times New Roman" w:eastAsia="宋体"/>
                <w:color w:val="000000"/>
                <w:kern w:val="0"/>
                <w:sz w:val="16"/>
                <w:szCs w:val="16"/>
              </w:rPr>
              <w:t>5</w:t>
            </w:r>
            <w:r>
              <w:rPr>
                <w:rFonts w:hint="eastAsia" w:ascii="Times New Roman" w:eastAsia="宋体"/>
                <w:color w:val="000000"/>
                <w:kern w:val="0"/>
                <w:sz w:val="16"/>
                <w:szCs w:val="16"/>
              </w:rPr>
              <w:t>、事后监管责任：加强对危险化学品企业的监督检查，使其生产经营活动按照法律法规的规定开展。</w:t>
            </w:r>
          </w:p>
        </w:tc>
        <w:tc>
          <w:tcPr>
            <w:tcW w:w="2888" w:type="dxa"/>
            <w:noWrap w:val="0"/>
            <w:vAlign w:val="center"/>
          </w:tcPr>
          <w:p w14:paraId="5DFCF66E">
            <w:pPr>
              <w:snapToGrid w:val="0"/>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不履行或不正确履行行政职责，有下列情形的，行政机关及相关工作人员应承担相应责任：</w:t>
            </w:r>
            <w:r>
              <w:rPr>
                <w:rFonts w:ascii="Times New Roman" w:eastAsia="宋体"/>
                <w:color w:val="000000"/>
                <w:kern w:val="0"/>
                <w:sz w:val="16"/>
                <w:szCs w:val="16"/>
              </w:rPr>
              <w:t>1</w:t>
            </w:r>
            <w:r>
              <w:rPr>
                <w:rFonts w:hint="eastAsia" w:ascii="Times New Roman" w:eastAsia="宋体"/>
                <w:color w:val="000000"/>
                <w:kern w:val="0"/>
                <w:sz w:val="16"/>
                <w:szCs w:val="16"/>
              </w:rPr>
              <w:t>、对符合法定条件的经营者申请不予受理、备案的；</w:t>
            </w:r>
            <w:r>
              <w:rPr>
                <w:rFonts w:ascii="Times New Roman" w:eastAsia="宋体"/>
                <w:color w:val="000000"/>
                <w:kern w:val="0"/>
                <w:sz w:val="16"/>
                <w:szCs w:val="16"/>
              </w:rPr>
              <w:t>2</w:t>
            </w:r>
            <w:r>
              <w:rPr>
                <w:rFonts w:hint="eastAsia" w:ascii="Times New Roman" w:eastAsia="宋体"/>
                <w:color w:val="000000"/>
                <w:kern w:val="0"/>
                <w:sz w:val="16"/>
                <w:szCs w:val="16"/>
              </w:rPr>
              <w:t>、向不符合法定安全生产条件的经营者颁发备案证明的；</w:t>
            </w:r>
            <w:r>
              <w:rPr>
                <w:rFonts w:ascii="Times New Roman" w:eastAsia="宋体"/>
                <w:color w:val="000000"/>
                <w:kern w:val="0"/>
                <w:sz w:val="16"/>
                <w:szCs w:val="16"/>
              </w:rPr>
              <w:t>3</w:t>
            </w:r>
            <w:r>
              <w:rPr>
                <w:rFonts w:hint="eastAsia" w:ascii="Times New Roman" w:eastAsia="宋体"/>
                <w:color w:val="000000"/>
                <w:kern w:val="0"/>
                <w:sz w:val="16"/>
                <w:szCs w:val="16"/>
              </w:rPr>
              <w:t>、发现经营者未依法取得经营许可证擅自从事生产活动，不依法处理的；</w:t>
            </w:r>
            <w:r>
              <w:rPr>
                <w:rFonts w:ascii="Times New Roman" w:eastAsia="宋体"/>
                <w:color w:val="000000"/>
                <w:kern w:val="0"/>
                <w:sz w:val="16"/>
                <w:szCs w:val="16"/>
              </w:rPr>
              <w:t>4</w:t>
            </w:r>
            <w:r>
              <w:rPr>
                <w:rFonts w:hint="eastAsia" w:ascii="Times New Roman" w:eastAsia="宋体"/>
                <w:color w:val="000000"/>
                <w:kern w:val="0"/>
                <w:sz w:val="16"/>
                <w:szCs w:val="16"/>
              </w:rPr>
              <w:t>、超越、滥用法定职权致使行政执法行为被撤销、变更、确认违法，或者被责令履行法定职责、承担行政赔偿责任的；</w:t>
            </w:r>
            <w:r>
              <w:rPr>
                <w:rFonts w:ascii="Times New Roman" w:eastAsia="宋体"/>
                <w:color w:val="000000"/>
                <w:kern w:val="0"/>
                <w:sz w:val="16"/>
                <w:szCs w:val="16"/>
              </w:rPr>
              <w:t>5</w:t>
            </w:r>
            <w:r>
              <w:rPr>
                <w:rFonts w:hint="eastAsia" w:ascii="Times New Roman" w:eastAsia="宋体"/>
                <w:color w:val="000000"/>
                <w:kern w:val="0"/>
                <w:sz w:val="16"/>
                <w:szCs w:val="16"/>
              </w:rPr>
              <w:t>、对经责令整改仍不具备安全生产条件的生产经营单位，不撤销原行政许可、审批或者不依法查处的；</w:t>
            </w:r>
            <w:r>
              <w:rPr>
                <w:rFonts w:ascii="Times New Roman" w:eastAsia="宋体"/>
                <w:color w:val="000000"/>
                <w:kern w:val="0"/>
                <w:sz w:val="16"/>
                <w:szCs w:val="16"/>
              </w:rPr>
              <w:t>6</w:t>
            </w:r>
            <w:r>
              <w:rPr>
                <w:rFonts w:hint="eastAsia" w:ascii="Times New Roman" w:eastAsia="宋体"/>
                <w:color w:val="000000"/>
                <w:kern w:val="0"/>
                <w:sz w:val="16"/>
                <w:szCs w:val="16"/>
              </w:rPr>
              <w:t>、其他违反法律法规规章文件规定的行为。</w:t>
            </w:r>
          </w:p>
        </w:tc>
      </w:tr>
      <w:tr w14:paraId="7D4B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682F4C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w:t>
            </w:r>
          </w:p>
        </w:tc>
        <w:tc>
          <w:tcPr>
            <w:tcW w:w="1096" w:type="dxa"/>
            <w:noWrap w:val="0"/>
            <w:vAlign w:val="center"/>
          </w:tcPr>
          <w:p w14:paraId="4BFDB71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i w:val="0"/>
                <w:iCs w:val="0"/>
                <w:color w:val="auto"/>
                <w:kern w:val="0"/>
                <w:sz w:val="16"/>
                <w:szCs w:val="16"/>
                <w:u w:val="none"/>
                <w:lang w:val="en-US" w:eastAsia="zh-CN" w:bidi="ar"/>
              </w:rPr>
              <w:t>其他权力</w:t>
            </w:r>
          </w:p>
        </w:tc>
        <w:tc>
          <w:tcPr>
            <w:tcW w:w="1850" w:type="dxa"/>
            <w:noWrap w:val="0"/>
            <w:vAlign w:val="center"/>
          </w:tcPr>
          <w:p w14:paraId="4655F243">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自然灾害救助对象审核</w:t>
            </w:r>
          </w:p>
        </w:tc>
        <w:tc>
          <w:tcPr>
            <w:tcW w:w="1500" w:type="dxa"/>
            <w:noWrap w:val="0"/>
            <w:vAlign w:val="center"/>
          </w:tcPr>
          <w:p w14:paraId="232D4CD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572E9818">
            <w:pPr>
              <w:snapToGrid w:val="0"/>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《安徽省财政厅 安徽省应急管理厅关于印发&lt;安徽省自然灾害救助资金管理实施细则&gt;的通知》（皖财建〔2020〕948号）第八条第二款：受灾群众生活救助补助资金（含冬春临时生活困难救助）要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tc>
        <w:tc>
          <w:tcPr>
            <w:tcW w:w="2942" w:type="dxa"/>
            <w:noWrap w:val="0"/>
            <w:vAlign w:val="center"/>
          </w:tcPr>
          <w:p w14:paraId="58350170">
            <w:pPr>
              <w:snapToGrid w:val="0"/>
              <w:ind w:left="0" w:leftChars="0" w:right="0" w:rightChars="0" w:firstLine="0" w:firstLineChars="0"/>
              <w:jc w:val="left"/>
              <w:rPr>
                <w:rFonts w:ascii="Times New Roman" w:eastAsia="宋体"/>
                <w:color w:val="000000"/>
                <w:kern w:val="0"/>
                <w:sz w:val="16"/>
                <w:szCs w:val="16"/>
              </w:rPr>
            </w:pPr>
            <w:r>
              <w:rPr>
                <w:rFonts w:hint="eastAsia" w:ascii="Times New Roman" w:eastAsia="宋体"/>
                <w:kern w:val="0"/>
                <w:sz w:val="16"/>
                <w:szCs w:val="16"/>
              </w:rPr>
              <w:t>民主评议、登记造册、张榜公布、公开发放的工作规程，通过"户报、村评、乡审、县定"四个步骤确定救助对象。</w:t>
            </w:r>
          </w:p>
        </w:tc>
        <w:tc>
          <w:tcPr>
            <w:tcW w:w="2888" w:type="dxa"/>
            <w:noWrap w:val="0"/>
            <w:vAlign w:val="center"/>
          </w:tcPr>
          <w:p w14:paraId="3D03EAAF">
            <w:pPr>
              <w:snapToGrid w:val="0"/>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kern w:val="0"/>
                <w:sz w:val="16"/>
                <w:szCs w:val="16"/>
              </w:rPr>
              <w:t>对自然灾害生活救助资金管理和使用中的违法行为，依据《财政违法行为处罚处分条例》(国务院令第427号)的规定追究法律责任。</w:t>
            </w:r>
          </w:p>
        </w:tc>
      </w:tr>
      <w:tr w14:paraId="2D1C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512D9E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w:t>
            </w:r>
          </w:p>
        </w:tc>
        <w:tc>
          <w:tcPr>
            <w:tcW w:w="1096" w:type="dxa"/>
            <w:noWrap w:val="0"/>
            <w:vAlign w:val="center"/>
          </w:tcPr>
          <w:p w14:paraId="1C8C58D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其他权力</w:t>
            </w:r>
          </w:p>
        </w:tc>
        <w:tc>
          <w:tcPr>
            <w:tcW w:w="1850" w:type="dxa"/>
            <w:noWrap w:val="0"/>
            <w:vAlign w:val="center"/>
          </w:tcPr>
          <w:p w14:paraId="5448B882">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对未依法取得安全生产批准或者验收合格的单位擅自从事有关活动予以取缔</w:t>
            </w:r>
          </w:p>
        </w:tc>
        <w:tc>
          <w:tcPr>
            <w:tcW w:w="1500" w:type="dxa"/>
            <w:noWrap w:val="0"/>
            <w:vAlign w:val="center"/>
          </w:tcPr>
          <w:p w14:paraId="693129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30717581">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000000"/>
                <w:kern w:val="0"/>
                <w:sz w:val="16"/>
                <w:szCs w:val="16"/>
              </w:rPr>
              <w:t>《中华人民共和国安全生产法》第六十条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2942" w:type="dxa"/>
            <w:noWrap w:val="0"/>
            <w:vAlign w:val="center"/>
          </w:tcPr>
          <w:p w14:paraId="1953AC56">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1、立案阶段责任：在检查中或者事故调查过程中发现、或者接到举报、有涉及此项目的违法案件，予以审查，决定是否立案。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对已经立案的案件，进行调查时，执法人员不得少于两人，与当事人有直接利害关系的应当回避。调查时应出示执法证件，收集相关证据，允许当事人辩解陈述，执法人员应保守有关秘密。3、审查阶段责任：对案件违法事实、证据、调查取证程序、法律适用、处罚种类和幅度、当事人陈述和申辩理由等方面进行审查，提出处理意见，拟作出相关处罚，由安监部门负责人集体讨论决定。4、告知阶段责任：在做出行政处罚决定前，制作《行政处罚告知书》和《听证告知书》，通知当事人，当事人享有的陈述、申辩、要求听证的权利。5、决定阶段责任：根据审理情况决定是否予以行政处罚。依法需要给予行政处罚的，制作《行政处罚决定书》，载明违法事实和证据、处罚依据和内容、缴纳罚款的银行、申请行政复议或提起行政诉讼的途径和期限等内容。6、送达阶段责任：《行政处罚决定书》按照法定的方式和期限送达当事人。7、执行阶段责任：监督当事人在决定的期限内，履行生效的行政处罚决定。当事人在法定期限内不申请行政复议或者提起行政诉讼，又不履行的，发出催缴通知，加收罚款滞纳金，再不履行的向人民法院申请强制执行。</w:t>
            </w:r>
          </w:p>
        </w:tc>
        <w:tc>
          <w:tcPr>
            <w:tcW w:w="2888" w:type="dxa"/>
            <w:noWrap w:val="0"/>
            <w:vAlign w:val="center"/>
          </w:tcPr>
          <w:p w14:paraId="564B9977">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r>
      <w:tr w14:paraId="7755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DF9A41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w:t>
            </w:r>
          </w:p>
        </w:tc>
        <w:tc>
          <w:tcPr>
            <w:tcW w:w="1096" w:type="dxa"/>
            <w:noWrap w:val="0"/>
            <w:vAlign w:val="center"/>
          </w:tcPr>
          <w:p w14:paraId="1CF3385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其他权力</w:t>
            </w:r>
          </w:p>
        </w:tc>
        <w:tc>
          <w:tcPr>
            <w:tcW w:w="1850" w:type="dxa"/>
            <w:noWrap w:val="0"/>
            <w:vAlign w:val="center"/>
          </w:tcPr>
          <w:p w14:paraId="501EB894">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生产安全事故调查处理</w:t>
            </w:r>
          </w:p>
        </w:tc>
        <w:tc>
          <w:tcPr>
            <w:tcW w:w="1500" w:type="dxa"/>
            <w:noWrap w:val="0"/>
            <w:vAlign w:val="center"/>
          </w:tcPr>
          <w:p w14:paraId="37B99F0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0FA9FDEF">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000000"/>
                <w:kern w:val="0"/>
                <w:sz w:val="16"/>
                <w:szCs w:val="16"/>
              </w:rPr>
              <w:t>《生产安全事故报告和调查处理条例》（国务院令第493号）第十九条：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r>
              <w:rPr>
                <w:rFonts w:hint="eastAsia" w:ascii="Times New Roman" w:hAnsi="宋体" w:eastAsia="宋体" w:cs="宋体"/>
                <w:color w:val="000000"/>
                <w:kern w:val="0"/>
                <w:sz w:val="16"/>
                <w:szCs w:val="16"/>
              </w:rPr>
              <w:br w:type="textWrapping"/>
            </w:r>
            <w:r>
              <w:rPr>
                <w:rFonts w:hint="eastAsia" w:ascii="Times New Roman" w:hAnsi="宋体" w:eastAsia="宋体" w:cs="宋体"/>
                <w:color w:val="000000"/>
                <w:kern w:val="0"/>
                <w:sz w:val="16"/>
                <w:szCs w:val="16"/>
              </w:rPr>
              <w:t xml:space="preserve">《安徽省生产安全事故报告和调查处理办法》（省政府令第232号制定，省政府令第279号修正）第十七条 ：特别重大事故的调查，按照国务院规定执行。重大事故及其以下等级事故的调查，按照下列规定执行:（一）重大事故以及死亡7人以上10人以下的道路交通事故，死亡4人以上10人以下的水上交通事故、工矿商贸事故、建筑施工事故，由省人民政府授权省人民政府安全生产监督管理部门组织调查；（二）死亡3人以上7人以下的道路交通事故，死亡3人的水上交通事故、工矿商贸事故、建筑施工事故，由设区的市人民政府负责调查；（三）一般事故由事故发生地县级人民政府负责调查，其中未造成人员伤亡的，县级人民政府可以委托事故发生单位组织事故调查。 </w:t>
            </w:r>
            <w:r>
              <w:rPr>
                <w:rFonts w:hint="eastAsia" w:ascii="Times New Roman" w:hAnsi="宋体" w:eastAsia="宋体" w:cs="宋体"/>
                <w:color w:val="000000"/>
                <w:kern w:val="0"/>
                <w:sz w:val="16"/>
                <w:szCs w:val="16"/>
              </w:rPr>
              <w:br w:type="textWrapping"/>
            </w:r>
            <w:r>
              <w:rPr>
                <w:rFonts w:hint="eastAsia" w:ascii="Times New Roman" w:hAnsi="宋体" w:eastAsia="宋体" w:cs="宋体"/>
                <w:color w:val="000000"/>
                <w:kern w:val="0"/>
                <w:sz w:val="16"/>
                <w:szCs w:val="16"/>
              </w:rPr>
              <w:t>较大事故、一般事故的发生地与事故发生单位不在同一行政区域的，由事故发生地人民政府负责事故调查，事故发生单位所在地人民政府应当派人参加。</w:t>
            </w:r>
          </w:p>
        </w:tc>
        <w:tc>
          <w:tcPr>
            <w:tcW w:w="2942" w:type="dxa"/>
            <w:noWrap w:val="0"/>
            <w:vAlign w:val="center"/>
          </w:tcPr>
          <w:p w14:paraId="64F08E38">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1、立案阶段责任：在检查中或者事故调查过程中发现、或者接到举报、有涉及此项目的违法案件，予以审查，决定是否立案。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对已经立案的案件，进行调查时，执法人员不得少于两人，与当事人有直接利害关系的应当回避。调查时应出示执法证件，收集相关证据，允许当事人辩解陈述，执法人员应保守有关秘密。3、审查阶段责任：对案件违法事实、证据、调查取证程序、法律适用、处罚种类和幅度、当事人陈述和申辩理由等方面进行审查，提出处理意见，拟作出相关处罚，由安监部门负责人集体讨论决定。4、告知阶段责任：在做出行政处罚决定前，制作《行政处罚告知书》和《听证告知书》，通知当事人，当事人享有的陈述、申辩、要求听证的权利。5、决定阶段责任：根据审理情况决定是否予以行政处罚。依法需要给予行政处罚的，制作《行政处罚决定书》，载明违法事实和证据、处罚依据和内容、缴纳罚款的银行、申请行政复议或提起行政诉讼的途径和期限等内容。6、送达阶段责任：《行政处罚决定书》按照法定的方式和期限送达当事人。7、执行阶段责任：监督当事人在决定的期限内，履行生效的行政处罚决定。当事人在法定期限内不申请行政复议或者提起行政诉讼，又不履行的，发出催缴通知，加收罚款滞纳金，再不履行的向人民法院申请强制执行。</w:t>
            </w:r>
          </w:p>
        </w:tc>
        <w:tc>
          <w:tcPr>
            <w:tcW w:w="2888" w:type="dxa"/>
            <w:noWrap w:val="0"/>
            <w:vAlign w:val="center"/>
          </w:tcPr>
          <w:p w14:paraId="485DB85B">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r>
      <w:tr w14:paraId="01D8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E0DB784">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w:t>
            </w:r>
          </w:p>
        </w:tc>
        <w:tc>
          <w:tcPr>
            <w:tcW w:w="1096" w:type="dxa"/>
            <w:noWrap w:val="0"/>
            <w:vAlign w:val="center"/>
          </w:tcPr>
          <w:p w14:paraId="378317D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其他权力（行政备案）</w:t>
            </w:r>
          </w:p>
        </w:tc>
        <w:tc>
          <w:tcPr>
            <w:tcW w:w="1850" w:type="dxa"/>
            <w:noWrap w:val="0"/>
            <w:vAlign w:val="center"/>
          </w:tcPr>
          <w:p w14:paraId="4BFE6547">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应急预案的备案</w:t>
            </w:r>
          </w:p>
        </w:tc>
        <w:tc>
          <w:tcPr>
            <w:tcW w:w="1500" w:type="dxa"/>
            <w:noWrap w:val="0"/>
            <w:vAlign w:val="center"/>
          </w:tcPr>
          <w:p w14:paraId="41D328A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057911C">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生产安全事故应急预案管理办法》（应急管理部令第2号）第四条第二款：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r>
              <w:rPr>
                <w:rFonts w:hint="eastAsia" w:ascii="Times New Roman" w:hAnsi="宋体" w:eastAsia="宋体" w:cs="宋体"/>
                <w:kern w:val="0"/>
                <w:sz w:val="16"/>
                <w:szCs w:val="16"/>
              </w:rPr>
              <w:br w:type="textWrapping"/>
            </w:r>
            <w:r>
              <w:rPr>
                <w:rFonts w:hint="eastAsia" w:ascii="Times New Roman" w:hAnsi="宋体" w:eastAsia="宋体" w:cs="宋体"/>
                <w:kern w:val="0"/>
                <w:sz w:val="16"/>
                <w:szCs w:val="16"/>
              </w:rPr>
              <w:t>第二十五条 地方各级人民政府应急管理部门的应急预案，应当报同级人民政府备案，同时抄送上一级人民政府应急管理部门，并依法向社会公布。</w:t>
            </w:r>
            <w:r>
              <w:rPr>
                <w:rFonts w:hint="eastAsia" w:ascii="Times New Roman" w:hAnsi="宋体" w:eastAsia="宋体" w:cs="宋体"/>
                <w:kern w:val="0"/>
                <w:sz w:val="16"/>
                <w:szCs w:val="16"/>
              </w:rPr>
              <w:br w:type="textWrapping"/>
            </w:r>
            <w:r>
              <w:rPr>
                <w:rFonts w:hint="eastAsia" w:ascii="Times New Roman" w:hAnsi="宋体" w:eastAsia="宋体" w:cs="宋体"/>
                <w:kern w:val="0"/>
                <w:sz w:val="16"/>
                <w:szCs w:val="16"/>
              </w:rPr>
              <w:t>地方各级人民政府其他负有安全生产监督管理职责的部门的应急预案，应当抄送同级人民政府应急管理部门。</w:t>
            </w:r>
            <w:r>
              <w:rPr>
                <w:rFonts w:hint="eastAsia" w:ascii="Times New Roman" w:hAnsi="宋体" w:eastAsia="宋体" w:cs="宋体"/>
                <w:kern w:val="0"/>
                <w:sz w:val="16"/>
                <w:szCs w:val="16"/>
              </w:rPr>
              <w:br w:type="textWrapping"/>
            </w:r>
          </w:p>
        </w:tc>
        <w:tc>
          <w:tcPr>
            <w:tcW w:w="2942" w:type="dxa"/>
            <w:noWrap w:val="0"/>
            <w:vAlign w:val="center"/>
          </w:tcPr>
          <w:p w14:paraId="41B5A5AE">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kern w:val="0"/>
                <w:sz w:val="16"/>
                <w:szCs w:val="16"/>
              </w:rPr>
              <w:t>1、受理责任：应急管理部门一次性告知补正材料；依法受理或不予受理（不予受理应当告知理由）。</w:t>
            </w:r>
            <w:r>
              <w:rPr>
                <w:rFonts w:hint="eastAsia" w:ascii="Times New Roman" w:eastAsia="宋体"/>
                <w:kern w:val="0"/>
                <w:sz w:val="16"/>
                <w:szCs w:val="16"/>
              </w:rPr>
              <w:br w:type="textWrapping"/>
            </w:r>
            <w:r>
              <w:rPr>
                <w:rFonts w:hint="eastAsia" w:ascii="Times New Roman" w:eastAsia="宋体"/>
                <w:kern w:val="0"/>
                <w:sz w:val="16"/>
                <w:szCs w:val="16"/>
              </w:rPr>
              <w:t xml:space="preserve">   2、审查责任：组织人员对提交的申请文件、资料进行审查或现场核查。</w:t>
            </w:r>
            <w:r>
              <w:rPr>
                <w:rFonts w:hint="eastAsia" w:ascii="Times New Roman" w:eastAsia="宋体"/>
                <w:kern w:val="0"/>
                <w:sz w:val="16"/>
                <w:szCs w:val="16"/>
              </w:rPr>
              <w:br w:type="textWrapping"/>
            </w:r>
            <w:r>
              <w:rPr>
                <w:rFonts w:hint="eastAsia" w:ascii="Times New Roman" w:eastAsia="宋体"/>
                <w:kern w:val="0"/>
                <w:sz w:val="16"/>
                <w:szCs w:val="16"/>
              </w:rPr>
              <w:t xml:space="preserve">   3、决定责任：规定时间内作出是否准予许可的决定；不予许可的应说明理由。</w:t>
            </w:r>
            <w:r>
              <w:rPr>
                <w:rFonts w:hint="eastAsia" w:ascii="Times New Roman" w:eastAsia="宋体"/>
                <w:kern w:val="0"/>
                <w:sz w:val="16"/>
                <w:szCs w:val="16"/>
              </w:rPr>
              <w:br w:type="textWrapping"/>
            </w:r>
            <w:r>
              <w:rPr>
                <w:rFonts w:hint="eastAsia" w:ascii="Times New Roman" w:eastAsia="宋体"/>
                <w:kern w:val="0"/>
                <w:sz w:val="16"/>
                <w:szCs w:val="16"/>
              </w:rPr>
              <w:t xml:space="preserve">   4、送达责任：规定时间内送达许可结果；在本局网站上公开。</w:t>
            </w:r>
            <w:r>
              <w:rPr>
                <w:rFonts w:hint="eastAsia" w:ascii="Times New Roman" w:eastAsia="宋体"/>
                <w:kern w:val="0"/>
                <w:sz w:val="16"/>
                <w:szCs w:val="16"/>
              </w:rPr>
              <w:br w:type="textWrapping"/>
            </w:r>
            <w:r>
              <w:rPr>
                <w:rFonts w:hint="eastAsia" w:ascii="Times New Roman" w:eastAsia="宋体"/>
                <w:kern w:val="0"/>
                <w:sz w:val="16"/>
                <w:szCs w:val="16"/>
              </w:rPr>
              <w:t xml:space="preserve">   5、事后监管责任：加强监督管理，使其生产经营活动按法律法规的规定开展。</w:t>
            </w:r>
          </w:p>
        </w:tc>
        <w:tc>
          <w:tcPr>
            <w:tcW w:w="2888" w:type="dxa"/>
            <w:noWrap w:val="0"/>
            <w:vAlign w:val="center"/>
          </w:tcPr>
          <w:p w14:paraId="14B5114F">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kern w:val="0"/>
                <w:sz w:val="16"/>
                <w:szCs w:val="16"/>
              </w:rPr>
              <w:t>因不履行或不正确履行行政职责，有下列情形的，应急管理部门及相关工作人员应承担相应责任：</w:t>
            </w:r>
            <w:r>
              <w:rPr>
                <w:rFonts w:hint="eastAsia" w:ascii="Times New Roman" w:eastAsia="宋体"/>
                <w:kern w:val="0"/>
                <w:sz w:val="16"/>
                <w:szCs w:val="16"/>
              </w:rPr>
              <w:br w:type="textWrapping"/>
            </w:r>
            <w:r>
              <w:rPr>
                <w:rFonts w:hint="eastAsia" w:ascii="Times New Roman" w:eastAsia="宋体"/>
                <w:kern w:val="0"/>
                <w:sz w:val="16"/>
                <w:szCs w:val="16"/>
              </w:rPr>
              <w:t xml:space="preserve">  1、对符合法定条件的事故应急预案申请不予备案的；</w:t>
            </w:r>
            <w:r>
              <w:rPr>
                <w:rFonts w:hint="eastAsia" w:ascii="Times New Roman" w:eastAsia="宋体"/>
                <w:kern w:val="0"/>
                <w:sz w:val="16"/>
                <w:szCs w:val="16"/>
              </w:rPr>
              <w:br w:type="textWrapping"/>
            </w:r>
            <w:r>
              <w:rPr>
                <w:rFonts w:hint="eastAsia" w:ascii="Times New Roman" w:eastAsia="宋体"/>
                <w:kern w:val="0"/>
                <w:sz w:val="16"/>
                <w:szCs w:val="16"/>
              </w:rPr>
              <w:t xml:space="preserve">  2、超越、滥用法定职权致使行政执法行为被撤销、变更、确认违法，或者被责令履行法定职责、承担行政赔偿责任的；</w:t>
            </w:r>
            <w:r>
              <w:rPr>
                <w:rFonts w:hint="eastAsia" w:ascii="Times New Roman" w:eastAsia="宋体"/>
                <w:kern w:val="0"/>
                <w:sz w:val="16"/>
                <w:szCs w:val="16"/>
              </w:rPr>
              <w:br w:type="textWrapping"/>
            </w:r>
            <w:r>
              <w:rPr>
                <w:rFonts w:hint="eastAsia" w:ascii="Times New Roman" w:eastAsia="宋体"/>
                <w:kern w:val="0"/>
                <w:sz w:val="16"/>
                <w:szCs w:val="16"/>
              </w:rPr>
              <w:t xml:space="preserve">  3、超越职权，违法决定，或者严重不负责任，不履行或者不认真履行职责，致使发生生产安全事故，造成人员伤亡、直接财产损失的；</w:t>
            </w:r>
            <w:r>
              <w:rPr>
                <w:rFonts w:hint="eastAsia" w:ascii="Times New Roman" w:eastAsia="宋体"/>
                <w:kern w:val="0"/>
                <w:sz w:val="16"/>
                <w:szCs w:val="16"/>
              </w:rPr>
              <w:br w:type="textWrapping"/>
            </w:r>
            <w:r>
              <w:rPr>
                <w:rFonts w:hint="eastAsia" w:ascii="Times New Roman" w:eastAsia="宋体"/>
                <w:kern w:val="0"/>
                <w:sz w:val="16"/>
                <w:szCs w:val="16"/>
              </w:rPr>
              <w:t xml:space="preserve">  4、发现存在重大安全隐患，未按规定采取措施，导致生产安全事故发生的；</w:t>
            </w:r>
            <w:r>
              <w:rPr>
                <w:rFonts w:hint="eastAsia" w:ascii="Times New Roman" w:eastAsia="宋体"/>
                <w:kern w:val="0"/>
                <w:sz w:val="16"/>
                <w:szCs w:val="16"/>
              </w:rPr>
              <w:br w:type="textWrapping"/>
            </w:r>
            <w:r>
              <w:rPr>
                <w:rFonts w:hint="eastAsia" w:ascii="Times New Roman" w:eastAsia="宋体"/>
                <w:kern w:val="0"/>
                <w:sz w:val="16"/>
                <w:szCs w:val="16"/>
              </w:rPr>
              <w:t xml:space="preserve">  5、在备案中发生贪污腐败行为的；</w:t>
            </w:r>
            <w:r>
              <w:rPr>
                <w:rFonts w:hint="eastAsia" w:ascii="Times New Roman" w:eastAsia="宋体"/>
                <w:kern w:val="0"/>
                <w:sz w:val="16"/>
                <w:szCs w:val="16"/>
              </w:rPr>
              <w:br w:type="textWrapping"/>
            </w:r>
            <w:r>
              <w:rPr>
                <w:rFonts w:hint="eastAsia" w:ascii="Times New Roman" w:eastAsia="宋体"/>
                <w:kern w:val="0"/>
                <w:sz w:val="16"/>
                <w:szCs w:val="16"/>
              </w:rPr>
              <w:t>6、其他违反法律法规规章文件规定的行为。</w:t>
            </w:r>
          </w:p>
        </w:tc>
      </w:tr>
      <w:tr w14:paraId="5C6B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096E50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w:t>
            </w:r>
          </w:p>
        </w:tc>
        <w:tc>
          <w:tcPr>
            <w:tcW w:w="1096" w:type="dxa"/>
            <w:noWrap w:val="0"/>
            <w:vAlign w:val="center"/>
          </w:tcPr>
          <w:p w14:paraId="02B2E7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其他权力（行政备案）</w:t>
            </w:r>
          </w:p>
        </w:tc>
        <w:tc>
          <w:tcPr>
            <w:tcW w:w="1850" w:type="dxa"/>
            <w:noWrap w:val="0"/>
            <w:vAlign w:val="center"/>
          </w:tcPr>
          <w:p w14:paraId="5B3D7332">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生产、经营非药品类易制毒化学品备案</w:t>
            </w:r>
          </w:p>
        </w:tc>
        <w:tc>
          <w:tcPr>
            <w:tcW w:w="1500" w:type="dxa"/>
            <w:noWrap w:val="0"/>
            <w:vAlign w:val="center"/>
          </w:tcPr>
          <w:p w14:paraId="1BC96C04">
            <w:pPr>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kern w:val="0"/>
                <w:sz w:val="16"/>
                <w:szCs w:val="16"/>
              </w:rPr>
              <w:t>生产、经营非药品类易制毒化学品备案证明期满后重新备案</w:t>
            </w:r>
          </w:p>
        </w:tc>
        <w:tc>
          <w:tcPr>
            <w:tcW w:w="3726" w:type="dxa"/>
            <w:noWrap w:val="0"/>
            <w:vAlign w:val="center"/>
          </w:tcPr>
          <w:p w14:paraId="689027E2">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《非药品类易制毒化学品生产、经营许可办法》（国家安监总局2006年第5号令）第二十二条　第二类、第三类非药品类易制毒化学品生产、经营备案证明有效期为3年。有效期满后需继续生产、经营的，应当在备案证明有效期满前3个月内重新办理备案手续。</w:t>
            </w:r>
          </w:p>
        </w:tc>
        <w:tc>
          <w:tcPr>
            <w:tcW w:w="2942" w:type="dxa"/>
            <w:noWrap w:val="0"/>
            <w:vAlign w:val="center"/>
          </w:tcPr>
          <w:p w14:paraId="7C23AF05">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kern w:val="0"/>
                <w:sz w:val="16"/>
                <w:szCs w:val="16"/>
              </w:rPr>
              <w:t>1、受理责任：应急管理部门一次性告知补正材料；依法受理或不予受理（不予受理应当告知理由）。</w:t>
            </w:r>
            <w:r>
              <w:rPr>
                <w:rFonts w:hint="eastAsia" w:ascii="Times New Roman" w:eastAsia="宋体"/>
                <w:kern w:val="0"/>
                <w:sz w:val="16"/>
                <w:szCs w:val="16"/>
              </w:rPr>
              <w:br w:type="textWrapping"/>
            </w:r>
            <w:r>
              <w:rPr>
                <w:rFonts w:hint="eastAsia" w:ascii="Times New Roman" w:eastAsia="宋体"/>
                <w:kern w:val="0"/>
                <w:sz w:val="16"/>
                <w:szCs w:val="16"/>
              </w:rPr>
              <w:t xml:space="preserve">   2、审查责任：组织人员对提交的申请文件、资料进行审查或现场核查。</w:t>
            </w:r>
            <w:r>
              <w:rPr>
                <w:rFonts w:hint="eastAsia" w:ascii="Times New Roman" w:eastAsia="宋体"/>
                <w:kern w:val="0"/>
                <w:sz w:val="16"/>
                <w:szCs w:val="16"/>
              </w:rPr>
              <w:br w:type="textWrapping"/>
            </w:r>
            <w:r>
              <w:rPr>
                <w:rFonts w:hint="eastAsia" w:ascii="Times New Roman" w:eastAsia="宋体"/>
                <w:kern w:val="0"/>
                <w:sz w:val="16"/>
                <w:szCs w:val="16"/>
              </w:rPr>
              <w:t xml:space="preserve">   3、决定责任：规定时间内作出是否准予许可的决定；不予许可的应说明理由。</w:t>
            </w:r>
            <w:r>
              <w:rPr>
                <w:rFonts w:hint="eastAsia" w:ascii="Times New Roman" w:eastAsia="宋体"/>
                <w:kern w:val="0"/>
                <w:sz w:val="16"/>
                <w:szCs w:val="16"/>
              </w:rPr>
              <w:br w:type="textWrapping"/>
            </w:r>
            <w:r>
              <w:rPr>
                <w:rFonts w:hint="eastAsia" w:ascii="Times New Roman" w:eastAsia="宋体"/>
                <w:kern w:val="0"/>
                <w:sz w:val="16"/>
                <w:szCs w:val="16"/>
              </w:rPr>
              <w:t xml:space="preserve">   4、送达责任：规定时间内送达许可结果；在本局网站上公开。</w:t>
            </w:r>
            <w:r>
              <w:rPr>
                <w:rFonts w:hint="eastAsia" w:ascii="Times New Roman" w:eastAsia="宋体"/>
                <w:kern w:val="0"/>
                <w:sz w:val="16"/>
                <w:szCs w:val="16"/>
              </w:rPr>
              <w:br w:type="textWrapping"/>
            </w:r>
            <w:r>
              <w:rPr>
                <w:rFonts w:hint="eastAsia" w:ascii="Times New Roman" w:eastAsia="宋体"/>
                <w:kern w:val="0"/>
                <w:sz w:val="16"/>
                <w:szCs w:val="16"/>
              </w:rPr>
              <w:t xml:space="preserve">   5、事后监管责任：加强监督管理，使其生产经营活动按法律法规的规定开展。</w:t>
            </w:r>
          </w:p>
        </w:tc>
        <w:tc>
          <w:tcPr>
            <w:tcW w:w="2888" w:type="dxa"/>
            <w:noWrap w:val="0"/>
            <w:vAlign w:val="center"/>
          </w:tcPr>
          <w:p w14:paraId="09B9C768">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kern w:val="0"/>
                <w:sz w:val="16"/>
                <w:szCs w:val="16"/>
              </w:rPr>
              <w:t>因不履行或不正确履行行政职责，有下列情形的，应急管理部门及相关工作人员应承担相应责任：</w:t>
            </w:r>
            <w:r>
              <w:rPr>
                <w:rFonts w:hint="eastAsia" w:ascii="Times New Roman" w:eastAsia="宋体"/>
                <w:kern w:val="0"/>
                <w:sz w:val="16"/>
                <w:szCs w:val="16"/>
              </w:rPr>
              <w:br w:type="textWrapping"/>
            </w:r>
            <w:r>
              <w:rPr>
                <w:rFonts w:hint="eastAsia" w:ascii="Times New Roman" w:eastAsia="宋体"/>
                <w:kern w:val="0"/>
                <w:sz w:val="16"/>
                <w:szCs w:val="16"/>
              </w:rPr>
              <w:t xml:space="preserve">  1、对符合法定条件的事故应急预案申请不予备案的；</w:t>
            </w:r>
            <w:r>
              <w:rPr>
                <w:rFonts w:hint="eastAsia" w:ascii="Times New Roman" w:eastAsia="宋体"/>
                <w:kern w:val="0"/>
                <w:sz w:val="16"/>
                <w:szCs w:val="16"/>
              </w:rPr>
              <w:br w:type="textWrapping"/>
            </w:r>
            <w:r>
              <w:rPr>
                <w:rFonts w:hint="eastAsia" w:ascii="Times New Roman" w:eastAsia="宋体"/>
                <w:kern w:val="0"/>
                <w:sz w:val="16"/>
                <w:szCs w:val="16"/>
              </w:rPr>
              <w:t xml:space="preserve">  2、超越、滥用法定职权致使行政执法行为被撤销、变更、确认违法，或者被责令履行法定职责、承担行政赔偿责任的；</w:t>
            </w:r>
            <w:r>
              <w:rPr>
                <w:rFonts w:hint="eastAsia" w:ascii="Times New Roman" w:eastAsia="宋体"/>
                <w:kern w:val="0"/>
                <w:sz w:val="16"/>
                <w:szCs w:val="16"/>
              </w:rPr>
              <w:br w:type="textWrapping"/>
            </w:r>
            <w:r>
              <w:rPr>
                <w:rFonts w:hint="eastAsia" w:ascii="Times New Roman" w:eastAsia="宋体"/>
                <w:kern w:val="0"/>
                <w:sz w:val="16"/>
                <w:szCs w:val="16"/>
              </w:rPr>
              <w:t xml:space="preserve">  3、超越职权，违法决定，或者严重不负责任，不履行或者不认真履行职责，致使发生生产安全事故，造成人员伤亡、直接财产损失的；</w:t>
            </w:r>
            <w:r>
              <w:rPr>
                <w:rFonts w:hint="eastAsia" w:ascii="Times New Roman" w:eastAsia="宋体"/>
                <w:kern w:val="0"/>
                <w:sz w:val="16"/>
                <w:szCs w:val="16"/>
              </w:rPr>
              <w:br w:type="textWrapping"/>
            </w:r>
            <w:r>
              <w:rPr>
                <w:rFonts w:hint="eastAsia" w:ascii="Times New Roman" w:eastAsia="宋体"/>
                <w:kern w:val="0"/>
                <w:sz w:val="16"/>
                <w:szCs w:val="16"/>
              </w:rPr>
              <w:t xml:space="preserve">  4、发现存在重大安全隐患，未按规定采取措施，导致生产安全事故发生的；</w:t>
            </w:r>
            <w:r>
              <w:rPr>
                <w:rFonts w:hint="eastAsia" w:ascii="Times New Roman" w:eastAsia="宋体"/>
                <w:kern w:val="0"/>
                <w:sz w:val="16"/>
                <w:szCs w:val="16"/>
              </w:rPr>
              <w:br w:type="textWrapping"/>
            </w:r>
            <w:r>
              <w:rPr>
                <w:rFonts w:hint="eastAsia" w:ascii="Times New Roman" w:eastAsia="宋体"/>
                <w:kern w:val="0"/>
                <w:sz w:val="16"/>
                <w:szCs w:val="16"/>
              </w:rPr>
              <w:t xml:space="preserve">  5、在备案中发生贪污腐败行为的；</w:t>
            </w:r>
            <w:r>
              <w:rPr>
                <w:rFonts w:hint="eastAsia" w:ascii="Times New Roman" w:eastAsia="宋体"/>
                <w:kern w:val="0"/>
                <w:sz w:val="16"/>
                <w:szCs w:val="16"/>
              </w:rPr>
              <w:br w:type="textWrapping"/>
            </w:r>
            <w:r>
              <w:rPr>
                <w:rFonts w:hint="eastAsia" w:ascii="Times New Roman" w:eastAsia="宋体"/>
                <w:kern w:val="0"/>
                <w:sz w:val="16"/>
                <w:szCs w:val="16"/>
              </w:rPr>
              <w:t xml:space="preserve">  6、其他违反法律法规规章文件规定的行为。</w:t>
            </w:r>
          </w:p>
        </w:tc>
      </w:tr>
      <w:tr w14:paraId="5880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57D64D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w:t>
            </w:r>
          </w:p>
        </w:tc>
        <w:tc>
          <w:tcPr>
            <w:tcW w:w="1096" w:type="dxa"/>
            <w:noWrap w:val="0"/>
            <w:vAlign w:val="center"/>
          </w:tcPr>
          <w:p w14:paraId="52EEE14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其他权力（行政备案）</w:t>
            </w:r>
          </w:p>
        </w:tc>
        <w:tc>
          <w:tcPr>
            <w:tcW w:w="1850" w:type="dxa"/>
            <w:noWrap w:val="0"/>
            <w:vAlign w:val="center"/>
          </w:tcPr>
          <w:p w14:paraId="0DAB9DE6">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危险化学品重大危险源备案</w:t>
            </w:r>
          </w:p>
        </w:tc>
        <w:tc>
          <w:tcPr>
            <w:tcW w:w="1500" w:type="dxa"/>
            <w:noWrap w:val="0"/>
            <w:vAlign w:val="center"/>
          </w:tcPr>
          <w:p w14:paraId="7C91DA0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1CBBD953">
            <w:pPr>
              <w:snapToGrid w:val="0"/>
              <w:spacing w:after="240"/>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000000"/>
                <w:kern w:val="0"/>
                <w:sz w:val="16"/>
                <w:szCs w:val="16"/>
              </w:rPr>
              <w:t>《危险化学品重大危险源监督管理暂行规定》（2011年8月5日国家安全生产监督管理总局令第40号发布 根据2015年5月27日国家安全生产监督管理总局令第79号修正）第二十三条: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c>
          <w:tcPr>
            <w:tcW w:w="2942" w:type="dxa"/>
            <w:noWrap w:val="0"/>
            <w:vAlign w:val="center"/>
          </w:tcPr>
          <w:p w14:paraId="5FFE9DA6">
            <w:pPr>
              <w:snapToGrid w:val="0"/>
              <w:ind w:left="0" w:leftChars="0" w:right="0" w:rightChars="0" w:firstLine="0" w:firstLineChars="0"/>
              <w:jc w:val="left"/>
              <w:rPr>
                <w:rFonts w:ascii="Times New Roman" w:eastAsia="宋体"/>
                <w:color w:val="000000"/>
                <w:kern w:val="0"/>
                <w:sz w:val="16"/>
                <w:szCs w:val="16"/>
              </w:rPr>
            </w:pPr>
            <w:r>
              <w:rPr>
                <w:rFonts w:ascii="Times New Roman" w:eastAsia="宋体"/>
                <w:color w:val="000000"/>
                <w:kern w:val="0"/>
                <w:sz w:val="16"/>
                <w:szCs w:val="16"/>
              </w:rPr>
              <w:t>1</w:t>
            </w:r>
            <w:r>
              <w:rPr>
                <w:rFonts w:hint="eastAsia" w:ascii="Times New Roman" w:eastAsia="宋体"/>
                <w:color w:val="000000"/>
                <w:kern w:val="0"/>
                <w:sz w:val="16"/>
                <w:szCs w:val="16"/>
              </w:rPr>
              <w:t>、受理阶段责任：公示依法应当提交的材料；一次性告知补正材料；依法受理或不予受理（不予受理应当告知理由）。</w:t>
            </w:r>
            <w:r>
              <w:rPr>
                <w:rFonts w:ascii="Times New Roman" w:eastAsia="宋体"/>
                <w:color w:val="000000"/>
                <w:kern w:val="0"/>
                <w:sz w:val="16"/>
                <w:szCs w:val="16"/>
              </w:rPr>
              <w:t>2</w:t>
            </w:r>
            <w:r>
              <w:rPr>
                <w:rFonts w:hint="eastAsia" w:ascii="Times New Roman" w:eastAsia="宋体"/>
                <w:color w:val="000000"/>
                <w:kern w:val="0"/>
                <w:sz w:val="16"/>
                <w:szCs w:val="16"/>
              </w:rPr>
              <w:t>、审查阶段责任：材料审核，认为必要时到现场进行核查，提出初审意见。</w:t>
            </w:r>
            <w:r>
              <w:rPr>
                <w:rFonts w:ascii="Times New Roman" w:eastAsia="宋体"/>
                <w:color w:val="000000"/>
                <w:kern w:val="0"/>
                <w:sz w:val="16"/>
                <w:szCs w:val="16"/>
              </w:rPr>
              <w:t>3</w:t>
            </w:r>
            <w:r>
              <w:rPr>
                <w:rFonts w:hint="eastAsia" w:ascii="Times New Roman" w:eastAsia="宋体"/>
                <w:color w:val="000000"/>
                <w:kern w:val="0"/>
                <w:sz w:val="16"/>
                <w:szCs w:val="16"/>
              </w:rPr>
              <w:t>、决定阶段责任：作出决定（不予行政许可的应当告知理由），按时办结，告知。</w:t>
            </w:r>
            <w:r>
              <w:rPr>
                <w:rFonts w:ascii="Times New Roman" w:eastAsia="宋体"/>
                <w:color w:val="000000"/>
                <w:kern w:val="0"/>
                <w:sz w:val="16"/>
                <w:szCs w:val="16"/>
              </w:rPr>
              <w:t>4</w:t>
            </w:r>
            <w:r>
              <w:rPr>
                <w:rFonts w:hint="eastAsia" w:ascii="Times New Roman" w:eastAsia="宋体"/>
                <w:color w:val="000000"/>
                <w:kern w:val="0"/>
                <w:sz w:val="16"/>
                <w:szCs w:val="16"/>
              </w:rPr>
              <w:t>、送达阶段责任：制作《重大危险源备案表》，规定时间内送达，定期在本局政府网站公开。</w:t>
            </w:r>
            <w:r>
              <w:rPr>
                <w:rFonts w:ascii="Times New Roman" w:eastAsia="宋体"/>
                <w:color w:val="000000"/>
                <w:kern w:val="0"/>
                <w:sz w:val="16"/>
                <w:szCs w:val="16"/>
              </w:rPr>
              <w:t>5</w:t>
            </w:r>
            <w:r>
              <w:rPr>
                <w:rFonts w:hint="eastAsia" w:ascii="Times New Roman" w:eastAsia="宋体"/>
                <w:color w:val="000000"/>
                <w:kern w:val="0"/>
                <w:sz w:val="16"/>
                <w:szCs w:val="16"/>
              </w:rPr>
              <w:t>、事后监管责任：加强对危险化学品企业的监督检查，使其生产经营活动按照法律法规的规定开展。</w:t>
            </w:r>
          </w:p>
        </w:tc>
        <w:tc>
          <w:tcPr>
            <w:tcW w:w="2888" w:type="dxa"/>
            <w:noWrap w:val="0"/>
            <w:vAlign w:val="center"/>
          </w:tcPr>
          <w:p w14:paraId="36252A63">
            <w:pPr>
              <w:snapToGrid w:val="0"/>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不履行或不正确履行行政职责，有下列情形的，行政机关及相关工作人员应承担相应责任：</w:t>
            </w:r>
            <w:r>
              <w:rPr>
                <w:rFonts w:ascii="Times New Roman" w:eastAsia="宋体"/>
                <w:color w:val="000000"/>
                <w:kern w:val="0"/>
                <w:sz w:val="16"/>
                <w:szCs w:val="16"/>
              </w:rPr>
              <w:t>1</w:t>
            </w:r>
            <w:r>
              <w:rPr>
                <w:rFonts w:hint="eastAsia" w:ascii="Times New Roman" w:eastAsia="宋体"/>
                <w:color w:val="000000"/>
                <w:kern w:val="0"/>
                <w:sz w:val="16"/>
                <w:szCs w:val="16"/>
              </w:rPr>
              <w:t>、对符合法定条件的经营者申请不予受理、备案的；</w:t>
            </w:r>
            <w:r>
              <w:rPr>
                <w:rFonts w:ascii="Times New Roman" w:eastAsia="宋体"/>
                <w:color w:val="000000"/>
                <w:kern w:val="0"/>
                <w:sz w:val="16"/>
                <w:szCs w:val="16"/>
              </w:rPr>
              <w:t>2</w:t>
            </w:r>
            <w:r>
              <w:rPr>
                <w:rFonts w:hint="eastAsia" w:ascii="Times New Roman" w:eastAsia="宋体"/>
                <w:color w:val="000000"/>
                <w:kern w:val="0"/>
                <w:sz w:val="16"/>
                <w:szCs w:val="16"/>
              </w:rPr>
              <w:t>、向不符合法定安全生产条件的经营者颁发备案证明的；</w:t>
            </w:r>
            <w:r>
              <w:rPr>
                <w:rFonts w:ascii="Times New Roman" w:eastAsia="宋体"/>
                <w:color w:val="000000"/>
                <w:kern w:val="0"/>
                <w:sz w:val="16"/>
                <w:szCs w:val="16"/>
              </w:rPr>
              <w:t>3</w:t>
            </w:r>
            <w:r>
              <w:rPr>
                <w:rFonts w:hint="eastAsia" w:ascii="Times New Roman" w:eastAsia="宋体"/>
                <w:color w:val="000000"/>
                <w:kern w:val="0"/>
                <w:sz w:val="16"/>
                <w:szCs w:val="16"/>
              </w:rPr>
              <w:t>、发现经营者未依法取得经营许可证擅自从事生产活动，不依法处理的；</w:t>
            </w:r>
            <w:r>
              <w:rPr>
                <w:rFonts w:ascii="Times New Roman" w:eastAsia="宋体"/>
                <w:color w:val="000000"/>
                <w:kern w:val="0"/>
                <w:sz w:val="16"/>
                <w:szCs w:val="16"/>
              </w:rPr>
              <w:t>4</w:t>
            </w:r>
            <w:r>
              <w:rPr>
                <w:rFonts w:hint="eastAsia" w:ascii="Times New Roman" w:eastAsia="宋体"/>
                <w:color w:val="000000"/>
                <w:kern w:val="0"/>
                <w:sz w:val="16"/>
                <w:szCs w:val="16"/>
              </w:rPr>
              <w:t>、超越、滥用法定职权致使行政执法行为被撤销、变更、确认违法，或者被责令履行法定职责、承担行政赔偿责任的；</w:t>
            </w:r>
            <w:r>
              <w:rPr>
                <w:rFonts w:ascii="Times New Roman" w:eastAsia="宋体"/>
                <w:color w:val="000000"/>
                <w:kern w:val="0"/>
                <w:sz w:val="16"/>
                <w:szCs w:val="16"/>
              </w:rPr>
              <w:t>5</w:t>
            </w:r>
            <w:r>
              <w:rPr>
                <w:rFonts w:hint="eastAsia" w:ascii="Times New Roman" w:eastAsia="宋体"/>
                <w:color w:val="000000"/>
                <w:kern w:val="0"/>
                <w:sz w:val="16"/>
                <w:szCs w:val="16"/>
              </w:rPr>
              <w:t>、对经责令整改仍不具备安全生产条件的生产经营单位，不撤销原行政许可、审批或者不依法查处的；</w:t>
            </w:r>
            <w:r>
              <w:rPr>
                <w:rFonts w:ascii="Times New Roman" w:eastAsia="宋体"/>
                <w:color w:val="000000"/>
                <w:kern w:val="0"/>
                <w:sz w:val="16"/>
                <w:szCs w:val="16"/>
              </w:rPr>
              <w:t>6</w:t>
            </w:r>
            <w:r>
              <w:rPr>
                <w:rFonts w:hint="eastAsia" w:ascii="Times New Roman" w:eastAsia="宋体"/>
                <w:color w:val="000000"/>
                <w:kern w:val="0"/>
                <w:sz w:val="16"/>
                <w:szCs w:val="16"/>
              </w:rPr>
              <w:t>、其他违反法律法规规章文件规定的行为。</w:t>
            </w:r>
          </w:p>
        </w:tc>
      </w:tr>
      <w:tr w14:paraId="36C6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jc w:val="center"/>
        </w:trPr>
        <w:tc>
          <w:tcPr>
            <w:tcW w:w="898" w:type="dxa"/>
            <w:noWrap w:val="0"/>
            <w:vAlign w:val="center"/>
          </w:tcPr>
          <w:p w14:paraId="3DD832DC">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12</w:t>
            </w:r>
          </w:p>
        </w:tc>
        <w:tc>
          <w:tcPr>
            <w:tcW w:w="1096" w:type="dxa"/>
            <w:noWrap w:val="0"/>
            <w:vAlign w:val="center"/>
          </w:tcPr>
          <w:p w14:paraId="5C8FE61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shd w:val="clear" w:color="auto" w:fill="auto"/>
            <w:noWrap w:val="0"/>
            <w:vAlign w:val="center"/>
          </w:tcPr>
          <w:p w14:paraId="43CFFF36">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b w:val="0"/>
                <w:bCs w:val="0"/>
                <w:color w:val="FF0000"/>
                <w:kern w:val="2"/>
                <w:sz w:val="16"/>
                <w:szCs w:val="16"/>
                <w:vertAlign w:val="baseline"/>
                <w:lang w:val="en-US" w:eastAsia="zh-CN" w:bidi="ar-SA"/>
              </w:rPr>
            </w:pPr>
            <w:r>
              <w:rPr>
                <w:rFonts w:hint="eastAsia" w:ascii="Times New Roman" w:hAnsi="宋体" w:eastAsia="宋体" w:cs="宋体"/>
                <w:i w:val="0"/>
                <w:iCs w:val="0"/>
                <w:color w:val="auto"/>
                <w:kern w:val="0"/>
                <w:sz w:val="16"/>
                <w:szCs w:val="16"/>
                <w:u w:val="none"/>
                <w:lang w:val="en-US" w:eastAsia="zh-CN" w:bidi="ar"/>
              </w:rPr>
              <w:t>对事故发生单位及其有关人员发生事故后有关违法行为的处罚</w:t>
            </w:r>
          </w:p>
        </w:tc>
        <w:tc>
          <w:tcPr>
            <w:tcW w:w="1500" w:type="dxa"/>
            <w:noWrap w:val="0"/>
            <w:vAlign w:val="center"/>
          </w:tcPr>
          <w:p w14:paraId="61ECCE3F">
            <w:pPr>
              <w:snapToGrid w:val="0"/>
              <w:spacing w:line="240" w:lineRule="auto"/>
              <w:ind w:left="0" w:leftChars="0" w:right="0" w:rightChars="0" w:firstLine="0" w:firstLineChars="0"/>
              <w:jc w:val="left"/>
              <w:rPr>
                <w:rFonts w:hint="eastAsia" w:ascii="Times New Roman" w:hAnsi="宋体" w:eastAsia="宋体" w:cs="宋体"/>
                <w:color w:val="FF0000"/>
                <w:kern w:val="0"/>
                <w:sz w:val="16"/>
                <w:szCs w:val="28"/>
              </w:rPr>
            </w:pPr>
          </w:p>
        </w:tc>
        <w:tc>
          <w:tcPr>
            <w:tcW w:w="3726" w:type="dxa"/>
            <w:noWrap w:val="0"/>
            <w:vAlign w:val="center"/>
          </w:tcPr>
          <w:p w14:paraId="369CF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w:t>
            </w:r>
            <w:r>
              <w:rPr>
                <w:rFonts w:hint="default" w:ascii="Times New Roman" w:hAnsi="Times New Roman" w:eastAsia="宋体" w:cs="Times New Roman"/>
                <w:color w:val="000000"/>
                <w:kern w:val="0"/>
                <w:sz w:val="16"/>
                <w:szCs w:val="16"/>
                <w:lang w:val="en-US" w:eastAsia="zh-CN" w:bidi="ar-SA"/>
              </w:rPr>
              <w:t>生产安全事故报告和调查处理条例</w:t>
            </w:r>
            <w:r>
              <w:rPr>
                <w:rFonts w:hint="eastAsia" w:ascii="Times New Roman" w:hAnsi="Times New Roman" w:eastAsia="宋体" w:cs="Times New Roman"/>
                <w:color w:val="000000"/>
                <w:kern w:val="0"/>
                <w:sz w:val="16"/>
                <w:szCs w:val="16"/>
                <w:lang w:val="en-US" w:eastAsia="zh-CN" w:bidi="ar-SA"/>
              </w:rPr>
              <w:t>》</w:t>
            </w:r>
            <w:r>
              <w:rPr>
                <w:rFonts w:hint="default" w:ascii="Times New Roman" w:hAnsi="Times New Roman" w:eastAsia="宋体" w:cs="Times New Roman"/>
                <w:color w:val="000000"/>
                <w:kern w:val="0"/>
                <w:sz w:val="16"/>
                <w:szCs w:val="16"/>
                <w:lang w:val="en-US" w:eastAsia="zh-CN" w:bidi="ar-SA"/>
              </w:rPr>
              <w:t>第三十六条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14:paraId="7230C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（一）谎报或者瞒报事故的；</w:t>
            </w:r>
          </w:p>
          <w:p w14:paraId="1D397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（二）伪造或者故意破坏事故现场的；</w:t>
            </w:r>
          </w:p>
          <w:p w14:paraId="19DB2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（三）转移、隐匿资金、财产,或者销毁有关证据、资料的；</w:t>
            </w:r>
          </w:p>
          <w:p w14:paraId="3BE65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（四）拒绝接受调查或者拒绝提供有关情况和资料的；</w:t>
            </w:r>
          </w:p>
          <w:p w14:paraId="63295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（五）在事故调查中作伪证或者指使他人作伪证的；</w:t>
            </w:r>
          </w:p>
          <w:p w14:paraId="60A799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（六）事故发生后逃匿的。</w:t>
            </w:r>
          </w:p>
          <w:p w14:paraId="5E8C73AF">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p>
        </w:tc>
        <w:tc>
          <w:tcPr>
            <w:tcW w:w="2942" w:type="dxa"/>
            <w:noWrap w:val="0"/>
            <w:vAlign w:val="center"/>
          </w:tcPr>
          <w:p w14:paraId="048150A9">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7AEF749F">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559B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1E41DE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13</w:t>
            </w:r>
          </w:p>
        </w:tc>
        <w:tc>
          <w:tcPr>
            <w:tcW w:w="1096" w:type="dxa"/>
            <w:noWrap w:val="0"/>
            <w:vAlign w:val="center"/>
          </w:tcPr>
          <w:p w14:paraId="3C98A17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AF7482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对工贸企业未按照规定对有限空间的现场负责人、监护人员、作业人员和应急救援人员进行安全培训等两类行为的处罚</w:t>
            </w:r>
          </w:p>
        </w:tc>
        <w:tc>
          <w:tcPr>
            <w:tcW w:w="1500" w:type="dxa"/>
            <w:noWrap w:val="0"/>
            <w:vAlign w:val="center"/>
          </w:tcPr>
          <w:p w14:paraId="0D5D11E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57E535A">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eastAsia="宋体"/>
                <w:color w:val="000000"/>
                <w:kern w:val="0"/>
                <w:sz w:val="16"/>
                <w:szCs w:val="16"/>
              </w:rPr>
              <w:t>《工贸企业有限空间作业安全管理与监督暂行规定》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 （一）未按照本规定对有限空间的现场负责人、监护人员、作业人员和应急救援人员进行安全培训的； （二）未按照本规定对有限空间作业制定应急预案，或者定期进行演练的。</w:t>
            </w:r>
          </w:p>
        </w:tc>
        <w:tc>
          <w:tcPr>
            <w:tcW w:w="2942" w:type="dxa"/>
            <w:noWrap w:val="0"/>
            <w:vAlign w:val="center"/>
          </w:tcPr>
          <w:p w14:paraId="0CF02A96">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5EB77018">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3D29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34FCEE5">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14</w:t>
            </w:r>
          </w:p>
        </w:tc>
        <w:tc>
          <w:tcPr>
            <w:tcW w:w="1096" w:type="dxa"/>
            <w:noWrap w:val="0"/>
            <w:vAlign w:val="center"/>
          </w:tcPr>
          <w:p w14:paraId="41655BC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BCA45F1">
            <w:pPr>
              <w:widowControl/>
              <w:suppressAutoHyphens/>
              <w:snapToGrid w:val="0"/>
              <w:spacing w:line="240" w:lineRule="auto"/>
              <w:ind w:left="0" w:leftChars="0" w:right="0" w:rightChars="0" w:firstLine="0" w:firstLineChars="0"/>
              <w:jc w:val="left"/>
              <w:rPr>
                <w:rFonts w:hint="eastAsia" w:ascii="Times New Roman" w:hAnsi="宋体" w:eastAsia="宋体" w:cs="宋体"/>
                <w:color w:val="auto"/>
                <w:kern w:val="0"/>
                <w:sz w:val="16"/>
                <w:szCs w:val="16"/>
              </w:rPr>
            </w:pPr>
            <w:r>
              <w:rPr>
                <w:rFonts w:hint="eastAsia" w:ascii="Times New Roman" w:hAnsi="宋体" w:eastAsia="宋体" w:cs="宋体"/>
                <w:i w:val="0"/>
                <w:iCs w:val="0"/>
                <w:color w:val="auto"/>
                <w:kern w:val="0"/>
                <w:sz w:val="16"/>
                <w:szCs w:val="16"/>
                <w:u w:val="none"/>
                <w:lang w:val="en-US" w:eastAsia="zh-CN" w:bidi="ar"/>
              </w:rPr>
              <w:t>对事故发生单位主要负责人在事故发生后未履行安全生产职责的处罚</w:t>
            </w:r>
          </w:p>
        </w:tc>
        <w:tc>
          <w:tcPr>
            <w:tcW w:w="1500" w:type="dxa"/>
            <w:noWrap w:val="0"/>
            <w:vAlign w:val="center"/>
          </w:tcPr>
          <w:p w14:paraId="773F6331">
            <w:pPr>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9CBCC0B">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eastAsia="宋体"/>
                <w:color w:val="000000"/>
                <w:kern w:val="0"/>
                <w:sz w:val="16"/>
                <w:szCs w:val="16"/>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tc>
        <w:tc>
          <w:tcPr>
            <w:tcW w:w="2942" w:type="dxa"/>
            <w:noWrap w:val="0"/>
            <w:vAlign w:val="center"/>
          </w:tcPr>
          <w:p w14:paraId="7E7B22BE">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131D66CA">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693A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9E2BB2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15</w:t>
            </w:r>
          </w:p>
        </w:tc>
        <w:tc>
          <w:tcPr>
            <w:tcW w:w="1096" w:type="dxa"/>
            <w:noWrap w:val="0"/>
            <w:vAlign w:val="center"/>
          </w:tcPr>
          <w:p w14:paraId="57AC79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shd w:val="clear" w:color="auto" w:fill="auto"/>
            <w:noWrap w:val="0"/>
            <w:vAlign w:val="center"/>
          </w:tcPr>
          <w:p w14:paraId="6EC46BA2">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b w:val="0"/>
                <w:bCs w:val="0"/>
                <w:color w:val="auto"/>
                <w:kern w:val="2"/>
                <w:sz w:val="16"/>
                <w:szCs w:val="16"/>
                <w:vertAlign w:val="baseline"/>
                <w:lang w:val="en-US" w:eastAsia="zh-CN" w:bidi="ar-SA"/>
              </w:rPr>
            </w:pPr>
            <w:r>
              <w:rPr>
                <w:rFonts w:hint="eastAsia" w:ascii="Times New Roman" w:hAnsi="宋体" w:eastAsia="宋体" w:cs="宋体"/>
                <w:i w:val="0"/>
                <w:iCs w:val="0"/>
                <w:color w:val="auto"/>
                <w:kern w:val="0"/>
                <w:sz w:val="16"/>
                <w:szCs w:val="16"/>
                <w:u w:val="none"/>
                <w:lang w:val="en-US" w:eastAsia="zh-CN" w:bidi="ar"/>
              </w:rPr>
              <w:t>对事故发生单位主要负责人未依法履行安全生产管理职责导致事故发生的处罚</w:t>
            </w:r>
          </w:p>
        </w:tc>
        <w:tc>
          <w:tcPr>
            <w:tcW w:w="1500" w:type="dxa"/>
            <w:noWrap w:val="0"/>
            <w:vAlign w:val="center"/>
          </w:tcPr>
          <w:p w14:paraId="5EC5CA4F">
            <w:pPr>
              <w:snapToGrid w:val="0"/>
              <w:spacing w:line="240" w:lineRule="auto"/>
              <w:ind w:left="0" w:leftChars="0" w:right="0" w:rightChars="0" w:firstLine="0" w:firstLineChars="0"/>
              <w:jc w:val="left"/>
              <w:rPr>
                <w:rFonts w:hint="eastAsia" w:ascii="Times New Roman" w:hAnsi="宋体" w:eastAsia="宋体" w:cs="宋体"/>
                <w:color w:val="auto"/>
                <w:kern w:val="0"/>
                <w:sz w:val="16"/>
                <w:szCs w:val="28"/>
              </w:rPr>
            </w:pPr>
          </w:p>
        </w:tc>
        <w:tc>
          <w:tcPr>
            <w:tcW w:w="3726" w:type="dxa"/>
            <w:noWrap w:val="0"/>
            <w:vAlign w:val="center"/>
          </w:tcPr>
          <w:p w14:paraId="72DEE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w:t>
            </w:r>
            <w:r>
              <w:rPr>
                <w:rFonts w:hint="default" w:ascii="Times New Roman" w:hAnsi="Times New Roman" w:eastAsia="宋体" w:cs="Times New Roman"/>
                <w:color w:val="000000"/>
                <w:kern w:val="0"/>
                <w:sz w:val="16"/>
                <w:szCs w:val="16"/>
                <w:lang w:val="en-US" w:eastAsia="zh-CN" w:bidi="ar-SA"/>
              </w:rPr>
              <w:t>生产安全事故报告和调查处理条例</w:t>
            </w:r>
            <w:r>
              <w:rPr>
                <w:rFonts w:hint="eastAsia" w:ascii="Times New Roman" w:hAnsi="Times New Roman" w:eastAsia="宋体" w:cs="Times New Roman"/>
                <w:color w:val="000000"/>
                <w:kern w:val="0"/>
                <w:sz w:val="16"/>
                <w:szCs w:val="16"/>
                <w:lang w:val="en-US" w:eastAsia="zh-CN" w:bidi="ar-SA"/>
              </w:rPr>
              <w:t>》第</w:t>
            </w:r>
            <w:r>
              <w:rPr>
                <w:rFonts w:hint="default" w:ascii="Times New Roman" w:hAnsi="Times New Roman" w:eastAsia="宋体" w:cs="Times New Roman"/>
                <w:color w:val="000000"/>
                <w:kern w:val="0"/>
                <w:sz w:val="16"/>
                <w:szCs w:val="16"/>
                <w:lang w:val="en-US" w:eastAsia="zh-CN" w:bidi="ar-SA"/>
              </w:rPr>
              <w:t>三十八条　事故发生单位主要负责人未依法履行安全生产管理职责,导致事故发生的,依照下列规定处以罚款；属于国家工作人员的,并依法给予处分；构成犯罪的,依法追究刑事责任：</w:t>
            </w:r>
          </w:p>
          <w:p w14:paraId="5E386B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（一）发生一般事故的,处上一年年收入30%的罚款；</w:t>
            </w:r>
          </w:p>
          <w:p w14:paraId="4EBF2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（二）发生较大事故的,处上一年年收入40%的罚款；</w:t>
            </w:r>
          </w:p>
          <w:p w14:paraId="2A707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（三）发生重大事故的,处上一年年收入60%的罚款；</w:t>
            </w:r>
          </w:p>
          <w:p w14:paraId="00C36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color w:val="000000"/>
                <w:kern w:val="0"/>
                <w:sz w:val="16"/>
                <w:szCs w:val="16"/>
                <w:lang w:val="en-US" w:eastAsia="zh-CN" w:bidi="ar-SA"/>
              </w:rPr>
              <w:t>（四）发生特别重大事故的,处上一年年收入80%的罚款</w:t>
            </w:r>
          </w:p>
          <w:p w14:paraId="79C9F323">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p>
        </w:tc>
        <w:tc>
          <w:tcPr>
            <w:tcW w:w="2942" w:type="dxa"/>
            <w:noWrap w:val="0"/>
            <w:vAlign w:val="center"/>
          </w:tcPr>
          <w:p w14:paraId="40632888">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46A4E322">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12FE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6EF73B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16</w:t>
            </w:r>
          </w:p>
        </w:tc>
        <w:tc>
          <w:tcPr>
            <w:tcW w:w="1096" w:type="dxa"/>
            <w:noWrap w:val="0"/>
            <w:vAlign w:val="center"/>
          </w:tcPr>
          <w:p w14:paraId="1564838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771FF5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对生产经营单位及其有关人员弄虚作假，骗取或者勾结、串通行政审批工作人员取得安全生产许可证书及其他批准文件的处罚</w:t>
            </w:r>
          </w:p>
        </w:tc>
        <w:tc>
          <w:tcPr>
            <w:tcW w:w="1500" w:type="dxa"/>
            <w:noWrap w:val="0"/>
            <w:vAlign w:val="center"/>
          </w:tcPr>
          <w:p w14:paraId="5F5A6F1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650091B9">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安全生产违法行为行政处罚办法》第五十一条：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有前款规定违法行为的生产经营单位及其有关人员在3年内不得再次申请该行政许可。生产经营单位及其有关人员未依法办理安全生产许可证书变更手续的，责令限期改正，并对生产经营单位处1万元以上3万元以下的罚款，对有关人员处1000元以上5000元以下的罚款。</w:t>
            </w:r>
          </w:p>
        </w:tc>
        <w:tc>
          <w:tcPr>
            <w:tcW w:w="2942" w:type="dxa"/>
            <w:noWrap w:val="0"/>
            <w:vAlign w:val="center"/>
          </w:tcPr>
          <w:p w14:paraId="07603854">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2、调查阶段责任：应急管理部门按规定的处罚种类和幅度，收集相关证据，需要补充的再补充调查。</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5、送达阶段责任：应急管理部门将《行政处罚决定书》按照法定的方式和期限送达当事人。</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7、其他法律法规规章文件规定应履行的责任。</w:t>
            </w:r>
          </w:p>
        </w:tc>
        <w:tc>
          <w:tcPr>
            <w:tcW w:w="2888" w:type="dxa"/>
            <w:noWrap w:val="0"/>
            <w:vAlign w:val="center"/>
          </w:tcPr>
          <w:p w14:paraId="0453EBDF">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hAnsi="宋体" w:eastAsia="宋体"/>
                <w:color w:val="000000"/>
                <w:kern w:val="0"/>
                <w:sz w:val="16"/>
                <w:szCs w:val="16"/>
              </w:rPr>
              <w:t>因不履行或不正确履行行政职责，有下列情形的，行政机关及相关工作人员应承担相应责任：</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2、超越、滥用法定职权的；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3、主要事实不清、证据不足的；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4、适用法律依据错误的；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5、行政裁量明显不当的；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6、违反法定程序的；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7、违法实行检查措施或者执行措施，给公民人身或者财产造成损害、给法人或者其他组织造成损失的；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8、不执行对事故责任人员的处理决定，或者擅自改变上级机关批复的对事故责任人员的处理意见的；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9、徇私舞弊、包庇纵容违法行为的；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10、在行政处罚过程中发生腐败行为的；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11、其他违反法律法规规章文件规定的行为。</w:t>
            </w:r>
          </w:p>
        </w:tc>
      </w:tr>
      <w:tr w14:paraId="5BC0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1C9678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17</w:t>
            </w:r>
          </w:p>
        </w:tc>
        <w:tc>
          <w:tcPr>
            <w:tcW w:w="1096" w:type="dxa"/>
            <w:noWrap w:val="0"/>
            <w:vAlign w:val="center"/>
          </w:tcPr>
          <w:p w14:paraId="34EBD49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8657FA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对伪造、变造或者出租、出借、转让危险化学品经营许可证，或者使用伪造、变造的危险化学品经营许可证的处罚</w:t>
            </w:r>
          </w:p>
        </w:tc>
        <w:tc>
          <w:tcPr>
            <w:tcW w:w="1500" w:type="dxa"/>
            <w:noWrap w:val="0"/>
            <w:vAlign w:val="center"/>
          </w:tcPr>
          <w:p w14:paraId="411024C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05304197">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000000"/>
                <w:kern w:val="0"/>
                <w:sz w:val="16"/>
                <w:szCs w:val="16"/>
              </w:rPr>
              <w:t>《危险化学品经营许可证管理办法》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2942" w:type="dxa"/>
            <w:noWrap w:val="0"/>
            <w:vAlign w:val="center"/>
          </w:tcPr>
          <w:p w14:paraId="178A155E">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65E5FC36">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0152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FE6656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18</w:t>
            </w:r>
          </w:p>
        </w:tc>
        <w:tc>
          <w:tcPr>
            <w:tcW w:w="1096" w:type="dxa"/>
            <w:noWrap w:val="0"/>
            <w:vAlign w:val="center"/>
          </w:tcPr>
          <w:p w14:paraId="4A189FE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35F344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对地质勘探单位将其承担的地质勘探工程项目转包给不具备安全生产条件或者相应资质的地质勘探单位的处罚</w:t>
            </w:r>
          </w:p>
        </w:tc>
        <w:tc>
          <w:tcPr>
            <w:tcW w:w="1500" w:type="dxa"/>
            <w:noWrap w:val="0"/>
            <w:vAlign w:val="center"/>
          </w:tcPr>
          <w:p w14:paraId="41D1AB0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121122E3">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000000"/>
                <w:kern w:val="0"/>
                <w:sz w:val="16"/>
                <w:szCs w:val="16"/>
              </w:rPr>
              <w:t>《金属与非金属矿产资源地质勘探安全生产监督管理暂行规定》第二十八条：地质勘探单位将其承担的地质勘探工程项目转包给不具备安全生产条件或者相应资质的地质勘探单位的，责令限期改正，没收违法所得；违法所得10万元以上的，并处违法所得2倍以上5倍以下的罚款；没有违法所得或者违法所得不足10万元的，单处或者并处10万元以上20万元以下的罚款；对其直接负责的主管人员和其他直接责任人员处1万元以上2万元以下的罚款；导致发生生产安全事故给他人造成损害的，与承包方承担连带赔偿责任。</w:t>
            </w:r>
          </w:p>
        </w:tc>
        <w:tc>
          <w:tcPr>
            <w:tcW w:w="2942" w:type="dxa"/>
            <w:noWrap w:val="0"/>
            <w:vAlign w:val="center"/>
          </w:tcPr>
          <w:p w14:paraId="4E995738">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73A96051">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2627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2E890C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19</w:t>
            </w:r>
          </w:p>
        </w:tc>
        <w:tc>
          <w:tcPr>
            <w:tcW w:w="1096" w:type="dxa"/>
            <w:noWrap w:val="0"/>
            <w:vAlign w:val="center"/>
          </w:tcPr>
          <w:p w14:paraId="0146B17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0D97D5B">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Times New Roman" w:hAnsi="宋体" w:eastAsia="宋体" w:cs="宋体"/>
                <w:i w:val="0"/>
                <w:iCs w:val="0"/>
                <w:color w:val="auto"/>
                <w:kern w:val="0"/>
                <w:sz w:val="16"/>
                <w:szCs w:val="16"/>
                <w:u w:val="none"/>
                <w:lang w:val="en-US" w:eastAsia="zh-CN" w:bidi="ar"/>
              </w:rPr>
              <w:t>对非煤矿山发包单位违反《非煤矿山外包工程安全管理暂行办法》第六条的规定，违章指挥或者强令承包单位及其从业人员冒险作业的处罚</w:t>
            </w:r>
          </w:p>
        </w:tc>
        <w:tc>
          <w:tcPr>
            <w:tcW w:w="1500" w:type="dxa"/>
            <w:noWrap w:val="0"/>
            <w:vAlign w:val="center"/>
          </w:tcPr>
          <w:p w14:paraId="18F44CF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35010CD">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非煤矿山外包工程安全管理暂行办法》第三十二条：发包单位违反本办法第六条的规定，违章指挥或者强令承包单位及其从业人员冒险作业的，责令改正，处2万元以上3万元以下的罚款；造成损失的，依法承担赔偿责任。</w:t>
            </w:r>
          </w:p>
        </w:tc>
        <w:tc>
          <w:tcPr>
            <w:tcW w:w="2942" w:type="dxa"/>
            <w:noWrap w:val="0"/>
            <w:vAlign w:val="center"/>
          </w:tcPr>
          <w:p w14:paraId="27430BC2">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1211DF0B">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73D4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B20730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20</w:t>
            </w:r>
          </w:p>
        </w:tc>
        <w:tc>
          <w:tcPr>
            <w:tcW w:w="1096" w:type="dxa"/>
            <w:noWrap w:val="0"/>
            <w:vAlign w:val="center"/>
          </w:tcPr>
          <w:p w14:paraId="5F21DD3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F5279A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对未经安全条件审查，新建、改建、扩建生产、储存危险化学品的建设项目的处罚</w:t>
            </w:r>
          </w:p>
        </w:tc>
        <w:tc>
          <w:tcPr>
            <w:tcW w:w="1500" w:type="dxa"/>
            <w:noWrap w:val="0"/>
            <w:vAlign w:val="center"/>
          </w:tcPr>
          <w:p w14:paraId="28F0890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77B9571">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危险化学品安全管理条例》第七十六条：未经安全条件审查，新建、改建、扩建生产、储存危险化学品的建设项目的，由安全生产监督管理部门责令停止建设，限期改正；逾期不改正的，处50万元以上100万元以下的罚款；构成犯罪的，依法追究刑事责任。</w:t>
            </w:r>
          </w:p>
        </w:tc>
        <w:tc>
          <w:tcPr>
            <w:tcW w:w="2942" w:type="dxa"/>
            <w:noWrap w:val="0"/>
            <w:vAlign w:val="center"/>
          </w:tcPr>
          <w:p w14:paraId="27C68A01">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04022529">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4938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EF51C3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21</w:t>
            </w:r>
          </w:p>
        </w:tc>
        <w:tc>
          <w:tcPr>
            <w:tcW w:w="1096" w:type="dxa"/>
            <w:noWrap w:val="0"/>
            <w:vAlign w:val="center"/>
          </w:tcPr>
          <w:p w14:paraId="5CCF91E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C4340C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500" w:type="dxa"/>
            <w:noWrap w:val="0"/>
            <w:vAlign w:val="center"/>
          </w:tcPr>
          <w:p w14:paraId="739CB7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54C9F1E">
            <w:pPr>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kern w:val="0"/>
                <w:sz w:val="16"/>
                <w:szCs w:val="16"/>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2942" w:type="dxa"/>
            <w:noWrap w:val="0"/>
            <w:vAlign w:val="center"/>
          </w:tcPr>
          <w:p w14:paraId="08DD9DDD">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6E904E10">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7DAE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vMerge w:val="restart"/>
            <w:noWrap w:val="0"/>
            <w:vAlign w:val="center"/>
          </w:tcPr>
          <w:p w14:paraId="43025543">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22</w:t>
            </w:r>
          </w:p>
        </w:tc>
        <w:tc>
          <w:tcPr>
            <w:tcW w:w="1096" w:type="dxa"/>
            <w:vMerge w:val="restart"/>
            <w:noWrap w:val="0"/>
            <w:vAlign w:val="center"/>
          </w:tcPr>
          <w:p w14:paraId="73A147C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20786C3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000000"/>
                <w:kern w:val="0"/>
                <w:sz w:val="16"/>
                <w:szCs w:val="16"/>
                <w:u w:val="none"/>
                <w:lang w:val="en-US" w:eastAsia="zh-CN" w:bidi="ar"/>
              </w:rPr>
              <w:t>对生产、经营、储存、使用危险物品的车间、商店、仓库与员工宿舍在同一座建筑内，或者与员工宿舍的距离不符合安全要求等两类行为的处罚</w:t>
            </w:r>
          </w:p>
        </w:tc>
        <w:tc>
          <w:tcPr>
            <w:tcW w:w="1500" w:type="dxa"/>
            <w:noWrap w:val="0"/>
            <w:vAlign w:val="center"/>
          </w:tcPr>
          <w:p w14:paraId="17EE3D6A">
            <w:pPr>
              <w:widowControl/>
              <w:suppressAutoHyphens/>
              <w:snapToGrid w:val="0"/>
              <w:spacing w:line="240" w:lineRule="auto"/>
              <w:ind w:left="0" w:leftChars="0" w:right="0" w:rightChars="0" w:firstLine="0" w:firstLineChars="0"/>
              <w:jc w:val="left"/>
              <w:rPr>
                <w:rFonts w:hint="eastAsia" w:ascii="Times New Roman" w:hAnsi="宋体" w:eastAsia="宋体" w:cs="宋体"/>
                <w:kern w:val="0"/>
                <w:sz w:val="16"/>
                <w:szCs w:val="16"/>
              </w:rPr>
            </w:pPr>
            <w:r>
              <w:rPr>
                <w:rFonts w:hint="eastAsia" w:ascii="Times New Roman" w:hAnsi="宋体" w:eastAsia="宋体" w:cs="宋体"/>
                <w:kern w:val="0"/>
                <w:sz w:val="16"/>
                <w:szCs w:val="16"/>
              </w:rPr>
              <w:t>生产、经营、储存、使用危险物品的车间、商店、仓库与员工宿舍在同一座建筑内，或者与员工宿舍的距离不符合安全要求的处罚</w:t>
            </w:r>
          </w:p>
          <w:p w14:paraId="7F089230">
            <w:pPr>
              <w:widowControl/>
              <w:suppressAutoHyphens/>
              <w:snapToGrid w:val="0"/>
              <w:spacing w:line="240" w:lineRule="auto"/>
              <w:ind w:left="0" w:leftChars="0" w:right="0" w:rightChars="0" w:firstLine="0" w:firstLineChars="0"/>
              <w:jc w:val="left"/>
              <w:rPr>
                <w:rFonts w:hint="eastAsia" w:ascii="Times New Roman" w:hAnsi="宋体" w:eastAsia="宋体" w:cs="宋体"/>
                <w:kern w:val="0"/>
                <w:sz w:val="16"/>
                <w:szCs w:val="16"/>
              </w:rPr>
            </w:pPr>
          </w:p>
        </w:tc>
        <w:tc>
          <w:tcPr>
            <w:tcW w:w="3726" w:type="dxa"/>
            <w:vMerge w:val="restart"/>
            <w:noWrap w:val="0"/>
            <w:vAlign w:val="center"/>
          </w:tcPr>
          <w:p w14:paraId="7D27D521">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333333"/>
                <w:kern w:val="0"/>
                <w:sz w:val="16"/>
                <w:szCs w:val="16"/>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72F743F3">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333333"/>
                <w:kern w:val="0"/>
                <w:sz w:val="16"/>
                <w:szCs w:val="16"/>
              </w:rPr>
              <w:t>（一）生产、经营、储存、使用危险物品的车间、商店、仓库与员工宿舍在同一座建筑内，或者与员工宿舍的距离不符合安全要求的；</w:t>
            </w:r>
          </w:p>
          <w:p w14:paraId="23E0C4D9">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333333"/>
                <w:kern w:val="0"/>
                <w:sz w:val="16"/>
                <w:szCs w:val="16"/>
              </w:rPr>
              <w:t>（二）生产经营场所和员工宿舍未设有符合紧急疏散需要、标志明显、保持畅通的出口、疏散通道，或者占用、锁闭、封堵生产经营场所或者员工宿舍出口、疏散通道的。</w:t>
            </w:r>
          </w:p>
        </w:tc>
        <w:tc>
          <w:tcPr>
            <w:tcW w:w="2942" w:type="dxa"/>
            <w:vMerge w:val="restart"/>
            <w:noWrap w:val="0"/>
            <w:vAlign w:val="center"/>
          </w:tcPr>
          <w:p w14:paraId="1D6FAAB9">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2、调查阶段责任：应急管理部门按规定的处罚种类和幅度，收集相关证据，需要补充的再补充调查。</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5、送达阶段责任：应急管理部门将《行政处罚决定书》按照法定的方式和期限送达当事人。</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7、其他法律法规规章文件规定应履行的责任。</w:t>
            </w:r>
          </w:p>
        </w:tc>
        <w:tc>
          <w:tcPr>
            <w:tcW w:w="2888" w:type="dxa"/>
            <w:vMerge w:val="restart"/>
            <w:noWrap w:val="0"/>
            <w:vAlign w:val="center"/>
          </w:tcPr>
          <w:p w14:paraId="11D2F684">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hAnsi="宋体" w:eastAsia="宋体"/>
                <w:color w:val="000000"/>
                <w:kern w:val="0"/>
                <w:sz w:val="16"/>
                <w:szCs w:val="16"/>
              </w:rPr>
              <w:t>因不履行或不正确履行行政职责，有下列情形的，行政机关及相关工作人员应承担相应责任：</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2、超越、滥用法定职权的；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3、主要事实不清、证据不足的；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4、适用法律依据错误的；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5、行政裁量明显不当的；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6、违反法定程序的；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7、违法实行检查措施或者执行措施，给公民人身或者财产造成损害、给法人或者其他组织造成损失的；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8、不执行对事故责任人员的处理决定，或者擅自改变上级机关批复的对事故责任人员的处理意见的；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9、徇私舞弊、包庇纵容违法行为的；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10、在行政处罚过程中发生腐败行为的；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11、其他违反法律法规规章文件规定的行为。</w:t>
            </w:r>
          </w:p>
        </w:tc>
      </w:tr>
      <w:tr w14:paraId="39D9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vMerge w:val="continue"/>
            <w:noWrap w:val="0"/>
            <w:vAlign w:val="center"/>
          </w:tcPr>
          <w:p w14:paraId="500E00BD">
            <w:pPr>
              <w:widowControl/>
              <w:suppressAutoHyphens/>
              <w:snapToGrid w:val="0"/>
              <w:spacing w:line="240" w:lineRule="auto"/>
              <w:ind w:left="0" w:leftChars="0" w:right="0" w:rightChars="0" w:firstLine="0" w:firstLineChars="0"/>
              <w:jc w:val="center"/>
              <w:rPr>
                <w:rFonts w:ascii="Times New Roman" w:eastAsia="宋体"/>
                <w:sz w:val="16"/>
              </w:rPr>
            </w:pPr>
          </w:p>
        </w:tc>
        <w:tc>
          <w:tcPr>
            <w:tcW w:w="1096" w:type="dxa"/>
            <w:vMerge w:val="continue"/>
            <w:noWrap w:val="0"/>
            <w:vAlign w:val="center"/>
          </w:tcPr>
          <w:p w14:paraId="17A775D6">
            <w:pPr>
              <w:widowControl/>
              <w:suppressAutoHyphens/>
              <w:snapToGrid w:val="0"/>
              <w:spacing w:line="240" w:lineRule="auto"/>
              <w:ind w:left="0" w:leftChars="0" w:right="0" w:rightChars="0" w:firstLine="0" w:firstLineChars="0"/>
              <w:jc w:val="left"/>
              <w:rPr>
                <w:rFonts w:ascii="Times New Roman" w:eastAsia="宋体"/>
                <w:sz w:val="16"/>
              </w:rPr>
            </w:pPr>
          </w:p>
        </w:tc>
        <w:tc>
          <w:tcPr>
            <w:tcW w:w="1850" w:type="dxa"/>
            <w:vMerge w:val="continue"/>
            <w:noWrap w:val="0"/>
            <w:vAlign w:val="center"/>
          </w:tcPr>
          <w:p w14:paraId="32C40BE0">
            <w:pPr>
              <w:widowControl/>
              <w:suppressAutoHyphens/>
              <w:snapToGrid w:val="0"/>
              <w:spacing w:line="240" w:lineRule="auto"/>
              <w:ind w:left="0" w:leftChars="0" w:right="0" w:rightChars="0" w:firstLine="0" w:firstLineChars="0"/>
              <w:jc w:val="left"/>
              <w:rPr>
                <w:rFonts w:ascii="Times New Roman" w:eastAsia="宋体"/>
                <w:sz w:val="16"/>
              </w:rPr>
            </w:pPr>
          </w:p>
        </w:tc>
        <w:tc>
          <w:tcPr>
            <w:tcW w:w="1500" w:type="dxa"/>
            <w:noWrap w:val="0"/>
            <w:vAlign w:val="center"/>
          </w:tcPr>
          <w:p w14:paraId="392C1D16">
            <w:pPr>
              <w:widowControl/>
              <w:suppressAutoHyphens/>
              <w:snapToGrid w:val="0"/>
              <w:spacing w:line="240" w:lineRule="auto"/>
              <w:ind w:left="0" w:leftChars="0" w:right="0" w:rightChars="0" w:firstLine="0" w:firstLineChars="0"/>
              <w:jc w:val="left"/>
              <w:rPr>
                <w:rFonts w:hint="eastAsia" w:ascii="Times New Roman" w:hAnsi="宋体" w:eastAsia="宋体" w:cs="宋体"/>
                <w:kern w:val="0"/>
                <w:sz w:val="16"/>
                <w:szCs w:val="16"/>
              </w:rPr>
            </w:pPr>
            <w:r>
              <w:rPr>
                <w:rFonts w:hint="eastAsia" w:ascii="Times New Roman" w:hAnsi="宋体" w:eastAsia="宋体" w:cs="宋体"/>
                <w:kern w:val="0"/>
                <w:sz w:val="16"/>
                <w:szCs w:val="16"/>
              </w:rPr>
              <w:t>生产经营场所和员工宿舍未设有符合紧急疏散需要、标志明显、保持畅通的出口、疏散通道，或者占用、锁闭、封堵生产经营场所或者员工宿舍出口、疏散通道的处罚</w:t>
            </w:r>
          </w:p>
        </w:tc>
        <w:tc>
          <w:tcPr>
            <w:tcW w:w="3726" w:type="dxa"/>
            <w:vMerge w:val="continue"/>
            <w:noWrap w:val="0"/>
            <w:vAlign w:val="center"/>
          </w:tcPr>
          <w:p w14:paraId="4012086C">
            <w:pPr>
              <w:widowControl/>
              <w:suppressAutoHyphens/>
              <w:snapToGrid w:val="0"/>
              <w:spacing w:line="240" w:lineRule="auto"/>
              <w:ind w:left="0" w:leftChars="0" w:right="0" w:rightChars="0" w:firstLine="0" w:firstLineChars="0"/>
              <w:jc w:val="left"/>
              <w:rPr>
                <w:rFonts w:hint="eastAsia" w:ascii="Times New Roman" w:hAnsi="宋体" w:eastAsia="宋体" w:cs="宋体"/>
                <w:kern w:val="0"/>
                <w:sz w:val="16"/>
                <w:szCs w:val="16"/>
              </w:rPr>
            </w:pPr>
          </w:p>
        </w:tc>
        <w:tc>
          <w:tcPr>
            <w:tcW w:w="2942" w:type="dxa"/>
            <w:vMerge w:val="continue"/>
            <w:noWrap w:val="0"/>
            <w:vAlign w:val="center"/>
          </w:tcPr>
          <w:p w14:paraId="30D41FF6">
            <w:pPr>
              <w:widowControl/>
              <w:suppressAutoHyphens/>
              <w:snapToGrid w:val="0"/>
              <w:spacing w:line="240" w:lineRule="auto"/>
              <w:ind w:left="0" w:leftChars="0" w:right="0" w:rightChars="0" w:firstLine="0" w:firstLineChars="0"/>
              <w:jc w:val="left"/>
              <w:rPr>
                <w:rFonts w:hint="eastAsia" w:ascii="Times New Roman" w:hAnsi="宋体" w:eastAsia="宋体" w:cs="宋体"/>
                <w:kern w:val="0"/>
                <w:sz w:val="16"/>
                <w:szCs w:val="16"/>
              </w:rPr>
            </w:pPr>
          </w:p>
        </w:tc>
        <w:tc>
          <w:tcPr>
            <w:tcW w:w="2888" w:type="dxa"/>
            <w:vMerge w:val="continue"/>
            <w:noWrap w:val="0"/>
            <w:vAlign w:val="center"/>
          </w:tcPr>
          <w:p w14:paraId="3396A0DA">
            <w:pPr>
              <w:widowControl/>
              <w:suppressAutoHyphens/>
              <w:snapToGrid w:val="0"/>
              <w:spacing w:line="240" w:lineRule="auto"/>
              <w:ind w:left="0" w:leftChars="0" w:right="0" w:rightChars="0" w:firstLine="0" w:firstLineChars="0"/>
              <w:jc w:val="left"/>
              <w:rPr>
                <w:rFonts w:hint="eastAsia" w:ascii="Times New Roman" w:hAnsi="宋体" w:eastAsia="宋体" w:cs="宋体"/>
                <w:kern w:val="0"/>
                <w:sz w:val="16"/>
                <w:szCs w:val="16"/>
              </w:rPr>
            </w:pPr>
          </w:p>
        </w:tc>
      </w:tr>
      <w:tr w14:paraId="3A46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EA55B7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23</w:t>
            </w:r>
          </w:p>
        </w:tc>
        <w:tc>
          <w:tcPr>
            <w:tcW w:w="1096" w:type="dxa"/>
            <w:noWrap w:val="0"/>
            <w:vAlign w:val="center"/>
          </w:tcPr>
          <w:p w14:paraId="6E97667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DC349E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i w:val="0"/>
                <w:iCs w:val="0"/>
                <w:color w:val="auto"/>
                <w:kern w:val="0"/>
                <w:sz w:val="16"/>
                <w:szCs w:val="16"/>
                <w:u w:val="none"/>
                <w:lang w:val="en-US" w:eastAsia="zh-CN" w:bidi="ar"/>
              </w:rPr>
              <w:t>对高危行业、领域的生产经营单位未按照国家规定投保安全生产责任保险的处罚</w:t>
            </w:r>
          </w:p>
        </w:tc>
        <w:tc>
          <w:tcPr>
            <w:tcW w:w="1500" w:type="dxa"/>
            <w:noWrap w:val="0"/>
            <w:vAlign w:val="center"/>
          </w:tcPr>
          <w:p w14:paraId="3F5C611F">
            <w:pPr>
              <w:snapToGrid w:val="0"/>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0404FA6">
            <w:pPr>
              <w:widowControl/>
              <w:suppressAutoHyphens/>
              <w:snapToGrid w:val="0"/>
              <w:spacing w:line="240" w:lineRule="auto"/>
              <w:ind w:left="0" w:leftChars="0" w:right="0" w:rightChars="0" w:firstLine="0" w:firstLineChars="0"/>
              <w:jc w:val="left"/>
              <w:rPr>
                <w:rFonts w:hint="eastAsia" w:ascii="Times New Roman" w:hAnsi="宋体" w:eastAsia="宋体" w:cs="宋体"/>
                <w:color w:val="333333"/>
                <w:kern w:val="0"/>
                <w:sz w:val="16"/>
                <w:szCs w:val="16"/>
              </w:rPr>
            </w:pPr>
            <w:r>
              <w:rPr>
                <w:rFonts w:hint="eastAsia" w:ascii="Times New Roman" w:hAnsi="宋体" w:eastAsia="宋体" w:cs="宋体"/>
                <w:color w:val="000000"/>
                <w:kern w:val="0"/>
                <w:sz w:val="16"/>
                <w:szCs w:val="16"/>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2942" w:type="dxa"/>
            <w:noWrap w:val="0"/>
            <w:vAlign w:val="center"/>
          </w:tcPr>
          <w:p w14:paraId="023F8E4C">
            <w:pPr>
              <w:snapToGrid w:val="0"/>
              <w:spacing w:line="240" w:lineRule="auto"/>
              <w:ind w:left="0" w:leftChars="0" w:right="0" w:rightChars="0" w:firstLine="0" w:firstLineChars="0"/>
              <w:jc w:val="left"/>
              <w:rPr>
                <w:rFonts w:ascii="Times New Roman" w:eastAsia="宋体"/>
                <w:color w:val="000000"/>
                <w:kern w:val="0"/>
                <w:sz w:val="16"/>
                <w:szCs w:val="16"/>
              </w:rPr>
            </w:pPr>
            <w:r>
              <w:rPr>
                <w:rFonts w:hint="eastAsia" w:ascii="Times New Roman"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2、调查阶段责任：应急管理部门按规定的处罚种类和幅度，收集相关证据，需要补充的再补充调查。</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5、送达阶段责任：应急管理部门将《行政处罚决定书》按照法定的方式和期限送达当事人。</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7、其他法律法规规章文件规定应履行的责任。</w:t>
            </w:r>
          </w:p>
        </w:tc>
        <w:tc>
          <w:tcPr>
            <w:tcW w:w="2888" w:type="dxa"/>
            <w:noWrap w:val="0"/>
            <w:vAlign w:val="center"/>
          </w:tcPr>
          <w:p w14:paraId="3CB127D3">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hAnsi="宋体" w:eastAsia="宋体"/>
                <w:color w:val="000000"/>
                <w:kern w:val="0"/>
                <w:sz w:val="16"/>
                <w:szCs w:val="16"/>
              </w:rPr>
              <w:t>因不履行或不正确履行行政职责，有下列情形的，行政机关及相关工作人员应承担相应责任：</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2、超越、滥用法定职权的；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3、主要事实不清、证据不足的；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4、适用法律依据错误的；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5、行政裁量明显不当的；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6、违反法定程序的；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7、违法实行检查措施或者执行措施，给公民人身或者财产造成损害、给法人或者其他组织造成损失的；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8、不执行对事故责任人员的处理决定，或者擅自改变上级机关批复的对事故责任人员的处理意见的；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9、徇私舞弊、包庇纵容违法行为的；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10、在行政处罚过程中发生腐败行为的；</w:t>
            </w:r>
            <w:r>
              <w:rPr>
                <w:rFonts w:hint="eastAsia" w:ascii="Times New Roman" w:hAnsi="宋体" w:eastAsia="宋体"/>
                <w:color w:val="000000"/>
                <w:kern w:val="0"/>
                <w:sz w:val="16"/>
                <w:szCs w:val="16"/>
              </w:rPr>
              <w:br w:type="textWrapping"/>
            </w:r>
            <w:r>
              <w:rPr>
                <w:rFonts w:hint="eastAsia" w:ascii="Times New Roman" w:hAnsi="宋体" w:eastAsia="宋体"/>
                <w:color w:val="000000"/>
                <w:kern w:val="0"/>
                <w:sz w:val="16"/>
                <w:szCs w:val="16"/>
              </w:rPr>
              <w:t>11、其他违反法律法规规章文件规定的行为。</w:t>
            </w:r>
          </w:p>
        </w:tc>
      </w:tr>
      <w:tr w14:paraId="44E0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264468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FF0000"/>
                <w:kern w:val="0"/>
                <w:sz w:val="16"/>
                <w:szCs w:val="28"/>
                <w:lang w:val="en-US" w:eastAsia="zh-CN"/>
              </w:rPr>
            </w:pPr>
            <w:r>
              <w:rPr>
                <w:rFonts w:hint="eastAsia" w:ascii="Times New Roman" w:hAnsi="宋体" w:eastAsia="宋体" w:cs="宋体"/>
                <w:color w:val="auto"/>
                <w:kern w:val="0"/>
                <w:sz w:val="16"/>
                <w:szCs w:val="28"/>
                <w:lang w:val="en-US" w:eastAsia="zh-CN"/>
              </w:rPr>
              <w:t>24</w:t>
            </w:r>
          </w:p>
        </w:tc>
        <w:tc>
          <w:tcPr>
            <w:tcW w:w="1096" w:type="dxa"/>
            <w:noWrap w:val="0"/>
            <w:vAlign w:val="center"/>
          </w:tcPr>
          <w:p w14:paraId="2F4C6546">
            <w:pPr>
              <w:widowControl/>
              <w:suppressAutoHyphens/>
              <w:snapToGrid w:val="0"/>
              <w:spacing w:line="240" w:lineRule="auto"/>
              <w:ind w:left="0" w:leftChars="0" w:right="0" w:rightChars="0" w:firstLine="0" w:firstLineChars="0"/>
              <w:jc w:val="left"/>
              <w:rPr>
                <w:rFonts w:hint="eastAsia" w:ascii="Times New Roman" w:hAnsi="宋体" w:eastAsia="宋体" w:cs="宋体"/>
                <w:color w:val="FF0000"/>
                <w:kern w:val="0"/>
                <w:sz w:val="16"/>
                <w:szCs w:val="16"/>
              </w:rPr>
            </w:pPr>
            <w:r>
              <w:rPr>
                <w:rFonts w:hint="eastAsia" w:ascii="Times New Roman" w:hAnsi="宋体" w:eastAsia="宋体" w:cs="宋体"/>
                <w:color w:val="auto"/>
                <w:kern w:val="0"/>
                <w:sz w:val="16"/>
                <w:szCs w:val="16"/>
                <w:lang w:eastAsia="zh-CN"/>
              </w:rPr>
              <w:t>行政处罚</w:t>
            </w:r>
          </w:p>
        </w:tc>
        <w:tc>
          <w:tcPr>
            <w:tcW w:w="1850" w:type="dxa"/>
            <w:noWrap w:val="0"/>
            <w:vAlign w:val="center"/>
          </w:tcPr>
          <w:p w14:paraId="5AF1E112">
            <w:pPr>
              <w:widowControl/>
              <w:suppressAutoHyphens/>
              <w:snapToGrid w:val="0"/>
              <w:spacing w:line="240" w:lineRule="auto"/>
              <w:ind w:left="0" w:leftChars="0" w:right="0" w:rightChars="0" w:firstLine="0" w:firstLineChars="0"/>
              <w:jc w:val="left"/>
              <w:rPr>
                <w:rFonts w:hint="eastAsia" w:ascii="Times New Roman" w:hAnsi="宋体" w:eastAsia="宋体" w:cs="宋体"/>
                <w:color w:val="FF0000"/>
                <w:kern w:val="0"/>
                <w:sz w:val="16"/>
                <w:szCs w:val="16"/>
              </w:rPr>
            </w:pPr>
            <w:r>
              <w:rPr>
                <w:rFonts w:hint="eastAsia" w:ascii="宋体" w:hAnsi="宋体" w:eastAsia="宋体" w:cs="宋体"/>
                <w:i w:val="0"/>
                <w:iCs w:val="0"/>
                <w:color w:val="auto"/>
                <w:kern w:val="0"/>
                <w:sz w:val="16"/>
                <w:szCs w:val="16"/>
                <w:u w:val="none"/>
                <w:lang w:val="en-US" w:eastAsia="zh-CN" w:bidi="ar"/>
              </w:rPr>
              <w:t>对发生生产安全事故负有责任的生产经营单位的处罚</w:t>
            </w:r>
          </w:p>
        </w:tc>
        <w:tc>
          <w:tcPr>
            <w:tcW w:w="1500" w:type="dxa"/>
            <w:noWrap w:val="0"/>
            <w:vAlign w:val="center"/>
          </w:tcPr>
          <w:p w14:paraId="36135A26">
            <w:pPr>
              <w:widowControl/>
              <w:suppressAutoHyphens/>
              <w:snapToGrid w:val="0"/>
              <w:spacing w:line="240" w:lineRule="auto"/>
              <w:ind w:left="0" w:leftChars="0" w:right="0" w:rightChars="0" w:firstLine="0" w:firstLineChars="0"/>
              <w:jc w:val="left"/>
              <w:rPr>
                <w:rFonts w:hint="eastAsia" w:ascii="Times New Roman" w:hAnsi="宋体" w:eastAsia="宋体" w:cs="宋体"/>
                <w:color w:val="FF0000"/>
                <w:kern w:val="0"/>
                <w:sz w:val="16"/>
                <w:szCs w:val="28"/>
              </w:rPr>
            </w:pPr>
          </w:p>
        </w:tc>
        <w:tc>
          <w:tcPr>
            <w:tcW w:w="3726" w:type="dxa"/>
            <w:noWrap w:val="0"/>
            <w:vAlign w:val="center"/>
          </w:tcPr>
          <w:p w14:paraId="7D842940">
            <w:pPr>
              <w:spacing w:after="240" w:line="180" w:lineRule="exact"/>
              <w:rPr>
                <w:rFonts w:hint="eastAsia" w:ascii="Times New Roman" w:hAnsi="宋体" w:eastAsia="宋体" w:cs="宋体"/>
                <w:color w:val="333333"/>
                <w:kern w:val="0"/>
                <w:sz w:val="16"/>
                <w:szCs w:val="16"/>
              </w:rPr>
            </w:pPr>
            <w:r>
              <w:rPr>
                <w:rFonts w:hint="eastAsia" w:ascii="宋体" w:hAnsi="宋体" w:eastAsia="宋体" w:cs="宋体"/>
                <w:kern w:val="0"/>
                <w:sz w:val="16"/>
                <w:szCs w:val="16"/>
              </w:rPr>
              <w:t>《中华人民共和国安全生产法》第一百一十四条　发生生产安全事故，对负有责任的生产经营单位除要求其依法承担相应的赔偿等责任外，由应急管理部门依照下列规定处以罚款: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（一）发生一般事故的，处三十万元以上一百万元以下的罚款；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（二）发生较大事故的，处一百万元以上二百万元以下的罚款；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（三）发生重大事故的，处二百万元以上一千万元以下的罚款；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（四）发生特别重大事故的，处一千万元以上二千万元以下的罚款。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发生生产安全事故，情节特别严重、影响特别恶劣的，应急管理部门可以按照前款罚款数额的二倍以上五倍以下对负有责任的生产经营单位处以罚款。</w:t>
            </w:r>
          </w:p>
        </w:tc>
        <w:tc>
          <w:tcPr>
            <w:tcW w:w="2942" w:type="dxa"/>
            <w:noWrap w:val="0"/>
            <w:vAlign w:val="center"/>
          </w:tcPr>
          <w:p w14:paraId="0896279D">
            <w:pPr>
              <w:spacing w:line="180" w:lineRule="exact"/>
              <w:rPr>
                <w:rFonts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1921EAF2">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3F33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jc w:val="center"/>
        </w:trPr>
        <w:tc>
          <w:tcPr>
            <w:tcW w:w="898" w:type="dxa"/>
            <w:noWrap w:val="0"/>
            <w:vAlign w:val="center"/>
          </w:tcPr>
          <w:p w14:paraId="5A3E9225">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25</w:t>
            </w:r>
          </w:p>
        </w:tc>
        <w:tc>
          <w:tcPr>
            <w:tcW w:w="1096" w:type="dxa"/>
            <w:noWrap w:val="0"/>
            <w:vAlign w:val="center"/>
          </w:tcPr>
          <w:p w14:paraId="6FB190A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8DEBA58">
            <w:pPr>
              <w:widowControl/>
              <w:suppressAutoHyphens/>
              <w:snapToGrid w:val="0"/>
              <w:spacing w:line="240" w:lineRule="auto"/>
              <w:ind w:left="0" w:leftChars="0" w:right="0" w:rightChars="0" w:firstLine="0" w:firstLineChars="0"/>
              <w:jc w:val="left"/>
              <w:rPr>
                <w:rFonts w:hint="eastAsia" w:ascii="Times New Roman" w:hAnsi="宋体" w:eastAsia="宋体" w:cs="宋体"/>
                <w:color w:val="FF0000"/>
                <w:kern w:val="0"/>
                <w:sz w:val="16"/>
                <w:szCs w:val="16"/>
              </w:rPr>
            </w:pPr>
            <w:r>
              <w:rPr>
                <w:rFonts w:hint="eastAsia" w:ascii="宋体" w:hAnsi="宋体" w:eastAsia="宋体" w:cs="宋体"/>
                <w:i w:val="0"/>
                <w:iCs w:val="0"/>
                <w:color w:val="auto"/>
                <w:kern w:val="0"/>
                <w:sz w:val="16"/>
                <w:szCs w:val="16"/>
                <w:u w:val="none"/>
                <w:lang w:val="en-US" w:eastAsia="zh-CN" w:bidi="ar"/>
              </w:rPr>
              <w:t>对承担安全评价、检测检验职责的机构，出具失实报告、租借资质、挂靠、出具虚假报告的处罚</w:t>
            </w:r>
          </w:p>
        </w:tc>
        <w:tc>
          <w:tcPr>
            <w:tcW w:w="1500" w:type="dxa"/>
            <w:noWrap w:val="0"/>
            <w:vAlign w:val="center"/>
          </w:tcPr>
          <w:p w14:paraId="6DBFCCE6">
            <w:pPr>
              <w:snapToGrid w:val="0"/>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541648E7">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《中华人民共和国安全生产法》第九十二条　承担安全评价、认证、检测、检验职责的机构出具失实报告的，责令停业整顿，并处三万元以上十万元以下的罚款；给他人造成损害的，依法承担赔偿责任。</w:t>
            </w:r>
          </w:p>
          <w:p w14:paraId="12640CFB">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2733C7E1">
            <w:pPr>
              <w:widowControl/>
              <w:suppressAutoHyphens/>
              <w:spacing w:line="180" w:lineRule="exact"/>
              <w:jc w:val="center"/>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对有前款违法行为的机构及其直接责任人员，吊销其相应资质和资格，五年内不得从事安全评价、认证、检测、检验等工作；情节严重的，实行终身行业和职业禁入。</w:t>
            </w:r>
          </w:p>
        </w:tc>
        <w:tc>
          <w:tcPr>
            <w:tcW w:w="2942" w:type="dxa"/>
            <w:noWrap w:val="0"/>
            <w:vAlign w:val="center"/>
          </w:tcPr>
          <w:p w14:paraId="5FF0B897">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387C960">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27B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CEEB96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26</w:t>
            </w:r>
          </w:p>
        </w:tc>
        <w:tc>
          <w:tcPr>
            <w:tcW w:w="1096" w:type="dxa"/>
            <w:noWrap w:val="0"/>
            <w:vAlign w:val="center"/>
          </w:tcPr>
          <w:p w14:paraId="1E196D7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B8E95BA">
            <w:pPr>
              <w:widowControl/>
              <w:suppressAutoHyphens/>
              <w:spacing w:line="360" w:lineRule="exact"/>
              <w:jc w:val="center"/>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对生产经营单位不具备规定的安全生产条件的，责令停产停业整顿，经整顿仍不具备安全生产条件的处罚</w:t>
            </w:r>
          </w:p>
        </w:tc>
        <w:tc>
          <w:tcPr>
            <w:tcW w:w="1500" w:type="dxa"/>
            <w:noWrap w:val="0"/>
            <w:vAlign w:val="center"/>
          </w:tcPr>
          <w:p w14:paraId="35D0E85C">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650AB0D">
            <w:pPr>
              <w:spacing w:line="160" w:lineRule="exact"/>
              <w:rPr>
                <w:rFonts w:hint="eastAsia" w:ascii="Times New Roman" w:hAnsi="宋体" w:eastAsia="宋体" w:cs="宋体"/>
                <w:color w:val="333333"/>
                <w:kern w:val="0"/>
                <w:sz w:val="16"/>
                <w:szCs w:val="16"/>
              </w:rPr>
            </w:pPr>
            <w:r>
              <w:rPr>
                <w:rFonts w:hint="eastAsia" w:ascii="宋体" w:hAnsi="宋体" w:eastAsia="宋体" w:cs="宋体"/>
                <w:kern w:val="0"/>
                <w:sz w:val="16"/>
                <w:szCs w:val="16"/>
              </w:rPr>
              <w:t>《安徽省安全生产条例》第五十三条：生产经营单位不具备本条例规定的安全生产条件的，责令停产停业整顿；经整顿仍不具备安全生产条件的，由负有安全生产监督管理职责的部门报请县级以上人民政府决定予以关闭，有关部门应当依法吊销其有关证照。</w:t>
            </w:r>
          </w:p>
        </w:tc>
        <w:tc>
          <w:tcPr>
            <w:tcW w:w="2942" w:type="dxa"/>
            <w:noWrap w:val="0"/>
            <w:vAlign w:val="center"/>
          </w:tcPr>
          <w:p w14:paraId="5BB940C1">
            <w:pPr>
              <w:spacing w:line="16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E5AA0F8">
            <w:pPr>
              <w:spacing w:line="16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50A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898" w:type="dxa"/>
            <w:vMerge w:val="restart"/>
            <w:noWrap w:val="0"/>
            <w:vAlign w:val="center"/>
          </w:tcPr>
          <w:p w14:paraId="3DD61A34">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27</w:t>
            </w:r>
          </w:p>
        </w:tc>
        <w:tc>
          <w:tcPr>
            <w:tcW w:w="1096" w:type="dxa"/>
            <w:vMerge w:val="restart"/>
            <w:noWrap w:val="0"/>
            <w:vAlign w:val="center"/>
          </w:tcPr>
          <w:p w14:paraId="243278D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358D408B">
            <w:pPr>
              <w:widowControl/>
              <w:suppressAutoHyphens/>
              <w:spacing w:line="360" w:lineRule="exact"/>
              <w:jc w:val="center"/>
              <w:rPr>
                <w:rFonts w:hint="eastAsia" w:ascii="Times New Roman" w:hAnsi="宋体" w:eastAsia="宋体" w:cs="宋体"/>
                <w:color w:val="000000"/>
                <w:kern w:val="0"/>
                <w:sz w:val="16"/>
                <w:szCs w:val="28"/>
              </w:rPr>
            </w:pPr>
            <w:r>
              <w:rPr>
                <w:rFonts w:hint="eastAsia" w:ascii="宋体" w:hAnsi="宋体" w:eastAsia="宋体" w:cs="宋体"/>
                <w:i w:val="0"/>
                <w:iCs w:val="0"/>
                <w:color w:val="auto"/>
                <w:kern w:val="0"/>
                <w:sz w:val="16"/>
                <w:szCs w:val="16"/>
                <w:u w:val="none"/>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500" w:type="dxa"/>
            <w:noWrap w:val="0"/>
            <w:vAlign w:val="center"/>
          </w:tcPr>
          <w:p w14:paraId="6F5AF91E">
            <w:pPr>
              <w:widowControl/>
              <w:suppressAutoHyphens/>
              <w:spacing w:line="180" w:lineRule="exact"/>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对工（库）房、安全设施、电气线路、机械设备等进行检测、检修、维修、改造作业前，未制定安全作业方案，或者未切断被检修、维修的电气线路和机械设备电源的</w:t>
            </w:r>
          </w:p>
        </w:tc>
        <w:tc>
          <w:tcPr>
            <w:tcW w:w="3726" w:type="dxa"/>
            <w:vMerge w:val="restart"/>
            <w:noWrap w:val="0"/>
            <w:vAlign w:val="center"/>
          </w:tcPr>
          <w:p w14:paraId="2F260DCB">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烟花爆竹生产经营安全规定》第三十七条：生产经营单位有下列行为之一的，责令改正；拒不改正的，处一万元以上三万元以下的罚款，对其直接负责的主管人员和其他直接责任人员处五千元以上一万元以下的罚款： （一）对工（库）房、安全设施、电气线路、机械设备等进行检测、检修、维修、改造作业前，未制定安全作业方案，或者未切断被检修、维修的电气线路和机械设备电源的； （二）拒绝、阻挠受安全生产监督管理部门委托的专业技术服务机构开展检验、检测的。</w:t>
            </w:r>
          </w:p>
        </w:tc>
        <w:tc>
          <w:tcPr>
            <w:tcW w:w="2942" w:type="dxa"/>
            <w:vMerge w:val="restart"/>
            <w:noWrap w:val="0"/>
            <w:vAlign w:val="center"/>
          </w:tcPr>
          <w:p w14:paraId="0F92B776">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2C940435">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000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vMerge w:val="continue"/>
            <w:noWrap w:val="0"/>
            <w:vAlign w:val="center"/>
          </w:tcPr>
          <w:p w14:paraId="51C36CC0">
            <w:pPr>
              <w:widowControl/>
              <w:suppressAutoHyphens/>
              <w:spacing w:line="180" w:lineRule="exact"/>
              <w:jc w:val="center"/>
            </w:pPr>
          </w:p>
        </w:tc>
        <w:tc>
          <w:tcPr>
            <w:tcW w:w="1096" w:type="dxa"/>
            <w:vMerge w:val="continue"/>
            <w:noWrap w:val="0"/>
            <w:vAlign w:val="center"/>
          </w:tcPr>
          <w:p w14:paraId="1784D475">
            <w:pPr>
              <w:widowControl/>
              <w:suppressAutoHyphens/>
              <w:spacing w:line="180" w:lineRule="exact"/>
              <w:jc w:val="center"/>
            </w:pPr>
          </w:p>
        </w:tc>
        <w:tc>
          <w:tcPr>
            <w:tcW w:w="1850" w:type="dxa"/>
            <w:vMerge w:val="continue"/>
            <w:noWrap w:val="0"/>
            <w:vAlign w:val="center"/>
          </w:tcPr>
          <w:p w14:paraId="19DCE3ED">
            <w:pPr>
              <w:widowControl/>
              <w:suppressAutoHyphens/>
              <w:spacing w:line="180" w:lineRule="exact"/>
              <w:jc w:val="center"/>
            </w:pPr>
          </w:p>
        </w:tc>
        <w:tc>
          <w:tcPr>
            <w:tcW w:w="1500" w:type="dxa"/>
            <w:noWrap w:val="0"/>
            <w:vAlign w:val="center"/>
          </w:tcPr>
          <w:p w14:paraId="74E3EBAD">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拒绝、阻挠受安全生产监督管理部门委托的专业技术服务机构开展检验、检测的。</w:t>
            </w:r>
          </w:p>
        </w:tc>
        <w:tc>
          <w:tcPr>
            <w:tcW w:w="3726" w:type="dxa"/>
            <w:vMerge w:val="continue"/>
            <w:noWrap w:val="0"/>
            <w:vAlign w:val="center"/>
          </w:tcPr>
          <w:p w14:paraId="4447074D">
            <w:pPr>
              <w:widowControl/>
              <w:suppressAutoHyphens/>
              <w:spacing w:line="180" w:lineRule="exact"/>
              <w:jc w:val="center"/>
              <w:rPr>
                <w:rFonts w:hint="eastAsia" w:ascii="宋体" w:hAnsi="宋体" w:eastAsia="宋体" w:cs="宋体"/>
                <w:color w:val="000000"/>
                <w:kern w:val="0"/>
                <w:sz w:val="16"/>
                <w:szCs w:val="16"/>
              </w:rPr>
            </w:pPr>
          </w:p>
        </w:tc>
        <w:tc>
          <w:tcPr>
            <w:tcW w:w="2942" w:type="dxa"/>
            <w:vMerge w:val="continue"/>
            <w:noWrap w:val="0"/>
            <w:vAlign w:val="center"/>
          </w:tcPr>
          <w:p w14:paraId="1FC83736">
            <w:pPr>
              <w:widowControl/>
              <w:suppressAutoHyphens/>
              <w:spacing w:line="180" w:lineRule="exact"/>
              <w:jc w:val="center"/>
              <w:rPr>
                <w:rFonts w:hint="eastAsia" w:ascii="宋体" w:hAnsi="宋体" w:eastAsia="宋体" w:cs="宋体"/>
                <w:color w:val="000000"/>
                <w:kern w:val="0"/>
                <w:sz w:val="16"/>
                <w:szCs w:val="16"/>
              </w:rPr>
            </w:pPr>
          </w:p>
        </w:tc>
        <w:tc>
          <w:tcPr>
            <w:tcW w:w="2888" w:type="dxa"/>
            <w:vMerge w:val="continue"/>
            <w:noWrap w:val="0"/>
            <w:vAlign w:val="center"/>
          </w:tcPr>
          <w:p w14:paraId="78169677">
            <w:pPr>
              <w:widowControl/>
              <w:suppressAutoHyphens/>
              <w:spacing w:line="180" w:lineRule="exact"/>
              <w:jc w:val="center"/>
              <w:rPr>
                <w:rFonts w:hint="eastAsia" w:ascii="宋体" w:hAnsi="宋体" w:eastAsia="宋体" w:cs="宋体"/>
                <w:color w:val="000000"/>
                <w:kern w:val="0"/>
                <w:sz w:val="16"/>
                <w:szCs w:val="16"/>
              </w:rPr>
            </w:pPr>
          </w:p>
        </w:tc>
      </w:tr>
      <w:tr w14:paraId="20A1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F01418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28</w:t>
            </w:r>
          </w:p>
        </w:tc>
        <w:tc>
          <w:tcPr>
            <w:tcW w:w="1096" w:type="dxa"/>
            <w:noWrap w:val="0"/>
            <w:vAlign w:val="center"/>
          </w:tcPr>
          <w:p w14:paraId="01A5D15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F70AB9B">
            <w:pPr>
              <w:widowControl/>
              <w:suppressAutoHyphens/>
              <w:spacing w:line="360" w:lineRule="exact"/>
              <w:jc w:val="center"/>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对烟花爆竹生产企业、批发企业防范静电危害的措施不符合相关国家标准或者行业标准规定等三类行为的处罚</w:t>
            </w:r>
          </w:p>
        </w:tc>
        <w:tc>
          <w:tcPr>
            <w:tcW w:w="1500" w:type="dxa"/>
            <w:noWrap w:val="0"/>
            <w:vAlign w:val="center"/>
          </w:tcPr>
          <w:p w14:paraId="16C40973">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B420694">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 （一）防范静电危害的措施不符合相关国家标准或者行业标准规定的； （二）使用新安全设备，未进行安全性论证的； （三）在生产区、工（库）房等有药区域对安全设备进行检测、改造作业时，未将工（库）房内的药物、有药半成品、成品搬走并清理作业现场的。</w:t>
            </w:r>
          </w:p>
        </w:tc>
        <w:tc>
          <w:tcPr>
            <w:tcW w:w="2942" w:type="dxa"/>
            <w:noWrap w:val="0"/>
            <w:vAlign w:val="center"/>
          </w:tcPr>
          <w:p w14:paraId="6C9890B9">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49741C36">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9E7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336521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29</w:t>
            </w:r>
          </w:p>
        </w:tc>
        <w:tc>
          <w:tcPr>
            <w:tcW w:w="1096" w:type="dxa"/>
            <w:noWrap w:val="0"/>
            <w:vAlign w:val="center"/>
          </w:tcPr>
          <w:p w14:paraId="3F73F9C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0AA9982">
            <w:pPr>
              <w:widowControl/>
              <w:suppressAutoHyphens/>
              <w:spacing w:line="360" w:lineRule="exact"/>
              <w:jc w:val="center"/>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对烟花爆竹生产企业、批发企业未建立从业人员、外来人员、车辆出入厂（库）区登记制度等四类行为的处罚</w:t>
            </w:r>
          </w:p>
        </w:tc>
        <w:tc>
          <w:tcPr>
            <w:tcW w:w="1500" w:type="dxa"/>
            <w:noWrap w:val="0"/>
            <w:vAlign w:val="center"/>
          </w:tcPr>
          <w:p w14:paraId="435ADF8E">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4D8DE4B">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（一）未建立从业人员、外来人员、车辆出入厂（库）区登记制度的； （二）未制定专人管理、登记、分发黑火药、引火线、烟火药及库存和中转效果件的安全管理制度的； （三）未建立烟花爆竹买卖合同管理制度的； （四）未按规定建立烟花爆竹流向管理制度的。</w:t>
            </w:r>
          </w:p>
        </w:tc>
        <w:tc>
          <w:tcPr>
            <w:tcW w:w="2942" w:type="dxa"/>
            <w:noWrap w:val="0"/>
            <w:vAlign w:val="center"/>
          </w:tcPr>
          <w:p w14:paraId="02B2B661">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A4DC74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E5A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1A7DEC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30</w:t>
            </w:r>
          </w:p>
        </w:tc>
        <w:tc>
          <w:tcPr>
            <w:tcW w:w="1096" w:type="dxa"/>
            <w:noWrap w:val="0"/>
            <w:vAlign w:val="center"/>
          </w:tcPr>
          <w:p w14:paraId="0E73BFD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73A19FF">
            <w:pPr>
              <w:widowControl/>
              <w:suppressAutoHyphens/>
              <w:spacing w:line="360" w:lineRule="exact"/>
              <w:jc w:val="center"/>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对烟花爆竹生产企业、批发企业超越许可证载明限量储存烟花爆竹等两类行为的处罚</w:t>
            </w:r>
          </w:p>
        </w:tc>
        <w:tc>
          <w:tcPr>
            <w:tcW w:w="1500" w:type="dxa"/>
            <w:noWrap w:val="0"/>
            <w:vAlign w:val="center"/>
          </w:tcPr>
          <w:p w14:paraId="59EC68A9">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5C73B15">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《烟花爆竹生产经营安全规定》第三十六条：零售经营者有下列行为之一的，责令其限期改正，可以处一千元以上五千元以下的罚款；逾期未改正的，处五千元以上一万元以下的罚款： （一）超越许可证载明限量储存烟花爆竹的； （二）到批发企业仓库自行提取烟花爆竹的。</w:t>
            </w:r>
          </w:p>
        </w:tc>
        <w:tc>
          <w:tcPr>
            <w:tcW w:w="2942" w:type="dxa"/>
            <w:noWrap w:val="0"/>
            <w:vAlign w:val="center"/>
          </w:tcPr>
          <w:p w14:paraId="6BA012DE">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9F2E236">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4C4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8" w:hRule="atLeast"/>
          <w:jc w:val="center"/>
        </w:trPr>
        <w:tc>
          <w:tcPr>
            <w:tcW w:w="898" w:type="dxa"/>
            <w:noWrap w:val="0"/>
            <w:vAlign w:val="center"/>
          </w:tcPr>
          <w:p w14:paraId="6DCB7A5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31</w:t>
            </w:r>
          </w:p>
        </w:tc>
        <w:tc>
          <w:tcPr>
            <w:tcW w:w="1096" w:type="dxa"/>
            <w:noWrap w:val="0"/>
            <w:vAlign w:val="center"/>
          </w:tcPr>
          <w:p w14:paraId="1C05347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A37E7A5">
            <w:pPr>
              <w:widowControl/>
              <w:suppressAutoHyphens/>
              <w:spacing w:line="360" w:lineRule="exact"/>
              <w:jc w:val="center"/>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对危险化学品单位未按照标准对重大危险源进行辨识等四类行为的处罚</w:t>
            </w:r>
          </w:p>
        </w:tc>
        <w:tc>
          <w:tcPr>
            <w:tcW w:w="1500" w:type="dxa"/>
            <w:noWrap w:val="0"/>
            <w:vAlign w:val="center"/>
          </w:tcPr>
          <w:p w14:paraId="2A6CACFD">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E459959">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危险化学品重大危险源监督管理暂行规定》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2942" w:type="dxa"/>
            <w:noWrap w:val="0"/>
            <w:vAlign w:val="center"/>
          </w:tcPr>
          <w:p w14:paraId="2535D5F8">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35876B6">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11B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jc w:val="center"/>
        </w:trPr>
        <w:tc>
          <w:tcPr>
            <w:tcW w:w="898" w:type="dxa"/>
            <w:noWrap w:val="0"/>
            <w:vAlign w:val="center"/>
          </w:tcPr>
          <w:p w14:paraId="652D7D73">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32</w:t>
            </w:r>
          </w:p>
        </w:tc>
        <w:tc>
          <w:tcPr>
            <w:tcW w:w="1096" w:type="dxa"/>
            <w:noWrap w:val="0"/>
            <w:vAlign w:val="center"/>
          </w:tcPr>
          <w:p w14:paraId="72500A8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3003516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对危险化学品单位未按照规定对重大危险源的安全生产状况进行定期检查，采取措施消除事故隐患的处罚</w:t>
            </w:r>
          </w:p>
        </w:tc>
        <w:tc>
          <w:tcPr>
            <w:tcW w:w="1500" w:type="dxa"/>
            <w:noWrap w:val="0"/>
            <w:vAlign w:val="center"/>
          </w:tcPr>
          <w:p w14:paraId="0E6D5D40">
            <w:pPr>
              <w:snapToGrid w:val="0"/>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277D7855">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危险化学品重大危险源监督管理暂行规定》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2942" w:type="dxa"/>
            <w:noWrap w:val="0"/>
            <w:vAlign w:val="center"/>
          </w:tcPr>
          <w:p w14:paraId="510C0CB2">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A89FDFC">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D64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898" w:type="dxa"/>
            <w:noWrap w:val="0"/>
            <w:vAlign w:val="center"/>
          </w:tcPr>
          <w:p w14:paraId="676282B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33</w:t>
            </w:r>
          </w:p>
        </w:tc>
        <w:tc>
          <w:tcPr>
            <w:tcW w:w="1096" w:type="dxa"/>
            <w:noWrap w:val="0"/>
            <w:vAlign w:val="center"/>
          </w:tcPr>
          <w:p w14:paraId="6E2F82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5858B4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对转产、停产、停止使用的危险化学品管道，管道单位未采取有效措施及时、妥善处置，并将处置方案报县级以上安全生产监督管理部门的处罚</w:t>
            </w:r>
          </w:p>
        </w:tc>
        <w:tc>
          <w:tcPr>
            <w:tcW w:w="1500" w:type="dxa"/>
            <w:noWrap w:val="0"/>
            <w:vAlign w:val="center"/>
          </w:tcPr>
          <w:p w14:paraId="18DECB04">
            <w:pPr>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7FBE8625">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危险化学品输送管道安全管理规定》第三十六条：对转产、停产、停止使用的危险化学品管道，管道单位未采取有效措施及时、妥善处置的，由安全生产监督管理部门责令改正，处5万元以上10万元以下的罚款；构成犯罪的，依法追究刑事责任。</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2942" w:type="dxa"/>
            <w:noWrap w:val="0"/>
            <w:vAlign w:val="center"/>
          </w:tcPr>
          <w:p w14:paraId="56807A76">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72842D6">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707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6487B9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34</w:t>
            </w:r>
          </w:p>
        </w:tc>
        <w:tc>
          <w:tcPr>
            <w:tcW w:w="1096" w:type="dxa"/>
            <w:noWrap w:val="0"/>
            <w:vAlign w:val="center"/>
          </w:tcPr>
          <w:p w14:paraId="0C933A4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95BCD9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rPr>
            </w:pPr>
            <w:r>
              <w:rPr>
                <w:rFonts w:hint="eastAsia" w:ascii="宋体" w:hAnsi="宋体" w:eastAsia="宋体" w:cs="宋体"/>
                <w:i w:val="0"/>
                <w:iCs w:val="0"/>
                <w:color w:val="auto"/>
                <w:kern w:val="0"/>
                <w:sz w:val="16"/>
                <w:szCs w:val="16"/>
                <w:u w:val="none"/>
                <w:lang w:val="en-US" w:eastAsia="zh-CN" w:bidi="ar"/>
              </w:rPr>
              <w:t>对注册安全工程师准许他人以本人名义执业等七类情形的处罚</w:t>
            </w:r>
          </w:p>
        </w:tc>
        <w:tc>
          <w:tcPr>
            <w:tcW w:w="1500" w:type="dxa"/>
            <w:noWrap w:val="0"/>
            <w:vAlign w:val="center"/>
          </w:tcPr>
          <w:p w14:paraId="46E9B99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21C4057A">
            <w:pPr>
              <w:spacing w:line="180" w:lineRule="exact"/>
              <w:rPr>
                <w:rFonts w:hint="eastAsia" w:ascii="Times New Roman" w:hAnsi="宋体" w:eastAsia="宋体" w:cs="宋体"/>
                <w:color w:val="333333"/>
                <w:kern w:val="0"/>
                <w:sz w:val="16"/>
                <w:szCs w:val="16"/>
              </w:rPr>
            </w:pPr>
            <w:r>
              <w:rPr>
                <w:rFonts w:hint="eastAsia" w:ascii="宋体" w:hAnsi="宋体" w:eastAsia="宋体" w:cs="宋体"/>
                <w:color w:val="000000"/>
                <w:kern w:val="0"/>
                <w:sz w:val="16"/>
                <w:szCs w:val="16"/>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2942" w:type="dxa"/>
            <w:noWrap w:val="0"/>
            <w:vAlign w:val="center"/>
          </w:tcPr>
          <w:p w14:paraId="27E7D5E3">
            <w:pPr>
              <w:spacing w:line="180" w:lineRule="exact"/>
              <w:rPr>
                <w:rFonts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83DC3AB">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B1C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E7F935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35</w:t>
            </w:r>
          </w:p>
        </w:tc>
        <w:tc>
          <w:tcPr>
            <w:tcW w:w="1096" w:type="dxa"/>
            <w:noWrap w:val="0"/>
            <w:vAlign w:val="center"/>
          </w:tcPr>
          <w:p w14:paraId="18E3D3D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9189168">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对违反《冶金企业和有色金属企业安全生产规定》第二十四条至第三十七条的规定，构成生产安全事故隐患的处罚</w:t>
            </w:r>
          </w:p>
        </w:tc>
        <w:tc>
          <w:tcPr>
            <w:tcW w:w="1500" w:type="dxa"/>
            <w:noWrap w:val="0"/>
            <w:vAlign w:val="center"/>
          </w:tcPr>
          <w:p w14:paraId="29AEBDA3">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578436D">
            <w:pPr>
              <w:spacing w:line="180" w:lineRule="exact"/>
              <w:rPr>
                <w:rFonts w:hint="eastAsia" w:ascii="Times New Roman" w:hAnsi="宋体" w:eastAsia="宋体" w:cs="宋体"/>
                <w:kern w:val="0"/>
                <w:sz w:val="16"/>
                <w:szCs w:val="18"/>
              </w:rPr>
            </w:pPr>
            <w:r>
              <w:rPr>
                <w:rFonts w:hint="eastAsia" w:ascii="宋体" w:hAnsi="宋体" w:eastAsia="宋体" w:cs="宋体"/>
                <w:kern w:val="0"/>
                <w:sz w:val="16"/>
                <w:szCs w:val="16"/>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2942" w:type="dxa"/>
            <w:noWrap w:val="0"/>
            <w:vAlign w:val="center"/>
          </w:tcPr>
          <w:p w14:paraId="1F68FB7F">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664A0838">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AE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B2A862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36</w:t>
            </w:r>
          </w:p>
        </w:tc>
        <w:tc>
          <w:tcPr>
            <w:tcW w:w="1096" w:type="dxa"/>
            <w:noWrap w:val="0"/>
            <w:vAlign w:val="center"/>
          </w:tcPr>
          <w:p w14:paraId="5A3DE22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DEB1A6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对生产经营单位未建立安全生产事故隐患排查治理等各项制度等六类行为的处罚</w:t>
            </w:r>
          </w:p>
        </w:tc>
        <w:tc>
          <w:tcPr>
            <w:tcW w:w="1500" w:type="dxa"/>
            <w:noWrap w:val="0"/>
            <w:vAlign w:val="center"/>
          </w:tcPr>
          <w:p w14:paraId="37C86EA7">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15DCDAD">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 xml:space="preserve">《安全生产事故隐患排查治理暂行规定》第二十六条：生产经营单位违反本规定,有下列行为之一的,由安全监管监察部门给予警告，并处三万元以下的罚款：（一）未建立安全生产事故隐患排查治理等各项制度的；（二）未按规定上报事故隐患排查治理统计分析表的；（三）未制定事故隐患治理方案的； 四）重大事故隐患不报或者未及时报告的；（五）未对事故隐患进行排查治理擅自生产经营的；（六）整改不合格或者未经安全监管监察部门审查同意擅自恢复生产经营的。  </w:t>
            </w:r>
          </w:p>
        </w:tc>
        <w:tc>
          <w:tcPr>
            <w:tcW w:w="2942" w:type="dxa"/>
            <w:noWrap w:val="0"/>
            <w:vAlign w:val="center"/>
          </w:tcPr>
          <w:p w14:paraId="5131D699">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C909ABF">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A16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B341B5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37</w:t>
            </w:r>
          </w:p>
        </w:tc>
        <w:tc>
          <w:tcPr>
            <w:tcW w:w="1096" w:type="dxa"/>
            <w:noWrap w:val="0"/>
            <w:vAlign w:val="center"/>
          </w:tcPr>
          <w:p w14:paraId="4DA7289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4A4A76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对特种作业人员伪造、涂改特种作业操作证或者使用伪造的特种作业操作证的处罚</w:t>
            </w:r>
          </w:p>
        </w:tc>
        <w:tc>
          <w:tcPr>
            <w:tcW w:w="1500" w:type="dxa"/>
            <w:noWrap w:val="0"/>
            <w:vAlign w:val="center"/>
          </w:tcPr>
          <w:p w14:paraId="6F4CF3FB">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BA8A8ED">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《特种作业人员安全技术培训考核管理规定》第四十一条：特种作业人员伪造、涂改特种作业操作证或者使用伪造的特种作业操作证的，给予警告，并处1000元以上5000元以下的罚款。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2942" w:type="dxa"/>
            <w:noWrap w:val="0"/>
            <w:vAlign w:val="center"/>
          </w:tcPr>
          <w:p w14:paraId="66CA2927">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78EEC94">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638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4" w:hRule="atLeast"/>
          <w:jc w:val="center"/>
        </w:trPr>
        <w:tc>
          <w:tcPr>
            <w:tcW w:w="898" w:type="dxa"/>
            <w:vMerge w:val="restart"/>
            <w:noWrap w:val="0"/>
            <w:vAlign w:val="center"/>
          </w:tcPr>
          <w:p w14:paraId="1531C2E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38</w:t>
            </w:r>
          </w:p>
        </w:tc>
        <w:tc>
          <w:tcPr>
            <w:tcW w:w="1096" w:type="dxa"/>
            <w:vMerge w:val="restart"/>
            <w:noWrap w:val="0"/>
            <w:vAlign w:val="center"/>
          </w:tcPr>
          <w:p w14:paraId="4DD62EE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5FCFCE04">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对未经注册擅自以注册安全工程师名义执业的处罚</w:t>
            </w:r>
          </w:p>
        </w:tc>
        <w:tc>
          <w:tcPr>
            <w:tcW w:w="1500" w:type="dxa"/>
            <w:noWrap w:val="0"/>
            <w:vAlign w:val="center"/>
          </w:tcPr>
          <w:p w14:paraId="3AA9CB60">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vMerge w:val="restart"/>
            <w:noWrap w:val="0"/>
            <w:vAlign w:val="center"/>
          </w:tcPr>
          <w:p w14:paraId="776E2D4C">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2942" w:type="dxa"/>
            <w:vMerge w:val="restart"/>
            <w:noWrap w:val="0"/>
            <w:vAlign w:val="center"/>
          </w:tcPr>
          <w:p w14:paraId="6260CEA4">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43D81EEB">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E6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jc w:val="center"/>
        </w:trPr>
        <w:tc>
          <w:tcPr>
            <w:tcW w:w="898" w:type="dxa"/>
            <w:noWrap w:val="0"/>
            <w:vAlign w:val="center"/>
          </w:tcPr>
          <w:p w14:paraId="2CCAEDE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39</w:t>
            </w:r>
          </w:p>
        </w:tc>
        <w:tc>
          <w:tcPr>
            <w:tcW w:w="1096" w:type="dxa"/>
            <w:noWrap w:val="0"/>
            <w:vAlign w:val="center"/>
          </w:tcPr>
          <w:p w14:paraId="36FB4F8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0CFA345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对注册安全工程师以欺骗、贿赂等不正当手段取得执业证的处罚</w:t>
            </w:r>
          </w:p>
        </w:tc>
        <w:tc>
          <w:tcPr>
            <w:tcW w:w="1500" w:type="dxa"/>
            <w:noWrap w:val="0"/>
            <w:vAlign w:val="center"/>
          </w:tcPr>
          <w:p w14:paraId="5188AE9C">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220D738">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2942" w:type="dxa"/>
            <w:noWrap w:val="0"/>
            <w:vAlign w:val="center"/>
          </w:tcPr>
          <w:p w14:paraId="586F3572">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EE34AC3">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B0C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BCDEEF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40</w:t>
            </w:r>
          </w:p>
        </w:tc>
        <w:tc>
          <w:tcPr>
            <w:tcW w:w="1096" w:type="dxa"/>
            <w:noWrap w:val="0"/>
            <w:vAlign w:val="center"/>
          </w:tcPr>
          <w:p w14:paraId="7F667CF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B0C18D6">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对生产经营单位使用未取得特种作业操作证的特种作业人员上岗作业的处罚</w:t>
            </w:r>
          </w:p>
        </w:tc>
        <w:tc>
          <w:tcPr>
            <w:tcW w:w="1500" w:type="dxa"/>
            <w:noWrap w:val="0"/>
            <w:vAlign w:val="center"/>
          </w:tcPr>
          <w:p w14:paraId="695D66AB">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5B71A7DB">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特种作业人员安全技术培训考核管理规定》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 煤矿企业使用未取得特种作业操作证的特种作业人员上岗作业的，依照《国务院关于预防煤矿生产安全事故的特别规定》的规定处罚。</w:t>
            </w:r>
          </w:p>
        </w:tc>
        <w:tc>
          <w:tcPr>
            <w:tcW w:w="2942" w:type="dxa"/>
            <w:noWrap w:val="0"/>
            <w:vAlign w:val="center"/>
          </w:tcPr>
          <w:p w14:paraId="7B05FFE2">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253D320">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FE2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3FA4DA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41</w:t>
            </w:r>
          </w:p>
        </w:tc>
        <w:tc>
          <w:tcPr>
            <w:tcW w:w="1096" w:type="dxa"/>
            <w:noWrap w:val="0"/>
            <w:vAlign w:val="center"/>
          </w:tcPr>
          <w:p w14:paraId="204A9EE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0C6BBF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对生产经营单位非法印制、伪造、倒卖特种作业操作证，或者使用非法印制、伪造、倒卖的特种作业操作证的处罚</w:t>
            </w:r>
          </w:p>
        </w:tc>
        <w:tc>
          <w:tcPr>
            <w:tcW w:w="1500" w:type="dxa"/>
            <w:noWrap w:val="0"/>
            <w:vAlign w:val="center"/>
          </w:tcPr>
          <w:p w14:paraId="1C2016D7">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A6A3DC1">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tc>
        <w:tc>
          <w:tcPr>
            <w:tcW w:w="2942" w:type="dxa"/>
            <w:noWrap w:val="0"/>
            <w:vAlign w:val="center"/>
          </w:tcPr>
          <w:p w14:paraId="4F7F4580">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CD44FB3">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1A6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F60229D">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42</w:t>
            </w:r>
          </w:p>
        </w:tc>
        <w:tc>
          <w:tcPr>
            <w:tcW w:w="1096" w:type="dxa"/>
            <w:noWrap w:val="0"/>
            <w:vAlign w:val="center"/>
          </w:tcPr>
          <w:p w14:paraId="62589C1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2DA196D">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对承包单位未定期对项目部人员进行安全生产教育培训与考核或者未对项目部进行安全生产检查的处罚</w:t>
            </w:r>
          </w:p>
        </w:tc>
        <w:tc>
          <w:tcPr>
            <w:tcW w:w="1500" w:type="dxa"/>
            <w:noWrap w:val="0"/>
            <w:vAlign w:val="center"/>
          </w:tcPr>
          <w:p w14:paraId="31835BF4">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4AEF205F">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非煤矿山外包工程安全管理暂行办法》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c>
          <w:tcPr>
            <w:tcW w:w="2942" w:type="dxa"/>
            <w:noWrap w:val="0"/>
            <w:vAlign w:val="center"/>
          </w:tcPr>
          <w:p w14:paraId="1709EF9F">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286E85F">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CA7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8D49AF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43</w:t>
            </w:r>
          </w:p>
        </w:tc>
        <w:tc>
          <w:tcPr>
            <w:tcW w:w="1096" w:type="dxa"/>
            <w:noWrap w:val="0"/>
            <w:vAlign w:val="center"/>
          </w:tcPr>
          <w:p w14:paraId="64E14F8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0C9D2BE2">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对承包单位在登记注册的省、自治区、直辖市以外从事施工作业，未向作业所在地县级人民政府安全生产监督管理部门书面报告本单位取得有关许可和施工资质，以及所承包工程情况的处罚</w:t>
            </w:r>
          </w:p>
        </w:tc>
        <w:tc>
          <w:tcPr>
            <w:tcW w:w="1500" w:type="dxa"/>
            <w:noWrap w:val="0"/>
            <w:vAlign w:val="center"/>
          </w:tcPr>
          <w:p w14:paraId="419D6DFA">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C0AEDE1">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非煤矿山外包工程安全管理暂行办法》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c>
          <w:tcPr>
            <w:tcW w:w="2942" w:type="dxa"/>
            <w:noWrap w:val="0"/>
            <w:vAlign w:val="center"/>
          </w:tcPr>
          <w:p w14:paraId="4378A879">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2B9D34D">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299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D7B5B0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44</w:t>
            </w:r>
          </w:p>
        </w:tc>
        <w:tc>
          <w:tcPr>
            <w:tcW w:w="1096" w:type="dxa"/>
            <w:noWrap w:val="0"/>
            <w:vAlign w:val="center"/>
          </w:tcPr>
          <w:p w14:paraId="4D9AB58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3D3F04D">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对生产经营单位未建立健全特种作业人员档案的处罚</w:t>
            </w:r>
          </w:p>
        </w:tc>
        <w:tc>
          <w:tcPr>
            <w:tcW w:w="1500" w:type="dxa"/>
            <w:noWrap w:val="0"/>
            <w:vAlign w:val="center"/>
          </w:tcPr>
          <w:p w14:paraId="02E845DB">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B5BAF94">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《特种作业人员安全技术培训考核管理规定》第三十八条：生产经营单位未建立健全特种作业人员档案的，给予警告，并处1万元以下的罚款。</w:t>
            </w:r>
          </w:p>
        </w:tc>
        <w:tc>
          <w:tcPr>
            <w:tcW w:w="2942" w:type="dxa"/>
            <w:noWrap w:val="0"/>
            <w:vAlign w:val="center"/>
          </w:tcPr>
          <w:p w14:paraId="69E0FF15">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8D65EB1">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DD7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57CD07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45</w:t>
            </w:r>
          </w:p>
        </w:tc>
        <w:tc>
          <w:tcPr>
            <w:tcW w:w="1096" w:type="dxa"/>
            <w:noWrap w:val="0"/>
            <w:vAlign w:val="center"/>
          </w:tcPr>
          <w:p w14:paraId="1440784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8E8A030">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对地下矿山实行分项发包的发包单位在地下矿山正常生产期间，将主通风、主提升、供排水、供配电、主供风系统及其设备设施的运行管理进行分项发包的处罚</w:t>
            </w:r>
          </w:p>
        </w:tc>
        <w:tc>
          <w:tcPr>
            <w:tcW w:w="1500" w:type="dxa"/>
            <w:noWrap w:val="0"/>
            <w:vAlign w:val="center"/>
          </w:tcPr>
          <w:p w14:paraId="0EB15E10">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280729B">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非煤矿山外包工程安全管理暂行办法》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2942" w:type="dxa"/>
            <w:noWrap w:val="0"/>
            <w:vAlign w:val="center"/>
          </w:tcPr>
          <w:p w14:paraId="2A70A5F6">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FB393DC">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AE1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C2A0F2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46</w:t>
            </w:r>
          </w:p>
        </w:tc>
        <w:tc>
          <w:tcPr>
            <w:tcW w:w="1096" w:type="dxa"/>
            <w:noWrap w:val="0"/>
            <w:vAlign w:val="center"/>
          </w:tcPr>
          <w:p w14:paraId="25A5829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53E053D">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对承包地下矿山工程的项目部负责人同时兼任其他工程的项目部负责人的处罚</w:t>
            </w:r>
          </w:p>
        </w:tc>
        <w:tc>
          <w:tcPr>
            <w:tcW w:w="1500" w:type="dxa"/>
            <w:noWrap w:val="0"/>
            <w:vAlign w:val="center"/>
          </w:tcPr>
          <w:p w14:paraId="0E227C79">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4E4FEE6E">
            <w:pPr>
              <w:spacing w:line="180" w:lineRule="exact"/>
              <w:rPr>
                <w:rFonts w:hint="eastAsia" w:ascii="Times New Roman" w:hAnsi="宋体" w:eastAsia="宋体" w:cs="宋体"/>
                <w:kern w:val="0"/>
                <w:sz w:val="16"/>
                <w:szCs w:val="18"/>
              </w:rPr>
            </w:pPr>
            <w:r>
              <w:rPr>
                <w:rFonts w:hint="eastAsia" w:ascii="宋体" w:hAnsi="宋体" w:eastAsia="宋体" w:cs="宋体"/>
                <w:color w:val="000000"/>
                <w:kern w:val="0"/>
                <w:sz w:val="16"/>
                <w:szCs w:val="16"/>
              </w:rPr>
              <w:t>《非煤矿山外包工程安全管理暂行办法》第二十一条：承包单位及其项目部应当根据承揽工程的规模和特点，依法健全安全生产责任体系，完善安全生产管理基本制度，设置安全生产管理机构，配备专职安全生产管理人员和有关工程技术人员。承包地下矿山工程的项目部应当配备与工程施工作业相适应的专职工程技术人员，其中至少有1名注册安全工程师或者具有5年以上井下工作经验的安全生产管理人员。项目部具备初中以上文化程度的从业人员比例应当不低于50%。项目部负责人应当取得安全生产管理人员安全资格证。承包地下矿山工程的项目部负责人不得同时兼任其他工程的项目部负责人。</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第三十六条：承包地下矿山工程的项目部负责人违反本办法第二十一条的规定，同时兼任其他工程的项目部负责人的，责令限期改正，处5000元以上1万元以下罚款。</w:t>
            </w:r>
          </w:p>
        </w:tc>
        <w:tc>
          <w:tcPr>
            <w:tcW w:w="2942" w:type="dxa"/>
            <w:noWrap w:val="0"/>
            <w:vAlign w:val="center"/>
          </w:tcPr>
          <w:p w14:paraId="5C949290">
            <w:pPr>
              <w:spacing w:line="180" w:lineRule="exact"/>
              <w:rPr>
                <w:rFonts w:hint="eastAsia" w:ascii="Times New Roman" w:eastAsia="宋体"/>
                <w:color w:val="000000"/>
                <w:kern w:val="0"/>
                <w:sz w:val="16"/>
                <w:szCs w:val="18"/>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4266AA2F">
            <w:pPr>
              <w:spacing w:line="180" w:lineRule="exact"/>
              <w:rPr>
                <w:rFonts w:hint="eastAsia" w:ascii="Times New Roman" w:eastAsia="宋体"/>
                <w:color w:val="000000"/>
                <w:kern w:val="0"/>
                <w:sz w:val="16"/>
                <w:szCs w:val="18"/>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76B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BAB0DAD">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47</w:t>
            </w:r>
          </w:p>
        </w:tc>
        <w:tc>
          <w:tcPr>
            <w:tcW w:w="1096" w:type="dxa"/>
            <w:noWrap w:val="0"/>
            <w:vAlign w:val="center"/>
          </w:tcPr>
          <w:p w14:paraId="7AEA93E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462B5C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对承包单位将发包单位投入的安全资金挪作他用等两类行为的处罚</w:t>
            </w:r>
          </w:p>
        </w:tc>
        <w:tc>
          <w:tcPr>
            <w:tcW w:w="1500" w:type="dxa"/>
            <w:noWrap w:val="0"/>
            <w:vAlign w:val="center"/>
          </w:tcPr>
          <w:p w14:paraId="0A9C2705">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42E000FD">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《非煤矿山外包工程安全管理暂行办法》第二十二条：承包单位应当依照法律、法规、规章的规定以及承包合同和安全生产管理协议的约定，及时将发包单位投入的安全资金落实到位，不得挪作他用。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第二十三条：承包单位应当依照有关规定制定施工方案，加强现场作业安全管理，及时发现并消除事故隐患，落实各项规章制度和安全操作规程。</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七条：承包单位违反本办法第二十二条的规定，将发包单位投入的安全资金挪作他用的，责令限期改正，给予警告，并处1万元以上3万元以下罚款。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tc>
        <w:tc>
          <w:tcPr>
            <w:tcW w:w="2942" w:type="dxa"/>
            <w:noWrap w:val="0"/>
            <w:vAlign w:val="center"/>
          </w:tcPr>
          <w:p w14:paraId="3D2B79E3">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846549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7C3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68AC99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48</w:t>
            </w:r>
          </w:p>
        </w:tc>
        <w:tc>
          <w:tcPr>
            <w:tcW w:w="1096" w:type="dxa"/>
            <w:noWrap w:val="0"/>
            <w:vAlign w:val="center"/>
          </w:tcPr>
          <w:p w14:paraId="1AA2DEE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587BA69">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对相邻的采石场开采范围之间最小距离小于300米等十类行为的处罚</w:t>
            </w:r>
          </w:p>
        </w:tc>
        <w:tc>
          <w:tcPr>
            <w:tcW w:w="1500" w:type="dxa"/>
            <w:noWrap w:val="0"/>
            <w:vAlign w:val="center"/>
          </w:tcPr>
          <w:p w14:paraId="6BFEB742">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4B502A3">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三条第一、二款：小型露天采石场应当采用中深孔爆破，严禁采用扩壶爆破、掏底崩落、掏挖开采和不分层的“一面墙”等开采方式。不具备实施中深孔爆破条件的，由所在地安全生产监督管理部门聘请有关专家进行论证，经论证符合要求的，方可采用浅孔爆破开采。</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第十四条：不采用爆破方式直接使用挖掘机进行采矿作业的，台阶高度不得超过挖掘机最大挖掘高度。</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五条：小型露天采石场应当采用台阶式开采。不能采用台阶式开采的，应当自上而下分层顺序开采。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分层开采的凿岩平台宽度由设计确定，最小凿岩平台宽度不得小于4米。分层开采的底部装运平台宽度由设计确定，且应当满足调车作业所需的最小平台宽度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六条：小型露天采石场应当遵守国家有关民用爆炸物品和爆破作业的安全规定，由具有相应资格的爆破作业人员进行爆破，设置爆破警戒范围，实行定时爆破制度。不得在爆破警戒范围内避炮。禁止在雷雨、大雾、大风等恶劣天气条件下进行爆破作业。雷电高发地区应当选用非电起爆系统。</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第十七条：对爆破后产生的大块矿岩应当采用机械方式进行破碎，不得使用爆破方式进行二次破碎。</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第十九条：采石场上部需要剥离的，剥离工作面应当超前于开采工作面4米以上。</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第二十一条：在坡面上进行排险作业时，作业人员应当系安全带，不得站在危石、浮石上及悬空作业。严禁在同一坡面上下双层或者多层同时作业。距工作台阶坡底线50米范围内不得从事碎石加工作业。</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二条：小型露天采石场应当采用机械铲装作业，严禁使用人工装运矿岩。同一工作面有两台铲装机械作业时，最小间距应当大于铲装机械最大回转半径的2倍。严禁自卸汽车运载易燃、易爆物品；严禁超载运输；装载与运输作业时，严禁在驾驶室外侧、车斗内站人。</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九条：违反本规定第十二条、第十三条第一、二款、第十四条、第十五条、第十六条、第十七条、第十九条、第二十条第一款、第二十一条、第二十二条规定的，给予警告，并处1万元以上3万元以下的罚款。</w:t>
            </w:r>
          </w:p>
        </w:tc>
        <w:tc>
          <w:tcPr>
            <w:tcW w:w="2942" w:type="dxa"/>
            <w:noWrap w:val="0"/>
            <w:vAlign w:val="center"/>
          </w:tcPr>
          <w:p w14:paraId="0E68653F">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3873C1B">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40A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3EA2AD5">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49</w:t>
            </w:r>
          </w:p>
        </w:tc>
        <w:tc>
          <w:tcPr>
            <w:tcW w:w="1096" w:type="dxa"/>
            <w:noWrap w:val="0"/>
            <w:vAlign w:val="center"/>
          </w:tcPr>
          <w:p w14:paraId="7610C0B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AF05DE3">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对废石、废碴未排放到废石场，废石场的设置不符合设计要求和有关安全规定，顺山或顺沟排放废石、废碴的，未有防止泥石流的具体措施等四类行为的处罚</w:t>
            </w:r>
          </w:p>
        </w:tc>
        <w:tc>
          <w:tcPr>
            <w:tcW w:w="1500" w:type="dxa"/>
            <w:noWrap w:val="0"/>
            <w:vAlign w:val="center"/>
          </w:tcPr>
          <w:p w14:paraId="246E637A">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EEC4CFC">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《小型露天采石场安全管理与监督检查规定》第二十三条：废石、废碴应当排放到废石场。废石场的设置应当符合设计要求和有关安全规定。顺山或顺沟排放废石、废碴的，应当有防止泥石流的具体措施。</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第二十四条：电气设备应当有接地、过流、漏电保护装置。变电所应当有独立的避雷系统和防火、防潮与防止小动物窜入带电部位的措施。</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第二十五条：小型露天采石场应当制定完善的防洪措施。对开采境界上方汇水影响安全的，应当设置截水沟。</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第二十八条：小型露天采石场应当在每年年末测绘采石场开采现状平面图和剖面图，并归档管理。　</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第四十条：违反本规定第二十三条、第二十四条、第二十五条、第二十八条规定的，给予警告，并处2万元以下的罚款。</w:t>
            </w:r>
          </w:p>
        </w:tc>
        <w:tc>
          <w:tcPr>
            <w:tcW w:w="2942" w:type="dxa"/>
            <w:noWrap w:val="0"/>
            <w:vAlign w:val="center"/>
          </w:tcPr>
          <w:p w14:paraId="02992DAC">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A06DFEC">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3A7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2612CE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50</w:t>
            </w:r>
          </w:p>
        </w:tc>
        <w:tc>
          <w:tcPr>
            <w:tcW w:w="1096" w:type="dxa"/>
            <w:noWrap w:val="0"/>
            <w:vAlign w:val="center"/>
          </w:tcPr>
          <w:p w14:paraId="72A7D87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1ADBD1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对未对承包单位实施安全生产监督检查或者考核等三类行为的处罚</w:t>
            </w:r>
          </w:p>
        </w:tc>
        <w:tc>
          <w:tcPr>
            <w:tcW w:w="1500" w:type="dxa"/>
            <w:noWrap w:val="0"/>
            <w:vAlign w:val="center"/>
          </w:tcPr>
          <w:p w14:paraId="22B986F0">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53ED3DC">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非煤矿山外包工程安全管理暂行办法》第三十四条：有关发包单位有下列行为之一的，责令限期改正，给予警告，并处一万元以上三万元以下的罚款。（一）违反本办法第十条、第十四条的规定，未对承包单位实施安全生产监督检查或者考核的；（二）违反本办法第十一条的规定，未将承包单位及其项目部纳入本单位的安全管理体系，实行统一管理的；（三）违反本办法第十三条的规定，未向承包单位进行外包工程技术交底，或者未按照合同约定向承包单位提供有关资料的。</w:t>
            </w:r>
          </w:p>
        </w:tc>
        <w:tc>
          <w:tcPr>
            <w:tcW w:w="2942" w:type="dxa"/>
            <w:noWrap w:val="0"/>
            <w:vAlign w:val="center"/>
          </w:tcPr>
          <w:p w14:paraId="4E5C655B">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288B6C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C5A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B449DF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51</w:t>
            </w:r>
          </w:p>
        </w:tc>
        <w:tc>
          <w:tcPr>
            <w:tcW w:w="1096" w:type="dxa"/>
            <w:noWrap w:val="0"/>
            <w:vAlign w:val="center"/>
          </w:tcPr>
          <w:p w14:paraId="2C10A37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146A853">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对小型露天采石场未至少配备一名专业技术人员，或者未聘用专业技术人员、注册安全工程师、委托相关技术服务机构为其提供安全生产管理服务的处罚</w:t>
            </w:r>
          </w:p>
        </w:tc>
        <w:tc>
          <w:tcPr>
            <w:tcW w:w="1500" w:type="dxa"/>
            <w:noWrap w:val="0"/>
            <w:vAlign w:val="center"/>
          </w:tcPr>
          <w:p w14:paraId="3A8CCDE6">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51A5370">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《小型露天采石场安全管理与监督检查规定》第六条：小型露天采石场应当至少配备一名专业技术人员，或者聘用专业技术人员、注册安全工程师、委托相关技术服务机构为其提供安全生产管理服务。</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第三十六条：违反本规定第六条规定的，责令限期改正，并处1万元以下的罚款。</w:t>
            </w:r>
          </w:p>
        </w:tc>
        <w:tc>
          <w:tcPr>
            <w:tcW w:w="2942" w:type="dxa"/>
            <w:noWrap w:val="0"/>
            <w:vAlign w:val="center"/>
          </w:tcPr>
          <w:p w14:paraId="50F1A286">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0B0A028">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1FF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953338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52</w:t>
            </w:r>
          </w:p>
        </w:tc>
        <w:tc>
          <w:tcPr>
            <w:tcW w:w="1096" w:type="dxa"/>
            <w:noWrap w:val="0"/>
            <w:vAlign w:val="center"/>
          </w:tcPr>
          <w:p w14:paraId="34A668E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0664EDD">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对小型露天采石场新建、改建、扩建工程项目安全设施未按照规定履行设计审查程序的处罚</w:t>
            </w:r>
          </w:p>
        </w:tc>
        <w:tc>
          <w:tcPr>
            <w:tcW w:w="1500" w:type="dxa"/>
            <w:noWrap w:val="0"/>
            <w:vAlign w:val="center"/>
          </w:tcPr>
          <w:p w14:paraId="4C14910F">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7B67A470">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《小型露天采石场安全管理与监督检查规定》第十条：小型露天采石场新建、改建、扩建工程项目安全设施应当按照规定履行设计审查程序。</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七条：违反本规定第十条第一款规定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tc>
        <w:tc>
          <w:tcPr>
            <w:tcW w:w="2942" w:type="dxa"/>
            <w:noWrap w:val="0"/>
            <w:vAlign w:val="center"/>
          </w:tcPr>
          <w:p w14:paraId="3D7C05DA">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15B21B1">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2E3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1" w:hRule="atLeast"/>
          <w:jc w:val="center"/>
        </w:trPr>
        <w:tc>
          <w:tcPr>
            <w:tcW w:w="898" w:type="dxa"/>
            <w:vMerge w:val="restart"/>
            <w:noWrap w:val="0"/>
            <w:vAlign w:val="center"/>
          </w:tcPr>
          <w:p w14:paraId="7D64561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53</w:t>
            </w:r>
          </w:p>
        </w:tc>
        <w:tc>
          <w:tcPr>
            <w:tcW w:w="1096" w:type="dxa"/>
            <w:vMerge w:val="restart"/>
            <w:noWrap w:val="0"/>
            <w:vAlign w:val="center"/>
          </w:tcPr>
          <w:p w14:paraId="690AD2D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6649DA16">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对小型露天采石场未依法取得非煤矿矿山企业安全生产许可证的处罚</w:t>
            </w:r>
          </w:p>
        </w:tc>
        <w:tc>
          <w:tcPr>
            <w:tcW w:w="1500" w:type="dxa"/>
            <w:noWrap w:val="0"/>
            <w:vAlign w:val="center"/>
          </w:tcPr>
          <w:p w14:paraId="7507FB5C">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vMerge w:val="restart"/>
            <w:noWrap w:val="0"/>
            <w:vAlign w:val="center"/>
          </w:tcPr>
          <w:p w14:paraId="5CD6BBDA">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《小型露天采石场安全管理与监督检查规定》第十一条第一款：小型露天采石场应当依法取得非煤矿矿山企业安全生产许可证。未取得安全生产许可证的，不得从事生产活动。</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第三十八条：违反本规定第十一条第一款规定的，责令停止生产，没收违法所得，并处10万元以上50万元以下的罚款。</w:t>
            </w:r>
          </w:p>
        </w:tc>
        <w:tc>
          <w:tcPr>
            <w:tcW w:w="2942" w:type="dxa"/>
            <w:vMerge w:val="restart"/>
            <w:noWrap w:val="0"/>
            <w:vAlign w:val="center"/>
          </w:tcPr>
          <w:p w14:paraId="365C2732">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7D118E54">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537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898" w:type="dxa"/>
            <w:noWrap w:val="0"/>
            <w:vAlign w:val="center"/>
          </w:tcPr>
          <w:p w14:paraId="4DA281E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54</w:t>
            </w:r>
          </w:p>
        </w:tc>
        <w:tc>
          <w:tcPr>
            <w:tcW w:w="1096" w:type="dxa"/>
            <w:noWrap w:val="0"/>
            <w:vAlign w:val="center"/>
          </w:tcPr>
          <w:p w14:paraId="408D5EC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FAD078B">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对一等、二等、三等尾矿库未安装在线监测系统等八类行为的处罚</w:t>
            </w:r>
          </w:p>
        </w:tc>
        <w:tc>
          <w:tcPr>
            <w:tcW w:w="1500" w:type="dxa"/>
            <w:noWrap w:val="0"/>
            <w:vAlign w:val="center"/>
          </w:tcPr>
          <w:p w14:paraId="3586FE77">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2A4891F">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《尾矿库安全监督管理规定》第八条第二款：一等、二等、三等尾矿库应当安装在线监测系统。</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第十九条：尾矿库应当每三年至少进行一次安全现状评价。安全现状评价应当符合国家标准或者行业标准的要求。</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尾矿库安全现状评价工作应当有能够进行尾矿坝稳定性验算、尾矿库水文计算、构筑物计算的专业技术人员参加。</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上游式尾矿坝堆积至二分之一至三分之二最终设计坝高时，应当对坝体进行一次全面勘察，并进行稳定性专项评价。</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条：尾矿库经安全现状评价或者专家论证被确定为危库、险库和病库的，生产经营单位应当分别采取下列措施：(一)确定为危库的，应当立即停产，进行抢险，并向尾矿库所在地县级人民政府、安全生产监督管理部门和上级主管单位报告；(二)确定为险库的，应当立即停产，在限定的时间内消除险情，并向尾矿库所在地县级人民政府、安全生产监督管理部门和上级主管单位报告；(三)确定为病库的，应当在限定的时间内按照正常库标准进行整治，消除事故隐患。</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一条：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应急预案应当按照规定报相应的安全生产监督管理部门备案，并每年至少进行一次演练。</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第二十二条：生产经营单位应当编制尾矿库年度、季度作业计划，严格按照作业计划生产运行，做好记录并长期保存。</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四条：尾矿库出现下列重大险情之一的，生产经营单位应当按照安全监管权限和职责立即报告当地县级安全生产监督管理部门和人民政府，并启动应急预案，进行抢险：(一)坝体出现严重的管涌、流土等现象的；(二)坝体出现严重裂缝、坍塌和滑动迹象的；(三)库内水位超过限制的最高洪水位的；(四)在用排水井倒塌或者排水管(洞)坍塌堵塞的；(五)其他危及尾矿库安全的重大险情。</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第二十六条：未经生产经营单位进行技术论证并同意，以及尾矿库建设项目安全设施设计原审批部门批准，任何单位和个人不得在库区从事爆破、采砂、地下采矿等危害尾矿库安全的作业。</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第二十九条第一款：尾矿库运行到设计最终标高的前12个月内，生产经营单位应当进行闭库前的安全现状评价和闭库设计，闭库设计应当包括安全设施设计。</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2942" w:type="dxa"/>
            <w:noWrap w:val="0"/>
            <w:vAlign w:val="center"/>
          </w:tcPr>
          <w:p w14:paraId="35187EBE">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AAAED7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530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337A89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55</w:t>
            </w:r>
          </w:p>
        </w:tc>
        <w:tc>
          <w:tcPr>
            <w:tcW w:w="1096" w:type="dxa"/>
            <w:noWrap w:val="0"/>
            <w:vAlign w:val="center"/>
          </w:tcPr>
          <w:p w14:paraId="6D97F19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56F26A5">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对生产经营单位或者尾矿库管理单位未经技术论证和安全生产监督管理部门批准变更相关事项的处罚</w:t>
            </w:r>
          </w:p>
        </w:tc>
        <w:tc>
          <w:tcPr>
            <w:tcW w:w="1500" w:type="dxa"/>
            <w:noWrap w:val="0"/>
            <w:vAlign w:val="center"/>
          </w:tcPr>
          <w:p w14:paraId="73D81FBD">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274CCEB">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尾矿库安全监督管理规定》第十八条：对生产运行的尾矿库，未经技术论证和安全生产监督管理部门的批准，任何单位和个人不得对下列事项进行变更：(一)筑坝方式；(二)排放方式；(三)尾矿物化特性；(四)坝型、坝外坡坡比、最终堆积标高和最终坝轴线的位置；(五)坝体防渗、排渗及反滤层的设置；(六)排洪系统的型式、布置及尺寸；(七)设计以外的尾矿、废料或者废水进库等。</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第四十条：生产经营单位或者尾矿库管理单位违反本规定第十八条规定的，给予警告，并处3万元的罚款；情节严重的，依法责令停产整顿或者提请县级以上地方人民政府按照规定权限予以关闭。</w:t>
            </w:r>
          </w:p>
        </w:tc>
        <w:tc>
          <w:tcPr>
            <w:tcW w:w="2942" w:type="dxa"/>
            <w:noWrap w:val="0"/>
            <w:vAlign w:val="center"/>
          </w:tcPr>
          <w:p w14:paraId="4E591FF8">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F8256D9">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E60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5A0C13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56</w:t>
            </w:r>
          </w:p>
        </w:tc>
        <w:tc>
          <w:tcPr>
            <w:tcW w:w="1096" w:type="dxa"/>
            <w:noWrap w:val="0"/>
            <w:vAlign w:val="center"/>
          </w:tcPr>
          <w:p w14:paraId="3FA687B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4B72249">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对生产经营单位违反规定不主动闭库的处罚</w:t>
            </w:r>
          </w:p>
        </w:tc>
        <w:tc>
          <w:tcPr>
            <w:tcW w:w="1500" w:type="dxa"/>
            <w:noWrap w:val="0"/>
            <w:vAlign w:val="center"/>
          </w:tcPr>
          <w:p w14:paraId="4E4950E1">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5C761273">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尾矿库安全监督管理规定》第二十八条第一款：尾矿库运行到设计最终标高或者不再进行排尾作业的，应当在一年内完成闭库。特殊情况不能按期完成闭库的，应当报经相应的安全生产监督管理部门同意后方可延期，但延长期限不得超过6个月。</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第四十一条：生产经营单位违反本规定第二十八条第一款规定不主动实施闭库的，给予警告，并处3万元的罚款。</w:t>
            </w:r>
          </w:p>
        </w:tc>
        <w:tc>
          <w:tcPr>
            <w:tcW w:w="2942" w:type="dxa"/>
            <w:noWrap w:val="0"/>
            <w:vAlign w:val="center"/>
          </w:tcPr>
          <w:p w14:paraId="4A725E95">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FB20B3B">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B57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98" w:type="dxa"/>
            <w:vMerge w:val="restart"/>
            <w:noWrap w:val="0"/>
            <w:vAlign w:val="center"/>
          </w:tcPr>
          <w:p w14:paraId="58697E9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57</w:t>
            </w:r>
          </w:p>
        </w:tc>
        <w:tc>
          <w:tcPr>
            <w:tcW w:w="1096" w:type="dxa"/>
            <w:vMerge w:val="restart"/>
            <w:noWrap w:val="0"/>
            <w:vAlign w:val="center"/>
          </w:tcPr>
          <w:p w14:paraId="411463E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64C26419">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对地质勘探单位未按照规定建立有关安全生产制度和规程等三类行为的处罚</w:t>
            </w:r>
          </w:p>
        </w:tc>
        <w:tc>
          <w:tcPr>
            <w:tcW w:w="1500" w:type="dxa"/>
            <w:shd w:val="clear" w:color="auto" w:fill="auto"/>
            <w:noWrap w:val="0"/>
            <w:vAlign w:val="center"/>
          </w:tcPr>
          <w:p w14:paraId="1F9ECBE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未按照本规定建立有关安全生产制度和规程的；</w:t>
            </w:r>
          </w:p>
        </w:tc>
        <w:tc>
          <w:tcPr>
            <w:tcW w:w="3726" w:type="dxa"/>
            <w:vMerge w:val="restart"/>
            <w:noWrap w:val="0"/>
            <w:vAlign w:val="center"/>
          </w:tcPr>
          <w:p w14:paraId="6DE20886">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与非金属矿产资源地质勘探安全生产监督管理暂行规定》第二十六条：地质勘探单位有下列情形之一的，给予警告，并处3万元以下的罚款：（一）未按照本规定建立有关安全生产制度和规程的；（二）未按照规定提取和使用安全生产费用的；（三）坑探工程安全专篇未经安全生产监督管理部门审查同意擅自施工的。</w:t>
            </w:r>
          </w:p>
        </w:tc>
        <w:tc>
          <w:tcPr>
            <w:tcW w:w="2942" w:type="dxa"/>
            <w:vMerge w:val="restart"/>
            <w:noWrap w:val="0"/>
            <w:vAlign w:val="center"/>
          </w:tcPr>
          <w:p w14:paraId="42332015">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53A3E2BD">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064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98" w:type="dxa"/>
            <w:vMerge w:val="continue"/>
            <w:noWrap w:val="0"/>
            <w:vAlign w:val="center"/>
          </w:tcPr>
          <w:p w14:paraId="1182467C">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2DB0762F">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68578E54">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174DA3C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vMerge w:val="continue"/>
            <w:noWrap w:val="0"/>
            <w:vAlign w:val="center"/>
          </w:tcPr>
          <w:p w14:paraId="134B05A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D6D2C2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7D497D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1CC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898" w:type="dxa"/>
            <w:vMerge w:val="continue"/>
            <w:noWrap w:val="0"/>
            <w:vAlign w:val="center"/>
          </w:tcPr>
          <w:p w14:paraId="10A5E44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F4AD4B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65197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3C95A6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未按照规定提取和使用安全生产费用的；</w:t>
            </w:r>
          </w:p>
        </w:tc>
        <w:tc>
          <w:tcPr>
            <w:tcW w:w="3726" w:type="dxa"/>
            <w:vMerge w:val="continue"/>
            <w:noWrap w:val="0"/>
            <w:vAlign w:val="center"/>
          </w:tcPr>
          <w:p w14:paraId="433D3C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0F3154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3D61C1B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75A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2" w:hRule="atLeast"/>
          <w:jc w:val="center"/>
        </w:trPr>
        <w:tc>
          <w:tcPr>
            <w:tcW w:w="898" w:type="dxa"/>
            <w:vMerge w:val="continue"/>
            <w:noWrap w:val="0"/>
            <w:vAlign w:val="center"/>
          </w:tcPr>
          <w:p w14:paraId="4FD5ED4B">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5FBE4E4A">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01F42B29">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07C7932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坑探工程安全专篇未经安全生产监督管理部门审查同意擅自施工的</w:t>
            </w:r>
          </w:p>
        </w:tc>
        <w:tc>
          <w:tcPr>
            <w:tcW w:w="3726" w:type="dxa"/>
            <w:vMerge w:val="continue"/>
            <w:noWrap w:val="0"/>
            <w:vAlign w:val="center"/>
          </w:tcPr>
          <w:p w14:paraId="17CC0E8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4AE7DC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5E2C98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80E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7" w:hRule="atLeast"/>
          <w:jc w:val="center"/>
        </w:trPr>
        <w:tc>
          <w:tcPr>
            <w:tcW w:w="898" w:type="dxa"/>
            <w:vMerge w:val="restart"/>
            <w:noWrap w:val="0"/>
            <w:vAlign w:val="center"/>
          </w:tcPr>
          <w:p w14:paraId="475542C4">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58</w:t>
            </w:r>
          </w:p>
        </w:tc>
        <w:tc>
          <w:tcPr>
            <w:tcW w:w="1096" w:type="dxa"/>
            <w:vMerge w:val="restart"/>
            <w:noWrap w:val="0"/>
            <w:vAlign w:val="center"/>
          </w:tcPr>
          <w:p w14:paraId="6DBDFDA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6632982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对地质勘探单位未按照规定向工作区域所在地县级安全生产监督管理部门书面报告的处罚</w:t>
            </w:r>
          </w:p>
        </w:tc>
        <w:tc>
          <w:tcPr>
            <w:tcW w:w="1500" w:type="dxa"/>
            <w:noWrap w:val="0"/>
            <w:vAlign w:val="center"/>
          </w:tcPr>
          <w:p w14:paraId="2B730918">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vMerge w:val="restart"/>
            <w:noWrap w:val="0"/>
            <w:vAlign w:val="center"/>
          </w:tcPr>
          <w:p w14:paraId="431C4DE0">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《金属与非金属矿产资源地质勘探安全生产监督管理暂行规定》第二十七条：地质勘探单位未按照规定向工作区域所在地县级安全生产监督管理部门书面报告的，给予警告，并处2万元以下的罚款。</w:t>
            </w:r>
          </w:p>
        </w:tc>
        <w:tc>
          <w:tcPr>
            <w:tcW w:w="2942" w:type="dxa"/>
            <w:vMerge w:val="restart"/>
            <w:noWrap w:val="0"/>
            <w:vAlign w:val="center"/>
          </w:tcPr>
          <w:p w14:paraId="1CE377B1">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5B1AE437">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D62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jc w:val="center"/>
        </w:trPr>
        <w:tc>
          <w:tcPr>
            <w:tcW w:w="898" w:type="dxa"/>
            <w:noWrap w:val="0"/>
            <w:vAlign w:val="center"/>
          </w:tcPr>
          <w:p w14:paraId="464C918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59</w:t>
            </w:r>
          </w:p>
        </w:tc>
        <w:tc>
          <w:tcPr>
            <w:tcW w:w="1096" w:type="dxa"/>
            <w:noWrap w:val="0"/>
            <w:vAlign w:val="center"/>
          </w:tcPr>
          <w:p w14:paraId="6BEBAD2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30F747E">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对矿山企业领导未按照规定带班下井的处罚</w:t>
            </w:r>
          </w:p>
        </w:tc>
        <w:tc>
          <w:tcPr>
            <w:tcW w:w="1500" w:type="dxa"/>
            <w:noWrap w:val="0"/>
            <w:vAlign w:val="center"/>
          </w:tcPr>
          <w:p w14:paraId="443A667F">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D617A24">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5"/>
                <w:szCs w:val="15"/>
              </w:rPr>
              <w:t>《金属非金属地下矿山企业领导带班下井及监督检查暂行规定》第二十一条：矿山企业领导未按照规定带班下井的，对矿山企业给予警告，处3万元的罚款;情节严重的，依法责令停产整顿;对违反规定的矿山企业领导按照擅离职守处理，并处1万元的罚款。</w:t>
            </w:r>
          </w:p>
        </w:tc>
        <w:tc>
          <w:tcPr>
            <w:tcW w:w="2942" w:type="dxa"/>
            <w:noWrap w:val="0"/>
            <w:vAlign w:val="center"/>
          </w:tcPr>
          <w:p w14:paraId="223E91AE">
            <w:pPr>
              <w:spacing w:line="180" w:lineRule="exact"/>
              <w:rPr>
                <w:rFonts w:hint="eastAsia" w:ascii="Times New Roman" w:eastAsia="宋体"/>
                <w:color w:val="000000"/>
                <w:kern w:val="0"/>
                <w:sz w:val="16"/>
                <w:szCs w:val="16"/>
              </w:rPr>
            </w:pPr>
            <w:r>
              <w:rPr>
                <w:rFonts w:hint="eastAsia"/>
                <w:color w:val="000000"/>
                <w:kern w:val="0"/>
                <w:sz w:val="15"/>
                <w:szCs w:val="15"/>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5"/>
                <w:szCs w:val="15"/>
              </w:rPr>
              <w:br w:type="textWrapping"/>
            </w:r>
            <w:r>
              <w:rPr>
                <w:rFonts w:hint="eastAsia"/>
                <w:color w:val="000000"/>
                <w:kern w:val="0"/>
                <w:sz w:val="15"/>
                <w:szCs w:val="15"/>
              </w:rPr>
              <w:t>2、调查阶段责任：应急管理部门按规定的处罚种类和幅度，收集相关证据，需要补充的再补充调查。</w:t>
            </w:r>
            <w:r>
              <w:rPr>
                <w:rFonts w:hint="eastAsia"/>
                <w:color w:val="000000"/>
                <w:kern w:val="0"/>
                <w:sz w:val="15"/>
                <w:szCs w:val="15"/>
              </w:rPr>
              <w:br w:type="textWrapping"/>
            </w:r>
            <w:r>
              <w:rPr>
                <w:rFonts w:hint="eastAsia"/>
                <w:color w:val="000000"/>
                <w:kern w:val="0"/>
                <w:sz w:val="15"/>
                <w:szCs w:val="15"/>
              </w:rPr>
              <w:t>3、告知阶段责任：制作《行政处罚告知书》，符合听证条件的制作《听证告知书》，通知当事人，当事人享有的陈述、申辩、要求听证的权利。</w:t>
            </w:r>
            <w:r>
              <w:rPr>
                <w:rFonts w:hint="eastAsia"/>
                <w:color w:val="000000"/>
                <w:kern w:val="0"/>
                <w:sz w:val="15"/>
                <w:szCs w:val="15"/>
              </w:rPr>
              <w:br w:type="textWrapping"/>
            </w:r>
            <w:r>
              <w:rPr>
                <w:rFonts w:hint="eastAsia"/>
                <w:color w:val="000000"/>
                <w:kern w:val="0"/>
                <w:sz w:val="15"/>
                <w:szCs w:val="15"/>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5"/>
                <w:szCs w:val="15"/>
              </w:rPr>
              <w:br w:type="textWrapping"/>
            </w:r>
            <w:r>
              <w:rPr>
                <w:rFonts w:hint="eastAsia"/>
                <w:color w:val="000000"/>
                <w:kern w:val="0"/>
                <w:sz w:val="15"/>
                <w:szCs w:val="15"/>
              </w:rPr>
              <w:t>5、送达阶段责任：应急管理部门将《行政处罚决定书》按照法定的方式和期限送达当事人。</w:t>
            </w:r>
            <w:r>
              <w:rPr>
                <w:rFonts w:hint="eastAsia"/>
                <w:color w:val="000000"/>
                <w:kern w:val="0"/>
                <w:sz w:val="15"/>
                <w:szCs w:val="15"/>
              </w:rPr>
              <w:br w:type="textWrapping"/>
            </w:r>
            <w:r>
              <w:rPr>
                <w:rFonts w:hint="eastAsia"/>
                <w:color w:val="000000"/>
                <w:kern w:val="0"/>
                <w:sz w:val="15"/>
                <w:szCs w:val="15"/>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5"/>
                <w:szCs w:val="15"/>
              </w:rPr>
              <w:br w:type="textWrapping"/>
            </w:r>
            <w:r>
              <w:rPr>
                <w:rFonts w:hint="eastAsia"/>
                <w:color w:val="000000"/>
                <w:kern w:val="0"/>
                <w:sz w:val="15"/>
                <w:szCs w:val="15"/>
              </w:rPr>
              <w:t>7、其他法律法规规章文件规定应履行的责任。</w:t>
            </w:r>
          </w:p>
        </w:tc>
        <w:tc>
          <w:tcPr>
            <w:tcW w:w="2888" w:type="dxa"/>
            <w:noWrap w:val="0"/>
            <w:vAlign w:val="center"/>
          </w:tcPr>
          <w:p w14:paraId="55DC87C1">
            <w:pPr>
              <w:spacing w:line="180" w:lineRule="exact"/>
              <w:rPr>
                <w:rFonts w:hint="eastAsia" w:ascii="Times New Roman" w:eastAsia="宋体"/>
                <w:color w:val="000000"/>
                <w:kern w:val="0"/>
                <w:sz w:val="16"/>
                <w:szCs w:val="16"/>
              </w:rPr>
            </w:pPr>
            <w:r>
              <w:rPr>
                <w:rFonts w:hint="eastAsia"/>
                <w:color w:val="000000"/>
                <w:kern w:val="0"/>
                <w:sz w:val="15"/>
                <w:szCs w:val="15"/>
              </w:rPr>
              <w:t>因不履行或不正确履行行政职责，有下列情形的，行政机关及相关工作人员应承担相应责任：</w:t>
            </w:r>
            <w:r>
              <w:rPr>
                <w:rFonts w:hint="eastAsia"/>
                <w:color w:val="000000"/>
                <w:kern w:val="0"/>
                <w:sz w:val="15"/>
                <w:szCs w:val="15"/>
              </w:rPr>
              <w:br w:type="textWrapping"/>
            </w:r>
            <w:r>
              <w:rPr>
                <w:rFonts w:hint="eastAsia"/>
                <w:color w:val="000000"/>
                <w:kern w:val="0"/>
                <w:sz w:val="15"/>
                <w:szCs w:val="15"/>
              </w:rPr>
              <w:t>1、对应当予以制止和处罚的违法行为不予制止、处罚，致使公民、法人或者其他组织的合法权益、公共利益和社会秩序遭受损害的；</w:t>
            </w:r>
            <w:r>
              <w:rPr>
                <w:rFonts w:hint="eastAsia"/>
                <w:color w:val="000000"/>
                <w:kern w:val="0"/>
                <w:sz w:val="15"/>
                <w:szCs w:val="15"/>
              </w:rPr>
              <w:br w:type="textWrapping"/>
            </w:r>
            <w:r>
              <w:rPr>
                <w:rFonts w:hint="eastAsia"/>
                <w:color w:val="000000"/>
                <w:kern w:val="0"/>
                <w:sz w:val="15"/>
                <w:szCs w:val="15"/>
              </w:rPr>
              <w:t>2、超越、滥用法定职权的；</w:t>
            </w:r>
            <w:r>
              <w:rPr>
                <w:rFonts w:hint="eastAsia"/>
                <w:color w:val="000000"/>
                <w:kern w:val="0"/>
                <w:sz w:val="15"/>
                <w:szCs w:val="15"/>
              </w:rPr>
              <w:br w:type="textWrapping"/>
            </w:r>
            <w:r>
              <w:rPr>
                <w:rFonts w:hint="eastAsia"/>
                <w:color w:val="000000"/>
                <w:kern w:val="0"/>
                <w:sz w:val="15"/>
                <w:szCs w:val="15"/>
              </w:rPr>
              <w:t>3、主要事实不清、证据不足的；</w:t>
            </w:r>
            <w:r>
              <w:rPr>
                <w:rFonts w:hint="eastAsia"/>
                <w:color w:val="000000"/>
                <w:kern w:val="0"/>
                <w:sz w:val="15"/>
                <w:szCs w:val="15"/>
              </w:rPr>
              <w:br w:type="textWrapping"/>
            </w:r>
            <w:r>
              <w:rPr>
                <w:rFonts w:hint="eastAsia"/>
                <w:color w:val="000000"/>
                <w:kern w:val="0"/>
                <w:sz w:val="15"/>
                <w:szCs w:val="15"/>
              </w:rPr>
              <w:t>4、适用法律依据错误的；</w:t>
            </w:r>
            <w:r>
              <w:rPr>
                <w:rFonts w:hint="eastAsia"/>
                <w:color w:val="000000"/>
                <w:kern w:val="0"/>
                <w:sz w:val="15"/>
                <w:szCs w:val="15"/>
              </w:rPr>
              <w:br w:type="textWrapping"/>
            </w:r>
            <w:r>
              <w:rPr>
                <w:rFonts w:hint="eastAsia"/>
                <w:color w:val="000000"/>
                <w:kern w:val="0"/>
                <w:sz w:val="15"/>
                <w:szCs w:val="15"/>
              </w:rPr>
              <w:t>5、行政裁量明显不当的；</w:t>
            </w:r>
            <w:r>
              <w:rPr>
                <w:rFonts w:hint="eastAsia"/>
                <w:color w:val="000000"/>
                <w:kern w:val="0"/>
                <w:sz w:val="15"/>
                <w:szCs w:val="15"/>
              </w:rPr>
              <w:br w:type="textWrapping"/>
            </w:r>
            <w:r>
              <w:rPr>
                <w:rFonts w:hint="eastAsia"/>
                <w:color w:val="000000"/>
                <w:kern w:val="0"/>
                <w:sz w:val="15"/>
                <w:szCs w:val="15"/>
              </w:rPr>
              <w:t>6、违反法定程序的；</w:t>
            </w:r>
            <w:r>
              <w:rPr>
                <w:rFonts w:hint="eastAsia"/>
                <w:color w:val="000000"/>
                <w:kern w:val="0"/>
                <w:sz w:val="15"/>
                <w:szCs w:val="15"/>
              </w:rPr>
              <w:br w:type="textWrapping"/>
            </w:r>
            <w:r>
              <w:rPr>
                <w:rFonts w:hint="eastAsia"/>
                <w:color w:val="000000"/>
                <w:kern w:val="0"/>
                <w:sz w:val="15"/>
                <w:szCs w:val="15"/>
              </w:rPr>
              <w:t>7、违法实行检查措施或者执行措施，给公民人身或者财产造成损害、给法人或者其他组织造成损失的；</w:t>
            </w:r>
            <w:r>
              <w:rPr>
                <w:rFonts w:hint="eastAsia"/>
                <w:color w:val="000000"/>
                <w:kern w:val="0"/>
                <w:sz w:val="15"/>
                <w:szCs w:val="15"/>
              </w:rPr>
              <w:br w:type="textWrapping"/>
            </w:r>
            <w:r>
              <w:rPr>
                <w:rFonts w:hint="eastAsia"/>
                <w:color w:val="000000"/>
                <w:kern w:val="0"/>
                <w:sz w:val="15"/>
                <w:szCs w:val="15"/>
              </w:rPr>
              <w:t>8、不执行对事故责任人员的处理决定，或者擅自改变上级机关批复的对事故责任人员的处理意见的；</w:t>
            </w:r>
            <w:r>
              <w:rPr>
                <w:rFonts w:hint="eastAsia"/>
                <w:color w:val="000000"/>
                <w:kern w:val="0"/>
                <w:sz w:val="15"/>
                <w:szCs w:val="15"/>
              </w:rPr>
              <w:br w:type="textWrapping"/>
            </w:r>
            <w:r>
              <w:rPr>
                <w:rFonts w:hint="eastAsia"/>
                <w:color w:val="000000"/>
                <w:kern w:val="0"/>
                <w:sz w:val="15"/>
                <w:szCs w:val="15"/>
              </w:rPr>
              <w:t>9、徇私舞弊、包庇纵容违法行为的；</w:t>
            </w:r>
            <w:r>
              <w:rPr>
                <w:rFonts w:hint="eastAsia"/>
                <w:color w:val="000000"/>
                <w:kern w:val="0"/>
                <w:sz w:val="15"/>
                <w:szCs w:val="15"/>
              </w:rPr>
              <w:br w:type="textWrapping"/>
            </w:r>
            <w:r>
              <w:rPr>
                <w:rFonts w:hint="eastAsia"/>
                <w:color w:val="000000"/>
                <w:kern w:val="0"/>
                <w:sz w:val="15"/>
                <w:szCs w:val="15"/>
              </w:rPr>
              <w:t>10、在行政处罚过程中发生腐败行为的；</w:t>
            </w:r>
            <w:r>
              <w:rPr>
                <w:rFonts w:hint="eastAsia"/>
                <w:color w:val="000000"/>
                <w:kern w:val="0"/>
                <w:sz w:val="15"/>
                <w:szCs w:val="15"/>
              </w:rPr>
              <w:br w:type="textWrapping"/>
            </w:r>
            <w:r>
              <w:rPr>
                <w:rFonts w:hint="eastAsia"/>
                <w:color w:val="000000"/>
                <w:kern w:val="0"/>
                <w:sz w:val="15"/>
                <w:szCs w:val="15"/>
              </w:rPr>
              <w:t>11、其他违反法律法规规章文件规定的行为。</w:t>
            </w:r>
          </w:p>
        </w:tc>
      </w:tr>
      <w:tr w14:paraId="52BC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7F1F21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60</w:t>
            </w:r>
          </w:p>
        </w:tc>
        <w:tc>
          <w:tcPr>
            <w:tcW w:w="1096" w:type="dxa"/>
            <w:noWrap w:val="0"/>
            <w:vAlign w:val="center"/>
          </w:tcPr>
          <w:p w14:paraId="775464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378FE02F">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对发生生产安全事故而没有领导带班下井的矿山企业的处罚</w:t>
            </w:r>
          </w:p>
        </w:tc>
        <w:tc>
          <w:tcPr>
            <w:tcW w:w="1500" w:type="dxa"/>
            <w:noWrap w:val="0"/>
            <w:vAlign w:val="center"/>
          </w:tcPr>
          <w:p w14:paraId="3042351B">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EBD80CF">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非金属地下矿山企业领导带班下井及监督检查暂行规定》第二十二条：对发生生产安全事故而没有领导带班下井的矿山企业，依法责令停产整顿，暂扣或者吊销安全生产许可证，并依照下列规定处以罚款;情节严重的，提请有关人民政府依法予以关闭:(一)发生一般事故，处50万元的罚款；(二)发生较大事故，处100万元的罚款；(三)发生重大事故，处500万元的罚款；(四)发生特别重大事故，处2000万元的罚款。</w:t>
            </w:r>
          </w:p>
        </w:tc>
        <w:tc>
          <w:tcPr>
            <w:tcW w:w="2942" w:type="dxa"/>
            <w:noWrap w:val="0"/>
            <w:vAlign w:val="center"/>
          </w:tcPr>
          <w:p w14:paraId="10149DB4">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5A4460C">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347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8" w:type="dxa"/>
            <w:vMerge w:val="restart"/>
            <w:noWrap w:val="0"/>
            <w:vAlign w:val="center"/>
          </w:tcPr>
          <w:p w14:paraId="67E6D24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61</w:t>
            </w:r>
          </w:p>
        </w:tc>
        <w:tc>
          <w:tcPr>
            <w:tcW w:w="1096" w:type="dxa"/>
            <w:vMerge w:val="restart"/>
            <w:noWrap w:val="0"/>
            <w:vAlign w:val="center"/>
          </w:tcPr>
          <w:p w14:paraId="017DB90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3D68E0DF">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对地质勘探单位未按照规定设立安全生产管理机构或者配备专职安全生产管理人员等三类行为的处罚</w:t>
            </w:r>
          </w:p>
        </w:tc>
        <w:tc>
          <w:tcPr>
            <w:tcW w:w="1500" w:type="dxa"/>
            <w:noWrap w:val="0"/>
            <w:vAlign w:val="center"/>
          </w:tcPr>
          <w:p w14:paraId="18418FD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未按照本规定设立安全生产管理机构或者配备专职安全生产管理人员的</w:t>
            </w:r>
          </w:p>
        </w:tc>
        <w:tc>
          <w:tcPr>
            <w:tcW w:w="3726" w:type="dxa"/>
            <w:vMerge w:val="restart"/>
            <w:noWrap w:val="0"/>
            <w:vAlign w:val="center"/>
          </w:tcPr>
          <w:p w14:paraId="1879E8BE">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与非金属矿产资源地质勘探安全生产监督管理暂行规定》第二十五条：地质勘探单位有下列情形之一的，责令限期改正，可以处5万元以下的罚款；逾期未改正的，责令停产停业整顿，并处5万元以上10万元以下的罚款，对其直接负责的主管人员和其他直接责任人员处1万元以上2万元以下的罚款：（一）未按照本规定设立安全生产管理机构或者配备专职安全生产管理人员的；（二）特种作业人员未持证上岗作业的；（三）从事坑探工程作业的人员未按照规定进行安全生产教育和培训的。</w:t>
            </w:r>
          </w:p>
        </w:tc>
        <w:tc>
          <w:tcPr>
            <w:tcW w:w="2942" w:type="dxa"/>
            <w:vMerge w:val="restart"/>
            <w:noWrap w:val="0"/>
            <w:vAlign w:val="center"/>
          </w:tcPr>
          <w:p w14:paraId="0D2FEC77">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1E9E1239">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368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8" w:type="dxa"/>
            <w:vMerge w:val="continue"/>
            <w:noWrap w:val="0"/>
            <w:vAlign w:val="center"/>
          </w:tcPr>
          <w:p w14:paraId="2DACA30C">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59EB8A5F">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2D0CC1A7">
            <w:pPr>
              <w:widowControl/>
              <w:suppressAutoHyphens/>
              <w:snapToGrid w:val="0"/>
              <w:spacing w:line="240" w:lineRule="auto"/>
              <w:ind w:left="0" w:leftChars="0" w:right="0" w:rightChars="0" w:firstLine="0" w:firstLineChars="0"/>
              <w:jc w:val="left"/>
            </w:pPr>
          </w:p>
        </w:tc>
        <w:tc>
          <w:tcPr>
            <w:tcW w:w="1500" w:type="dxa"/>
            <w:noWrap w:val="0"/>
            <w:vAlign w:val="center"/>
          </w:tcPr>
          <w:p w14:paraId="1452450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特种作业人员未持证上岗作业的</w:t>
            </w:r>
          </w:p>
        </w:tc>
        <w:tc>
          <w:tcPr>
            <w:tcW w:w="3726" w:type="dxa"/>
            <w:vMerge w:val="continue"/>
            <w:noWrap w:val="0"/>
            <w:vAlign w:val="center"/>
          </w:tcPr>
          <w:p w14:paraId="181D17A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F8A5F3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3B6E6B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0B9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8" w:type="dxa"/>
            <w:vMerge w:val="continue"/>
            <w:noWrap w:val="0"/>
            <w:vAlign w:val="center"/>
          </w:tcPr>
          <w:p w14:paraId="728F4DA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D47D97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A7359A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noWrap w:val="0"/>
            <w:vAlign w:val="center"/>
          </w:tcPr>
          <w:p w14:paraId="1CDAE8C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从事坑探工程作业的人员未按照规定进行安全生产教育和培训的。</w:t>
            </w:r>
          </w:p>
        </w:tc>
        <w:tc>
          <w:tcPr>
            <w:tcW w:w="3726" w:type="dxa"/>
            <w:vMerge w:val="continue"/>
            <w:noWrap w:val="0"/>
            <w:vAlign w:val="center"/>
          </w:tcPr>
          <w:p w14:paraId="1A5F62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5D0BABC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1AA95F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C8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898" w:type="dxa"/>
            <w:noWrap w:val="0"/>
            <w:vAlign w:val="center"/>
          </w:tcPr>
          <w:p w14:paraId="63D1AD8C">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62</w:t>
            </w:r>
          </w:p>
        </w:tc>
        <w:tc>
          <w:tcPr>
            <w:tcW w:w="1096" w:type="dxa"/>
            <w:noWrap w:val="0"/>
            <w:vAlign w:val="center"/>
          </w:tcPr>
          <w:p w14:paraId="29D8E9E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EB02F25">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对矿山企业未按照规定建立健全领导带班下井制度或者未制定领导带班下井月度计划的处罚</w:t>
            </w:r>
          </w:p>
        </w:tc>
        <w:tc>
          <w:tcPr>
            <w:tcW w:w="1500" w:type="dxa"/>
            <w:noWrap w:val="0"/>
            <w:vAlign w:val="center"/>
          </w:tcPr>
          <w:p w14:paraId="3177CAEF">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1238FAF">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非金属地下矿山企业领导带班下井及监督检查暂行规定》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w:t>
            </w:r>
          </w:p>
        </w:tc>
        <w:tc>
          <w:tcPr>
            <w:tcW w:w="2942" w:type="dxa"/>
            <w:noWrap w:val="0"/>
            <w:vAlign w:val="center"/>
          </w:tcPr>
          <w:p w14:paraId="79C3099A">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43F7A5A">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543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898" w:type="dxa"/>
            <w:vMerge w:val="restart"/>
            <w:noWrap w:val="0"/>
            <w:vAlign w:val="center"/>
          </w:tcPr>
          <w:p w14:paraId="04B5604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63</w:t>
            </w:r>
          </w:p>
        </w:tc>
        <w:tc>
          <w:tcPr>
            <w:tcW w:w="1096" w:type="dxa"/>
            <w:vMerge w:val="restart"/>
            <w:noWrap w:val="0"/>
            <w:vAlign w:val="center"/>
          </w:tcPr>
          <w:p w14:paraId="0DBF0F7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21FAB72D">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对矿山企业未制定领导带班下井制度等三类行为的处罚</w:t>
            </w:r>
          </w:p>
        </w:tc>
        <w:tc>
          <w:tcPr>
            <w:tcW w:w="1500" w:type="dxa"/>
            <w:noWrap w:val="0"/>
            <w:vAlign w:val="center"/>
          </w:tcPr>
          <w:p w14:paraId="1D0545B4">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未制定领导带班下井制度的</w:t>
            </w:r>
          </w:p>
        </w:tc>
        <w:tc>
          <w:tcPr>
            <w:tcW w:w="3726" w:type="dxa"/>
            <w:vMerge w:val="restart"/>
            <w:noWrap w:val="0"/>
            <w:vAlign w:val="center"/>
          </w:tcPr>
          <w:p w14:paraId="3ADF00E9">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非金属地下矿山企业领导带班下井及监督检查暂行规定》第十九条：矿山企业存在下列行为之一的，责令限期整改，并处3万元的罚款;对其主要负责人给予警告，并处1万元的罚款:(一)未制定领导带班下井制度的；(二)未按照规定公告领导带班下井月度计划的；(三)未按照规定公示领导带班下井月度计划完成情况的。</w:t>
            </w:r>
          </w:p>
        </w:tc>
        <w:tc>
          <w:tcPr>
            <w:tcW w:w="2942" w:type="dxa"/>
            <w:vMerge w:val="restart"/>
            <w:noWrap w:val="0"/>
            <w:vAlign w:val="center"/>
          </w:tcPr>
          <w:p w14:paraId="536EC7FE">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200DB449">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B31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898" w:type="dxa"/>
            <w:vMerge w:val="continue"/>
            <w:noWrap w:val="0"/>
            <w:vAlign w:val="center"/>
          </w:tcPr>
          <w:p w14:paraId="62F58022">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216565BF">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543440F1">
            <w:pPr>
              <w:widowControl/>
              <w:suppressAutoHyphens/>
              <w:snapToGrid w:val="0"/>
              <w:spacing w:line="240" w:lineRule="auto"/>
              <w:ind w:left="0" w:leftChars="0" w:right="0" w:rightChars="0" w:firstLine="0" w:firstLineChars="0"/>
              <w:jc w:val="left"/>
            </w:pPr>
          </w:p>
        </w:tc>
        <w:tc>
          <w:tcPr>
            <w:tcW w:w="1500" w:type="dxa"/>
            <w:noWrap w:val="0"/>
            <w:vAlign w:val="center"/>
          </w:tcPr>
          <w:p w14:paraId="317E81D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未按照规定公告领导带班下井月度计划的</w:t>
            </w:r>
          </w:p>
        </w:tc>
        <w:tc>
          <w:tcPr>
            <w:tcW w:w="3726" w:type="dxa"/>
            <w:vMerge w:val="continue"/>
            <w:noWrap w:val="0"/>
            <w:vAlign w:val="center"/>
          </w:tcPr>
          <w:p w14:paraId="3FE7F2A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2CEA34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C922B2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462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898" w:type="dxa"/>
            <w:vMerge w:val="continue"/>
            <w:noWrap w:val="0"/>
            <w:vAlign w:val="center"/>
          </w:tcPr>
          <w:p w14:paraId="37101E0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1EB901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74A4A4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noWrap w:val="0"/>
            <w:vAlign w:val="center"/>
          </w:tcPr>
          <w:p w14:paraId="14ED8C45">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未按照规定公示领导带班下井月度计划完成情况的</w:t>
            </w:r>
          </w:p>
        </w:tc>
        <w:tc>
          <w:tcPr>
            <w:tcW w:w="3726" w:type="dxa"/>
            <w:vMerge w:val="continue"/>
            <w:noWrap w:val="0"/>
            <w:vAlign w:val="center"/>
          </w:tcPr>
          <w:p w14:paraId="4C98CA7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B204E5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3708C0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05F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B808E7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64</w:t>
            </w:r>
          </w:p>
        </w:tc>
        <w:tc>
          <w:tcPr>
            <w:tcW w:w="1096" w:type="dxa"/>
            <w:noWrap w:val="0"/>
            <w:vAlign w:val="center"/>
          </w:tcPr>
          <w:p w14:paraId="4FF9E54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C062818">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对矿山企业领导未按照规定填写带班下井交接班记录、带班下井登记档案，或者弄虚作假的处罚</w:t>
            </w:r>
          </w:p>
        </w:tc>
        <w:tc>
          <w:tcPr>
            <w:tcW w:w="1500" w:type="dxa"/>
            <w:noWrap w:val="0"/>
            <w:vAlign w:val="center"/>
          </w:tcPr>
          <w:p w14:paraId="150F3B28">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05833F6">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《金属非金属地下矿山企业领导带班下井及监督检查暂行规定》第二十条：矿山企业领导未按照规定填写带班下井交接班记录、带班下井登记档案，或者弄虚作假的，给予警告，并处1万元的罚款。</w:t>
            </w:r>
          </w:p>
        </w:tc>
        <w:tc>
          <w:tcPr>
            <w:tcW w:w="2942" w:type="dxa"/>
            <w:noWrap w:val="0"/>
            <w:vAlign w:val="center"/>
          </w:tcPr>
          <w:p w14:paraId="5327DB31">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0D5B0D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75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vMerge w:val="restart"/>
            <w:noWrap w:val="0"/>
            <w:vAlign w:val="center"/>
          </w:tcPr>
          <w:p w14:paraId="5105D38D">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65</w:t>
            </w:r>
          </w:p>
        </w:tc>
        <w:tc>
          <w:tcPr>
            <w:tcW w:w="1096" w:type="dxa"/>
            <w:vMerge w:val="restart"/>
            <w:noWrap w:val="0"/>
            <w:vAlign w:val="center"/>
          </w:tcPr>
          <w:p w14:paraId="7C21F59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05DB9008">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Times New Roman" w:hAnsi="宋体" w:eastAsia="宋体" w:cs="宋体"/>
                <w:i w:val="0"/>
                <w:iCs w:val="0"/>
                <w:color w:val="auto"/>
                <w:kern w:val="0"/>
                <w:sz w:val="16"/>
                <w:szCs w:val="16"/>
                <w:u w:val="none"/>
                <w:lang w:val="en-US" w:eastAsia="zh-CN" w:bidi="ar"/>
              </w:rPr>
              <w:t>对增加使用的危险化学品品种，且达到危险化学品使用量的数量标准规定等三类情形的处罚</w:t>
            </w:r>
          </w:p>
        </w:tc>
        <w:tc>
          <w:tcPr>
            <w:tcW w:w="1500" w:type="dxa"/>
            <w:noWrap w:val="0"/>
            <w:vAlign w:val="center"/>
          </w:tcPr>
          <w:p w14:paraId="60174B0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增加使用的危险化学品品种，且达到危险化学品使用量的数量标准规定的</w:t>
            </w:r>
          </w:p>
        </w:tc>
        <w:tc>
          <w:tcPr>
            <w:tcW w:w="3726" w:type="dxa"/>
            <w:vMerge w:val="restart"/>
            <w:noWrap w:val="0"/>
            <w:vAlign w:val="center"/>
          </w:tcPr>
          <w:p w14:paraId="32636861">
            <w:pPr>
              <w:snapToGrid w:val="0"/>
              <w:spacing w:line="240" w:lineRule="auto"/>
              <w:ind w:left="0" w:leftChars="0" w:right="0" w:rightChars="0" w:firstLine="0" w:firstLineChars="0"/>
              <w:jc w:val="left"/>
              <w:rPr>
                <w:rFonts w:hint="eastAsia" w:ascii="Times New Roman" w:hAnsi="宋体" w:eastAsia="宋体" w:cs="宋体"/>
                <w:kern w:val="0"/>
                <w:sz w:val="16"/>
                <w:szCs w:val="16"/>
              </w:rPr>
            </w:pPr>
            <w:r>
              <w:rPr>
                <w:rFonts w:hint="eastAsia" w:ascii="Times New Roman" w:hAnsi="宋体" w:eastAsia="宋体" w:cs="宋体"/>
                <w:color w:val="000000"/>
                <w:kern w:val="0"/>
                <w:sz w:val="16"/>
                <w:szCs w:val="16"/>
              </w:rPr>
              <w:t>《危险化学品安全使用许可证实施办法》第四十条：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2942" w:type="dxa"/>
            <w:vMerge w:val="restart"/>
            <w:noWrap w:val="0"/>
            <w:vAlign w:val="center"/>
          </w:tcPr>
          <w:p w14:paraId="56358F3E">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vMerge w:val="restart"/>
            <w:noWrap w:val="0"/>
            <w:vAlign w:val="center"/>
          </w:tcPr>
          <w:p w14:paraId="7A2BE2B5">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542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vMerge w:val="continue"/>
            <w:noWrap w:val="0"/>
            <w:vAlign w:val="center"/>
          </w:tcPr>
          <w:p w14:paraId="513B0047">
            <w:pPr>
              <w:widowControl/>
              <w:suppressAutoHyphens/>
              <w:snapToGrid w:val="0"/>
              <w:spacing w:line="240" w:lineRule="auto"/>
              <w:ind w:left="0" w:leftChars="0" w:right="0" w:rightChars="0" w:firstLine="0" w:firstLineChars="0"/>
              <w:jc w:val="center"/>
              <w:rPr>
                <w:rFonts w:hint="eastAsia" w:ascii="Times New Roman" w:hAnsi="宋体" w:eastAsia="宋体" w:cs="宋体"/>
                <w:sz w:val="16"/>
              </w:rPr>
            </w:pPr>
          </w:p>
        </w:tc>
        <w:tc>
          <w:tcPr>
            <w:tcW w:w="1096" w:type="dxa"/>
            <w:vMerge w:val="continue"/>
            <w:noWrap w:val="0"/>
            <w:vAlign w:val="center"/>
          </w:tcPr>
          <w:p w14:paraId="77BEE6AD">
            <w:pPr>
              <w:widowControl/>
              <w:suppressAutoHyphens/>
              <w:snapToGrid w:val="0"/>
              <w:spacing w:line="240" w:lineRule="auto"/>
              <w:ind w:left="0" w:leftChars="0" w:right="0" w:rightChars="0" w:firstLine="0" w:firstLineChars="0"/>
              <w:jc w:val="left"/>
              <w:rPr>
                <w:rFonts w:hint="eastAsia" w:ascii="Times New Roman" w:hAnsi="宋体" w:eastAsia="宋体" w:cs="宋体"/>
                <w:sz w:val="16"/>
              </w:rPr>
            </w:pPr>
          </w:p>
        </w:tc>
        <w:tc>
          <w:tcPr>
            <w:tcW w:w="1850" w:type="dxa"/>
            <w:vMerge w:val="continue"/>
            <w:noWrap w:val="0"/>
            <w:vAlign w:val="center"/>
          </w:tcPr>
          <w:p w14:paraId="2FBB6202">
            <w:pPr>
              <w:widowControl/>
              <w:suppressAutoHyphens/>
              <w:snapToGrid w:val="0"/>
              <w:spacing w:line="240" w:lineRule="auto"/>
              <w:ind w:left="0" w:leftChars="0" w:right="0" w:rightChars="0" w:firstLine="0" w:firstLineChars="0"/>
              <w:jc w:val="left"/>
              <w:rPr>
                <w:rFonts w:hint="eastAsia" w:ascii="Times New Roman" w:hAnsi="宋体" w:eastAsia="宋体" w:cs="宋体"/>
                <w:sz w:val="16"/>
              </w:rPr>
            </w:pPr>
          </w:p>
        </w:tc>
        <w:tc>
          <w:tcPr>
            <w:tcW w:w="1500" w:type="dxa"/>
            <w:noWrap w:val="0"/>
            <w:vAlign w:val="center"/>
          </w:tcPr>
          <w:p w14:paraId="2A4B383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涉及危险化学品安全使用许可范围的新建、改建、扩建建设项目，其安全设施已经竣工验收合格的</w:t>
            </w:r>
          </w:p>
        </w:tc>
        <w:tc>
          <w:tcPr>
            <w:tcW w:w="3726" w:type="dxa"/>
            <w:vMerge w:val="continue"/>
            <w:noWrap w:val="0"/>
            <w:vAlign w:val="center"/>
          </w:tcPr>
          <w:p w14:paraId="13117A8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B1B8532">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c>
          <w:tcPr>
            <w:tcW w:w="2888" w:type="dxa"/>
            <w:vMerge w:val="continue"/>
            <w:noWrap w:val="0"/>
            <w:vAlign w:val="center"/>
          </w:tcPr>
          <w:p w14:paraId="37AA8197">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r>
      <w:tr w14:paraId="200B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vMerge w:val="continue"/>
            <w:noWrap w:val="0"/>
            <w:vAlign w:val="center"/>
          </w:tcPr>
          <w:p w14:paraId="0229367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p>
        </w:tc>
        <w:tc>
          <w:tcPr>
            <w:tcW w:w="1096" w:type="dxa"/>
            <w:vMerge w:val="continue"/>
            <w:noWrap w:val="0"/>
            <w:vAlign w:val="center"/>
          </w:tcPr>
          <w:p w14:paraId="3554BDF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E4CF45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noWrap w:val="0"/>
            <w:vAlign w:val="center"/>
          </w:tcPr>
          <w:p w14:paraId="3470A56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Times New Roman" w:hAnsi="宋体" w:eastAsia="宋体" w:cs="宋体"/>
                <w:color w:val="000000"/>
                <w:kern w:val="0"/>
                <w:sz w:val="16"/>
                <w:szCs w:val="16"/>
              </w:rPr>
              <w:t>改变工艺技术对企业的安全生产条件产生重大影响的</w:t>
            </w:r>
          </w:p>
        </w:tc>
        <w:tc>
          <w:tcPr>
            <w:tcW w:w="3726" w:type="dxa"/>
            <w:vMerge w:val="continue"/>
            <w:noWrap w:val="0"/>
            <w:vAlign w:val="center"/>
          </w:tcPr>
          <w:p w14:paraId="232CF46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C52BDBF">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c>
          <w:tcPr>
            <w:tcW w:w="2888" w:type="dxa"/>
            <w:vMerge w:val="continue"/>
            <w:noWrap w:val="0"/>
            <w:vAlign w:val="center"/>
          </w:tcPr>
          <w:p w14:paraId="5B7F8379">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r>
      <w:tr w14:paraId="736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898" w:type="dxa"/>
            <w:vMerge w:val="restart"/>
            <w:noWrap w:val="0"/>
            <w:vAlign w:val="center"/>
          </w:tcPr>
          <w:p w14:paraId="084DAC3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66</w:t>
            </w:r>
          </w:p>
        </w:tc>
        <w:tc>
          <w:tcPr>
            <w:tcW w:w="1096" w:type="dxa"/>
            <w:vMerge w:val="restart"/>
            <w:noWrap w:val="0"/>
            <w:vAlign w:val="center"/>
          </w:tcPr>
          <w:p w14:paraId="768FFB8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7958C8E9">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对化学品单位未规定对化学品进行物理危险性鉴定或者分类等三类行为的处罚</w:t>
            </w:r>
          </w:p>
        </w:tc>
        <w:tc>
          <w:tcPr>
            <w:tcW w:w="1500" w:type="dxa"/>
            <w:noWrap w:val="0"/>
            <w:vAlign w:val="center"/>
          </w:tcPr>
          <w:p w14:paraId="12931B8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未按照本办法规定对化学品进行物理危险性鉴定或者分类的</w:t>
            </w:r>
          </w:p>
        </w:tc>
        <w:tc>
          <w:tcPr>
            <w:tcW w:w="3726" w:type="dxa"/>
            <w:vMerge w:val="restart"/>
            <w:noWrap w:val="0"/>
            <w:vAlign w:val="center"/>
          </w:tcPr>
          <w:p w14:paraId="09CB66CD">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化学品物理危险性鉴定与分类管理办法》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2942" w:type="dxa"/>
            <w:vMerge w:val="restart"/>
            <w:noWrap w:val="0"/>
            <w:vAlign w:val="center"/>
          </w:tcPr>
          <w:p w14:paraId="6BA2F223">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0383D605">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C57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898" w:type="dxa"/>
            <w:vMerge w:val="continue"/>
            <w:noWrap w:val="0"/>
            <w:vAlign w:val="center"/>
          </w:tcPr>
          <w:p w14:paraId="57C36205">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38FC0085">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70FF4B1E">
            <w:pPr>
              <w:widowControl/>
              <w:suppressAutoHyphens/>
              <w:snapToGrid w:val="0"/>
              <w:spacing w:line="240" w:lineRule="auto"/>
              <w:ind w:left="0" w:leftChars="0" w:right="0" w:rightChars="0" w:firstLine="0" w:firstLineChars="0"/>
              <w:jc w:val="left"/>
            </w:pPr>
          </w:p>
        </w:tc>
        <w:tc>
          <w:tcPr>
            <w:tcW w:w="1500" w:type="dxa"/>
            <w:noWrap w:val="0"/>
            <w:vAlign w:val="center"/>
          </w:tcPr>
          <w:p w14:paraId="45EB9373">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未按照本办法规定建立化学品物理危险性鉴定与分类管理档案的</w:t>
            </w:r>
          </w:p>
        </w:tc>
        <w:tc>
          <w:tcPr>
            <w:tcW w:w="3726" w:type="dxa"/>
            <w:vMerge w:val="continue"/>
            <w:noWrap w:val="0"/>
            <w:vAlign w:val="center"/>
          </w:tcPr>
          <w:p w14:paraId="08D86F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67A702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65B267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9BB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898" w:type="dxa"/>
            <w:vMerge w:val="continue"/>
            <w:noWrap w:val="0"/>
            <w:vAlign w:val="center"/>
          </w:tcPr>
          <w:p w14:paraId="6EFCC8C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1E274D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6B935F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noWrap w:val="0"/>
            <w:vAlign w:val="center"/>
          </w:tcPr>
          <w:p w14:paraId="75728357">
            <w:pPr>
              <w:widowControl/>
              <w:suppressAutoHyphens/>
              <w:snapToGrid w:val="0"/>
              <w:spacing w:line="240" w:lineRule="auto"/>
              <w:ind w:left="0" w:leftChars="0" w:right="0" w:rightChars="0" w:firstLine="0" w:firstLineChars="0"/>
              <w:jc w:val="both"/>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在办理化学品物理危险性的鉴定过程中，隐瞒化学品的危险性成分、含量等相关信息或者提供虚假材料的。</w:t>
            </w:r>
          </w:p>
        </w:tc>
        <w:tc>
          <w:tcPr>
            <w:tcW w:w="3726" w:type="dxa"/>
            <w:vMerge w:val="continue"/>
            <w:noWrap w:val="0"/>
            <w:vAlign w:val="center"/>
          </w:tcPr>
          <w:p w14:paraId="681DFA8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A017CF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BFE667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98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98" w:type="dxa"/>
            <w:vMerge w:val="restart"/>
            <w:noWrap w:val="0"/>
            <w:vAlign w:val="center"/>
          </w:tcPr>
          <w:p w14:paraId="44822BE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67</w:t>
            </w:r>
          </w:p>
        </w:tc>
        <w:tc>
          <w:tcPr>
            <w:tcW w:w="1096" w:type="dxa"/>
            <w:vMerge w:val="restart"/>
            <w:noWrap w:val="0"/>
            <w:vAlign w:val="center"/>
          </w:tcPr>
          <w:p w14:paraId="56D116D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396A3257">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对鉴定机构在物理危险性鉴定过程中伪造、篡改数据或者有其他弄虚作假行为等三类行为的处罚</w:t>
            </w:r>
          </w:p>
        </w:tc>
        <w:tc>
          <w:tcPr>
            <w:tcW w:w="1500" w:type="dxa"/>
            <w:noWrap w:val="0"/>
            <w:vAlign w:val="center"/>
          </w:tcPr>
          <w:p w14:paraId="0B445AC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伪造、篡改数据或者有其他弄虚作假行为的</w:t>
            </w:r>
          </w:p>
        </w:tc>
        <w:tc>
          <w:tcPr>
            <w:tcW w:w="3726" w:type="dxa"/>
            <w:vMerge w:val="restart"/>
            <w:noWrap w:val="0"/>
            <w:vAlign w:val="center"/>
          </w:tcPr>
          <w:p w14:paraId="3C4EB0F2">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化学品物理危险性鉴定与分类管理办法》第二十条：鉴定机构在物理危险性鉴定过程中有下列行为之一的，处1万元以上3万元以下的罚款；情节严重的，由国家安全生产监督管理总局从鉴定机构名单中除名并公告： （一）伪造、篡改数据或者有其他弄虚作假行为的； （二）未通过安全生产监督管理部门的监督检查，仍从事鉴定工作的； （三）泄露化学品单位商业秘密的。</w:t>
            </w:r>
          </w:p>
        </w:tc>
        <w:tc>
          <w:tcPr>
            <w:tcW w:w="2942" w:type="dxa"/>
            <w:vMerge w:val="restart"/>
            <w:noWrap w:val="0"/>
            <w:vAlign w:val="center"/>
          </w:tcPr>
          <w:p w14:paraId="01574AE1">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0EF34994">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9F9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1" w:hRule="atLeast"/>
          <w:jc w:val="center"/>
        </w:trPr>
        <w:tc>
          <w:tcPr>
            <w:tcW w:w="898" w:type="dxa"/>
            <w:vMerge w:val="continue"/>
            <w:noWrap w:val="0"/>
            <w:vAlign w:val="center"/>
          </w:tcPr>
          <w:p w14:paraId="763EC5F1">
            <w:pPr>
              <w:widowControl/>
              <w:suppressAutoHyphens/>
              <w:snapToGrid w:val="0"/>
              <w:spacing w:line="240" w:lineRule="auto"/>
              <w:ind w:left="0" w:leftChars="0" w:right="0" w:rightChars="0" w:firstLine="0" w:firstLineChars="0"/>
              <w:jc w:val="center"/>
              <w:rPr>
                <w:rFonts w:hint="eastAsia" w:ascii="Times New Roman" w:hAnsi="宋体" w:eastAsia="宋体" w:cs="宋体"/>
                <w:sz w:val="16"/>
              </w:rPr>
            </w:pPr>
          </w:p>
        </w:tc>
        <w:tc>
          <w:tcPr>
            <w:tcW w:w="1096" w:type="dxa"/>
            <w:vMerge w:val="continue"/>
            <w:noWrap w:val="0"/>
            <w:vAlign w:val="center"/>
          </w:tcPr>
          <w:p w14:paraId="34DCCE27">
            <w:pPr>
              <w:widowControl/>
              <w:suppressAutoHyphens/>
              <w:snapToGrid w:val="0"/>
              <w:spacing w:line="240" w:lineRule="auto"/>
              <w:ind w:left="0" w:leftChars="0" w:right="0" w:rightChars="0" w:firstLine="0" w:firstLineChars="0"/>
              <w:jc w:val="left"/>
              <w:rPr>
                <w:rFonts w:hint="eastAsia" w:ascii="Times New Roman" w:hAnsi="宋体" w:eastAsia="宋体" w:cs="宋体"/>
                <w:sz w:val="16"/>
              </w:rPr>
            </w:pPr>
          </w:p>
        </w:tc>
        <w:tc>
          <w:tcPr>
            <w:tcW w:w="1850" w:type="dxa"/>
            <w:vMerge w:val="continue"/>
            <w:noWrap w:val="0"/>
            <w:vAlign w:val="center"/>
          </w:tcPr>
          <w:p w14:paraId="10739F3A">
            <w:pPr>
              <w:widowControl/>
              <w:suppressAutoHyphens/>
              <w:snapToGrid w:val="0"/>
              <w:spacing w:line="240" w:lineRule="auto"/>
              <w:ind w:left="0" w:leftChars="0" w:right="0" w:rightChars="0" w:firstLine="0" w:firstLineChars="0"/>
              <w:jc w:val="left"/>
              <w:rPr>
                <w:rFonts w:hint="eastAsia" w:ascii="Times New Roman" w:hAnsi="宋体" w:eastAsia="宋体" w:cs="宋体"/>
                <w:sz w:val="16"/>
              </w:rPr>
            </w:pPr>
          </w:p>
        </w:tc>
        <w:tc>
          <w:tcPr>
            <w:tcW w:w="1500" w:type="dxa"/>
            <w:shd w:val="clear" w:color="auto" w:fill="auto"/>
            <w:noWrap w:val="0"/>
            <w:vAlign w:val="center"/>
          </w:tcPr>
          <w:p w14:paraId="070E65BF">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未通过安全生产监督管理部门的监督检查，仍从事鉴定工作的；</w:t>
            </w:r>
          </w:p>
        </w:tc>
        <w:tc>
          <w:tcPr>
            <w:tcW w:w="3726" w:type="dxa"/>
            <w:vMerge w:val="continue"/>
            <w:noWrap w:val="0"/>
            <w:vAlign w:val="center"/>
          </w:tcPr>
          <w:p w14:paraId="4247F0D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06BE88C">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c>
          <w:tcPr>
            <w:tcW w:w="2888" w:type="dxa"/>
            <w:vMerge w:val="continue"/>
            <w:noWrap w:val="0"/>
            <w:vAlign w:val="center"/>
          </w:tcPr>
          <w:p w14:paraId="6C1729D2">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r>
      <w:tr w14:paraId="48D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898" w:type="dxa"/>
            <w:vMerge w:val="continue"/>
            <w:noWrap w:val="0"/>
            <w:vAlign w:val="center"/>
          </w:tcPr>
          <w:p w14:paraId="7B619C6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p>
        </w:tc>
        <w:tc>
          <w:tcPr>
            <w:tcW w:w="1096" w:type="dxa"/>
            <w:vMerge w:val="continue"/>
            <w:noWrap w:val="0"/>
            <w:vAlign w:val="center"/>
          </w:tcPr>
          <w:p w14:paraId="5424FC1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6885C0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noWrap w:val="0"/>
            <w:vAlign w:val="center"/>
          </w:tcPr>
          <w:p w14:paraId="6F07F52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泄露化学品单位商业秘密的。</w:t>
            </w:r>
          </w:p>
        </w:tc>
        <w:tc>
          <w:tcPr>
            <w:tcW w:w="3726" w:type="dxa"/>
            <w:vMerge w:val="continue"/>
            <w:noWrap w:val="0"/>
            <w:vAlign w:val="center"/>
          </w:tcPr>
          <w:p w14:paraId="15CF8D0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D911479">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c>
          <w:tcPr>
            <w:tcW w:w="2888" w:type="dxa"/>
            <w:vMerge w:val="continue"/>
            <w:noWrap w:val="0"/>
            <w:vAlign w:val="center"/>
          </w:tcPr>
          <w:p w14:paraId="2B1F1331">
            <w:pPr>
              <w:widowControl/>
              <w:suppressAutoHyphens/>
              <w:snapToGrid w:val="0"/>
              <w:spacing w:line="240" w:lineRule="auto"/>
              <w:ind w:left="0" w:leftChars="0" w:right="0" w:rightChars="0" w:firstLine="0" w:firstLineChars="0"/>
              <w:jc w:val="left"/>
              <w:rPr>
                <w:rFonts w:ascii="Times New Roman" w:hAnsi="方正黑体_GBK" w:eastAsia="宋体" w:cs="方正黑体_GBK"/>
                <w:color w:val="000000"/>
                <w:kern w:val="0"/>
                <w:sz w:val="16"/>
                <w:szCs w:val="28"/>
              </w:rPr>
            </w:pPr>
          </w:p>
        </w:tc>
      </w:tr>
      <w:tr w14:paraId="1471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898" w:type="dxa"/>
            <w:noWrap w:val="0"/>
            <w:vAlign w:val="center"/>
          </w:tcPr>
          <w:p w14:paraId="60ED918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68</w:t>
            </w:r>
          </w:p>
        </w:tc>
        <w:tc>
          <w:tcPr>
            <w:tcW w:w="1096" w:type="dxa"/>
            <w:noWrap w:val="0"/>
            <w:vAlign w:val="center"/>
          </w:tcPr>
          <w:p w14:paraId="559C6A2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4BACE33">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对企业伪造、变造或者出租、出借、转让安全使用许可证，或者使用伪造、变造的安全使用许可证的处罚</w:t>
            </w:r>
          </w:p>
        </w:tc>
        <w:tc>
          <w:tcPr>
            <w:tcW w:w="1500" w:type="dxa"/>
            <w:noWrap w:val="0"/>
            <w:vAlign w:val="center"/>
          </w:tcPr>
          <w:p w14:paraId="4707A79F">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13F9C56">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安全使用许可证实施办法》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2942" w:type="dxa"/>
            <w:noWrap w:val="0"/>
            <w:vAlign w:val="center"/>
          </w:tcPr>
          <w:p w14:paraId="5A74A7BA">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26CE55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0F3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2" w:hRule="atLeast"/>
          <w:jc w:val="center"/>
        </w:trPr>
        <w:tc>
          <w:tcPr>
            <w:tcW w:w="898" w:type="dxa"/>
            <w:noWrap w:val="0"/>
            <w:vAlign w:val="center"/>
          </w:tcPr>
          <w:p w14:paraId="698BB7A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69</w:t>
            </w:r>
          </w:p>
        </w:tc>
        <w:tc>
          <w:tcPr>
            <w:tcW w:w="1096" w:type="dxa"/>
            <w:noWrap w:val="0"/>
            <w:vAlign w:val="center"/>
          </w:tcPr>
          <w:p w14:paraId="4DB9571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C977514">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500" w:type="dxa"/>
            <w:noWrap w:val="0"/>
            <w:vAlign w:val="center"/>
          </w:tcPr>
          <w:p w14:paraId="50B2B9D9">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475A7C8E">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安全使用许可证实施办法》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2942" w:type="dxa"/>
            <w:noWrap w:val="0"/>
            <w:vAlign w:val="center"/>
          </w:tcPr>
          <w:p w14:paraId="7BCB49FD">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6598D5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3E8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jc w:val="center"/>
        </w:trPr>
        <w:tc>
          <w:tcPr>
            <w:tcW w:w="898" w:type="dxa"/>
            <w:noWrap w:val="0"/>
            <w:vAlign w:val="center"/>
          </w:tcPr>
          <w:p w14:paraId="27B210F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70</w:t>
            </w:r>
          </w:p>
        </w:tc>
        <w:tc>
          <w:tcPr>
            <w:tcW w:w="1096" w:type="dxa"/>
            <w:noWrap w:val="0"/>
            <w:vAlign w:val="center"/>
          </w:tcPr>
          <w:p w14:paraId="1E9E7E5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1E6AD0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对已经取得经营许可证的企业不再具备规定的安全生产条件的经停产停业整顿仍不具备安全生产条件的处罚</w:t>
            </w:r>
          </w:p>
        </w:tc>
        <w:tc>
          <w:tcPr>
            <w:tcW w:w="1500" w:type="dxa"/>
            <w:noWrap w:val="0"/>
            <w:vAlign w:val="center"/>
          </w:tcPr>
          <w:p w14:paraId="5A4F5316">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693914A">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经营许可证管理办法》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2942" w:type="dxa"/>
            <w:noWrap w:val="0"/>
            <w:vAlign w:val="center"/>
          </w:tcPr>
          <w:p w14:paraId="1803201E">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63D47E04">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85F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E75E03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71</w:t>
            </w:r>
          </w:p>
        </w:tc>
        <w:tc>
          <w:tcPr>
            <w:tcW w:w="1096" w:type="dxa"/>
            <w:noWrap w:val="0"/>
            <w:vAlign w:val="center"/>
          </w:tcPr>
          <w:p w14:paraId="08300BC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06C69D40">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对已经取得经营许可证的企业未依照规定申请变更的处罚</w:t>
            </w:r>
          </w:p>
        </w:tc>
        <w:tc>
          <w:tcPr>
            <w:tcW w:w="1500" w:type="dxa"/>
            <w:noWrap w:val="0"/>
            <w:vAlign w:val="center"/>
          </w:tcPr>
          <w:p w14:paraId="68BCFB65">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AC44E66">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2942" w:type="dxa"/>
            <w:noWrap w:val="0"/>
            <w:vAlign w:val="center"/>
          </w:tcPr>
          <w:p w14:paraId="14847C98">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4217F898">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4E5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98" w:type="dxa"/>
            <w:vMerge w:val="restart"/>
            <w:noWrap w:val="0"/>
            <w:vAlign w:val="center"/>
          </w:tcPr>
          <w:p w14:paraId="61D3C3AC">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72</w:t>
            </w:r>
          </w:p>
        </w:tc>
        <w:tc>
          <w:tcPr>
            <w:tcW w:w="1096" w:type="dxa"/>
            <w:vMerge w:val="restart"/>
            <w:noWrap w:val="0"/>
            <w:vAlign w:val="center"/>
          </w:tcPr>
          <w:p w14:paraId="6267B7D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4272F5CC">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对企业未取得安全使用许可证，擅自使用危险化学品从事生产，且达到危险化学品使用量的数量标准规定等两类情形的处罚</w:t>
            </w:r>
          </w:p>
        </w:tc>
        <w:tc>
          <w:tcPr>
            <w:tcW w:w="1500" w:type="dxa"/>
            <w:noWrap w:val="0"/>
            <w:vAlign w:val="center"/>
          </w:tcPr>
          <w:p w14:paraId="34C9934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企业未取得安全使用许可证，擅自使用危险化学品从事生产，且达到危险化学品使用量的数量标准规定的</w:t>
            </w:r>
          </w:p>
        </w:tc>
        <w:tc>
          <w:tcPr>
            <w:tcW w:w="3726" w:type="dxa"/>
            <w:vMerge w:val="restart"/>
            <w:noWrap w:val="0"/>
            <w:vAlign w:val="center"/>
          </w:tcPr>
          <w:p w14:paraId="5EABE9F5">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tc>
        <w:tc>
          <w:tcPr>
            <w:tcW w:w="2942" w:type="dxa"/>
            <w:vMerge w:val="restart"/>
            <w:noWrap w:val="0"/>
            <w:vAlign w:val="center"/>
          </w:tcPr>
          <w:p w14:paraId="6DA71F00">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4378D3E6">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65B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98" w:type="dxa"/>
            <w:vMerge w:val="continue"/>
            <w:noWrap w:val="0"/>
            <w:vAlign w:val="center"/>
          </w:tcPr>
          <w:p w14:paraId="077B4682">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757BF4AA">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77D90224">
            <w:pPr>
              <w:widowControl/>
              <w:suppressAutoHyphens/>
              <w:snapToGrid w:val="0"/>
              <w:spacing w:line="240" w:lineRule="auto"/>
              <w:ind w:left="0" w:leftChars="0" w:right="0" w:rightChars="0" w:firstLine="0" w:firstLineChars="0"/>
              <w:jc w:val="left"/>
            </w:pPr>
          </w:p>
        </w:tc>
        <w:tc>
          <w:tcPr>
            <w:tcW w:w="1500" w:type="dxa"/>
            <w:noWrap w:val="0"/>
            <w:vAlign w:val="center"/>
          </w:tcPr>
          <w:p w14:paraId="6794ACD4">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rPr>
            </w:pPr>
            <w:r>
              <w:rPr>
                <w:rFonts w:hint="eastAsia" w:ascii="宋体" w:hAnsi="宋体" w:eastAsia="宋体" w:cs="宋体"/>
                <w:color w:val="000000"/>
                <w:kern w:val="0"/>
                <w:sz w:val="16"/>
                <w:szCs w:val="16"/>
              </w:rPr>
              <w:t>企业在安全使用许可证有效期届满后未办理延期手续，仍然使用危险化学品从事生产，且达到危险化学品使用量的数量标准规定的</w:t>
            </w:r>
          </w:p>
        </w:tc>
        <w:tc>
          <w:tcPr>
            <w:tcW w:w="3726" w:type="dxa"/>
            <w:vMerge w:val="continue"/>
            <w:noWrap w:val="0"/>
            <w:vAlign w:val="center"/>
          </w:tcPr>
          <w:p w14:paraId="2BDC11E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5CBB04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0FD548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3B5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restart"/>
            <w:noWrap w:val="0"/>
            <w:vAlign w:val="center"/>
          </w:tcPr>
          <w:p w14:paraId="4D58263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73</w:t>
            </w:r>
          </w:p>
        </w:tc>
        <w:tc>
          <w:tcPr>
            <w:tcW w:w="1096" w:type="dxa"/>
            <w:vMerge w:val="restart"/>
            <w:noWrap w:val="0"/>
            <w:vAlign w:val="center"/>
          </w:tcPr>
          <w:p w14:paraId="4DB6D3F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34F6DC31">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对《建设项目安全设施“三同时”监督管理办法》第七条第一项、第二项、第三项和第四项规定以外的建设项目没有安全设施设计等四类情形的处罚</w:t>
            </w:r>
          </w:p>
        </w:tc>
        <w:tc>
          <w:tcPr>
            <w:tcW w:w="1500" w:type="dxa"/>
            <w:shd w:val="clear" w:color="auto" w:fill="auto"/>
            <w:noWrap w:val="0"/>
            <w:vAlign w:val="center"/>
          </w:tcPr>
          <w:p w14:paraId="168416F2">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没有安全设施设计的</w:t>
            </w:r>
          </w:p>
        </w:tc>
        <w:tc>
          <w:tcPr>
            <w:tcW w:w="3726" w:type="dxa"/>
            <w:vMerge w:val="restart"/>
            <w:noWrap w:val="0"/>
            <w:vAlign w:val="center"/>
          </w:tcPr>
          <w:p w14:paraId="0EF37309">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建设项目安全设施“三同时”监督管理办法》第三十条：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2942" w:type="dxa"/>
            <w:vMerge w:val="restart"/>
            <w:noWrap w:val="0"/>
            <w:vAlign w:val="center"/>
          </w:tcPr>
          <w:p w14:paraId="66CE21A9">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2D6634B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283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continue"/>
            <w:noWrap w:val="0"/>
            <w:vAlign w:val="center"/>
          </w:tcPr>
          <w:p w14:paraId="4D94FB94">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686214BC">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4FAE72EC">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3B9A2E69">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安全设施设计未组织审查，并形成书面审查报告的</w:t>
            </w:r>
          </w:p>
        </w:tc>
        <w:tc>
          <w:tcPr>
            <w:tcW w:w="3726" w:type="dxa"/>
            <w:vMerge w:val="continue"/>
            <w:noWrap w:val="0"/>
            <w:vAlign w:val="center"/>
          </w:tcPr>
          <w:p w14:paraId="69B9A73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63E7A7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FDF813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98A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continue"/>
            <w:noWrap w:val="0"/>
            <w:vAlign w:val="center"/>
          </w:tcPr>
          <w:p w14:paraId="7FC0E8B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B45C10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F4D86F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765B02D">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施工单位未按照安全设施设计施工的；</w:t>
            </w:r>
          </w:p>
        </w:tc>
        <w:tc>
          <w:tcPr>
            <w:tcW w:w="3726" w:type="dxa"/>
            <w:vMerge w:val="continue"/>
            <w:noWrap w:val="0"/>
            <w:vAlign w:val="center"/>
          </w:tcPr>
          <w:p w14:paraId="653161D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35197C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8FD1B6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F1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98" w:type="dxa"/>
            <w:vMerge w:val="continue"/>
            <w:noWrap w:val="0"/>
            <w:vAlign w:val="center"/>
          </w:tcPr>
          <w:p w14:paraId="32D567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39646E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8F9B58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D26133F">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投入生产或者使用前，安全设施未经竣工验收合格，并形成书面报告的。</w:t>
            </w:r>
          </w:p>
        </w:tc>
        <w:tc>
          <w:tcPr>
            <w:tcW w:w="3726" w:type="dxa"/>
            <w:vMerge w:val="continue"/>
            <w:noWrap w:val="0"/>
            <w:vAlign w:val="center"/>
          </w:tcPr>
          <w:p w14:paraId="62C0B73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90ADBE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E109F5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BBD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restart"/>
            <w:noWrap w:val="0"/>
            <w:vAlign w:val="center"/>
          </w:tcPr>
          <w:p w14:paraId="2F45501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74</w:t>
            </w:r>
          </w:p>
        </w:tc>
        <w:tc>
          <w:tcPr>
            <w:tcW w:w="1096" w:type="dxa"/>
            <w:vMerge w:val="restart"/>
            <w:noWrap w:val="0"/>
            <w:vAlign w:val="center"/>
          </w:tcPr>
          <w:p w14:paraId="6DB3E43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5E613D14">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对建设项目安全设施竣工后未进行检验、检测等四类情形的处罚</w:t>
            </w:r>
          </w:p>
        </w:tc>
        <w:tc>
          <w:tcPr>
            <w:tcW w:w="1500" w:type="dxa"/>
            <w:shd w:val="clear" w:color="auto" w:fill="auto"/>
            <w:noWrap w:val="0"/>
            <w:vAlign w:val="center"/>
          </w:tcPr>
          <w:p w14:paraId="556183D9">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建设项目安全设施竣工后未进行检验、检测的；</w:t>
            </w:r>
          </w:p>
        </w:tc>
        <w:tc>
          <w:tcPr>
            <w:tcW w:w="3726" w:type="dxa"/>
            <w:vMerge w:val="restart"/>
            <w:noWrap w:val="0"/>
            <w:vAlign w:val="center"/>
          </w:tcPr>
          <w:p w14:paraId="46C79124">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建设项目安全监督管理办法》第三十七条：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2942" w:type="dxa"/>
            <w:vMerge w:val="restart"/>
            <w:noWrap w:val="0"/>
            <w:vAlign w:val="center"/>
          </w:tcPr>
          <w:p w14:paraId="67059038">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0A81EC0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F4F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continue"/>
            <w:noWrap w:val="0"/>
            <w:vAlign w:val="center"/>
          </w:tcPr>
          <w:p w14:paraId="570A811A">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0743BEDA">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6A56E5E7">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5A1D85E1">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在申请建设项目安全审查时提供虚假文件、资料的</w:t>
            </w:r>
          </w:p>
        </w:tc>
        <w:tc>
          <w:tcPr>
            <w:tcW w:w="3726" w:type="dxa"/>
            <w:vMerge w:val="continue"/>
            <w:noWrap w:val="0"/>
            <w:vAlign w:val="center"/>
          </w:tcPr>
          <w:p w14:paraId="12531BA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B9C195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CF4690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0A4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continue"/>
            <w:noWrap w:val="0"/>
            <w:vAlign w:val="center"/>
          </w:tcPr>
          <w:p w14:paraId="7BDD398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0721ED2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487398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175B51D">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未组织有关单位和专家研究提出试生产（使用）可能出现的安全问题及对策，或者未制定周密的试生产（使用）方案，进行试生产（使用）的</w:t>
            </w:r>
          </w:p>
        </w:tc>
        <w:tc>
          <w:tcPr>
            <w:tcW w:w="3726" w:type="dxa"/>
            <w:vMerge w:val="continue"/>
            <w:noWrap w:val="0"/>
            <w:vAlign w:val="center"/>
          </w:tcPr>
          <w:p w14:paraId="3D2E982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D03946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1F1978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8AF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98" w:type="dxa"/>
            <w:vMerge w:val="continue"/>
            <w:noWrap w:val="0"/>
            <w:vAlign w:val="center"/>
          </w:tcPr>
          <w:p w14:paraId="0FF276B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8DAF06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F4EC15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0738FA1">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未组织有关专家对试生产（使用）方案进行审查、对试生产（使用）条件进行检查确认的。</w:t>
            </w:r>
          </w:p>
        </w:tc>
        <w:tc>
          <w:tcPr>
            <w:tcW w:w="3726" w:type="dxa"/>
            <w:vMerge w:val="continue"/>
            <w:noWrap w:val="0"/>
            <w:vAlign w:val="center"/>
          </w:tcPr>
          <w:p w14:paraId="69E98E7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D4F3E8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889DF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7A2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8" w:type="dxa"/>
            <w:vMerge w:val="restart"/>
            <w:noWrap w:val="0"/>
            <w:vAlign w:val="center"/>
          </w:tcPr>
          <w:p w14:paraId="7C252A0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75</w:t>
            </w:r>
          </w:p>
        </w:tc>
        <w:tc>
          <w:tcPr>
            <w:tcW w:w="1096" w:type="dxa"/>
            <w:vMerge w:val="restart"/>
            <w:noWrap w:val="0"/>
            <w:vAlign w:val="center"/>
          </w:tcPr>
          <w:p w14:paraId="16BFD2B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0CDF54F0">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对未向用户提供应急咨询服务或者应急咨询服务不符合规定等五类情形的处罚</w:t>
            </w:r>
          </w:p>
        </w:tc>
        <w:tc>
          <w:tcPr>
            <w:tcW w:w="1500" w:type="dxa"/>
            <w:shd w:val="clear" w:color="auto" w:fill="auto"/>
            <w:noWrap w:val="0"/>
            <w:vAlign w:val="center"/>
          </w:tcPr>
          <w:p w14:paraId="4F006355">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未向用户提供应急咨询服务或者应急咨询服务不符合本办法第二十二条规定的</w:t>
            </w:r>
          </w:p>
        </w:tc>
        <w:tc>
          <w:tcPr>
            <w:tcW w:w="3726" w:type="dxa"/>
            <w:vMerge w:val="restart"/>
            <w:noWrap w:val="0"/>
            <w:vAlign w:val="center"/>
          </w:tcPr>
          <w:p w14:paraId="444F469E">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登记管理办法》第三十条：登记企业有下列行为之一的，责令改正，可以处3万元以下的罚款：（一）未向用户提供应急咨询服务或者应急咨询服务不符合本办法第二十二条规定的；（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c>
          <w:tcPr>
            <w:tcW w:w="2942" w:type="dxa"/>
            <w:vMerge w:val="restart"/>
            <w:noWrap w:val="0"/>
            <w:vAlign w:val="center"/>
          </w:tcPr>
          <w:p w14:paraId="696F4C2F">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4B4430D4">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92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8" w:type="dxa"/>
            <w:vMerge w:val="continue"/>
            <w:noWrap w:val="0"/>
            <w:vAlign w:val="center"/>
          </w:tcPr>
          <w:p w14:paraId="40956F02">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1E8146B9">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002EA6DF">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42E9C3D0">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在危险化学品登记证有效期内企业名称、注册地址、应急咨询服务电话发生变化，未按规定按时办理危险化学品登记变更手续的</w:t>
            </w:r>
          </w:p>
        </w:tc>
        <w:tc>
          <w:tcPr>
            <w:tcW w:w="3726" w:type="dxa"/>
            <w:vMerge w:val="continue"/>
            <w:noWrap w:val="0"/>
            <w:vAlign w:val="center"/>
          </w:tcPr>
          <w:p w14:paraId="6A19801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766B56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3DECEFA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99A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8" w:type="dxa"/>
            <w:vMerge w:val="continue"/>
            <w:noWrap w:val="0"/>
            <w:vAlign w:val="center"/>
          </w:tcPr>
          <w:p w14:paraId="14C37B3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8CA745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89BA93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9480016">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危险化学品登记证有效期满后，未按规定申请复核换证，继续进行生产或者进口的；</w:t>
            </w:r>
          </w:p>
        </w:tc>
        <w:tc>
          <w:tcPr>
            <w:tcW w:w="3726" w:type="dxa"/>
            <w:vMerge w:val="continue"/>
            <w:noWrap w:val="0"/>
            <w:vAlign w:val="center"/>
          </w:tcPr>
          <w:p w14:paraId="610A653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BD0DCC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507A69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F8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8" w:type="dxa"/>
            <w:vMerge w:val="continue"/>
            <w:noWrap w:val="0"/>
            <w:vAlign w:val="center"/>
          </w:tcPr>
          <w:p w14:paraId="2446480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F9A317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E87D75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0738B65">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转让、冒用或者使用伪造的危险化学品登记证，或者不如实填报登记内容、提交有关材料的。</w:t>
            </w:r>
          </w:p>
        </w:tc>
        <w:tc>
          <w:tcPr>
            <w:tcW w:w="3726" w:type="dxa"/>
            <w:vMerge w:val="continue"/>
            <w:noWrap w:val="0"/>
            <w:vAlign w:val="center"/>
          </w:tcPr>
          <w:p w14:paraId="3FE1AA1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035D5E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EC1A84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E2F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8" w:type="dxa"/>
            <w:vMerge w:val="continue"/>
            <w:noWrap w:val="0"/>
            <w:vAlign w:val="center"/>
          </w:tcPr>
          <w:p w14:paraId="725950E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093C572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0E1769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B6D4CE9">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拒绝、阻挠登记机构对本企业危险化学品登记情况进行现场核查的。</w:t>
            </w:r>
          </w:p>
        </w:tc>
        <w:tc>
          <w:tcPr>
            <w:tcW w:w="3726" w:type="dxa"/>
            <w:vMerge w:val="continue"/>
            <w:noWrap w:val="0"/>
            <w:vAlign w:val="center"/>
          </w:tcPr>
          <w:p w14:paraId="58EE56C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41E6FA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4E8A4B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AA9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898" w:type="dxa"/>
            <w:vMerge w:val="restart"/>
            <w:noWrap w:val="0"/>
            <w:vAlign w:val="center"/>
          </w:tcPr>
          <w:p w14:paraId="2F12B25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76</w:t>
            </w:r>
          </w:p>
        </w:tc>
        <w:tc>
          <w:tcPr>
            <w:tcW w:w="1096" w:type="dxa"/>
            <w:vMerge w:val="restart"/>
            <w:noWrap w:val="0"/>
            <w:vAlign w:val="center"/>
          </w:tcPr>
          <w:p w14:paraId="26E6913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6F4855C0">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对零售经营者变更零售点名称、主要负责人或者经营场所，未重新办理零售许可证等两类行为的处罚</w:t>
            </w:r>
          </w:p>
        </w:tc>
        <w:tc>
          <w:tcPr>
            <w:tcW w:w="1500" w:type="dxa"/>
            <w:shd w:val="clear" w:color="auto" w:fill="auto"/>
            <w:noWrap w:val="0"/>
            <w:vAlign w:val="center"/>
          </w:tcPr>
          <w:p w14:paraId="78AF2F85">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变更零售点名称、主要负责人或者经营场所，未重新办理零售许可证的；</w:t>
            </w:r>
          </w:p>
        </w:tc>
        <w:tc>
          <w:tcPr>
            <w:tcW w:w="3726" w:type="dxa"/>
            <w:vMerge w:val="restart"/>
            <w:noWrap w:val="0"/>
            <w:vAlign w:val="center"/>
          </w:tcPr>
          <w:p w14:paraId="436A63CD">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烟花爆竹经营许可实施办法》第三十五条：零售经营者有下列行为之一的，责令其限期改正，处1000元以上5000元以下的罚款；情节严重的，处5000元以上30000元以下的罚款：（一）变更零售点名称、主要负责人或者经营场所，未重新办理零售许可证的；（二）存放的烟花爆竹数量超过零售许可证载明范围的。</w:t>
            </w:r>
          </w:p>
        </w:tc>
        <w:tc>
          <w:tcPr>
            <w:tcW w:w="2942" w:type="dxa"/>
            <w:vMerge w:val="restart"/>
            <w:noWrap w:val="0"/>
            <w:vAlign w:val="center"/>
          </w:tcPr>
          <w:p w14:paraId="149FF1EE">
            <w:pPr>
              <w:spacing w:line="16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7BE64D9A">
            <w:pPr>
              <w:spacing w:line="16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787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98" w:type="dxa"/>
            <w:vMerge w:val="continue"/>
            <w:noWrap w:val="0"/>
            <w:vAlign w:val="center"/>
          </w:tcPr>
          <w:p w14:paraId="53339ADF">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5F256DF1">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15C03353">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5CC8E847">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存放的烟花爆竹数量超过零售许可证载明范围的</w:t>
            </w:r>
          </w:p>
        </w:tc>
        <w:tc>
          <w:tcPr>
            <w:tcW w:w="3726" w:type="dxa"/>
            <w:vMerge w:val="continue"/>
            <w:noWrap w:val="0"/>
            <w:vAlign w:val="center"/>
          </w:tcPr>
          <w:p w14:paraId="7CF5436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FBC8C4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48FC1C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027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4A56D4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77</w:t>
            </w:r>
          </w:p>
        </w:tc>
        <w:tc>
          <w:tcPr>
            <w:tcW w:w="1096" w:type="dxa"/>
            <w:noWrap w:val="0"/>
            <w:vAlign w:val="center"/>
          </w:tcPr>
          <w:p w14:paraId="53ED76F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097160A9">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对烟花爆竹经营单位出租、出借、转让、买卖烟花爆竹经营许可证的处罚</w:t>
            </w:r>
          </w:p>
        </w:tc>
        <w:tc>
          <w:tcPr>
            <w:tcW w:w="1500" w:type="dxa"/>
            <w:noWrap w:val="0"/>
            <w:vAlign w:val="center"/>
          </w:tcPr>
          <w:p w14:paraId="57E42DB6">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CAAA312">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烟花爆竹经营许可实施办法》第三十六条：烟花爆竹经营单位出租、出借、转让、买卖烟花爆竹经营许可证的，责令其停止违法行为，处1万元以上3万元以下的罚款，并依法撤销烟花爆竹经营许可证。冒用或者使用伪造的烟花爆竹经营许可证的，依照本办法第三十一条的规定处罚。</w:t>
            </w:r>
          </w:p>
        </w:tc>
        <w:tc>
          <w:tcPr>
            <w:tcW w:w="2942" w:type="dxa"/>
            <w:noWrap w:val="0"/>
            <w:vAlign w:val="center"/>
          </w:tcPr>
          <w:p w14:paraId="0B9D4AD3">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94B4B08">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6E6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282850F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78</w:t>
            </w:r>
          </w:p>
        </w:tc>
        <w:tc>
          <w:tcPr>
            <w:tcW w:w="1096" w:type="dxa"/>
            <w:noWrap w:val="0"/>
            <w:vAlign w:val="center"/>
          </w:tcPr>
          <w:p w14:paraId="1180AB2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CBAA370">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对已经批准的建设项目安全设施设计发生重大变更，生产经营单位未报原批准部门审查同意擅自开工建设的处罚</w:t>
            </w:r>
          </w:p>
        </w:tc>
        <w:tc>
          <w:tcPr>
            <w:tcW w:w="1500" w:type="dxa"/>
            <w:noWrap w:val="0"/>
            <w:vAlign w:val="center"/>
          </w:tcPr>
          <w:p w14:paraId="658A4B27">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030AACA">
            <w:pPr>
              <w:spacing w:line="180" w:lineRule="exact"/>
              <w:rPr>
                <w:rFonts w:hint="eastAsia" w:ascii="Times New Roman" w:hAnsi="宋体" w:eastAsia="宋体" w:cs="宋体"/>
                <w:kern w:val="0"/>
                <w:sz w:val="16"/>
                <w:szCs w:val="16"/>
              </w:rPr>
            </w:pPr>
            <w:r>
              <w:rPr>
                <w:rFonts w:hint="eastAsia" w:ascii="宋体" w:hAnsi="宋体" w:eastAsia="宋体" w:cs="宋体"/>
                <w:color w:val="000000"/>
                <w:kern w:val="0"/>
                <w:sz w:val="16"/>
                <w:szCs w:val="16"/>
              </w:rPr>
              <w:t>《建设项目安全设施“三同时”监督管理办法》第二十九条：已经批准的建设项目安全设施设计发生重大变更，生产经营单位未报原批准部门审查同意擅自开工建设的，责令限期改正，可以并处1万元以上3万元以下的罚款。</w:t>
            </w:r>
          </w:p>
        </w:tc>
        <w:tc>
          <w:tcPr>
            <w:tcW w:w="2942" w:type="dxa"/>
            <w:noWrap w:val="0"/>
            <w:vAlign w:val="center"/>
          </w:tcPr>
          <w:p w14:paraId="15A075EA">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C33276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9E5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D8951E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79</w:t>
            </w:r>
          </w:p>
        </w:tc>
        <w:tc>
          <w:tcPr>
            <w:tcW w:w="1096" w:type="dxa"/>
            <w:noWrap w:val="0"/>
            <w:vAlign w:val="center"/>
          </w:tcPr>
          <w:p w14:paraId="4D278B1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994A2BC">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对从业人员安全培训的时间少于规定、新招的危险工艺操作岗位人员未经实习期满独立上岗作业的、人员未按照规定重新参加安全培训的处罚</w:t>
            </w:r>
          </w:p>
        </w:tc>
        <w:tc>
          <w:tcPr>
            <w:tcW w:w="1500" w:type="dxa"/>
            <w:noWrap w:val="0"/>
            <w:vAlign w:val="center"/>
          </w:tcPr>
          <w:p w14:paraId="55D38A83">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7976EA94">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《安全生产培训管理办法》第三十六条：生产经营单位有下列情形之一的，责令改正，处3万元以下的罚款： （一）从业人员安全培训的时间少于《生产经营单位安全培训规定》或者有关标准规定的； （二）矿山新招的井下作业人员和危险物品生产经营单位新招的危险工艺操作岗位人员，未经实习期满独立上岗作业的； （三）相关人员未按照本办法第十二条规定重新参加安全培训的。</w:t>
            </w:r>
          </w:p>
        </w:tc>
        <w:tc>
          <w:tcPr>
            <w:tcW w:w="2942" w:type="dxa"/>
            <w:noWrap w:val="0"/>
            <w:vAlign w:val="center"/>
          </w:tcPr>
          <w:p w14:paraId="27977D2A">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7785891">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2F2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A5B88B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80</w:t>
            </w:r>
          </w:p>
        </w:tc>
        <w:tc>
          <w:tcPr>
            <w:tcW w:w="1096" w:type="dxa"/>
            <w:noWrap w:val="0"/>
            <w:vAlign w:val="center"/>
          </w:tcPr>
          <w:p w14:paraId="049EB79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B02D07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500" w:type="dxa"/>
            <w:noWrap w:val="0"/>
            <w:vAlign w:val="center"/>
          </w:tcPr>
          <w:p w14:paraId="34BED2F6">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3391357">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危险化学品安全管理条例》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2942" w:type="dxa"/>
            <w:noWrap w:val="0"/>
            <w:vAlign w:val="center"/>
          </w:tcPr>
          <w:p w14:paraId="41E52867">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643B49D">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8DB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restart"/>
            <w:noWrap w:val="0"/>
            <w:vAlign w:val="center"/>
          </w:tcPr>
          <w:p w14:paraId="53F8B5B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81</w:t>
            </w:r>
          </w:p>
        </w:tc>
        <w:tc>
          <w:tcPr>
            <w:tcW w:w="1096" w:type="dxa"/>
            <w:vMerge w:val="restart"/>
            <w:noWrap w:val="0"/>
            <w:vAlign w:val="center"/>
          </w:tcPr>
          <w:p w14:paraId="5F566AD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363645A7">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对在城市建成区内设立烟花爆竹储存仓库，或者在批发（展示）场所摆放有药样品等十类情形的处罚</w:t>
            </w:r>
          </w:p>
        </w:tc>
        <w:tc>
          <w:tcPr>
            <w:tcW w:w="1500" w:type="dxa"/>
            <w:shd w:val="clear" w:color="auto" w:fill="auto"/>
            <w:noWrap w:val="0"/>
            <w:vAlign w:val="center"/>
          </w:tcPr>
          <w:p w14:paraId="416D9F06">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在城市建成区内设立烟花爆竹储存仓库，或者在批发（展示）场所摆放有药样品的；</w:t>
            </w:r>
          </w:p>
        </w:tc>
        <w:tc>
          <w:tcPr>
            <w:tcW w:w="3726" w:type="dxa"/>
            <w:vMerge w:val="restart"/>
            <w:noWrap w:val="0"/>
            <w:vAlign w:val="center"/>
          </w:tcPr>
          <w:p w14:paraId="713AC892">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烟花爆竹经营许可实施办法》第三十二条：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c>
          <w:tcPr>
            <w:tcW w:w="2942" w:type="dxa"/>
            <w:vMerge w:val="restart"/>
            <w:noWrap w:val="0"/>
            <w:vAlign w:val="center"/>
          </w:tcPr>
          <w:p w14:paraId="4836F0DA">
            <w:pPr>
              <w:spacing w:line="16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49DF8FAF">
            <w:pPr>
              <w:spacing w:line="16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212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485AA6B4">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71637614">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7448B22D">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086278A3">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采购和销售质量不符合国家标准或者行业标准规定的烟花爆竹的；</w:t>
            </w:r>
          </w:p>
        </w:tc>
        <w:tc>
          <w:tcPr>
            <w:tcW w:w="3726" w:type="dxa"/>
            <w:vMerge w:val="continue"/>
            <w:noWrap w:val="0"/>
            <w:vAlign w:val="center"/>
          </w:tcPr>
          <w:p w14:paraId="261E10F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DE5DB7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539899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7F9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52087E9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C3FD3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453E29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6FCE4C1">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在仓库内违反国家标准或者行业标准规定储存烟花爆竹的；</w:t>
            </w:r>
          </w:p>
        </w:tc>
        <w:tc>
          <w:tcPr>
            <w:tcW w:w="3726" w:type="dxa"/>
            <w:vMerge w:val="continue"/>
            <w:noWrap w:val="0"/>
            <w:vAlign w:val="center"/>
          </w:tcPr>
          <w:p w14:paraId="0962D75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26BD6F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EABC93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E17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00E2868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647C0A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422200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8FB887A">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在烟花爆竹经营许可证载明的仓库以外储存烟花爆竹的；</w:t>
            </w:r>
          </w:p>
        </w:tc>
        <w:tc>
          <w:tcPr>
            <w:tcW w:w="3726" w:type="dxa"/>
            <w:vMerge w:val="continue"/>
            <w:noWrap w:val="0"/>
            <w:vAlign w:val="center"/>
          </w:tcPr>
          <w:p w14:paraId="7B9C99E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2931C4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960425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E15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0C75A57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52E9D2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5E1355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88FAECE">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对假冒伪劣、过期、含有超量、违禁药物以及其他存在严重质量问题的烟花爆竹未及时销毁的</w:t>
            </w:r>
          </w:p>
        </w:tc>
        <w:tc>
          <w:tcPr>
            <w:tcW w:w="3726" w:type="dxa"/>
            <w:vMerge w:val="continue"/>
            <w:noWrap w:val="0"/>
            <w:vAlign w:val="center"/>
          </w:tcPr>
          <w:p w14:paraId="4E85FCA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EBD814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02F644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E88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5F56D49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D886A8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4DE2FE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7067D4F">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未执行合同管理、流向登记制度或者未按照规定应用烟花爆竹流向管理信息系统的；</w:t>
            </w:r>
          </w:p>
        </w:tc>
        <w:tc>
          <w:tcPr>
            <w:tcW w:w="3726" w:type="dxa"/>
            <w:vMerge w:val="continue"/>
            <w:noWrap w:val="0"/>
            <w:vAlign w:val="center"/>
          </w:tcPr>
          <w:p w14:paraId="0BECF7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C373D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D36621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6CD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065C98C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419A37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1E894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5F66CC2">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未将黑火药、引火线的采购、销售记录报所在地县级安全监管局备案的；</w:t>
            </w:r>
          </w:p>
        </w:tc>
        <w:tc>
          <w:tcPr>
            <w:tcW w:w="3726" w:type="dxa"/>
            <w:vMerge w:val="continue"/>
            <w:noWrap w:val="0"/>
            <w:vAlign w:val="center"/>
          </w:tcPr>
          <w:p w14:paraId="1AA153D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9A2009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B45016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6EB9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6F4C756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EBE96F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C717C1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E318508">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仓储设施新建、改建、扩建后，未重新申请办理许可手续的</w:t>
            </w:r>
          </w:p>
        </w:tc>
        <w:tc>
          <w:tcPr>
            <w:tcW w:w="3726" w:type="dxa"/>
            <w:vMerge w:val="continue"/>
            <w:noWrap w:val="0"/>
            <w:vAlign w:val="center"/>
          </w:tcPr>
          <w:p w14:paraId="2AAD078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2496EC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4DA679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19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461B93C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9F900F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11966B9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1741F12">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变更企业名称、主要负责人、注册地址，未申请办理许可证变更手续的；</w:t>
            </w:r>
          </w:p>
        </w:tc>
        <w:tc>
          <w:tcPr>
            <w:tcW w:w="3726" w:type="dxa"/>
            <w:vMerge w:val="continue"/>
            <w:noWrap w:val="0"/>
            <w:vAlign w:val="center"/>
          </w:tcPr>
          <w:p w14:paraId="6E02E73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4235A8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DA0637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6C9F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98" w:type="dxa"/>
            <w:vMerge w:val="continue"/>
            <w:noWrap w:val="0"/>
            <w:vAlign w:val="center"/>
          </w:tcPr>
          <w:p w14:paraId="6CA1333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E61484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4A6DC5A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C851EC1">
            <w:pPr>
              <w:widowControl/>
              <w:suppressAutoHyphens/>
              <w:spacing w:line="180" w:lineRule="exact"/>
              <w:jc w:val="center"/>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16"/>
                <w:szCs w:val="16"/>
              </w:rPr>
              <w:t>向未取得零售许可证的单位或者个人销售烟花爆竹的。</w:t>
            </w:r>
          </w:p>
        </w:tc>
        <w:tc>
          <w:tcPr>
            <w:tcW w:w="3726" w:type="dxa"/>
            <w:vMerge w:val="continue"/>
            <w:noWrap w:val="0"/>
            <w:vAlign w:val="center"/>
          </w:tcPr>
          <w:p w14:paraId="1068C9F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773C1E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794E43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A1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2F7994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82</w:t>
            </w:r>
          </w:p>
        </w:tc>
        <w:tc>
          <w:tcPr>
            <w:tcW w:w="1096" w:type="dxa"/>
            <w:noWrap w:val="0"/>
            <w:vAlign w:val="center"/>
          </w:tcPr>
          <w:p w14:paraId="2C4B7B9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A733FDD">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对工（库）房没有设置准确、清晰、醒目的定员、定量、定级标识的和未向零售经营者或者零售经营场所提供烟花爆竹配送服务的处罚</w:t>
            </w:r>
          </w:p>
        </w:tc>
        <w:tc>
          <w:tcPr>
            <w:tcW w:w="1500" w:type="dxa"/>
            <w:noWrap w:val="0"/>
            <w:vAlign w:val="center"/>
          </w:tcPr>
          <w:p w14:paraId="0EF7FF08">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5125F7AF">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《烟花爆竹生产经营安全规定》第三十三条： 生产企业、批发企业有下列行为之一的，责令限期改正；逾期未改正的，处一万元以上三万元以下的罚款：（一）工（库）房没有设置准确、清晰、醒目的定员、定量、定级标识的；（二）未向零售经营者或者零售经营场所提供烟花爆竹配送服务的。</w:t>
            </w:r>
          </w:p>
        </w:tc>
        <w:tc>
          <w:tcPr>
            <w:tcW w:w="2942" w:type="dxa"/>
            <w:noWrap w:val="0"/>
            <w:vAlign w:val="center"/>
          </w:tcPr>
          <w:p w14:paraId="54B5874E">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3944958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93C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4F1C94A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83</w:t>
            </w:r>
          </w:p>
        </w:tc>
        <w:tc>
          <w:tcPr>
            <w:tcW w:w="1096" w:type="dxa"/>
            <w:noWrap w:val="0"/>
            <w:vAlign w:val="center"/>
          </w:tcPr>
          <w:p w14:paraId="6ABB354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9D69F28">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对不具备安全培训条件、未按照统一的培训大纲组织教学培训、未建立培训档案或者培训档案管理不规范的处罚</w:t>
            </w:r>
          </w:p>
        </w:tc>
        <w:tc>
          <w:tcPr>
            <w:tcW w:w="1500" w:type="dxa"/>
            <w:noWrap w:val="0"/>
            <w:vAlign w:val="center"/>
          </w:tcPr>
          <w:p w14:paraId="41CCAEB5">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E1F948A">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《安全生产培训管理办法》第三十四条：安全培训机构有下列情形之一的，责令限期改正，处1万元以下的罚款；逾期未改正的，给予警告，处1万元以上3万元以下的罚款： （一）不具备安全培训条件的； （二）未按照统一的培训大纲组织教学培训的； （三）未建立培训档案或者培训档案管理不规范的； 安全培训机构采取不正当竞争手段，故意贬低、诋毁其他安全培训机构的，依照前款规定处罚。</w:t>
            </w:r>
          </w:p>
        </w:tc>
        <w:tc>
          <w:tcPr>
            <w:tcW w:w="2942" w:type="dxa"/>
            <w:noWrap w:val="0"/>
            <w:vAlign w:val="center"/>
          </w:tcPr>
          <w:p w14:paraId="526BB863">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3E5DF80">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B37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4DDFD4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84</w:t>
            </w:r>
          </w:p>
        </w:tc>
        <w:tc>
          <w:tcPr>
            <w:tcW w:w="1096" w:type="dxa"/>
            <w:noWrap w:val="0"/>
            <w:vAlign w:val="center"/>
          </w:tcPr>
          <w:p w14:paraId="4F43F2F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07D30304">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对生产经营单位主要负责人、安全生产管理人员、特种作业人员以欺骗、贿赂等不正当手段取得安全合格证或者特种作业操作证的处罚</w:t>
            </w:r>
          </w:p>
        </w:tc>
        <w:tc>
          <w:tcPr>
            <w:tcW w:w="1500" w:type="dxa"/>
            <w:noWrap w:val="0"/>
            <w:vAlign w:val="center"/>
          </w:tcPr>
          <w:p w14:paraId="3194B983">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D1E52B7">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2942" w:type="dxa"/>
            <w:noWrap w:val="0"/>
            <w:vAlign w:val="center"/>
          </w:tcPr>
          <w:p w14:paraId="76488AB2">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6C6C3E34">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09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E93498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85</w:t>
            </w:r>
          </w:p>
        </w:tc>
        <w:tc>
          <w:tcPr>
            <w:tcW w:w="1096" w:type="dxa"/>
            <w:noWrap w:val="0"/>
            <w:vAlign w:val="center"/>
          </w:tcPr>
          <w:p w14:paraId="2ABB2B1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9CFE9C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对违反规定生产、经营、购买的易制毒化学品的处罚</w:t>
            </w:r>
          </w:p>
        </w:tc>
        <w:tc>
          <w:tcPr>
            <w:tcW w:w="1500" w:type="dxa"/>
            <w:noWrap w:val="0"/>
            <w:vAlign w:val="center"/>
          </w:tcPr>
          <w:p w14:paraId="2F4F26EC">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8979ADA">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易制毒化学品管理条例》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 企业的易制毒化学品生产经营许可被依法吊销后，未及时到工商行政管理部门办理经营范围变更或者企业注销登记的，依照前款规定，对易制毒化学品予以没收，并处罚款。</w:t>
            </w:r>
          </w:p>
        </w:tc>
        <w:tc>
          <w:tcPr>
            <w:tcW w:w="2942" w:type="dxa"/>
            <w:noWrap w:val="0"/>
            <w:vAlign w:val="center"/>
          </w:tcPr>
          <w:p w14:paraId="69A3AB4F">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E7241BA">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CD4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CAC2D1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86</w:t>
            </w:r>
          </w:p>
        </w:tc>
        <w:tc>
          <w:tcPr>
            <w:tcW w:w="1096" w:type="dxa"/>
            <w:noWrap w:val="0"/>
            <w:vAlign w:val="center"/>
          </w:tcPr>
          <w:p w14:paraId="04C161F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3FEB7814">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对生产、经营、购买、运输或者进口、出口易制毒化学品的单位或者个人拒不接受有关行政主管部门监督检查的处罚</w:t>
            </w:r>
          </w:p>
        </w:tc>
        <w:tc>
          <w:tcPr>
            <w:tcW w:w="1500" w:type="dxa"/>
            <w:noWrap w:val="0"/>
            <w:vAlign w:val="center"/>
          </w:tcPr>
          <w:p w14:paraId="10DC8EDC">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5AE82258">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2942" w:type="dxa"/>
            <w:noWrap w:val="0"/>
            <w:vAlign w:val="center"/>
          </w:tcPr>
          <w:p w14:paraId="4A73F99A">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3F56AB4">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B81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0BA7817">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87</w:t>
            </w:r>
          </w:p>
        </w:tc>
        <w:tc>
          <w:tcPr>
            <w:tcW w:w="1096" w:type="dxa"/>
            <w:noWrap w:val="0"/>
            <w:vAlign w:val="center"/>
          </w:tcPr>
          <w:p w14:paraId="474808C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00018C2">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对违反规定销售剧毒、易制爆化学品的处罚</w:t>
            </w:r>
          </w:p>
        </w:tc>
        <w:tc>
          <w:tcPr>
            <w:tcW w:w="1500" w:type="dxa"/>
            <w:noWrap w:val="0"/>
            <w:vAlign w:val="center"/>
          </w:tcPr>
          <w:p w14:paraId="531A15B8">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C31284E">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2942" w:type="dxa"/>
            <w:noWrap w:val="0"/>
            <w:vAlign w:val="center"/>
          </w:tcPr>
          <w:p w14:paraId="1C4EEA10">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440C46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F36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355369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88</w:t>
            </w:r>
          </w:p>
        </w:tc>
        <w:tc>
          <w:tcPr>
            <w:tcW w:w="1096" w:type="dxa"/>
            <w:noWrap w:val="0"/>
            <w:vAlign w:val="center"/>
          </w:tcPr>
          <w:p w14:paraId="03A8C73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79E9548">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对未经许可生产、经营烟花爆竹制品，或者向未取得烟花爆竹安全生产许可的单位或者个人销售黑火药、烟火药、引火线的处罚</w:t>
            </w:r>
          </w:p>
        </w:tc>
        <w:tc>
          <w:tcPr>
            <w:tcW w:w="1500" w:type="dxa"/>
            <w:noWrap w:val="0"/>
            <w:vAlign w:val="center"/>
          </w:tcPr>
          <w:p w14:paraId="4443FD47">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489F3CA5">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2942" w:type="dxa"/>
            <w:noWrap w:val="0"/>
            <w:vAlign w:val="center"/>
          </w:tcPr>
          <w:p w14:paraId="136045A1">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BF5DE7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9C3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E2E0CF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89</w:t>
            </w:r>
          </w:p>
        </w:tc>
        <w:tc>
          <w:tcPr>
            <w:tcW w:w="1096" w:type="dxa"/>
            <w:noWrap w:val="0"/>
            <w:vAlign w:val="center"/>
          </w:tcPr>
          <w:p w14:paraId="2193DAD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3594B4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对未按照标准生产烟花爆竹的处罚</w:t>
            </w:r>
          </w:p>
        </w:tc>
        <w:tc>
          <w:tcPr>
            <w:tcW w:w="1500" w:type="dxa"/>
            <w:noWrap w:val="0"/>
            <w:vAlign w:val="center"/>
          </w:tcPr>
          <w:p w14:paraId="00D8F2AE">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113D75A">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烟花爆竹安全管理条例》第三十七条：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2942" w:type="dxa"/>
            <w:noWrap w:val="0"/>
            <w:vAlign w:val="center"/>
          </w:tcPr>
          <w:p w14:paraId="0A91A6C4">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0E6BCA2">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2E4B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restart"/>
            <w:noWrap w:val="0"/>
            <w:vAlign w:val="center"/>
          </w:tcPr>
          <w:p w14:paraId="34D291A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90</w:t>
            </w:r>
          </w:p>
        </w:tc>
        <w:tc>
          <w:tcPr>
            <w:tcW w:w="1096" w:type="dxa"/>
            <w:vMerge w:val="restart"/>
            <w:noWrap w:val="0"/>
            <w:vAlign w:val="center"/>
          </w:tcPr>
          <w:p w14:paraId="4A5A2EC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shd w:val="clear" w:color="auto" w:fill="auto"/>
            <w:noWrap w:val="0"/>
            <w:vAlign w:val="center"/>
          </w:tcPr>
          <w:p w14:paraId="0AD6F78C">
            <w:pPr>
              <w:widowControl/>
              <w:suppressAutoHyphens/>
              <w:spacing w:line="360" w:lineRule="exact"/>
              <w:jc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对生产、储存危险化学品的单位未对其铺设的危险化学品管道设置明显的标志，或者未对危险化学品管道定期检查、检测的等十二类情形的处罚</w:t>
            </w:r>
          </w:p>
        </w:tc>
        <w:tc>
          <w:tcPr>
            <w:tcW w:w="1500" w:type="dxa"/>
            <w:shd w:val="clear" w:color="auto" w:fill="auto"/>
            <w:noWrap w:val="0"/>
            <w:vAlign w:val="center"/>
          </w:tcPr>
          <w:p w14:paraId="73EBC578">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对生产、储存危险化学品的单位未对其铺设的危险化学品管道设置明显的标志，或者未对危险化学品管道定期检查、检测的处罚</w:t>
            </w:r>
          </w:p>
        </w:tc>
        <w:tc>
          <w:tcPr>
            <w:tcW w:w="3726" w:type="dxa"/>
            <w:vMerge w:val="restart"/>
            <w:noWrap w:val="0"/>
            <w:vAlign w:val="center"/>
          </w:tcPr>
          <w:p w14:paraId="6A2109E2">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2942" w:type="dxa"/>
            <w:vMerge w:val="restart"/>
            <w:noWrap w:val="0"/>
            <w:vAlign w:val="center"/>
          </w:tcPr>
          <w:p w14:paraId="53FDA2EE">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2F2166D5">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AF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2A87863C">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4B5E5A4E">
            <w:pPr>
              <w:widowControl/>
              <w:suppressAutoHyphens/>
              <w:snapToGrid w:val="0"/>
              <w:spacing w:line="240" w:lineRule="auto"/>
              <w:ind w:left="0" w:leftChars="0" w:right="0" w:rightChars="0" w:firstLine="0" w:firstLineChars="0"/>
              <w:jc w:val="left"/>
            </w:pPr>
          </w:p>
        </w:tc>
        <w:tc>
          <w:tcPr>
            <w:tcW w:w="1850" w:type="dxa"/>
            <w:vMerge w:val="continue"/>
            <w:shd w:val="clear" w:color="auto" w:fill="auto"/>
            <w:noWrap w:val="0"/>
            <w:vAlign w:val="center"/>
          </w:tcPr>
          <w:p w14:paraId="459E0193">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07CF47D8">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3726" w:type="dxa"/>
            <w:vMerge w:val="continue"/>
            <w:noWrap w:val="0"/>
            <w:vAlign w:val="center"/>
          </w:tcPr>
          <w:p w14:paraId="3B83196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54F8010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5026EA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7E1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031F087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087E65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203FAB7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51F65CC">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对危险化学品生产企业未提供化学品安全技术说明书，或者未在包装（包括外包装件）上粘贴、拴挂化学品安全标签的处罚</w:t>
            </w:r>
          </w:p>
        </w:tc>
        <w:tc>
          <w:tcPr>
            <w:tcW w:w="3726" w:type="dxa"/>
            <w:vMerge w:val="continue"/>
            <w:noWrap w:val="0"/>
            <w:vAlign w:val="center"/>
          </w:tcPr>
          <w:p w14:paraId="3414125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E94F86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E9AE90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284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6752EC5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139831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3F07EAC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2A527F2">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3726" w:type="dxa"/>
            <w:vMerge w:val="continue"/>
            <w:noWrap w:val="0"/>
            <w:vAlign w:val="center"/>
          </w:tcPr>
          <w:p w14:paraId="371B84B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02EE5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B94949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6E2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7D4E636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688501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0D183E3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15BFC1A">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对危险化学品生产企业发现其生产的危险化学品有新的危险特性不立即公告，或者不及时修订其化学品安全技术说明书和化学品安全标签的处罚</w:t>
            </w:r>
          </w:p>
        </w:tc>
        <w:tc>
          <w:tcPr>
            <w:tcW w:w="3726" w:type="dxa"/>
            <w:vMerge w:val="continue"/>
            <w:noWrap w:val="0"/>
            <w:vAlign w:val="center"/>
          </w:tcPr>
          <w:p w14:paraId="6C8272D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67BE4A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506C3C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CFB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132E343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038923D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5AE03D3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0202023">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对危险化学品经营企业经营没有化学品安全技术说明书和化学品安全标签的危险化学品的处罚</w:t>
            </w:r>
          </w:p>
        </w:tc>
        <w:tc>
          <w:tcPr>
            <w:tcW w:w="3726" w:type="dxa"/>
            <w:vMerge w:val="continue"/>
            <w:noWrap w:val="0"/>
            <w:vAlign w:val="center"/>
          </w:tcPr>
          <w:p w14:paraId="03667F9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2D1F33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049E34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7AF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56B21E0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857E0A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1D7D000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63BAFF02">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对危险化学品包装物、容器的材质以及包装的型式、规格、方法和单件质量（重量）与所包装的危险化学品的性质和用途不相适应的处罚</w:t>
            </w:r>
          </w:p>
        </w:tc>
        <w:tc>
          <w:tcPr>
            <w:tcW w:w="3726" w:type="dxa"/>
            <w:vMerge w:val="continue"/>
            <w:noWrap w:val="0"/>
            <w:vAlign w:val="center"/>
          </w:tcPr>
          <w:p w14:paraId="55C1E4A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57FA4ED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2DA9A7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124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1CF857D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670720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0262C4D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0CA29D7">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对生产、储存危险化学品的单位未在作业场所和安全设施、设备上设置明显的安全警示标志，或者未在作业场所设置通信、报警装置的处罚</w:t>
            </w:r>
          </w:p>
        </w:tc>
        <w:tc>
          <w:tcPr>
            <w:tcW w:w="3726" w:type="dxa"/>
            <w:vMerge w:val="continue"/>
            <w:noWrap w:val="0"/>
            <w:vAlign w:val="center"/>
          </w:tcPr>
          <w:p w14:paraId="44B1DAC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F36E66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2AE2AE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3B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0D25C57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50C80C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6A618CB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69E0626">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对危险化学品专用仓库未设专人负责管理，或者对储存的剧毒化学品以及储存数量构成重大危险源的其他危险化学品未实行双人收发、双人保管制度的处罚</w:t>
            </w:r>
          </w:p>
        </w:tc>
        <w:tc>
          <w:tcPr>
            <w:tcW w:w="3726" w:type="dxa"/>
            <w:vMerge w:val="continue"/>
            <w:noWrap w:val="0"/>
            <w:vAlign w:val="center"/>
          </w:tcPr>
          <w:p w14:paraId="709BEFA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65F6B0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34751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6F0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47B95AA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0EF179D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627AE0D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9DA2548">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对储存危险化学品的单位未建立危险化学品出入库核查、登记制度的处罚</w:t>
            </w:r>
          </w:p>
        </w:tc>
        <w:tc>
          <w:tcPr>
            <w:tcW w:w="3726" w:type="dxa"/>
            <w:vMerge w:val="continue"/>
            <w:noWrap w:val="0"/>
            <w:vAlign w:val="center"/>
          </w:tcPr>
          <w:p w14:paraId="3902F23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5B69A6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5ED9E2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357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8" w:type="dxa"/>
            <w:vMerge w:val="continue"/>
            <w:noWrap w:val="0"/>
            <w:vAlign w:val="center"/>
          </w:tcPr>
          <w:p w14:paraId="0373F0D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88C994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shd w:val="clear" w:color="auto" w:fill="auto"/>
            <w:noWrap w:val="0"/>
            <w:vAlign w:val="center"/>
          </w:tcPr>
          <w:p w14:paraId="514D72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D1A5D9F">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对危险化学品专用仓库未设置明显标志的处罚</w:t>
            </w:r>
          </w:p>
        </w:tc>
        <w:tc>
          <w:tcPr>
            <w:tcW w:w="3726" w:type="dxa"/>
            <w:vMerge w:val="continue"/>
            <w:noWrap w:val="0"/>
            <w:vAlign w:val="center"/>
          </w:tcPr>
          <w:p w14:paraId="157592D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56622B9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8F019D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29B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restart"/>
            <w:noWrap w:val="0"/>
            <w:vAlign w:val="center"/>
          </w:tcPr>
          <w:p w14:paraId="7FDFE243">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91</w:t>
            </w:r>
          </w:p>
        </w:tc>
        <w:tc>
          <w:tcPr>
            <w:tcW w:w="1096" w:type="dxa"/>
            <w:vMerge w:val="restart"/>
            <w:noWrap w:val="0"/>
            <w:vAlign w:val="center"/>
          </w:tcPr>
          <w:p w14:paraId="4DF0302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5BE45FDC">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对重复使用的危险化学品包装物、容器，在重复使用前不进行检查等七项情形的处罚</w:t>
            </w:r>
          </w:p>
        </w:tc>
        <w:tc>
          <w:tcPr>
            <w:tcW w:w="1500" w:type="dxa"/>
            <w:shd w:val="clear" w:color="auto" w:fill="auto"/>
            <w:noWrap w:val="0"/>
            <w:vAlign w:val="center"/>
          </w:tcPr>
          <w:p w14:paraId="08729111">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对重复使用的危险化学品包装物、容器，在重复使用前不进行检查的处罚</w:t>
            </w:r>
          </w:p>
        </w:tc>
        <w:tc>
          <w:tcPr>
            <w:tcW w:w="3726" w:type="dxa"/>
            <w:vMerge w:val="restart"/>
            <w:noWrap w:val="0"/>
            <w:vAlign w:val="center"/>
          </w:tcPr>
          <w:p w14:paraId="06FA754A">
            <w:pPr>
              <w:snapToGrid w:val="0"/>
              <w:spacing w:line="240" w:lineRule="auto"/>
              <w:ind w:left="0" w:leftChars="0" w:right="0" w:rightChars="0" w:firstLine="0" w:firstLineChars="0"/>
              <w:jc w:val="left"/>
              <w:rPr>
                <w:rFonts w:hint="eastAsia" w:ascii="Times New Roman" w:hAnsi="宋体" w:eastAsia="宋体" w:cs="宋体"/>
                <w:kern w:val="0"/>
                <w:sz w:val="16"/>
                <w:szCs w:val="16"/>
              </w:rPr>
            </w:pPr>
          </w:p>
        </w:tc>
        <w:tc>
          <w:tcPr>
            <w:tcW w:w="2942" w:type="dxa"/>
            <w:vMerge w:val="restart"/>
            <w:noWrap w:val="0"/>
            <w:vAlign w:val="center"/>
          </w:tcPr>
          <w:p w14:paraId="71B2DC01">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70BD797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334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5F6E2164">
            <w:pPr>
              <w:widowControl/>
              <w:suppressAutoHyphens/>
              <w:spacing w:line="360" w:lineRule="exact"/>
              <w:jc w:val="center"/>
            </w:pPr>
          </w:p>
        </w:tc>
        <w:tc>
          <w:tcPr>
            <w:tcW w:w="1096" w:type="dxa"/>
            <w:vMerge w:val="continue"/>
            <w:noWrap w:val="0"/>
            <w:vAlign w:val="center"/>
          </w:tcPr>
          <w:p w14:paraId="703DC92F">
            <w:pPr>
              <w:widowControl/>
              <w:suppressAutoHyphens/>
              <w:spacing w:line="360" w:lineRule="exact"/>
              <w:jc w:val="center"/>
            </w:pPr>
          </w:p>
        </w:tc>
        <w:tc>
          <w:tcPr>
            <w:tcW w:w="1850" w:type="dxa"/>
            <w:vMerge w:val="continue"/>
            <w:noWrap w:val="0"/>
            <w:vAlign w:val="center"/>
          </w:tcPr>
          <w:p w14:paraId="2597627E">
            <w:pPr>
              <w:widowControl/>
              <w:suppressAutoHyphens/>
              <w:spacing w:line="360" w:lineRule="exact"/>
              <w:jc w:val="center"/>
            </w:pPr>
          </w:p>
        </w:tc>
        <w:tc>
          <w:tcPr>
            <w:tcW w:w="1500" w:type="dxa"/>
            <w:shd w:val="clear" w:color="auto" w:fill="auto"/>
            <w:noWrap w:val="0"/>
            <w:vAlign w:val="center"/>
          </w:tcPr>
          <w:p w14:paraId="0AE34C4E">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对未根据其生产、储存的危险化学品的种类和危险特性，在作业场所设置相关安全设施、设备，或者未按照国家标准、行业标准或者国家有关规定对安全设施、设备进行经常性维护、保养的处罚</w:t>
            </w:r>
          </w:p>
        </w:tc>
        <w:tc>
          <w:tcPr>
            <w:tcW w:w="3726" w:type="dxa"/>
            <w:vMerge w:val="continue"/>
            <w:noWrap w:val="0"/>
            <w:vAlign w:val="center"/>
          </w:tcPr>
          <w:p w14:paraId="6A4334CF">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942" w:type="dxa"/>
            <w:vMerge w:val="continue"/>
            <w:noWrap w:val="0"/>
            <w:vAlign w:val="center"/>
          </w:tcPr>
          <w:p w14:paraId="5DBA88F9">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888" w:type="dxa"/>
            <w:vMerge w:val="continue"/>
            <w:noWrap w:val="0"/>
            <w:vAlign w:val="center"/>
          </w:tcPr>
          <w:p w14:paraId="6988C44F">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r>
      <w:tr w14:paraId="4FB0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580EB782">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096" w:type="dxa"/>
            <w:vMerge w:val="continue"/>
            <w:noWrap w:val="0"/>
            <w:vAlign w:val="center"/>
          </w:tcPr>
          <w:p w14:paraId="252AF469">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850" w:type="dxa"/>
            <w:vMerge w:val="continue"/>
            <w:noWrap w:val="0"/>
            <w:vAlign w:val="center"/>
          </w:tcPr>
          <w:p w14:paraId="2F1D0A5C">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500" w:type="dxa"/>
            <w:shd w:val="clear" w:color="auto" w:fill="auto"/>
            <w:noWrap w:val="0"/>
            <w:vAlign w:val="center"/>
          </w:tcPr>
          <w:p w14:paraId="2CD69BE9">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对未依照规定对其安全生产条件定期进行安全评价的处罚</w:t>
            </w:r>
          </w:p>
        </w:tc>
        <w:tc>
          <w:tcPr>
            <w:tcW w:w="3726" w:type="dxa"/>
            <w:vMerge w:val="continue"/>
            <w:noWrap w:val="0"/>
            <w:vAlign w:val="center"/>
          </w:tcPr>
          <w:p w14:paraId="32E64753">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942" w:type="dxa"/>
            <w:vMerge w:val="continue"/>
            <w:noWrap w:val="0"/>
            <w:vAlign w:val="center"/>
          </w:tcPr>
          <w:p w14:paraId="47D86C3B">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888" w:type="dxa"/>
            <w:vMerge w:val="continue"/>
            <w:noWrap w:val="0"/>
            <w:vAlign w:val="center"/>
          </w:tcPr>
          <w:p w14:paraId="271566B3">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r>
      <w:tr w14:paraId="0359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7E1104E3">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096" w:type="dxa"/>
            <w:vMerge w:val="continue"/>
            <w:noWrap w:val="0"/>
            <w:vAlign w:val="center"/>
          </w:tcPr>
          <w:p w14:paraId="7B63EFC3">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850" w:type="dxa"/>
            <w:vMerge w:val="continue"/>
            <w:noWrap w:val="0"/>
            <w:vAlign w:val="center"/>
          </w:tcPr>
          <w:p w14:paraId="21FCC58C">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500" w:type="dxa"/>
            <w:shd w:val="clear" w:color="auto" w:fill="auto"/>
            <w:noWrap w:val="0"/>
            <w:vAlign w:val="center"/>
          </w:tcPr>
          <w:p w14:paraId="26C400AC">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对未将危险化学品储存在专用仓库内，或者未将剧毒化学品以及储存数量构成重大危险源的其他危险化学品在专用仓库内单独存放的处罚</w:t>
            </w:r>
          </w:p>
        </w:tc>
        <w:tc>
          <w:tcPr>
            <w:tcW w:w="3726" w:type="dxa"/>
            <w:vMerge w:val="continue"/>
            <w:noWrap w:val="0"/>
            <w:vAlign w:val="center"/>
          </w:tcPr>
          <w:p w14:paraId="49AFCD83">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942" w:type="dxa"/>
            <w:vMerge w:val="continue"/>
            <w:noWrap w:val="0"/>
            <w:vAlign w:val="center"/>
          </w:tcPr>
          <w:p w14:paraId="0E054DAB">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888" w:type="dxa"/>
            <w:vMerge w:val="continue"/>
            <w:noWrap w:val="0"/>
            <w:vAlign w:val="center"/>
          </w:tcPr>
          <w:p w14:paraId="2F45F2C0">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r>
      <w:tr w14:paraId="72D3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294FA416">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096" w:type="dxa"/>
            <w:vMerge w:val="continue"/>
            <w:noWrap w:val="0"/>
            <w:vAlign w:val="center"/>
          </w:tcPr>
          <w:p w14:paraId="32405B25">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850" w:type="dxa"/>
            <w:vMerge w:val="continue"/>
            <w:noWrap w:val="0"/>
            <w:vAlign w:val="center"/>
          </w:tcPr>
          <w:p w14:paraId="05D31387">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500" w:type="dxa"/>
            <w:shd w:val="clear" w:color="auto" w:fill="auto"/>
            <w:noWrap w:val="0"/>
            <w:vAlign w:val="center"/>
          </w:tcPr>
          <w:p w14:paraId="4A602365">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对危险化学品的储存方式、方法或者储存数量不符合国家标准或者国家有关规定的处罚</w:t>
            </w:r>
          </w:p>
        </w:tc>
        <w:tc>
          <w:tcPr>
            <w:tcW w:w="3726" w:type="dxa"/>
            <w:vMerge w:val="continue"/>
            <w:noWrap w:val="0"/>
            <w:vAlign w:val="center"/>
          </w:tcPr>
          <w:p w14:paraId="59DF3815">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942" w:type="dxa"/>
            <w:vMerge w:val="continue"/>
            <w:noWrap w:val="0"/>
            <w:vAlign w:val="center"/>
          </w:tcPr>
          <w:p w14:paraId="333F4812">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888" w:type="dxa"/>
            <w:vMerge w:val="continue"/>
            <w:noWrap w:val="0"/>
            <w:vAlign w:val="center"/>
          </w:tcPr>
          <w:p w14:paraId="01C0C4BD">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r>
      <w:tr w14:paraId="5C0D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31B398B3">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096" w:type="dxa"/>
            <w:vMerge w:val="continue"/>
            <w:noWrap w:val="0"/>
            <w:vAlign w:val="center"/>
          </w:tcPr>
          <w:p w14:paraId="50B2B2F2">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850" w:type="dxa"/>
            <w:vMerge w:val="continue"/>
            <w:noWrap w:val="0"/>
            <w:vAlign w:val="center"/>
          </w:tcPr>
          <w:p w14:paraId="3D394AD9">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500" w:type="dxa"/>
            <w:shd w:val="clear" w:color="auto" w:fill="auto"/>
            <w:noWrap w:val="0"/>
            <w:vAlign w:val="center"/>
          </w:tcPr>
          <w:p w14:paraId="15D1BBC9">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对危险化学品专用仓库不符合国家标准、行业标准的要求的处罚</w:t>
            </w:r>
          </w:p>
        </w:tc>
        <w:tc>
          <w:tcPr>
            <w:tcW w:w="3726" w:type="dxa"/>
            <w:vMerge w:val="continue"/>
            <w:noWrap w:val="0"/>
            <w:vAlign w:val="center"/>
          </w:tcPr>
          <w:p w14:paraId="15ECF3BE">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942" w:type="dxa"/>
            <w:vMerge w:val="continue"/>
            <w:noWrap w:val="0"/>
            <w:vAlign w:val="center"/>
          </w:tcPr>
          <w:p w14:paraId="6E07B3FC">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888" w:type="dxa"/>
            <w:vMerge w:val="continue"/>
            <w:noWrap w:val="0"/>
            <w:vAlign w:val="center"/>
          </w:tcPr>
          <w:p w14:paraId="6D5DD6ED">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r>
      <w:tr w14:paraId="4EFB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039DB6CF">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096" w:type="dxa"/>
            <w:vMerge w:val="continue"/>
            <w:noWrap w:val="0"/>
            <w:vAlign w:val="center"/>
          </w:tcPr>
          <w:p w14:paraId="23E13B98">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850" w:type="dxa"/>
            <w:vMerge w:val="continue"/>
            <w:noWrap w:val="0"/>
            <w:vAlign w:val="center"/>
          </w:tcPr>
          <w:p w14:paraId="7890FF7D">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1500" w:type="dxa"/>
            <w:shd w:val="clear" w:color="auto" w:fill="auto"/>
            <w:noWrap w:val="0"/>
            <w:vAlign w:val="center"/>
          </w:tcPr>
          <w:p w14:paraId="6AD610C7">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对未对危险化学品专用仓库的安全设施、设备定期进行检测、检验的处罚</w:t>
            </w:r>
          </w:p>
        </w:tc>
        <w:tc>
          <w:tcPr>
            <w:tcW w:w="3726" w:type="dxa"/>
            <w:vMerge w:val="continue"/>
            <w:noWrap w:val="0"/>
            <w:vAlign w:val="center"/>
          </w:tcPr>
          <w:p w14:paraId="405A44CF">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942" w:type="dxa"/>
            <w:vMerge w:val="continue"/>
            <w:noWrap w:val="0"/>
            <w:vAlign w:val="center"/>
          </w:tcPr>
          <w:p w14:paraId="4E228BE2">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2888" w:type="dxa"/>
            <w:vMerge w:val="continue"/>
            <w:noWrap w:val="0"/>
            <w:vAlign w:val="center"/>
          </w:tcPr>
          <w:p w14:paraId="7F09ED95">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r>
      <w:tr w14:paraId="4F3E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AFDF1B3">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92</w:t>
            </w:r>
          </w:p>
        </w:tc>
        <w:tc>
          <w:tcPr>
            <w:tcW w:w="1096" w:type="dxa"/>
            <w:noWrap w:val="0"/>
            <w:vAlign w:val="center"/>
          </w:tcPr>
          <w:p w14:paraId="7B75769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08D7154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1500" w:type="dxa"/>
            <w:noWrap w:val="0"/>
            <w:vAlign w:val="center"/>
          </w:tcPr>
          <w:p w14:paraId="75A7FBC0">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031DACB">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2942" w:type="dxa"/>
            <w:noWrap w:val="0"/>
            <w:vAlign w:val="center"/>
          </w:tcPr>
          <w:p w14:paraId="7FC4E9FB">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D49D349">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FA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059E220">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93</w:t>
            </w:r>
          </w:p>
        </w:tc>
        <w:tc>
          <w:tcPr>
            <w:tcW w:w="1096" w:type="dxa"/>
            <w:noWrap w:val="0"/>
            <w:vAlign w:val="center"/>
          </w:tcPr>
          <w:p w14:paraId="19DFA16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435F30A3">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对未对本单位作业的有限空间进行辨识，确定有限空间的数量、位置以及危险有害因素等基本情况，或者未建立有限空间管理台账等两类行为的处罚</w:t>
            </w:r>
          </w:p>
        </w:tc>
        <w:tc>
          <w:tcPr>
            <w:tcW w:w="1500" w:type="dxa"/>
            <w:noWrap w:val="0"/>
            <w:vAlign w:val="center"/>
          </w:tcPr>
          <w:p w14:paraId="142F573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3726" w:type="dxa"/>
            <w:noWrap w:val="0"/>
            <w:vAlign w:val="center"/>
          </w:tcPr>
          <w:p w14:paraId="15AB5355">
            <w:pPr>
              <w:snapToGrid w:val="0"/>
              <w:spacing w:line="240" w:lineRule="auto"/>
              <w:ind w:left="0" w:leftChars="0" w:right="0" w:rightChars="0" w:firstLine="0" w:firstLineChars="0"/>
              <w:jc w:val="left"/>
              <w:rPr>
                <w:rFonts w:hint="eastAsia" w:ascii="Times New Roman" w:hAnsi="宋体" w:eastAsia="宋体" w:cs="宋体"/>
                <w:kern w:val="0"/>
                <w:sz w:val="16"/>
                <w:szCs w:val="16"/>
              </w:rPr>
            </w:pPr>
            <w:r>
              <w:rPr>
                <w:rFonts w:ascii="Arial" w:hAnsi="Arial" w:eastAsia="宋体" w:cs="Arial"/>
                <w:i w:val="0"/>
                <w:iCs w:val="0"/>
                <w:caps w:val="0"/>
                <w:color w:val="333333"/>
                <w:spacing w:val="0"/>
                <w:sz w:val="27"/>
                <w:szCs w:val="27"/>
                <w:shd w:val="clear" w:fill="FFFFFF"/>
              </w:rPr>
              <w:t>《</w:t>
            </w:r>
            <w:r>
              <w:rPr>
                <w:rFonts w:hint="eastAsia" w:ascii="Times New Roman" w:eastAsia="宋体"/>
                <w:color w:val="000000"/>
                <w:kern w:val="0"/>
                <w:sz w:val="16"/>
                <w:szCs w:val="16"/>
              </w:rPr>
              <w:t>工贸企业有限空间作业安全管理与监督暂行规定》第三十条第（一）项规定，工贸企业未按照本规定对有限空间作业进行辨识、提出防范措施、建立有限空间管理台账的，由县级以上安全生产监督管理部门责令限期改正，可以处3万元以下的罚款，对其直接负责的主管人员和其他直接责任人员处1万元以下的罚款12。 《工贸企业有限空间作业安全规定》第六条第一款规定，工贸企业应当对有限空间进行辨识，建立有限空间管理台账，明确有限空间数量、位置以及危险因素等信息，并及时更新</w:t>
            </w:r>
          </w:p>
        </w:tc>
        <w:tc>
          <w:tcPr>
            <w:tcW w:w="2942" w:type="dxa"/>
            <w:noWrap w:val="0"/>
            <w:vAlign w:val="center"/>
          </w:tcPr>
          <w:p w14:paraId="20A6FDD7">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2、调查阶段责任：应急管理部门按规定的处罚种类和幅度，收集相关证据，需要补充的再补充调查。</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3、告知阶段责任：制作《行政处罚告知书》，符合听证条件的制作《听证告知书》，通知当事人，当事人享有的陈述、申辩、要求听证的权利。</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5、送达阶段责任：应急管理部门将《行政处罚决定书》按照法定的方式和期限送达当事人。</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7、其他法律法规规章文件规定应履行的责任。</w:t>
            </w:r>
          </w:p>
        </w:tc>
        <w:tc>
          <w:tcPr>
            <w:tcW w:w="2888" w:type="dxa"/>
            <w:noWrap w:val="0"/>
            <w:vAlign w:val="center"/>
          </w:tcPr>
          <w:p w14:paraId="15B07A6C">
            <w:pPr>
              <w:snapToGrid w:val="0"/>
              <w:spacing w:line="240" w:lineRule="auto"/>
              <w:ind w:left="0" w:leftChars="0" w:right="0" w:rightChars="0" w:firstLine="0" w:firstLineChars="0"/>
              <w:jc w:val="left"/>
              <w:rPr>
                <w:rFonts w:hint="eastAsia" w:ascii="Times New Roman" w:eastAsia="宋体"/>
                <w:color w:val="000000"/>
                <w:kern w:val="0"/>
                <w:sz w:val="16"/>
                <w:szCs w:val="16"/>
              </w:rPr>
            </w:pPr>
            <w:r>
              <w:rPr>
                <w:rFonts w:hint="eastAsia" w:ascii="Times New Roman" w:eastAsia="宋体"/>
                <w:color w:val="000000"/>
                <w:kern w:val="0"/>
                <w:sz w:val="16"/>
                <w:szCs w:val="16"/>
              </w:rPr>
              <w:t>因不履行或不正确履行行政职责，有下列情形的，行政机关及相关工作人员应承担相应责任：</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1、对应当予以制止和处罚的违法行为不予制止、处罚，致使公民、法人或者其他组织的合法权益、公共利益和社会秩序遭受损害的；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2、超越、滥用法定职权的；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3、主要事实不清、证据不足的；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4、适用法律依据错误的；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5、行政裁量明显不当的；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6、违反法定程序的；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7、违法实行检查措施或者执行措施，给公民人身或者财产造成损害、给法人或者其他组织造成损失的；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8、不执行对事故责任人员的处理决定，或者擅自改变上级机关批复的对事故责任人员的处理意见的；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9、徇私舞弊、包庇纵容违法行为的；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10、在行政处罚过程中发生腐败行为的；</w:t>
            </w:r>
            <w:r>
              <w:rPr>
                <w:rFonts w:hint="eastAsia" w:ascii="Times New Roman" w:eastAsia="宋体"/>
                <w:color w:val="000000"/>
                <w:kern w:val="0"/>
                <w:sz w:val="16"/>
                <w:szCs w:val="16"/>
              </w:rPr>
              <w:br w:type="textWrapping"/>
            </w:r>
            <w:r>
              <w:rPr>
                <w:rFonts w:hint="eastAsia" w:ascii="Times New Roman" w:eastAsia="宋体"/>
                <w:color w:val="000000"/>
                <w:kern w:val="0"/>
                <w:sz w:val="16"/>
                <w:szCs w:val="16"/>
              </w:rPr>
              <w:t>11、其他违反法律法规规章文件规定的行为。</w:t>
            </w:r>
          </w:p>
        </w:tc>
      </w:tr>
      <w:tr w14:paraId="69E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9F514A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94</w:t>
            </w:r>
          </w:p>
        </w:tc>
        <w:tc>
          <w:tcPr>
            <w:tcW w:w="1096" w:type="dxa"/>
            <w:noWrap w:val="0"/>
            <w:vAlign w:val="center"/>
          </w:tcPr>
          <w:p w14:paraId="4C99AA6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321995B5">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对生产、经营、使用国家禁止生产、经营、使用的危险化学品的处罚</w:t>
            </w:r>
          </w:p>
        </w:tc>
        <w:tc>
          <w:tcPr>
            <w:tcW w:w="1500" w:type="dxa"/>
            <w:noWrap w:val="0"/>
            <w:vAlign w:val="center"/>
          </w:tcPr>
          <w:p w14:paraId="11C90D77">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929C7AF">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2942" w:type="dxa"/>
            <w:noWrap w:val="0"/>
            <w:vAlign w:val="center"/>
          </w:tcPr>
          <w:p w14:paraId="081F1FB6">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7ED8B037">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1301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017352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95</w:t>
            </w:r>
          </w:p>
        </w:tc>
        <w:tc>
          <w:tcPr>
            <w:tcW w:w="1096" w:type="dxa"/>
            <w:noWrap w:val="0"/>
            <w:vAlign w:val="center"/>
          </w:tcPr>
          <w:p w14:paraId="45A26B9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72520705">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对未依法取得危险化学品安全生产许可证从事危险化学品生产的处罚</w:t>
            </w:r>
          </w:p>
        </w:tc>
        <w:tc>
          <w:tcPr>
            <w:tcW w:w="1500" w:type="dxa"/>
            <w:noWrap w:val="0"/>
            <w:vAlign w:val="center"/>
          </w:tcPr>
          <w:p w14:paraId="6C70516D">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6674787">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危险化学品安全管理条例》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违反本条例规定，化工企业未取得危险化学品安全使用许可证，使用危险化学品从事生产的，由安全生产监督管理部门责令限期改正，处10万元以上20万元以下的罚款；逾期不改正的，责令停产整顿。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2942" w:type="dxa"/>
            <w:noWrap w:val="0"/>
            <w:vAlign w:val="center"/>
          </w:tcPr>
          <w:p w14:paraId="27062E0D">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5D256F13">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E0A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A94030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96</w:t>
            </w:r>
          </w:p>
        </w:tc>
        <w:tc>
          <w:tcPr>
            <w:tcW w:w="1096" w:type="dxa"/>
            <w:noWrap w:val="0"/>
            <w:vAlign w:val="center"/>
          </w:tcPr>
          <w:p w14:paraId="75F86A3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387BA60">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对未取得相应资格、资质证书的机构及其有关人员从事安全评价、认证、检测、检验工作，责令停止违法行为的处罚</w:t>
            </w:r>
          </w:p>
        </w:tc>
        <w:tc>
          <w:tcPr>
            <w:tcW w:w="1500" w:type="dxa"/>
            <w:noWrap w:val="0"/>
            <w:vAlign w:val="center"/>
          </w:tcPr>
          <w:p w14:paraId="3A0BDBAD">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74A8F9B">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安全生产违法行为行政处罚办法》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2942" w:type="dxa"/>
            <w:noWrap w:val="0"/>
            <w:vAlign w:val="center"/>
          </w:tcPr>
          <w:p w14:paraId="0E05187D">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26E83B98">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3174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restart"/>
            <w:noWrap w:val="0"/>
            <w:vAlign w:val="center"/>
          </w:tcPr>
          <w:p w14:paraId="33821C55">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97</w:t>
            </w:r>
          </w:p>
        </w:tc>
        <w:tc>
          <w:tcPr>
            <w:tcW w:w="1096" w:type="dxa"/>
            <w:vMerge w:val="restart"/>
            <w:noWrap w:val="0"/>
            <w:vAlign w:val="center"/>
          </w:tcPr>
          <w:p w14:paraId="218B818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1CB3DC16">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对生产经营单位在应急预案编制前未按照规定开展风险辨识、评估和应急资源调查等七类行为的处罚</w:t>
            </w:r>
          </w:p>
        </w:tc>
        <w:tc>
          <w:tcPr>
            <w:tcW w:w="1500" w:type="dxa"/>
            <w:shd w:val="clear" w:color="auto" w:fill="auto"/>
            <w:noWrap w:val="0"/>
            <w:vAlign w:val="center"/>
          </w:tcPr>
          <w:p w14:paraId="13B4974F">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对在应急预案编制前未按照规定开展风险辨识、评估和应急资源调查的处罚</w:t>
            </w:r>
          </w:p>
        </w:tc>
        <w:tc>
          <w:tcPr>
            <w:tcW w:w="3726" w:type="dxa"/>
            <w:vMerge w:val="restart"/>
            <w:noWrap w:val="0"/>
            <w:vAlign w:val="center"/>
          </w:tcPr>
          <w:p w14:paraId="28612E2A">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生产安全事故应急预案管理办法》第四十五条：生产经营单位有下列情形之一的，由县级以上人民政府应急管理部门责令限期改正，可以处1万元以上3万元以下的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942" w:type="dxa"/>
            <w:vMerge w:val="restart"/>
            <w:noWrap w:val="0"/>
            <w:vAlign w:val="center"/>
          </w:tcPr>
          <w:p w14:paraId="2BBAC514">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vMerge w:val="restart"/>
            <w:noWrap w:val="0"/>
            <w:vAlign w:val="center"/>
          </w:tcPr>
          <w:p w14:paraId="6E218051">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6CF2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continue"/>
            <w:noWrap w:val="0"/>
            <w:vAlign w:val="center"/>
          </w:tcPr>
          <w:p w14:paraId="1B9D45EE">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0CB62F2E">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262B9035">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13A94134">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对未按照规定开展应急预案评审的处罚</w:t>
            </w:r>
          </w:p>
        </w:tc>
        <w:tc>
          <w:tcPr>
            <w:tcW w:w="3726" w:type="dxa"/>
            <w:vMerge w:val="continue"/>
            <w:noWrap w:val="0"/>
            <w:vAlign w:val="center"/>
          </w:tcPr>
          <w:p w14:paraId="2CCC8FB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3D98F7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121527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ED4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continue"/>
            <w:noWrap w:val="0"/>
            <w:vAlign w:val="center"/>
          </w:tcPr>
          <w:p w14:paraId="38D7D31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76C9CB6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BE502D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A478355">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对事故风险可能影响周边单位、人员的，未将事故风险的性质、影响范围和应急防范措施告知周边单位和人员的处罚</w:t>
            </w:r>
          </w:p>
        </w:tc>
        <w:tc>
          <w:tcPr>
            <w:tcW w:w="3726" w:type="dxa"/>
            <w:vMerge w:val="continue"/>
            <w:noWrap w:val="0"/>
            <w:vAlign w:val="center"/>
          </w:tcPr>
          <w:p w14:paraId="0E0F6D7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FAD87F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57BC68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FF4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continue"/>
            <w:noWrap w:val="0"/>
            <w:vAlign w:val="center"/>
          </w:tcPr>
          <w:p w14:paraId="38CEB4A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AAB75F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A0C198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69488DF8">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对未按照规定开展应急预案评估的处罚</w:t>
            </w:r>
          </w:p>
        </w:tc>
        <w:tc>
          <w:tcPr>
            <w:tcW w:w="3726" w:type="dxa"/>
            <w:vMerge w:val="continue"/>
            <w:noWrap w:val="0"/>
            <w:vAlign w:val="center"/>
          </w:tcPr>
          <w:p w14:paraId="0520F81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5D65CFF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FB7B6B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6896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continue"/>
            <w:noWrap w:val="0"/>
            <w:vAlign w:val="center"/>
          </w:tcPr>
          <w:p w14:paraId="1F75201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B83C1C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4710CBA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65A3B484">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对未按照规定进行应急预案修订的处罚</w:t>
            </w:r>
          </w:p>
        </w:tc>
        <w:tc>
          <w:tcPr>
            <w:tcW w:w="3726" w:type="dxa"/>
            <w:vMerge w:val="continue"/>
            <w:noWrap w:val="0"/>
            <w:vAlign w:val="center"/>
          </w:tcPr>
          <w:p w14:paraId="1499C6D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B6DF00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3E20325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037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continue"/>
            <w:noWrap w:val="0"/>
            <w:vAlign w:val="center"/>
          </w:tcPr>
          <w:p w14:paraId="4F71B38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BDEDA2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5453F2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E6EC3D4">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对未落实应急预案规定的应急物资及装备的处罚</w:t>
            </w:r>
          </w:p>
        </w:tc>
        <w:tc>
          <w:tcPr>
            <w:tcW w:w="3726" w:type="dxa"/>
            <w:vMerge w:val="continue"/>
            <w:noWrap w:val="0"/>
            <w:vAlign w:val="center"/>
          </w:tcPr>
          <w:p w14:paraId="246B60D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FABC73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2D3EC0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B61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98" w:type="dxa"/>
            <w:vMerge w:val="continue"/>
            <w:noWrap w:val="0"/>
            <w:vAlign w:val="center"/>
          </w:tcPr>
          <w:p w14:paraId="29273E0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78AFF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E33E14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7DE35A4">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0"/>
              </w:rPr>
              <w:t>对生产经营单位未按照规定进行应急预案备案的处罚</w:t>
            </w:r>
          </w:p>
        </w:tc>
        <w:tc>
          <w:tcPr>
            <w:tcW w:w="3726" w:type="dxa"/>
            <w:vMerge w:val="continue"/>
            <w:noWrap w:val="0"/>
            <w:vAlign w:val="center"/>
          </w:tcPr>
          <w:p w14:paraId="787ABD1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0F6E0B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F1F09A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6A4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restart"/>
            <w:noWrap w:val="0"/>
            <w:vAlign w:val="center"/>
          </w:tcPr>
          <w:p w14:paraId="0D6F1EE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98</w:t>
            </w:r>
          </w:p>
        </w:tc>
        <w:tc>
          <w:tcPr>
            <w:tcW w:w="1096" w:type="dxa"/>
            <w:vMerge w:val="restart"/>
            <w:noWrap w:val="0"/>
            <w:vAlign w:val="center"/>
          </w:tcPr>
          <w:p w14:paraId="16E5FB7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0686188C">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对安全评价检测检验机构未依法与委托方签订技术服务合同等十一类行为的处罚</w:t>
            </w:r>
          </w:p>
        </w:tc>
        <w:tc>
          <w:tcPr>
            <w:tcW w:w="1500" w:type="dxa"/>
            <w:shd w:val="clear" w:color="auto" w:fill="auto"/>
            <w:noWrap w:val="0"/>
            <w:vAlign w:val="center"/>
          </w:tcPr>
          <w:p w14:paraId="3884505C">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对未依法与委托方签订技术服务合同的处罚</w:t>
            </w:r>
          </w:p>
        </w:tc>
        <w:tc>
          <w:tcPr>
            <w:tcW w:w="3726" w:type="dxa"/>
            <w:vMerge w:val="restart"/>
            <w:noWrap w:val="0"/>
            <w:vAlign w:val="center"/>
          </w:tcPr>
          <w:p w14:paraId="2F697677">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2942" w:type="dxa"/>
            <w:vMerge w:val="restart"/>
            <w:noWrap w:val="0"/>
            <w:vAlign w:val="center"/>
          </w:tcPr>
          <w:p w14:paraId="319F8F3E">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vMerge w:val="restart"/>
            <w:noWrap w:val="0"/>
            <w:vAlign w:val="center"/>
          </w:tcPr>
          <w:p w14:paraId="71F33B8F">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18B2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5A8C32AB">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029AF1FA">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7871126D">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64DCF2B6">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对违反法规标准规定更改或者简化安全评价、检测检验程序和相关内容的处罚</w:t>
            </w:r>
          </w:p>
        </w:tc>
        <w:tc>
          <w:tcPr>
            <w:tcW w:w="3726" w:type="dxa"/>
            <w:vMerge w:val="continue"/>
            <w:noWrap w:val="0"/>
            <w:vAlign w:val="center"/>
          </w:tcPr>
          <w:p w14:paraId="4C5CFD4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126E15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320E039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33F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7EBB991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84C562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593CD4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9D67326">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对未按规定公开安全评价报告、安全生产检测检验报告相关信息及现场勘验图像影像资料的处罚</w:t>
            </w:r>
          </w:p>
        </w:tc>
        <w:tc>
          <w:tcPr>
            <w:tcW w:w="3726" w:type="dxa"/>
            <w:vMerge w:val="continue"/>
            <w:noWrap w:val="0"/>
            <w:vAlign w:val="center"/>
          </w:tcPr>
          <w:p w14:paraId="5BD09B4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876049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AFF49E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15A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7A81256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9088FE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F4B258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6FDB7FB">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对未在开展现场技术服务前七个工作日内，书面告知项目实施地资质认可机关的处罚</w:t>
            </w:r>
          </w:p>
        </w:tc>
        <w:tc>
          <w:tcPr>
            <w:tcW w:w="3726" w:type="dxa"/>
            <w:vMerge w:val="continue"/>
            <w:noWrap w:val="0"/>
            <w:vAlign w:val="center"/>
          </w:tcPr>
          <w:p w14:paraId="5038952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DC7B3E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8A412A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B22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5C84E8C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774B79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1026317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BD5949F">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对机构名称、注册地址、实验室条件、法定代表人、专职技术负责人、授权签字人发生变化之日起三十日内未向原资质认可机关提出变更申请的处罚</w:t>
            </w:r>
          </w:p>
        </w:tc>
        <w:tc>
          <w:tcPr>
            <w:tcW w:w="3726" w:type="dxa"/>
            <w:vMerge w:val="continue"/>
            <w:noWrap w:val="0"/>
            <w:vAlign w:val="center"/>
          </w:tcPr>
          <w:p w14:paraId="4A9322F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5AFDD33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6084F8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E2F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329F50B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DABC6B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193FD3D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3948B8A">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对未按照有关法规标准的强制性规定从事安全评价、检测检验活动的处罚</w:t>
            </w:r>
          </w:p>
        </w:tc>
        <w:tc>
          <w:tcPr>
            <w:tcW w:w="3726" w:type="dxa"/>
            <w:vMerge w:val="continue"/>
            <w:noWrap w:val="0"/>
            <w:vAlign w:val="center"/>
          </w:tcPr>
          <w:p w14:paraId="096AF8D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3380F1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2CE5EC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2FA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0FB7124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EE02B8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152F6D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051D868">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对出租、出借安全评价检测检验资质证书的处罚</w:t>
            </w:r>
          </w:p>
        </w:tc>
        <w:tc>
          <w:tcPr>
            <w:tcW w:w="3726" w:type="dxa"/>
            <w:vMerge w:val="continue"/>
            <w:noWrap w:val="0"/>
            <w:vAlign w:val="center"/>
          </w:tcPr>
          <w:p w14:paraId="0584AAB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479098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5BA375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485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1ED3944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266B89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4323294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BB686F4">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对安全评价项目组组长及负责勘验人员不到现场实际地点开展勘验等有关工作的处罚</w:t>
            </w:r>
          </w:p>
        </w:tc>
        <w:tc>
          <w:tcPr>
            <w:tcW w:w="3726" w:type="dxa"/>
            <w:vMerge w:val="continue"/>
            <w:noWrap w:val="0"/>
            <w:vAlign w:val="center"/>
          </w:tcPr>
          <w:p w14:paraId="49C49E6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2105A4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2CFB7D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81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7109255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D617F5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830BCE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2846CD7">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对承担现场检测检验的人员不到现场实际地点开展设备检测检验等有关工作的处罚</w:t>
            </w:r>
          </w:p>
        </w:tc>
        <w:tc>
          <w:tcPr>
            <w:tcW w:w="3726" w:type="dxa"/>
            <w:vMerge w:val="continue"/>
            <w:noWrap w:val="0"/>
            <w:vAlign w:val="center"/>
          </w:tcPr>
          <w:p w14:paraId="3253C2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9779E4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86CD0E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4A6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37D82B2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9FF4F8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5691D9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92C3B81">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对安全评价报告存在法规标准引用错误、关键危险有害因素漏项、重大危险源辨识错误、对策措施建议与存在问题严重不符等重大疏漏，但尚未造成重大损失的处罚</w:t>
            </w:r>
          </w:p>
        </w:tc>
        <w:tc>
          <w:tcPr>
            <w:tcW w:w="3726" w:type="dxa"/>
            <w:vMerge w:val="continue"/>
            <w:noWrap w:val="0"/>
            <w:vAlign w:val="center"/>
          </w:tcPr>
          <w:p w14:paraId="6E32B39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1F89D1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94831C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BFE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 w:type="dxa"/>
            <w:vMerge w:val="continue"/>
            <w:noWrap w:val="0"/>
            <w:vAlign w:val="center"/>
          </w:tcPr>
          <w:p w14:paraId="1793869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8DB061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333323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5BF932F">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对安全生产检测检验报告存在法规标准引用错误、关键项目漏检、结论不明确等重大疏漏，但尚未造成重大损失的处罚</w:t>
            </w:r>
          </w:p>
        </w:tc>
        <w:tc>
          <w:tcPr>
            <w:tcW w:w="3726" w:type="dxa"/>
            <w:vMerge w:val="continue"/>
            <w:noWrap w:val="0"/>
            <w:vAlign w:val="center"/>
          </w:tcPr>
          <w:p w14:paraId="4B629B6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11E590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0084BF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6CE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5B2F63CD">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99</w:t>
            </w:r>
          </w:p>
        </w:tc>
        <w:tc>
          <w:tcPr>
            <w:tcW w:w="1096" w:type="dxa"/>
            <w:noWrap w:val="0"/>
            <w:vAlign w:val="center"/>
          </w:tcPr>
          <w:p w14:paraId="76E6D72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1F299FE6">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500" w:type="dxa"/>
            <w:noWrap w:val="0"/>
            <w:vAlign w:val="center"/>
          </w:tcPr>
          <w:p w14:paraId="5FC4DDF1">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57E5D5A">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安全生产违法行为行政处罚办法》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r>
              <w:rPr>
                <w:rFonts w:hint="eastAsia" w:ascii="宋体" w:hAnsi="宋体" w:eastAsia="宋体" w:cs="宋体"/>
                <w:kern w:val="0"/>
                <w:sz w:val="16"/>
                <w:szCs w:val="16"/>
              </w:rPr>
              <w:br w:type="textWrapping"/>
            </w:r>
            <w:r>
              <w:rPr>
                <w:rFonts w:hint="eastAsia" w:ascii="宋体" w:hAnsi="宋体" w:eastAsia="宋体" w:cs="宋体"/>
                <w:kern w:val="0"/>
                <w:sz w:val="16"/>
                <w:szCs w:val="16"/>
              </w:rPr>
              <w:t>　</w:t>
            </w:r>
          </w:p>
        </w:tc>
        <w:tc>
          <w:tcPr>
            <w:tcW w:w="2942" w:type="dxa"/>
            <w:noWrap w:val="0"/>
            <w:vAlign w:val="center"/>
          </w:tcPr>
          <w:p w14:paraId="7DC8A299">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5BA2CD03">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52B9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9E999BE">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100</w:t>
            </w:r>
          </w:p>
        </w:tc>
        <w:tc>
          <w:tcPr>
            <w:tcW w:w="1096" w:type="dxa"/>
            <w:noWrap w:val="0"/>
            <w:vAlign w:val="center"/>
          </w:tcPr>
          <w:p w14:paraId="1FFEDAF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D8EB0E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对未取得安全生产许可证或者其他批准文件擅自从事生产经营活动的生产经营单位提供生产经营场所、运输、保管、仓储等条件的处罚</w:t>
            </w:r>
          </w:p>
        </w:tc>
        <w:tc>
          <w:tcPr>
            <w:tcW w:w="1500" w:type="dxa"/>
            <w:noWrap w:val="0"/>
            <w:vAlign w:val="center"/>
          </w:tcPr>
          <w:p w14:paraId="4CBCBB3A">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5A31E03C">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　　</w:t>
            </w:r>
          </w:p>
        </w:tc>
        <w:tc>
          <w:tcPr>
            <w:tcW w:w="2942" w:type="dxa"/>
            <w:noWrap w:val="0"/>
            <w:vAlign w:val="center"/>
          </w:tcPr>
          <w:p w14:paraId="6F584911">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18C053BA">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242D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dxa"/>
            <w:vMerge w:val="restart"/>
            <w:noWrap w:val="0"/>
            <w:vAlign w:val="center"/>
          </w:tcPr>
          <w:p w14:paraId="27E5146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101</w:t>
            </w:r>
          </w:p>
        </w:tc>
        <w:tc>
          <w:tcPr>
            <w:tcW w:w="1096" w:type="dxa"/>
            <w:vMerge w:val="restart"/>
            <w:noWrap w:val="0"/>
            <w:vAlign w:val="center"/>
          </w:tcPr>
          <w:p w14:paraId="33EA822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46B41FB0">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对谎报或者瞒报事故等六类行为的处罚</w:t>
            </w:r>
          </w:p>
        </w:tc>
        <w:tc>
          <w:tcPr>
            <w:tcW w:w="1500" w:type="dxa"/>
            <w:shd w:val="clear" w:color="auto" w:fill="auto"/>
            <w:noWrap w:val="0"/>
            <w:vAlign w:val="center"/>
          </w:tcPr>
          <w:p w14:paraId="3D31766D">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对谎报或者瞒报事故的处罚</w:t>
            </w:r>
          </w:p>
        </w:tc>
        <w:tc>
          <w:tcPr>
            <w:tcW w:w="3726" w:type="dxa"/>
            <w:vMerge w:val="restart"/>
            <w:noWrap w:val="0"/>
            <w:vAlign w:val="center"/>
          </w:tcPr>
          <w:p w14:paraId="10068DEB">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2942" w:type="dxa"/>
            <w:vMerge w:val="restart"/>
            <w:noWrap w:val="0"/>
            <w:vAlign w:val="center"/>
          </w:tcPr>
          <w:p w14:paraId="2E567606">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vMerge w:val="restart"/>
            <w:noWrap w:val="0"/>
            <w:vAlign w:val="center"/>
          </w:tcPr>
          <w:p w14:paraId="44CC03FD">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0399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dxa"/>
            <w:vMerge w:val="continue"/>
            <w:noWrap w:val="0"/>
            <w:vAlign w:val="center"/>
          </w:tcPr>
          <w:p w14:paraId="3E22467C">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0E0060EF">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649B4E0D">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2FCAC8FE">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对伪造或者故意破坏事故现场的处罚</w:t>
            </w:r>
          </w:p>
        </w:tc>
        <w:tc>
          <w:tcPr>
            <w:tcW w:w="3726" w:type="dxa"/>
            <w:vMerge w:val="continue"/>
            <w:noWrap w:val="0"/>
            <w:vAlign w:val="center"/>
          </w:tcPr>
          <w:p w14:paraId="60118C5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B9AAEE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CA094A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6E0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dxa"/>
            <w:vMerge w:val="continue"/>
            <w:noWrap w:val="0"/>
            <w:vAlign w:val="center"/>
          </w:tcPr>
          <w:p w14:paraId="53D268F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C1AF47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F65033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D552E73">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对转移、隐匿资金、财产，或者销毁有关证据、资料的处罚</w:t>
            </w:r>
          </w:p>
        </w:tc>
        <w:tc>
          <w:tcPr>
            <w:tcW w:w="3726" w:type="dxa"/>
            <w:vMerge w:val="continue"/>
            <w:noWrap w:val="0"/>
            <w:vAlign w:val="center"/>
          </w:tcPr>
          <w:p w14:paraId="1366FAF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413FD3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2C5F62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5DE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dxa"/>
            <w:vMerge w:val="continue"/>
            <w:noWrap w:val="0"/>
            <w:vAlign w:val="center"/>
          </w:tcPr>
          <w:p w14:paraId="5C23A56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D31F83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E48A85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42F5E92">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对拒绝接受调查或者拒绝提供有关情况和资料处罚</w:t>
            </w:r>
          </w:p>
        </w:tc>
        <w:tc>
          <w:tcPr>
            <w:tcW w:w="3726" w:type="dxa"/>
            <w:vMerge w:val="continue"/>
            <w:noWrap w:val="0"/>
            <w:vAlign w:val="center"/>
          </w:tcPr>
          <w:p w14:paraId="3659405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E42F41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8CA96B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AC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dxa"/>
            <w:vMerge w:val="continue"/>
            <w:noWrap w:val="0"/>
            <w:vAlign w:val="center"/>
          </w:tcPr>
          <w:p w14:paraId="074F6BD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33AA16D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6121B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D6C2087">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对在事故调查中作伪证或者指使他人作伪证的处罚</w:t>
            </w:r>
          </w:p>
        </w:tc>
        <w:tc>
          <w:tcPr>
            <w:tcW w:w="3726" w:type="dxa"/>
            <w:vMerge w:val="continue"/>
            <w:noWrap w:val="0"/>
            <w:vAlign w:val="center"/>
          </w:tcPr>
          <w:p w14:paraId="1BAD443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F7C609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DADC42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BC9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98" w:type="dxa"/>
            <w:vMerge w:val="continue"/>
            <w:noWrap w:val="0"/>
            <w:vAlign w:val="center"/>
          </w:tcPr>
          <w:p w14:paraId="1C59A01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D916D4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EB113E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18A05AD">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对事故发生后逃匿的处罚</w:t>
            </w:r>
          </w:p>
        </w:tc>
        <w:tc>
          <w:tcPr>
            <w:tcW w:w="3726" w:type="dxa"/>
            <w:vMerge w:val="continue"/>
            <w:noWrap w:val="0"/>
            <w:vAlign w:val="center"/>
          </w:tcPr>
          <w:p w14:paraId="27263A2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25B45C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4AAA65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A47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F615498">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102</w:t>
            </w:r>
          </w:p>
        </w:tc>
        <w:tc>
          <w:tcPr>
            <w:tcW w:w="1096" w:type="dxa"/>
            <w:noWrap w:val="0"/>
            <w:vAlign w:val="center"/>
          </w:tcPr>
          <w:p w14:paraId="1E187C1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4638A17">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对生产经营单位未落实安全培训工作经费的处罚</w:t>
            </w:r>
          </w:p>
        </w:tc>
        <w:tc>
          <w:tcPr>
            <w:tcW w:w="1500" w:type="dxa"/>
            <w:noWrap w:val="0"/>
            <w:vAlign w:val="center"/>
          </w:tcPr>
          <w:p w14:paraId="1100FBB4">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A3CD328">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生产经营单位安全培训规定》第二十九条：生产经营单位有下列行为之一的，由安全生产监管监察部门责令其限期改正，可以处1万元以上3万元以下的罚款:(一)未将安全培训工作纳入本单位工作计划并保证安全培训工作所需资金的;(二)从业人员进行安全培训期间未支付工资并承担安全培训费用的。</w:t>
            </w:r>
          </w:p>
        </w:tc>
        <w:tc>
          <w:tcPr>
            <w:tcW w:w="2942" w:type="dxa"/>
            <w:noWrap w:val="0"/>
            <w:vAlign w:val="center"/>
          </w:tcPr>
          <w:p w14:paraId="1695DD02">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185D672B">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638A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restart"/>
            <w:noWrap w:val="0"/>
            <w:vAlign w:val="center"/>
          </w:tcPr>
          <w:p w14:paraId="736ECFF2">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103</w:t>
            </w:r>
          </w:p>
        </w:tc>
        <w:tc>
          <w:tcPr>
            <w:tcW w:w="1096" w:type="dxa"/>
            <w:vMerge w:val="restart"/>
            <w:noWrap w:val="0"/>
            <w:vAlign w:val="center"/>
          </w:tcPr>
          <w:p w14:paraId="66EB7C4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61DBE10A">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对生产经营单位及其主要负责人或者其他人员有违反操作规程或者安全管理规定作业等七类行为的处罚</w:t>
            </w:r>
          </w:p>
        </w:tc>
        <w:tc>
          <w:tcPr>
            <w:tcW w:w="1500" w:type="dxa"/>
            <w:shd w:val="clear" w:color="auto" w:fill="auto"/>
            <w:noWrap w:val="0"/>
            <w:vAlign w:val="center"/>
          </w:tcPr>
          <w:p w14:paraId="6DA2C27A">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以违反操作规程或者安全管理规定作业的处罚</w:t>
            </w:r>
          </w:p>
        </w:tc>
        <w:tc>
          <w:tcPr>
            <w:tcW w:w="3726" w:type="dxa"/>
            <w:vMerge w:val="restart"/>
            <w:noWrap w:val="0"/>
            <w:vAlign w:val="center"/>
          </w:tcPr>
          <w:p w14:paraId="13F20A85">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2942" w:type="dxa"/>
            <w:vMerge w:val="restart"/>
            <w:noWrap w:val="0"/>
            <w:vAlign w:val="center"/>
          </w:tcPr>
          <w:p w14:paraId="581172F0">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c>
          <w:tcPr>
            <w:tcW w:w="2888" w:type="dxa"/>
            <w:vMerge w:val="restart"/>
            <w:noWrap w:val="0"/>
            <w:vAlign w:val="center"/>
          </w:tcPr>
          <w:p w14:paraId="1A748242">
            <w:pPr>
              <w:spacing w:line="180" w:lineRule="exact"/>
              <w:rPr>
                <w:rFonts w:hint="eastAsia" w:ascii="Times New Roman" w:eastAsia="宋体"/>
                <w:color w:val="000000"/>
                <w:kern w:val="0"/>
                <w:sz w:val="16"/>
                <w:szCs w:val="16"/>
              </w:rPr>
            </w:pPr>
            <w:r>
              <w:rPr>
                <w:rFonts w:hint="eastAsia" w:ascii="宋体" w:hAnsi="宋体" w:eastAsia="宋体"/>
                <w:kern w:val="0"/>
                <w:sz w:val="16"/>
                <w:szCs w:val="16"/>
              </w:rPr>
              <w:t>《安全生产违法行为行政处罚办法》第四十三条：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一）提取或者使用安全生产费用；（二）用于配备劳动防护用品的经费；（三）用于安全生产教育和培训的经费；（四）国家规定的其他安全生产所必须的资金投入。生产经营单位主要负责人、个人经营的投资人有前款违法行为，导致发生生产安全事故的，依照《生产安全事故罚款处罚规定（试行）》的规定给予处罚。</w:t>
            </w:r>
          </w:p>
        </w:tc>
      </w:tr>
      <w:tr w14:paraId="41C5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0FD937AB">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6BA4398C">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59EE0BD6">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29A2BCE8">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对违章指挥从业人员或者强令从业人员违章、冒险作业的处罚</w:t>
            </w:r>
          </w:p>
        </w:tc>
        <w:tc>
          <w:tcPr>
            <w:tcW w:w="3726" w:type="dxa"/>
            <w:vMerge w:val="continue"/>
            <w:noWrap w:val="0"/>
            <w:vAlign w:val="center"/>
          </w:tcPr>
          <w:p w14:paraId="32BC131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1E6930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80E56D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08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095F6F9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864C0E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738B99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9678ADF">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对发现从业人员违章作业不加制止的处罚</w:t>
            </w:r>
          </w:p>
        </w:tc>
        <w:tc>
          <w:tcPr>
            <w:tcW w:w="3726" w:type="dxa"/>
            <w:vMerge w:val="continue"/>
            <w:noWrap w:val="0"/>
            <w:vAlign w:val="center"/>
          </w:tcPr>
          <w:p w14:paraId="5EA9670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897508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3ACC16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60D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14F383A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48F2A9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55FB98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E31CC25">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对超过核定的生产能力、强度或者定员进行生产的处罚</w:t>
            </w:r>
          </w:p>
        </w:tc>
        <w:tc>
          <w:tcPr>
            <w:tcW w:w="3726" w:type="dxa"/>
            <w:vMerge w:val="continue"/>
            <w:noWrap w:val="0"/>
            <w:vAlign w:val="center"/>
          </w:tcPr>
          <w:p w14:paraId="14A10FB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7FEB02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0B83F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AD5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1E96AFE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1490BB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458CA48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2CB5F8B">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对被查封或者扣押的设施、设备、器材、危险物品和作业场所，擅自启封或者使用的处罚</w:t>
            </w:r>
          </w:p>
        </w:tc>
        <w:tc>
          <w:tcPr>
            <w:tcW w:w="3726" w:type="dxa"/>
            <w:vMerge w:val="continue"/>
            <w:noWrap w:val="0"/>
            <w:vAlign w:val="center"/>
          </w:tcPr>
          <w:p w14:paraId="77C644D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317ECE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06E945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3A9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42D13CD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EB006B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11C5F8A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139EF4E">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对故意提供虚假情况或者隐瞒存在的事故隐患以及其他安全问题的处罚</w:t>
            </w:r>
          </w:p>
        </w:tc>
        <w:tc>
          <w:tcPr>
            <w:tcW w:w="3726" w:type="dxa"/>
            <w:vMerge w:val="continue"/>
            <w:noWrap w:val="0"/>
            <w:vAlign w:val="center"/>
          </w:tcPr>
          <w:p w14:paraId="0733128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FF64A6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980943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A9D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8" w:type="dxa"/>
            <w:vMerge w:val="continue"/>
            <w:noWrap w:val="0"/>
            <w:vAlign w:val="center"/>
          </w:tcPr>
          <w:p w14:paraId="045E996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674561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ADF86B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64A1518">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对拒不执行安全监管监察部门依法下达的安全监管监察指令的处罚</w:t>
            </w:r>
          </w:p>
        </w:tc>
        <w:tc>
          <w:tcPr>
            <w:tcW w:w="3726" w:type="dxa"/>
            <w:vMerge w:val="continue"/>
            <w:noWrap w:val="0"/>
            <w:vAlign w:val="center"/>
          </w:tcPr>
          <w:p w14:paraId="74C31E3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774232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B28BCF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69B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90B16B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104</w:t>
            </w:r>
          </w:p>
        </w:tc>
        <w:tc>
          <w:tcPr>
            <w:tcW w:w="1096" w:type="dxa"/>
            <w:noWrap w:val="0"/>
            <w:vAlign w:val="center"/>
          </w:tcPr>
          <w:p w14:paraId="65BDAAA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65044C20">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对生产经营单位与从业人员订立协议，免除或者减轻其对从业人员因生产安全事故伤亡依法应承担的责任的处罚</w:t>
            </w:r>
          </w:p>
        </w:tc>
        <w:tc>
          <w:tcPr>
            <w:tcW w:w="1500" w:type="dxa"/>
            <w:noWrap w:val="0"/>
            <w:vAlign w:val="center"/>
          </w:tcPr>
          <w:p w14:paraId="1DBE5CE3">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61CCAF79">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1.《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2.《安全生产违法行为行政处罚办法》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2942" w:type="dxa"/>
            <w:noWrap w:val="0"/>
            <w:vAlign w:val="center"/>
          </w:tcPr>
          <w:p w14:paraId="1F7C1DA6">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170D5E79">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3243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62B3BF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105</w:t>
            </w:r>
          </w:p>
        </w:tc>
        <w:tc>
          <w:tcPr>
            <w:tcW w:w="1096" w:type="dxa"/>
            <w:noWrap w:val="0"/>
            <w:vAlign w:val="center"/>
          </w:tcPr>
          <w:p w14:paraId="4935E62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514C790">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对生产经营单位拒绝、阻碍负有安全生产监督管理职责的部门依法实施监督检查的处</w:t>
            </w:r>
          </w:p>
        </w:tc>
        <w:tc>
          <w:tcPr>
            <w:tcW w:w="1500" w:type="dxa"/>
            <w:noWrap w:val="0"/>
            <w:vAlign w:val="center"/>
          </w:tcPr>
          <w:p w14:paraId="54CD3312">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5A6F2413">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942" w:type="dxa"/>
            <w:noWrap w:val="0"/>
            <w:vAlign w:val="center"/>
          </w:tcPr>
          <w:p w14:paraId="35ACE9E5">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99CA078">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61A2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98" w:type="dxa"/>
            <w:vMerge w:val="restart"/>
            <w:noWrap w:val="0"/>
            <w:vAlign w:val="center"/>
          </w:tcPr>
          <w:p w14:paraId="4E99466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106</w:t>
            </w:r>
          </w:p>
        </w:tc>
        <w:tc>
          <w:tcPr>
            <w:tcW w:w="1096" w:type="dxa"/>
            <w:vMerge w:val="restart"/>
            <w:noWrap w:val="0"/>
            <w:vAlign w:val="center"/>
          </w:tcPr>
          <w:p w14:paraId="54AE13C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5F7ECC6F">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对生产经营单位的主要负责人在本单位发生生产安全事故时，不立即组织抢救或者在事故调查处理期间擅离职守或者逃匿等二类行为的处罚</w:t>
            </w:r>
          </w:p>
        </w:tc>
        <w:tc>
          <w:tcPr>
            <w:tcW w:w="1500" w:type="dxa"/>
            <w:shd w:val="clear" w:color="auto" w:fill="auto"/>
            <w:noWrap w:val="0"/>
            <w:vAlign w:val="center"/>
          </w:tcPr>
          <w:p w14:paraId="4738105D">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对生产经营单位的主要负责人在本单位发生生产安全事故时，不立即组织抢救或者在事故调查处理期间擅离职守或者逃匿的处罚</w:t>
            </w:r>
          </w:p>
        </w:tc>
        <w:tc>
          <w:tcPr>
            <w:tcW w:w="3726" w:type="dxa"/>
            <w:vMerge w:val="restart"/>
            <w:noWrap w:val="0"/>
            <w:vAlign w:val="center"/>
          </w:tcPr>
          <w:p w14:paraId="2E0FF3A7">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0529E353">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000000"/>
                <w:kern w:val="0"/>
                <w:sz w:val="16"/>
                <w:szCs w:val="16"/>
              </w:rPr>
              <w:t>生产经营单位的主要负责人对生产安全事故隐瞒不报、谎报或者迟报的，依照前款规定处罚。</w:t>
            </w:r>
          </w:p>
        </w:tc>
        <w:tc>
          <w:tcPr>
            <w:tcW w:w="2942" w:type="dxa"/>
            <w:vMerge w:val="restart"/>
            <w:noWrap w:val="0"/>
            <w:vAlign w:val="center"/>
          </w:tcPr>
          <w:p w14:paraId="0CD9CA7E">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vMerge w:val="restart"/>
            <w:noWrap w:val="0"/>
            <w:vAlign w:val="center"/>
          </w:tcPr>
          <w:p w14:paraId="27E80D3B">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40B6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898" w:type="dxa"/>
            <w:vMerge w:val="continue"/>
            <w:noWrap w:val="0"/>
            <w:vAlign w:val="center"/>
          </w:tcPr>
          <w:p w14:paraId="5933CDE7">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2FE163D1">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5CCD3E94">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2C19382F">
            <w:pPr>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对生产经营单位的主要负责人对生产安全事故隐瞒不报、谎报或者迟报的处罚</w:t>
            </w:r>
          </w:p>
        </w:tc>
        <w:tc>
          <w:tcPr>
            <w:tcW w:w="3726" w:type="dxa"/>
            <w:vMerge w:val="continue"/>
            <w:noWrap w:val="0"/>
            <w:vAlign w:val="center"/>
          </w:tcPr>
          <w:p w14:paraId="277899B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936F29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88EDCA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6F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01F3DA4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107</w:t>
            </w:r>
          </w:p>
        </w:tc>
        <w:tc>
          <w:tcPr>
            <w:tcW w:w="1096" w:type="dxa"/>
            <w:noWrap w:val="0"/>
            <w:vAlign w:val="center"/>
          </w:tcPr>
          <w:p w14:paraId="7C47A90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201F7086">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对生产经营单位未采取措施消除事故隐患的处罚</w:t>
            </w:r>
          </w:p>
        </w:tc>
        <w:tc>
          <w:tcPr>
            <w:tcW w:w="1500" w:type="dxa"/>
            <w:noWrap w:val="0"/>
            <w:vAlign w:val="center"/>
          </w:tcPr>
          <w:p w14:paraId="6C948948">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1D51174D">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942" w:type="dxa"/>
            <w:noWrap w:val="0"/>
            <w:vAlign w:val="center"/>
          </w:tcPr>
          <w:p w14:paraId="3C316099">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6FA82F59">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928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898" w:type="dxa"/>
            <w:vMerge w:val="restart"/>
            <w:noWrap w:val="0"/>
            <w:vAlign w:val="center"/>
          </w:tcPr>
          <w:p w14:paraId="450F53AD">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108</w:t>
            </w:r>
          </w:p>
        </w:tc>
        <w:tc>
          <w:tcPr>
            <w:tcW w:w="1096" w:type="dxa"/>
            <w:vMerge w:val="restart"/>
            <w:noWrap w:val="0"/>
            <w:vAlign w:val="center"/>
          </w:tcPr>
          <w:p w14:paraId="54D6D25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vMerge w:val="restart"/>
            <w:noWrap w:val="0"/>
            <w:vAlign w:val="center"/>
          </w:tcPr>
          <w:p w14:paraId="6F259EFD">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对生产经营单位将生产经营项目、场所、设备发包或者出租给不具备安全生产条件或者相应资质的单位或者个人等四类行为的处罚</w:t>
            </w:r>
          </w:p>
        </w:tc>
        <w:tc>
          <w:tcPr>
            <w:tcW w:w="1500" w:type="dxa"/>
            <w:shd w:val="clear" w:color="auto" w:fill="auto"/>
            <w:noWrap w:val="0"/>
            <w:vAlign w:val="center"/>
          </w:tcPr>
          <w:p w14:paraId="3F184841">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生产经营单位将生产经营项目、场所、设备发包或者出租给不具备安全生产条件或者相应资质的单位或者个人的处罚</w:t>
            </w:r>
          </w:p>
        </w:tc>
        <w:tc>
          <w:tcPr>
            <w:tcW w:w="3726" w:type="dxa"/>
            <w:vMerge w:val="restart"/>
            <w:noWrap w:val="0"/>
            <w:vAlign w:val="center"/>
          </w:tcPr>
          <w:p w14:paraId="4DDEDFA9">
            <w:pPr>
              <w:widowControl/>
              <w:suppressAutoHyphens/>
              <w:spacing w:line="18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《中华人民共和国安全生产法》第一百零三条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764FCC75">
            <w:pPr>
              <w:widowControl/>
              <w:suppressAutoHyphens/>
              <w:spacing w:line="18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7AC5D3AE">
            <w:pPr>
              <w:widowControl/>
              <w:suppressAutoHyphens/>
              <w:spacing w:line="180" w:lineRule="exact"/>
              <w:jc w:val="center"/>
              <w:rPr>
                <w:rFonts w:hint="eastAsia" w:ascii="Times New Roman" w:hAnsi="宋体" w:eastAsia="宋体" w:cs="宋体"/>
                <w:kern w:val="0"/>
                <w:sz w:val="16"/>
                <w:szCs w:val="16"/>
              </w:rPr>
            </w:pPr>
            <w:r>
              <w:rPr>
                <w:rFonts w:hint="eastAsia" w:ascii="宋体" w:hAnsi="宋体" w:eastAsia="宋体" w:cs="宋体"/>
                <w:color w:val="333333"/>
                <w:kern w:val="0"/>
                <w:sz w:val="16"/>
                <w:szCs w:val="16"/>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2942" w:type="dxa"/>
            <w:vMerge w:val="restart"/>
            <w:noWrap w:val="0"/>
            <w:vAlign w:val="center"/>
          </w:tcPr>
          <w:p w14:paraId="19069B70">
            <w:pPr>
              <w:spacing w:line="18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636AEC16">
            <w:pPr>
              <w:spacing w:line="18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E1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898" w:type="dxa"/>
            <w:vMerge w:val="continue"/>
            <w:noWrap w:val="0"/>
            <w:vAlign w:val="center"/>
          </w:tcPr>
          <w:p w14:paraId="462B652D">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3F94995E">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02322683">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59017934">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生产经营单位未与承包单位、承租单位签订专门的安全生产管理协议或者未在承包合同、租赁合同中明确各自的安全生产管理职责，或者未对承包单位、承租单位的安全生产统一协调、管理的处罚</w:t>
            </w:r>
          </w:p>
        </w:tc>
        <w:tc>
          <w:tcPr>
            <w:tcW w:w="3726" w:type="dxa"/>
            <w:vMerge w:val="continue"/>
            <w:noWrap w:val="0"/>
            <w:vAlign w:val="center"/>
          </w:tcPr>
          <w:p w14:paraId="5FBCF12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0E2B2B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381419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745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898" w:type="dxa"/>
            <w:vMerge w:val="continue"/>
            <w:noWrap w:val="0"/>
            <w:vAlign w:val="center"/>
          </w:tcPr>
          <w:p w14:paraId="05DBC4E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540CE24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3C7F37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1FBE9B3">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矿山、金属冶炼建设项目和用于生产、储存、装卸危险物品的建设项目的施工单位未按照规定对施工项目进行安全管理的处罚</w:t>
            </w:r>
          </w:p>
        </w:tc>
        <w:tc>
          <w:tcPr>
            <w:tcW w:w="3726" w:type="dxa"/>
            <w:vMerge w:val="continue"/>
            <w:noWrap w:val="0"/>
            <w:vAlign w:val="center"/>
          </w:tcPr>
          <w:p w14:paraId="65DA0FA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EF67A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9C0357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7F7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898" w:type="dxa"/>
            <w:vMerge w:val="continue"/>
            <w:noWrap w:val="0"/>
            <w:vAlign w:val="center"/>
          </w:tcPr>
          <w:p w14:paraId="76C6679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09A92ED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4291B3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63F1012">
            <w:pPr>
              <w:spacing w:line="18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施工单位倒卖、出租、出借、挂靠或者以其他形式非法转让施工资质的处罚</w:t>
            </w:r>
          </w:p>
        </w:tc>
        <w:tc>
          <w:tcPr>
            <w:tcW w:w="3726" w:type="dxa"/>
            <w:vMerge w:val="continue"/>
            <w:noWrap w:val="0"/>
            <w:vAlign w:val="center"/>
          </w:tcPr>
          <w:p w14:paraId="114CA43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C5433A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2044E2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B5F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635E26AF">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109</w:t>
            </w:r>
          </w:p>
        </w:tc>
        <w:tc>
          <w:tcPr>
            <w:tcW w:w="1096" w:type="dxa"/>
            <w:noWrap w:val="0"/>
            <w:vAlign w:val="center"/>
          </w:tcPr>
          <w:p w14:paraId="126A869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color w:val="000000"/>
                <w:kern w:val="0"/>
                <w:sz w:val="16"/>
                <w:szCs w:val="16"/>
                <w:lang w:eastAsia="zh-CN"/>
              </w:rPr>
              <w:t>行政处罚</w:t>
            </w:r>
          </w:p>
        </w:tc>
        <w:tc>
          <w:tcPr>
            <w:tcW w:w="1850" w:type="dxa"/>
            <w:noWrap w:val="0"/>
            <w:vAlign w:val="center"/>
          </w:tcPr>
          <w:p w14:paraId="54C57DFF">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500" w:type="dxa"/>
            <w:noWrap w:val="0"/>
            <w:vAlign w:val="center"/>
          </w:tcPr>
          <w:p w14:paraId="0F9105D5">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F404C25">
            <w:pPr>
              <w:spacing w:line="180" w:lineRule="exact"/>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942" w:type="dxa"/>
            <w:noWrap w:val="0"/>
            <w:vAlign w:val="center"/>
          </w:tcPr>
          <w:p w14:paraId="6859E903">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2、调查阶段责任：应急管理部门按规定的处罚种类和幅度，收集相关证据，需要补充的再补充调查。</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3、告知阶段责任：制作《行政处罚告知书》，符合听证条件的制作《听证告知书》，通知当事人，当事人享有的陈述、申辩、要求听证的权利。</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5、送达阶段责任：应急管理部门将《行政处罚决定书》按照法定的方式和期限送达当事人。</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7、其他法律法规规章文件规定应履行的责任。</w:t>
            </w:r>
          </w:p>
        </w:tc>
        <w:tc>
          <w:tcPr>
            <w:tcW w:w="2888" w:type="dxa"/>
            <w:noWrap w:val="0"/>
            <w:vAlign w:val="center"/>
          </w:tcPr>
          <w:p w14:paraId="1E1D2912">
            <w:pPr>
              <w:spacing w:line="180" w:lineRule="exact"/>
              <w:rPr>
                <w:rFonts w:hint="eastAsia" w:ascii="Times New Roman" w:eastAsia="宋体"/>
                <w:color w:val="000000"/>
                <w:kern w:val="0"/>
                <w:sz w:val="16"/>
                <w:szCs w:val="16"/>
              </w:rPr>
            </w:pPr>
            <w:r>
              <w:rPr>
                <w:rFonts w:hint="eastAsia" w:ascii="宋体" w:hAnsi="宋体" w:eastAsia="宋体"/>
                <w:color w:val="000000"/>
                <w:kern w:val="0"/>
                <w:sz w:val="16"/>
                <w:szCs w:val="16"/>
              </w:rPr>
              <w:t>因不履行或不正确履行行政职责，有下列情形的，行政机关及相关工作人员应承担相应责任：</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1、对应当予以制止和处罚的违法行为不予制止、处罚，致使公民、法人或者其他组织的合法权益、公共利益和社会秩序遭受损害的；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2、超越、滥用法定职权的；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3、主要事实不清、证据不足的；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4、适用法律依据错误的；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5、行政裁量明显不当的；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6、违反法定程序的；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7、违法实行检查措施或者执行措施，给公民人身或者财产造成损害、给法人或者其他组织造成损失的；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8、不执行对事故责任人员的处理决定，或者擅自改变上级机关批复的对事故责任人员的处理意见的；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9、徇私舞弊、包庇纵容违法行为的；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10、在行政处罚过程中发生腐败行为的；</w:t>
            </w:r>
            <w:r>
              <w:rPr>
                <w:rFonts w:hint="eastAsia" w:ascii="宋体" w:hAnsi="宋体" w:eastAsia="宋体"/>
                <w:color w:val="000000"/>
                <w:kern w:val="0"/>
                <w:sz w:val="16"/>
                <w:szCs w:val="16"/>
              </w:rPr>
              <w:br w:type="textWrapping"/>
            </w:r>
            <w:r>
              <w:rPr>
                <w:rFonts w:hint="eastAsia" w:ascii="宋体" w:hAnsi="宋体" w:eastAsia="宋体"/>
                <w:color w:val="000000"/>
                <w:kern w:val="0"/>
                <w:sz w:val="16"/>
                <w:szCs w:val="16"/>
              </w:rPr>
              <w:t>11、其他违反法律法规规章文件规定的行为。</w:t>
            </w:r>
          </w:p>
        </w:tc>
      </w:tr>
      <w:tr w14:paraId="0EDA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98" w:type="dxa"/>
            <w:vMerge w:val="restart"/>
            <w:noWrap w:val="0"/>
            <w:vAlign w:val="center"/>
          </w:tcPr>
          <w:p w14:paraId="5F007C2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110</w:t>
            </w:r>
          </w:p>
        </w:tc>
        <w:tc>
          <w:tcPr>
            <w:tcW w:w="1096" w:type="dxa"/>
            <w:vMerge w:val="restart"/>
            <w:noWrap w:val="0"/>
            <w:vAlign w:val="center"/>
          </w:tcPr>
          <w:p w14:paraId="15B9DA3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i w:val="0"/>
                <w:iCs w:val="0"/>
                <w:color w:val="auto"/>
                <w:kern w:val="0"/>
                <w:sz w:val="16"/>
                <w:szCs w:val="16"/>
                <w:u w:val="none"/>
                <w:lang w:val="en-US" w:eastAsia="zh-CN" w:bidi="ar"/>
              </w:rPr>
              <w:t>行政强制</w:t>
            </w:r>
          </w:p>
        </w:tc>
        <w:tc>
          <w:tcPr>
            <w:tcW w:w="1850" w:type="dxa"/>
            <w:vMerge w:val="restart"/>
            <w:noWrap w:val="0"/>
            <w:vAlign w:val="center"/>
          </w:tcPr>
          <w:p w14:paraId="2A65DD32">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对未按照规定对矿山、金属冶炼建设项目或者用于生产、储存、装卸危险物品的建设项目进行安全评价等四类行为的处罚</w:t>
            </w:r>
          </w:p>
        </w:tc>
        <w:tc>
          <w:tcPr>
            <w:tcW w:w="1500" w:type="dxa"/>
            <w:shd w:val="clear" w:color="auto" w:fill="auto"/>
            <w:noWrap w:val="0"/>
            <w:vAlign w:val="center"/>
          </w:tcPr>
          <w:p w14:paraId="690BC261">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未按照规定对矿山、金属冶炼建设项目或者用于生产、储存、装卸危险物品的建设项目进行安全评价的处罚</w:t>
            </w:r>
          </w:p>
        </w:tc>
        <w:tc>
          <w:tcPr>
            <w:tcW w:w="3726" w:type="dxa"/>
            <w:vMerge w:val="restart"/>
            <w:noWrap w:val="0"/>
            <w:vAlign w:val="center"/>
          </w:tcPr>
          <w:p w14:paraId="66176497">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《中华人民共和国安全生产法》第九十八条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3683EBCD">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（一）未按照规定对矿山、金属冶炼建设项目或者用于生产、储存、装卸危险物品的建设项目进行安全评价的；</w:t>
            </w:r>
          </w:p>
          <w:p w14:paraId="7C9CBD21">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（二）矿山、金属冶炼建设项目或者用于生产、储存、装卸危险物品的建设项目没有安全设施设计或者安全设施设计未按照规定报经有关部门审查同意的；</w:t>
            </w:r>
          </w:p>
          <w:p w14:paraId="2D77D5EE">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（三）矿山、金属冶炼建设项目或者用于生产、储存、装卸危险物品的建设项目的施工单位未按照批准的安全设施设计施工的；</w:t>
            </w:r>
          </w:p>
          <w:p w14:paraId="66559EC2">
            <w:pPr>
              <w:widowControl/>
              <w:suppressAutoHyphens/>
              <w:spacing w:line="200" w:lineRule="exact"/>
              <w:jc w:val="center"/>
              <w:rPr>
                <w:rFonts w:hint="eastAsia" w:ascii="Times New Roman" w:hAnsi="宋体" w:eastAsia="宋体" w:cs="宋体"/>
                <w:kern w:val="0"/>
                <w:sz w:val="16"/>
                <w:szCs w:val="16"/>
              </w:rPr>
            </w:pPr>
            <w:r>
              <w:rPr>
                <w:rFonts w:hint="eastAsia" w:ascii="宋体" w:hAnsi="宋体" w:eastAsia="宋体" w:cs="宋体"/>
                <w:color w:val="333333"/>
                <w:kern w:val="0"/>
                <w:sz w:val="16"/>
                <w:szCs w:val="16"/>
              </w:rPr>
              <w:t>（四）矿山、金属冶炼建设项目或者用于生产、储存、装卸危险物品的建设项目竣工投入生产或者使用前，安全设施未经验收合格的。</w:t>
            </w:r>
          </w:p>
        </w:tc>
        <w:tc>
          <w:tcPr>
            <w:tcW w:w="2942" w:type="dxa"/>
            <w:vMerge w:val="restart"/>
            <w:noWrap w:val="0"/>
            <w:vAlign w:val="center"/>
          </w:tcPr>
          <w:p w14:paraId="2CB744BD">
            <w:pPr>
              <w:spacing w:line="24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18C750DC">
            <w:pPr>
              <w:spacing w:line="24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40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98" w:type="dxa"/>
            <w:vMerge w:val="continue"/>
            <w:noWrap w:val="0"/>
            <w:vAlign w:val="center"/>
          </w:tcPr>
          <w:p w14:paraId="12B782E2">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4D756662">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0CA4B503">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67F78D10">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矿山、金属冶炼建设项目或者用于生产、储存、装卸危险物品的建设项目没有安全设施设计或者安全设施设计未按照规定报经有关部门审查同意的处罚</w:t>
            </w:r>
          </w:p>
        </w:tc>
        <w:tc>
          <w:tcPr>
            <w:tcW w:w="3726" w:type="dxa"/>
            <w:vMerge w:val="continue"/>
            <w:noWrap w:val="0"/>
            <w:vAlign w:val="center"/>
          </w:tcPr>
          <w:p w14:paraId="26EE6A1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C01D5E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580FE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6D1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98" w:type="dxa"/>
            <w:vMerge w:val="continue"/>
            <w:noWrap w:val="0"/>
            <w:vAlign w:val="center"/>
          </w:tcPr>
          <w:p w14:paraId="7EA9B15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289040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CF6A2E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917FDA3">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对矿山、金属冶炼建设项目或者用于生产、储存、装卸危险物品的建设项目的施工单位未按照批准的安全设施设计施工的处罚</w:t>
            </w:r>
          </w:p>
        </w:tc>
        <w:tc>
          <w:tcPr>
            <w:tcW w:w="3726" w:type="dxa"/>
            <w:vMerge w:val="continue"/>
            <w:noWrap w:val="0"/>
            <w:vAlign w:val="center"/>
          </w:tcPr>
          <w:p w14:paraId="0D8C8A7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C63A00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4DF813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41A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98" w:type="dxa"/>
            <w:vMerge w:val="continue"/>
            <w:noWrap w:val="0"/>
            <w:vAlign w:val="center"/>
          </w:tcPr>
          <w:p w14:paraId="01AEB68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D74436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F544B0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550653D2">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矿山、金属冶炼建设项目或者用于生产、储存、装卸危险物品的建设项目竣工投入生产或者使用前，安全设施未经验收合格的处罚</w:t>
            </w:r>
          </w:p>
        </w:tc>
        <w:tc>
          <w:tcPr>
            <w:tcW w:w="3726" w:type="dxa"/>
            <w:vMerge w:val="continue"/>
            <w:noWrap w:val="0"/>
            <w:vAlign w:val="center"/>
          </w:tcPr>
          <w:p w14:paraId="717B350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3BF983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7F3452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319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restart"/>
            <w:noWrap w:val="0"/>
            <w:vAlign w:val="center"/>
          </w:tcPr>
          <w:p w14:paraId="3E91203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111</w:t>
            </w:r>
          </w:p>
        </w:tc>
        <w:tc>
          <w:tcPr>
            <w:tcW w:w="1096" w:type="dxa"/>
            <w:vMerge w:val="restart"/>
            <w:noWrap w:val="0"/>
            <w:vAlign w:val="center"/>
          </w:tcPr>
          <w:p w14:paraId="122B877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ascii="Times New Roman" w:hAnsi="宋体" w:eastAsia="宋体" w:cs="宋体"/>
                <w:i w:val="0"/>
                <w:iCs w:val="0"/>
                <w:color w:val="auto"/>
                <w:kern w:val="0"/>
                <w:sz w:val="16"/>
                <w:szCs w:val="16"/>
                <w:u w:val="none"/>
                <w:lang w:val="en-US" w:eastAsia="zh-CN" w:bidi="ar"/>
              </w:rPr>
              <w:t>行政强制</w:t>
            </w:r>
          </w:p>
        </w:tc>
        <w:tc>
          <w:tcPr>
            <w:tcW w:w="1850" w:type="dxa"/>
            <w:vMerge w:val="restart"/>
            <w:noWrap w:val="0"/>
            <w:vAlign w:val="center"/>
          </w:tcPr>
          <w:p w14:paraId="21D72C32">
            <w:pPr>
              <w:widowControl/>
              <w:suppressAutoHyphens/>
              <w:snapToGrid w:val="0"/>
              <w:spacing w:line="240" w:lineRule="auto"/>
              <w:ind w:left="0" w:leftChars="0" w:right="0" w:rightChars="0" w:firstLine="0" w:firstLineChars="0"/>
              <w:jc w:val="left"/>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对未在有较大危险因素的生产经营场所和有关设施、设备上设置明显的安全警示标志等七类行为的处罚</w:t>
            </w:r>
          </w:p>
        </w:tc>
        <w:tc>
          <w:tcPr>
            <w:tcW w:w="1500" w:type="dxa"/>
            <w:shd w:val="clear" w:color="auto" w:fill="auto"/>
            <w:noWrap w:val="0"/>
            <w:vAlign w:val="center"/>
          </w:tcPr>
          <w:p w14:paraId="7903AE08">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对未对安全设备进行经常性维护、保养和定期检测的处罚</w:t>
            </w:r>
          </w:p>
        </w:tc>
        <w:tc>
          <w:tcPr>
            <w:tcW w:w="3726" w:type="dxa"/>
            <w:vMerge w:val="restart"/>
            <w:noWrap w:val="0"/>
            <w:vAlign w:val="center"/>
          </w:tcPr>
          <w:p w14:paraId="3D30E471">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0932398">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（一）未在有较大危险因素的生产经营场所和有关设施、设备上设置明显的安全警示标志的；</w:t>
            </w:r>
          </w:p>
          <w:p w14:paraId="337FACE4">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（二）安全设备的安装、使用、检测、改造和报废不符合国家标准或者行业标准的；</w:t>
            </w:r>
          </w:p>
          <w:p w14:paraId="28CD561E">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（三）未对安全设备进行经常性维护、保养和定期检测的；</w:t>
            </w:r>
          </w:p>
          <w:p w14:paraId="1BBAF73B">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（四）关闭、破坏直接关系生产安全的监控、报警、防护、救生设备、设施，或者篡改、隐瞒、销毁其相关数据、信息的；</w:t>
            </w:r>
          </w:p>
          <w:p w14:paraId="7D3E0082">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（五）未为从业人员提供符合国家标准或者行业标准的劳动防护用品的；</w:t>
            </w:r>
          </w:p>
          <w:p w14:paraId="7E29BEED">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（六）危险物品的容器、运输工具，以及涉及人身安全、危险性较大的海洋石油开采特种设备和矿山井下特种设备未经具有专业资质的机构检测、检验合格，取得安全使用证或者安全标志，投入使用的；</w:t>
            </w:r>
          </w:p>
          <w:p w14:paraId="45E2F732">
            <w:pPr>
              <w:widowControl/>
              <w:suppressAutoHyphens/>
              <w:spacing w:line="200" w:lineRule="exact"/>
              <w:jc w:val="center"/>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（七）使用应当淘汰的危及生产安全的工艺、设备的；</w:t>
            </w:r>
          </w:p>
          <w:p w14:paraId="302B7428">
            <w:pPr>
              <w:widowControl/>
              <w:suppressAutoHyphens/>
              <w:spacing w:line="200" w:lineRule="exact"/>
              <w:jc w:val="center"/>
              <w:rPr>
                <w:rFonts w:hint="eastAsia" w:ascii="Times New Roman" w:hAnsi="宋体" w:eastAsia="宋体" w:cs="宋体"/>
                <w:kern w:val="0"/>
                <w:sz w:val="16"/>
                <w:szCs w:val="16"/>
              </w:rPr>
            </w:pPr>
            <w:r>
              <w:rPr>
                <w:rFonts w:hint="eastAsia" w:ascii="宋体" w:hAnsi="宋体" w:eastAsia="宋体" w:cs="宋体"/>
                <w:color w:val="333333"/>
                <w:kern w:val="0"/>
                <w:sz w:val="16"/>
                <w:szCs w:val="16"/>
              </w:rPr>
              <w:t>（八）餐饮等行业的生产经营单位使用燃气未安装可燃气体报警装置的。</w:t>
            </w:r>
          </w:p>
        </w:tc>
        <w:tc>
          <w:tcPr>
            <w:tcW w:w="2942" w:type="dxa"/>
            <w:vMerge w:val="restart"/>
            <w:noWrap w:val="0"/>
            <w:vAlign w:val="center"/>
          </w:tcPr>
          <w:p w14:paraId="14DE34FF">
            <w:pPr>
              <w:spacing w:line="24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5A5ACA91">
            <w:pPr>
              <w:spacing w:line="24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4CA6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continue"/>
            <w:noWrap w:val="0"/>
            <w:vAlign w:val="center"/>
          </w:tcPr>
          <w:p w14:paraId="6E6FD38A">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7392347E">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5C030077">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1653D132">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关闭、破坏直接关系生产安全的监控、报警、防护、救生设备、设施，或者篡改、隐瞒、销毁其相关数据、信息的处罚</w:t>
            </w:r>
          </w:p>
        </w:tc>
        <w:tc>
          <w:tcPr>
            <w:tcW w:w="3726" w:type="dxa"/>
            <w:vMerge w:val="continue"/>
            <w:noWrap w:val="0"/>
            <w:vAlign w:val="center"/>
          </w:tcPr>
          <w:p w14:paraId="55B8625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51E22D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6D8C5EF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97B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continue"/>
            <w:noWrap w:val="0"/>
            <w:vAlign w:val="center"/>
          </w:tcPr>
          <w:p w14:paraId="071C9D7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04FE607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57E1E0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6710ADD6">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未为从业人员提供符合国家标准或者行业标准的劳动防护用品的处罚</w:t>
            </w:r>
          </w:p>
        </w:tc>
        <w:tc>
          <w:tcPr>
            <w:tcW w:w="3726" w:type="dxa"/>
            <w:vMerge w:val="continue"/>
            <w:noWrap w:val="0"/>
            <w:vAlign w:val="center"/>
          </w:tcPr>
          <w:p w14:paraId="79C76A1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A5796B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B169A8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974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continue"/>
            <w:noWrap w:val="0"/>
            <w:vAlign w:val="center"/>
          </w:tcPr>
          <w:p w14:paraId="3D95772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C01469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4C15A1B">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701278F">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危险物品的容器、运输工具，以及涉及人身安全、危险性较大的海洋石油开采特种设备和矿山井下特种设备未经具有专业资质的机构检测、检验合格，取得安全使用证或者安全标志，投入使用的处罚</w:t>
            </w:r>
          </w:p>
        </w:tc>
        <w:tc>
          <w:tcPr>
            <w:tcW w:w="3726" w:type="dxa"/>
            <w:vMerge w:val="continue"/>
            <w:noWrap w:val="0"/>
            <w:vAlign w:val="center"/>
          </w:tcPr>
          <w:p w14:paraId="096CD8A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F9A429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1A2A97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5ED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continue"/>
            <w:noWrap w:val="0"/>
            <w:vAlign w:val="center"/>
          </w:tcPr>
          <w:p w14:paraId="4173690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274E683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98A76F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45325E8">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使用应当淘汰的危及生产安全的工艺、设备的处罚</w:t>
            </w:r>
          </w:p>
        </w:tc>
        <w:tc>
          <w:tcPr>
            <w:tcW w:w="3726" w:type="dxa"/>
            <w:vMerge w:val="continue"/>
            <w:noWrap w:val="0"/>
            <w:vAlign w:val="center"/>
          </w:tcPr>
          <w:p w14:paraId="60DBBBD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C655F8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3CBC655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B48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continue"/>
            <w:noWrap w:val="0"/>
            <w:vAlign w:val="center"/>
          </w:tcPr>
          <w:p w14:paraId="1EA08D6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BE05DB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B3B7A0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D1539BD">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对餐饮等行业的生产经营单位使用燃气未安装可燃气体报警装置的处罚（该项根据各地职责认领）</w:t>
            </w:r>
          </w:p>
        </w:tc>
        <w:tc>
          <w:tcPr>
            <w:tcW w:w="3726" w:type="dxa"/>
            <w:vMerge w:val="continue"/>
            <w:noWrap w:val="0"/>
            <w:vAlign w:val="center"/>
          </w:tcPr>
          <w:p w14:paraId="04F7051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426103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450926E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1C2E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8" w:type="dxa"/>
            <w:vMerge w:val="continue"/>
            <w:noWrap w:val="0"/>
            <w:vAlign w:val="center"/>
          </w:tcPr>
          <w:p w14:paraId="1B3DA9D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73E82F5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161D489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72B51C4">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对未对安全设备进行经常性维护、保养和定期检测的处罚</w:t>
            </w:r>
          </w:p>
        </w:tc>
        <w:tc>
          <w:tcPr>
            <w:tcW w:w="3726" w:type="dxa"/>
            <w:vMerge w:val="continue"/>
            <w:noWrap w:val="0"/>
            <w:vAlign w:val="center"/>
          </w:tcPr>
          <w:p w14:paraId="03136C9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37B61A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4AE171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78CE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8" w:type="dxa"/>
            <w:vMerge w:val="restart"/>
            <w:noWrap w:val="0"/>
            <w:vAlign w:val="center"/>
          </w:tcPr>
          <w:p w14:paraId="0E1D777B">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112</w:t>
            </w:r>
          </w:p>
        </w:tc>
        <w:tc>
          <w:tcPr>
            <w:tcW w:w="1096" w:type="dxa"/>
            <w:vMerge w:val="restart"/>
            <w:noWrap w:val="0"/>
            <w:vAlign w:val="center"/>
          </w:tcPr>
          <w:p w14:paraId="27ECE8C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hAnsi="宋体" w:cs="宋体"/>
                <w:color w:val="000000"/>
                <w:kern w:val="0"/>
                <w:sz w:val="16"/>
                <w:szCs w:val="16"/>
                <w:lang w:eastAsia="zh-CN"/>
              </w:rPr>
              <w:t>行政处罚</w:t>
            </w:r>
          </w:p>
        </w:tc>
        <w:tc>
          <w:tcPr>
            <w:tcW w:w="1850" w:type="dxa"/>
            <w:vMerge w:val="restart"/>
            <w:noWrap w:val="0"/>
            <w:vAlign w:val="center"/>
          </w:tcPr>
          <w:p w14:paraId="590B647A">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对生产、经营、运输、储存、使用危险物品或者处置废弃危险物品，未建立专门安全管理制度、未采取可靠的安全措施等五类行为的处罚</w:t>
            </w:r>
          </w:p>
        </w:tc>
        <w:tc>
          <w:tcPr>
            <w:tcW w:w="1500" w:type="dxa"/>
            <w:shd w:val="clear" w:color="auto" w:fill="auto"/>
            <w:noWrap w:val="0"/>
            <w:vAlign w:val="center"/>
          </w:tcPr>
          <w:p w14:paraId="5DC8E5C9">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生产、经营、运输、储存、使用危险物品或者处置废弃危险物品，未建立专门安全管理制度、未采取可靠的安全措施的的处罚</w:t>
            </w:r>
          </w:p>
        </w:tc>
        <w:tc>
          <w:tcPr>
            <w:tcW w:w="3726" w:type="dxa"/>
            <w:vMerge w:val="restart"/>
            <w:noWrap w:val="0"/>
            <w:vAlign w:val="center"/>
          </w:tcPr>
          <w:p w14:paraId="13E2B839">
            <w:pPr>
              <w:widowControl/>
              <w:suppressAutoHyphens/>
              <w:spacing w:line="200" w:lineRule="exact"/>
              <w:jc w:val="left"/>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02F0FF7">
            <w:pPr>
              <w:widowControl/>
              <w:suppressAutoHyphens/>
              <w:spacing w:line="200" w:lineRule="exact"/>
              <w:jc w:val="left"/>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（一）生产、经营、运输、储存、使用危险物品或者处置废弃危险物品，未建立专门安全管理制度、未采取可靠的安全措施的；</w:t>
            </w:r>
          </w:p>
          <w:p w14:paraId="4C69C4D9">
            <w:pPr>
              <w:widowControl/>
              <w:suppressAutoHyphens/>
              <w:spacing w:line="200" w:lineRule="exact"/>
              <w:jc w:val="left"/>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（二）对重大危险源未登记建档，未进行定期检测、评估、监控，未制定应急预案，或者未告知应急措施的；</w:t>
            </w:r>
          </w:p>
          <w:p w14:paraId="4B6578D1">
            <w:pPr>
              <w:widowControl/>
              <w:suppressAutoHyphens/>
              <w:spacing w:line="200" w:lineRule="exact"/>
              <w:jc w:val="left"/>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（三）进行爆破、吊装、动火、临时用电以及国务院应急管理部门会同国务院有关部门规定的其他危险作业，未安排专门人员进行现场安全管理的；</w:t>
            </w:r>
          </w:p>
          <w:p w14:paraId="58E0C741">
            <w:pPr>
              <w:widowControl/>
              <w:suppressAutoHyphens/>
              <w:spacing w:line="200" w:lineRule="exact"/>
              <w:jc w:val="left"/>
              <w:rPr>
                <w:rFonts w:hint="eastAsia" w:ascii="宋体" w:hAnsi="宋体" w:eastAsia="宋体" w:cs="宋体"/>
                <w:color w:val="333333"/>
                <w:kern w:val="0"/>
                <w:sz w:val="16"/>
                <w:szCs w:val="16"/>
              </w:rPr>
            </w:pPr>
            <w:r>
              <w:rPr>
                <w:rFonts w:hint="eastAsia" w:ascii="宋体" w:hAnsi="宋体" w:eastAsia="宋体" w:cs="宋体"/>
                <w:color w:val="333333"/>
                <w:kern w:val="0"/>
                <w:sz w:val="16"/>
                <w:szCs w:val="16"/>
              </w:rPr>
              <w:t>（四）未建立安全风险分级管控制度或者未按照安全风险分级采取相应管控措施的；</w:t>
            </w:r>
          </w:p>
          <w:p w14:paraId="14A8379C">
            <w:pPr>
              <w:widowControl/>
              <w:suppressAutoHyphens/>
              <w:spacing w:line="200" w:lineRule="exact"/>
              <w:jc w:val="left"/>
              <w:rPr>
                <w:rFonts w:hint="eastAsia" w:ascii="Times New Roman" w:hAnsi="宋体" w:eastAsia="宋体" w:cs="宋体"/>
                <w:kern w:val="0"/>
                <w:sz w:val="16"/>
                <w:szCs w:val="16"/>
              </w:rPr>
            </w:pPr>
            <w:r>
              <w:rPr>
                <w:rFonts w:hint="eastAsia" w:ascii="宋体" w:hAnsi="宋体" w:eastAsia="宋体" w:cs="宋体"/>
                <w:color w:val="333333"/>
                <w:kern w:val="0"/>
                <w:sz w:val="16"/>
                <w:szCs w:val="16"/>
              </w:rPr>
              <w:t>（五）未建立事故隐患排查治理制度，或者重大事故隐患排查治理情况未按照规定报告的。</w:t>
            </w:r>
          </w:p>
        </w:tc>
        <w:tc>
          <w:tcPr>
            <w:tcW w:w="2942" w:type="dxa"/>
            <w:vMerge w:val="restart"/>
            <w:noWrap w:val="0"/>
            <w:vAlign w:val="center"/>
          </w:tcPr>
          <w:p w14:paraId="2E9572FB">
            <w:pPr>
              <w:spacing w:line="24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558BB0D3">
            <w:pPr>
              <w:spacing w:line="24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7BD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8" w:type="dxa"/>
            <w:vMerge w:val="continue"/>
            <w:noWrap w:val="0"/>
            <w:vAlign w:val="center"/>
          </w:tcPr>
          <w:p w14:paraId="48AACC54">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24BDD8CF">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1E366757">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34568580">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对重大危险源未登记建档，未进行定期检测、评估、监控，未制定应急预案，或者未告知应急措施的处罚</w:t>
            </w:r>
          </w:p>
        </w:tc>
        <w:tc>
          <w:tcPr>
            <w:tcW w:w="3726" w:type="dxa"/>
            <w:vMerge w:val="continue"/>
            <w:noWrap w:val="0"/>
            <w:vAlign w:val="center"/>
          </w:tcPr>
          <w:p w14:paraId="7BAB8F4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09D962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A14988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D53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8" w:type="dxa"/>
            <w:vMerge w:val="continue"/>
            <w:noWrap w:val="0"/>
            <w:vAlign w:val="center"/>
          </w:tcPr>
          <w:p w14:paraId="33157F8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6405B44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0660BD8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0C693C82">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对进行爆破、吊装、动火、临时用电以及国务院应急管理部门会同国务院有关部门规定的其他危险作业，未安排专门人员进行现场安全管理的处罚</w:t>
            </w:r>
          </w:p>
        </w:tc>
        <w:tc>
          <w:tcPr>
            <w:tcW w:w="3726" w:type="dxa"/>
            <w:vMerge w:val="continue"/>
            <w:noWrap w:val="0"/>
            <w:vAlign w:val="center"/>
          </w:tcPr>
          <w:p w14:paraId="32E74EE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90E809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2308EB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963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8" w:type="dxa"/>
            <w:vMerge w:val="continue"/>
            <w:noWrap w:val="0"/>
            <w:vAlign w:val="center"/>
          </w:tcPr>
          <w:p w14:paraId="3968CBA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44D6A25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697559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C89B286">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对未建立安全风险分级管控制度或者未按照安全风险分级采取相应管控措施的处罚</w:t>
            </w:r>
          </w:p>
        </w:tc>
        <w:tc>
          <w:tcPr>
            <w:tcW w:w="3726" w:type="dxa"/>
            <w:vMerge w:val="continue"/>
            <w:noWrap w:val="0"/>
            <w:vAlign w:val="center"/>
          </w:tcPr>
          <w:p w14:paraId="46EFC8E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65543D57">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3C91236">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8CB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8" w:type="dxa"/>
            <w:vMerge w:val="continue"/>
            <w:noWrap w:val="0"/>
            <w:vAlign w:val="center"/>
          </w:tcPr>
          <w:p w14:paraId="7A125650">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728B1C4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5601150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11413BB2">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对未建立事故隐患排查治理制度，或者重大事故隐患排查治理情况未按照规定报告的处罚</w:t>
            </w:r>
          </w:p>
        </w:tc>
        <w:tc>
          <w:tcPr>
            <w:tcW w:w="3726" w:type="dxa"/>
            <w:vMerge w:val="continue"/>
            <w:noWrap w:val="0"/>
            <w:vAlign w:val="center"/>
          </w:tcPr>
          <w:p w14:paraId="5B00F3D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EBBBEC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3970322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90E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898" w:type="dxa"/>
            <w:noWrap w:val="0"/>
            <w:vAlign w:val="center"/>
          </w:tcPr>
          <w:p w14:paraId="155EEDE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113</w:t>
            </w:r>
          </w:p>
        </w:tc>
        <w:tc>
          <w:tcPr>
            <w:tcW w:w="1096" w:type="dxa"/>
            <w:noWrap w:val="0"/>
            <w:vAlign w:val="center"/>
          </w:tcPr>
          <w:p w14:paraId="734FD1D4">
            <w:pPr>
              <w:widowControl/>
              <w:suppressAutoHyphens/>
              <w:spacing w:line="360" w:lineRule="exact"/>
              <w:jc w:val="center"/>
              <w:rPr>
                <w:rFonts w:hint="eastAsia" w:ascii="Times New Roman"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行政处罚</w:t>
            </w:r>
          </w:p>
        </w:tc>
        <w:tc>
          <w:tcPr>
            <w:tcW w:w="1850" w:type="dxa"/>
            <w:noWrap w:val="0"/>
            <w:vAlign w:val="center"/>
          </w:tcPr>
          <w:p w14:paraId="20BD3396">
            <w:pPr>
              <w:keepNext w:val="0"/>
              <w:keepLines w:val="0"/>
              <w:widowControl/>
              <w:suppressLineNumbers w:val="0"/>
              <w:jc w:val="center"/>
              <w:textAlignment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对生产经营单位的主要负责人未履行安全生产法规定的安全生产管理职责而导致发生生产安全事故的处罚</w:t>
            </w:r>
          </w:p>
        </w:tc>
        <w:tc>
          <w:tcPr>
            <w:tcW w:w="1500" w:type="dxa"/>
            <w:noWrap w:val="0"/>
            <w:vAlign w:val="center"/>
          </w:tcPr>
          <w:p w14:paraId="01FC2330">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8BDB376">
            <w:pPr>
              <w:spacing w:after="240"/>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《中华人民共和国安全生产法》第九十五条：生产经营单位的主要负责人未履行本法规定的安全生产管理职责，导致发生生产安全事故的，由应急管理部门依照下列规定处以罚款: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（一）发生一般事故的，处上一年年收入百分之四十的罚款；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（二）发生较大事故的，处上一年年收入百分之六十的罚款；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（三）发生重大事故的，处上一年年收入百分之八十的罚款；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（四）发生特别重大事故的，处上一年年收入百分之一百的罚款。</w:t>
            </w:r>
          </w:p>
        </w:tc>
        <w:tc>
          <w:tcPr>
            <w:tcW w:w="2942" w:type="dxa"/>
            <w:noWrap w:val="0"/>
            <w:vAlign w:val="center"/>
          </w:tcPr>
          <w:p w14:paraId="61EA7E47">
            <w:pPr>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204ED0A4">
            <w:pPr>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5663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B388C19">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114</w:t>
            </w:r>
          </w:p>
        </w:tc>
        <w:tc>
          <w:tcPr>
            <w:tcW w:w="1096" w:type="dxa"/>
            <w:noWrap w:val="0"/>
            <w:vAlign w:val="center"/>
          </w:tcPr>
          <w:p w14:paraId="688D200E">
            <w:pPr>
              <w:widowControl/>
              <w:suppressAutoHyphens/>
              <w:spacing w:line="360" w:lineRule="exact"/>
              <w:jc w:val="center"/>
              <w:rPr>
                <w:rFonts w:hint="eastAsia" w:ascii="Times New Roman"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行政处罚</w:t>
            </w:r>
          </w:p>
        </w:tc>
        <w:tc>
          <w:tcPr>
            <w:tcW w:w="1850" w:type="dxa"/>
            <w:noWrap w:val="0"/>
            <w:vAlign w:val="center"/>
          </w:tcPr>
          <w:p w14:paraId="2D7D1AE5">
            <w:pPr>
              <w:widowControl/>
              <w:suppressAutoHyphens/>
              <w:spacing w:line="360" w:lineRule="exact"/>
              <w:jc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对生产经营单位的其他负责人和安全生产管理人员未履行《中华人民共和国安全生产法》有关规定的安全生产管理职责的处罚</w:t>
            </w:r>
          </w:p>
        </w:tc>
        <w:tc>
          <w:tcPr>
            <w:tcW w:w="1500" w:type="dxa"/>
            <w:noWrap w:val="0"/>
            <w:vAlign w:val="center"/>
          </w:tcPr>
          <w:p w14:paraId="19D2595D">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412CB79C">
            <w:pPr>
              <w:spacing w:line="240" w:lineRule="exact"/>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942" w:type="dxa"/>
            <w:noWrap w:val="0"/>
            <w:vAlign w:val="center"/>
          </w:tcPr>
          <w:p w14:paraId="2701C55B">
            <w:pPr>
              <w:spacing w:line="24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DE221AB">
            <w:pPr>
              <w:spacing w:line="24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6FE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restart"/>
            <w:noWrap w:val="0"/>
            <w:vAlign w:val="center"/>
          </w:tcPr>
          <w:p w14:paraId="681079A6">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115</w:t>
            </w:r>
          </w:p>
        </w:tc>
        <w:tc>
          <w:tcPr>
            <w:tcW w:w="1096" w:type="dxa"/>
            <w:vMerge w:val="restart"/>
            <w:noWrap w:val="0"/>
            <w:vAlign w:val="center"/>
          </w:tcPr>
          <w:p w14:paraId="51F6EFB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16"/>
                <w:lang w:eastAsia="zh-CN"/>
              </w:rPr>
            </w:pPr>
            <w:r>
              <w:rPr>
                <w:rFonts w:hint="eastAsia" w:hAnsi="宋体" w:cs="宋体"/>
                <w:color w:val="000000"/>
                <w:kern w:val="0"/>
                <w:sz w:val="16"/>
                <w:szCs w:val="16"/>
                <w:lang w:eastAsia="zh-CN"/>
              </w:rPr>
              <w:t>行政处罚</w:t>
            </w:r>
          </w:p>
        </w:tc>
        <w:tc>
          <w:tcPr>
            <w:tcW w:w="1850" w:type="dxa"/>
            <w:vMerge w:val="restart"/>
            <w:noWrap w:val="0"/>
            <w:vAlign w:val="center"/>
          </w:tcPr>
          <w:p w14:paraId="6CFC12ED">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对未按照规定设置安全生产管理机构或者配备安全生产管理人员、注册安全工程师等七类行为的处罚</w:t>
            </w:r>
          </w:p>
        </w:tc>
        <w:tc>
          <w:tcPr>
            <w:tcW w:w="1500" w:type="dxa"/>
            <w:shd w:val="clear" w:color="auto" w:fill="auto"/>
            <w:noWrap w:val="0"/>
            <w:vAlign w:val="center"/>
          </w:tcPr>
          <w:p w14:paraId="3063F496">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对危险物品的生产、经营、储存、装卸单位以及矿山、金属冶炼、建筑施工、运输单位的主要负责人和安全生产管理人员未按照规定经考核合格的处罚</w:t>
            </w:r>
          </w:p>
        </w:tc>
        <w:tc>
          <w:tcPr>
            <w:tcW w:w="3726" w:type="dxa"/>
            <w:vMerge w:val="restart"/>
            <w:noWrap w:val="0"/>
            <w:vAlign w:val="center"/>
          </w:tcPr>
          <w:p w14:paraId="6FCBF639">
            <w:pPr>
              <w:spacing w:line="240" w:lineRule="exact"/>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942" w:type="dxa"/>
            <w:vMerge w:val="restart"/>
            <w:noWrap w:val="0"/>
            <w:vAlign w:val="center"/>
          </w:tcPr>
          <w:p w14:paraId="26D9FBC4">
            <w:pPr>
              <w:spacing w:line="240" w:lineRule="exact"/>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vMerge w:val="restart"/>
            <w:noWrap w:val="0"/>
            <w:vAlign w:val="center"/>
          </w:tcPr>
          <w:p w14:paraId="7383428E">
            <w:pPr>
              <w:spacing w:line="240" w:lineRule="exact"/>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0DD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continue"/>
            <w:noWrap w:val="0"/>
            <w:vAlign w:val="center"/>
          </w:tcPr>
          <w:p w14:paraId="7BA89287">
            <w:pPr>
              <w:widowControl/>
              <w:suppressAutoHyphens/>
              <w:snapToGrid w:val="0"/>
              <w:spacing w:line="240" w:lineRule="auto"/>
              <w:ind w:left="0" w:leftChars="0" w:right="0" w:rightChars="0" w:firstLine="0" w:firstLineChars="0"/>
              <w:jc w:val="left"/>
            </w:pPr>
          </w:p>
        </w:tc>
        <w:tc>
          <w:tcPr>
            <w:tcW w:w="1096" w:type="dxa"/>
            <w:vMerge w:val="continue"/>
            <w:noWrap w:val="0"/>
            <w:vAlign w:val="center"/>
          </w:tcPr>
          <w:p w14:paraId="699D240E">
            <w:pPr>
              <w:widowControl/>
              <w:suppressAutoHyphens/>
              <w:snapToGrid w:val="0"/>
              <w:spacing w:line="240" w:lineRule="auto"/>
              <w:ind w:left="0" w:leftChars="0" w:right="0" w:rightChars="0" w:firstLine="0" w:firstLineChars="0"/>
              <w:jc w:val="left"/>
            </w:pPr>
          </w:p>
        </w:tc>
        <w:tc>
          <w:tcPr>
            <w:tcW w:w="1850" w:type="dxa"/>
            <w:vMerge w:val="continue"/>
            <w:noWrap w:val="0"/>
            <w:vAlign w:val="center"/>
          </w:tcPr>
          <w:p w14:paraId="73BD04AA">
            <w:pPr>
              <w:widowControl/>
              <w:suppressAutoHyphens/>
              <w:snapToGrid w:val="0"/>
              <w:spacing w:line="240" w:lineRule="auto"/>
              <w:ind w:left="0" w:leftChars="0" w:right="0" w:rightChars="0" w:firstLine="0" w:firstLineChars="0"/>
              <w:jc w:val="left"/>
            </w:pPr>
          </w:p>
        </w:tc>
        <w:tc>
          <w:tcPr>
            <w:tcW w:w="1500" w:type="dxa"/>
            <w:shd w:val="clear" w:color="auto" w:fill="auto"/>
            <w:noWrap w:val="0"/>
            <w:vAlign w:val="center"/>
          </w:tcPr>
          <w:p w14:paraId="2AC5AF9C">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未按照规定对从业人员、被派遣劳动者、实习学生进行安全生产教育和培训，或者未按照规定如实告知有关的安全生产事项的处罚</w:t>
            </w:r>
          </w:p>
        </w:tc>
        <w:tc>
          <w:tcPr>
            <w:tcW w:w="3726" w:type="dxa"/>
            <w:vMerge w:val="continue"/>
            <w:noWrap w:val="0"/>
            <w:vAlign w:val="center"/>
          </w:tcPr>
          <w:p w14:paraId="7ECCA97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066988A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51AA7E7E">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7A5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continue"/>
            <w:noWrap w:val="0"/>
            <w:vAlign w:val="center"/>
          </w:tcPr>
          <w:p w14:paraId="785E9F8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C1E3FA5">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1EEC68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703D8B45">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对未如实记录安全生产教育和培训情况的处罚</w:t>
            </w:r>
          </w:p>
        </w:tc>
        <w:tc>
          <w:tcPr>
            <w:tcW w:w="3726" w:type="dxa"/>
            <w:vMerge w:val="continue"/>
            <w:noWrap w:val="0"/>
            <w:vAlign w:val="center"/>
          </w:tcPr>
          <w:p w14:paraId="1FB2A47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16818778">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003CB6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3788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continue"/>
            <w:noWrap w:val="0"/>
            <w:vAlign w:val="center"/>
          </w:tcPr>
          <w:p w14:paraId="1EA0677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7DA00A5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7D8B5BA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21A4B39B">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未将事故隐患排查治理情况如实记录或者未向从业人员通报的处罚</w:t>
            </w:r>
          </w:p>
        </w:tc>
        <w:tc>
          <w:tcPr>
            <w:tcW w:w="3726" w:type="dxa"/>
            <w:vMerge w:val="continue"/>
            <w:noWrap w:val="0"/>
            <w:vAlign w:val="center"/>
          </w:tcPr>
          <w:p w14:paraId="015CFAA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4D891F9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7CFCA23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0B5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continue"/>
            <w:noWrap w:val="0"/>
            <w:vAlign w:val="center"/>
          </w:tcPr>
          <w:p w14:paraId="51B8B8D4">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955A4E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34B02AE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35C45FD6">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未按照规定制定生产安全事故应急救援预案或者未定期组织演练的处罚</w:t>
            </w:r>
          </w:p>
        </w:tc>
        <w:tc>
          <w:tcPr>
            <w:tcW w:w="3726" w:type="dxa"/>
            <w:vMerge w:val="continue"/>
            <w:noWrap w:val="0"/>
            <w:vAlign w:val="center"/>
          </w:tcPr>
          <w:p w14:paraId="5F48DD8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281D35C2">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9A7D133">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41CA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continue"/>
            <w:noWrap w:val="0"/>
            <w:vAlign w:val="center"/>
          </w:tcPr>
          <w:p w14:paraId="183256C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7065AE5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238A317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9F5AE3E">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特种作业人员未按照规定经专门的安全作业培训并取得相应资格，上岗作业的处罚</w:t>
            </w:r>
          </w:p>
        </w:tc>
        <w:tc>
          <w:tcPr>
            <w:tcW w:w="3726" w:type="dxa"/>
            <w:vMerge w:val="continue"/>
            <w:noWrap w:val="0"/>
            <w:vAlign w:val="center"/>
          </w:tcPr>
          <w:p w14:paraId="61C17551">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72017CC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1B06DC6F">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512D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vMerge w:val="continue"/>
            <w:noWrap w:val="0"/>
            <w:vAlign w:val="center"/>
          </w:tcPr>
          <w:p w14:paraId="1F22B51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096" w:type="dxa"/>
            <w:vMerge w:val="continue"/>
            <w:noWrap w:val="0"/>
            <w:vAlign w:val="center"/>
          </w:tcPr>
          <w:p w14:paraId="1CC62F6A">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850" w:type="dxa"/>
            <w:vMerge w:val="continue"/>
            <w:noWrap w:val="0"/>
            <w:vAlign w:val="center"/>
          </w:tcPr>
          <w:p w14:paraId="4A8D255D">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1500" w:type="dxa"/>
            <w:shd w:val="clear" w:color="auto" w:fill="auto"/>
            <w:noWrap w:val="0"/>
            <w:vAlign w:val="center"/>
          </w:tcPr>
          <w:p w14:paraId="4BCCFAF3">
            <w:pPr>
              <w:spacing w:line="200" w:lineRule="exact"/>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16"/>
                <w:szCs w:val="16"/>
              </w:rPr>
              <w:t>对危险物品的生产、经营、储存、装卸单位以及矿山、金属冶炼、建筑施工、运输单位的主要负责人和安全生产管理人员未按照规定经考核合格的处罚</w:t>
            </w:r>
          </w:p>
        </w:tc>
        <w:tc>
          <w:tcPr>
            <w:tcW w:w="3726" w:type="dxa"/>
            <w:vMerge w:val="continue"/>
            <w:noWrap w:val="0"/>
            <w:vAlign w:val="center"/>
          </w:tcPr>
          <w:p w14:paraId="4376F5E9">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942" w:type="dxa"/>
            <w:vMerge w:val="continue"/>
            <w:noWrap w:val="0"/>
            <w:vAlign w:val="center"/>
          </w:tcPr>
          <w:p w14:paraId="3E9FF28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c>
          <w:tcPr>
            <w:tcW w:w="2888" w:type="dxa"/>
            <w:vMerge w:val="continue"/>
            <w:noWrap w:val="0"/>
            <w:vAlign w:val="center"/>
          </w:tcPr>
          <w:p w14:paraId="0AE3867C">
            <w:pPr>
              <w:widowControl/>
              <w:suppressAutoHyphens/>
              <w:snapToGrid w:val="0"/>
              <w:spacing w:line="240" w:lineRule="auto"/>
              <w:ind w:left="0" w:leftChars="0" w:right="0" w:rightChars="0" w:firstLine="0" w:firstLineChars="0"/>
              <w:jc w:val="left"/>
              <w:rPr>
                <w:rFonts w:hint="eastAsia" w:ascii="Times New Roman" w:hAnsi="宋体" w:eastAsia="宋体" w:cs="宋体"/>
                <w:color w:val="000000"/>
                <w:kern w:val="0"/>
                <w:sz w:val="16"/>
                <w:szCs w:val="28"/>
              </w:rPr>
            </w:pPr>
          </w:p>
        </w:tc>
      </w:tr>
      <w:tr w14:paraId="2DE3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2287C1A">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116</w:t>
            </w:r>
          </w:p>
        </w:tc>
        <w:tc>
          <w:tcPr>
            <w:tcW w:w="1096" w:type="dxa"/>
            <w:noWrap w:val="0"/>
            <w:vAlign w:val="center"/>
          </w:tcPr>
          <w:p w14:paraId="263F10C4">
            <w:pPr>
              <w:widowControl/>
              <w:suppressAutoHyphens/>
              <w:spacing w:line="360" w:lineRule="exact"/>
              <w:jc w:val="center"/>
              <w:rPr>
                <w:rFonts w:hint="eastAsia" w:ascii="Times New Roman"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行政处罚</w:t>
            </w:r>
          </w:p>
        </w:tc>
        <w:tc>
          <w:tcPr>
            <w:tcW w:w="1850" w:type="dxa"/>
            <w:noWrap w:val="0"/>
            <w:vAlign w:val="center"/>
          </w:tcPr>
          <w:p w14:paraId="23B306C1">
            <w:pPr>
              <w:keepNext w:val="0"/>
              <w:keepLines w:val="0"/>
              <w:widowControl/>
              <w:suppressLineNumbers w:val="0"/>
              <w:jc w:val="center"/>
              <w:textAlignment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对生产经营单位的决策机构、主要负责人或者个人经营的投资人不依照安全生产法规定保证安全生产所必需的资金投入的处罚</w:t>
            </w:r>
          </w:p>
        </w:tc>
        <w:tc>
          <w:tcPr>
            <w:tcW w:w="1500" w:type="dxa"/>
            <w:noWrap w:val="0"/>
            <w:vAlign w:val="center"/>
          </w:tcPr>
          <w:p w14:paraId="2886C17F">
            <w:pPr>
              <w:rPr>
                <w:rFonts w:hint="eastAsia" w:ascii="Times New Roman" w:hAnsi="宋体" w:eastAsia="宋体" w:cs="宋体"/>
                <w:color w:val="000000"/>
                <w:kern w:val="0"/>
                <w:sz w:val="16"/>
                <w:szCs w:val="28"/>
              </w:rPr>
            </w:pPr>
          </w:p>
        </w:tc>
        <w:tc>
          <w:tcPr>
            <w:tcW w:w="3726" w:type="dxa"/>
            <w:noWrap w:val="0"/>
            <w:vAlign w:val="center"/>
          </w:tcPr>
          <w:p w14:paraId="2B438478">
            <w:pPr>
              <w:rPr>
                <w:rFonts w:hint="eastAsia" w:ascii="Times New Roman" w:hAnsi="宋体" w:eastAsia="宋体" w:cs="宋体"/>
                <w:kern w:val="0"/>
                <w:sz w:val="16"/>
                <w:szCs w:val="16"/>
              </w:rPr>
            </w:pPr>
            <w:r>
              <w:rPr>
                <w:rFonts w:hint="eastAsia" w:ascii="宋体" w:hAnsi="宋体" w:eastAsia="宋体" w:cs="宋体"/>
                <w:color w:val="000000"/>
                <w:kern w:val="0"/>
                <w:sz w:val="16"/>
                <w:szCs w:val="16"/>
              </w:rPr>
              <w:t>《中华人民共和国安全生产法》第九十条：生产经营单位的决策机构、主要负责人或者个人经营的投资人不依照本法规定保证安全生产所必需的资金投入，致使生产经营单位不具备安全生产条  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2942" w:type="dxa"/>
            <w:noWrap w:val="0"/>
            <w:vAlign w:val="center"/>
          </w:tcPr>
          <w:p w14:paraId="3E4EBCD6">
            <w:pPr>
              <w:rPr>
                <w:rFonts w:hint="eastAsia" w:ascii="Times New Roman" w:eastAsia="宋体"/>
                <w:color w:val="000000"/>
                <w:kern w:val="0"/>
                <w:sz w:val="16"/>
                <w:szCs w:val="16"/>
              </w:rPr>
            </w:pPr>
            <w:r>
              <w:rPr>
                <w:rFonts w:hint="eastAsia"/>
                <w:color w:val="000000"/>
                <w:kern w:val="0"/>
                <w:sz w:val="16"/>
                <w:szCs w:val="16"/>
              </w:rPr>
              <w:t>1、立案阶段责任：在检查中或者事故调查过程中发现、或者接到举报、有涉及此项目的违法案件，予以审查，决定是否立案。2、调查阶段责任：对已经立案的案件，进行调查，收集相关证据，允许当事人辩解陈述，执法人员应保守有关秘密。3、审查阶段责任：对案件违法事实、证据、调查取证程序、法律适用、处罚种类和幅度、当事人陈述和申辩理由等方面进行审查，提出处理意见，拟作出相关处罚，由安监部门负责人集体讨论决定。4、告知阶段责任：在做出行政处罚决定前，制作《行政处罚告知书》和《听证告知书》，通知当事人5、决定阶段责任：根据审理情况决定是否予以行政处罚。依法需要给予行政处罚的，制作《行政处罚决定书》，载明违法事实和证据、处罚依据和内容、缴纳罚款的银行、申请行政复议或提起行政诉讼的途径和期限等内容。6、送达阶段责任：《行政处罚决定书》按照法定的方式和期限送达当事人。7、执行阶段责任：监督当事人在决定的期限内，履行生效的行政处罚决定。</w:t>
            </w:r>
          </w:p>
        </w:tc>
        <w:tc>
          <w:tcPr>
            <w:tcW w:w="2888" w:type="dxa"/>
            <w:noWrap w:val="0"/>
            <w:vAlign w:val="center"/>
          </w:tcPr>
          <w:p w14:paraId="470211CE">
            <w:pPr>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2、超越、滥用法定职权的；3、主要事实不清、证据不足的；4、适用法律依据错误的；5、行政裁量明显不当的；6、违反法定程序的；7、违法实行检查措施或者执行措施，给公民人身或者财产造成损害、给法人或者其他组织造成损失的；8、不执行对事故责任人员的处理决定，或者擅自改变上级机关批复的对事故责任人员的处理意见的；9、徇私舞弊、包庇纵容违法行为的；10、在行政处罚过程中发生腐败行为的；11、违反“罚缴分离”规定，擅自收取罚款的；12、对当事人进行罚款、没收财物等行政处罚不使用法定单据的；13、将罚款、没收的违法所得或者财物截留、私分或者变相私分的；14、其他违反法律法规规章文件规定的行为。</w:t>
            </w:r>
          </w:p>
        </w:tc>
      </w:tr>
      <w:tr w14:paraId="4910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8C1BFB1">
            <w:pPr>
              <w:widowControl/>
              <w:suppressAutoHyphens/>
              <w:snapToGrid w:val="0"/>
              <w:spacing w:line="240" w:lineRule="auto"/>
              <w:ind w:left="0" w:leftChars="0" w:right="0" w:rightChars="0" w:firstLine="0" w:firstLineChars="0"/>
              <w:jc w:val="center"/>
              <w:rPr>
                <w:rFonts w:hint="eastAsia" w:ascii="Times New Roman" w:hAnsi="宋体" w:eastAsia="宋体" w:cs="宋体"/>
                <w:color w:val="000000"/>
                <w:kern w:val="0"/>
                <w:sz w:val="16"/>
                <w:szCs w:val="28"/>
                <w:lang w:val="en-US" w:eastAsia="zh-CN"/>
              </w:rPr>
            </w:pPr>
            <w:r>
              <w:rPr>
                <w:rFonts w:hint="eastAsia" w:ascii="Times New Roman" w:hAnsi="宋体" w:eastAsia="宋体" w:cs="宋体"/>
                <w:color w:val="000000"/>
                <w:kern w:val="0"/>
                <w:sz w:val="16"/>
                <w:szCs w:val="28"/>
                <w:lang w:val="en-US" w:eastAsia="zh-CN"/>
              </w:rPr>
              <w:t>117</w:t>
            </w:r>
          </w:p>
        </w:tc>
        <w:tc>
          <w:tcPr>
            <w:tcW w:w="1096" w:type="dxa"/>
            <w:noWrap w:val="0"/>
            <w:vAlign w:val="center"/>
          </w:tcPr>
          <w:p w14:paraId="4E335044">
            <w:pPr>
              <w:widowControl/>
              <w:suppressAutoHyphens/>
              <w:spacing w:line="360" w:lineRule="exact"/>
              <w:jc w:val="center"/>
              <w:rPr>
                <w:rFonts w:hint="eastAsia" w:ascii="Times New Roman"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行政处罚</w:t>
            </w:r>
          </w:p>
        </w:tc>
        <w:tc>
          <w:tcPr>
            <w:tcW w:w="1850" w:type="dxa"/>
            <w:noWrap w:val="0"/>
            <w:vAlign w:val="center"/>
          </w:tcPr>
          <w:p w14:paraId="1EBD499F">
            <w:pPr>
              <w:keepNext w:val="0"/>
              <w:keepLines w:val="0"/>
              <w:widowControl/>
              <w:suppressLineNumbers w:val="0"/>
              <w:jc w:val="center"/>
              <w:textAlignment w:val="center"/>
              <w:rPr>
                <w:rFonts w:hint="eastAsia" w:ascii="Times New Roman"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对生产经营单位的主要负责人未履行安全生产法规定的安全生产管理职责的处罚</w:t>
            </w:r>
          </w:p>
        </w:tc>
        <w:tc>
          <w:tcPr>
            <w:tcW w:w="1500" w:type="dxa"/>
            <w:noWrap w:val="0"/>
            <w:vAlign w:val="center"/>
          </w:tcPr>
          <w:p w14:paraId="44009A1A">
            <w:pPr>
              <w:rPr>
                <w:rFonts w:hint="eastAsia" w:ascii="Times New Roman" w:hAnsi="宋体" w:eastAsia="宋体" w:cs="宋体"/>
                <w:color w:val="000000"/>
                <w:kern w:val="0"/>
                <w:sz w:val="16"/>
                <w:szCs w:val="28"/>
              </w:rPr>
            </w:pPr>
          </w:p>
        </w:tc>
        <w:tc>
          <w:tcPr>
            <w:tcW w:w="3726" w:type="dxa"/>
            <w:noWrap w:val="0"/>
            <w:vAlign w:val="center"/>
          </w:tcPr>
          <w:p w14:paraId="15F345AF">
            <w:pPr>
              <w:rPr>
                <w:rFonts w:hint="eastAsia" w:ascii="Times New Roman" w:hAnsi="宋体" w:eastAsia="宋体" w:cs="宋体"/>
                <w:kern w:val="0"/>
                <w:sz w:val="16"/>
                <w:szCs w:val="16"/>
              </w:rPr>
            </w:pPr>
            <w:r>
              <w:rPr>
                <w:rFonts w:hint="eastAsia" w:ascii="宋体" w:hAnsi="宋体" w:eastAsia="宋体" w:cs="宋体"/>
                <w:kern w:val="0"/>
                <w:sz w:val="16"/>
                <w:szCs w:val="16"/>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942" w:type="dxa"/>
            <w:noWrap w:val="0"/>
            <w:vAlign w:val="center"/>
          </w:tcPr>
          <w:p w14:paraId="6CE0F18A">
            <w:pPr>
              <w:rPr>
                <w:rFonts w:hint="eastAsia" w:ascii="Times New Roman" w:eastAsia="宋体"/>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65BA483">
            <w:pPr>
              <w:rPr>
                <w:rFonts w:hint="eastAsia" w:ascii="Times New Roman" w:eastAsia="宋体"/>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FBC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3A70BFF">
            <w:pPr>
              <w:widowControl/>
              <w:suppressAutoHyphens/>
              <w:snapToGrid w:val="0"/>
              <w:spacing w:line="240" w:lineRule="auto"/>
              <w:ind w:left="0" w:leftChars="0" w:right="0" w:rightChars="0" w:firstLine="0" w:firstLineChars="0"/>
              <w:jc w:val="center"/>
              <w:rPr>
                <w:rFonts w:hint="default" w:ascii="Times New Roman" w:hAnsi="宋体" w:eastAsia="宋体" w:cs="宋体"/>
                <w:color w:val="000000"/>
                <w:kern w:val="0"/>
                <w:sz w:val="16"/>
                <w:szCs w:val="28"/>
                <w:lang w:val="en-US" w:eastAsia="zh-CN"/>
              </w:rPr>
            </w:pPr>
            <w:r>
              <w:rPr>
                <w:rFonts w:hint="eastAsia" w:hAnsi="宋体" w:cs="宋体"/>
                <w:color w:val="000000"/>
                <w:kern w:val="0"/>
                <w:sz w:val="16"/>
                <w:szCs w:val="28"/>
                <w:lang w:val="en-US" w:eastAsia="zh-CN"/>
              </w:rPr>
              <w:t>118</w:t>
            </w:r>
          </w:p>
        </w:tc>
        <w:tc>
          <w:tcPr>
            <w:tcW w:w="1096" w:type="dxa"/>
            <w:noWrap w:val="0"/>
            <w:vAlign w:val="center"/>
          </w:tcPr>
          <w:p w14:paraId="56130981">
            <w:pPr>
              <w:widowControl/>
              <w:suppressAutoHyphens/>
              <w:spacing w:line="360" w:lineRule="exact"/>
              <w:jc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行政处罚</w:t>
            </w:r>
          </w:p>
        </w:tc>
        <w:tc>
          <w:tcPr>
            <w:tcW w:w="1850" w:type="dxa"/>
            <w:noWrap w:val="0"/>
            <w:vAlign w:val="center"/>
          </w:tcPr>
          <w:p w14:paraId="4B4B274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对承担安全评价、认证、检测、检验工作的机构，出具虚假证明等违法行为的处罚</w:t>
            </w:r>
          </w:p>
        </w:tc>
        <w:tc>
          <w:tcPr>
            <w:tcW w:w="1500" w:type="dxa"/>
            <w:noWrap w:val="0"/>
            <w:vAlign w:val="center"/>
          </w:tcPr>
          <w:p w14:paraId="6F96D166">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2DB16043">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《中华人民共和国安全生产法》第九十二条　承担安全评价、认证、检测、检验职责的机构出具失实报告的，责令停业整顿，并处三万元以上十万元以下的罚款；给他人造成损害的，依法承担赔偿责任。</w:t>
            </w:r>
          </w:p>
          <w:p w14:paraId="6C8B2587">
            <w:pPr>
              <w:widowControl/>
              <w:suppressAutoHyphens/>
              <w:spacing w:line="180" w:lineRule="exac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59CDAEB2">
            <w:pPr>
              <w:widowControl/>
              <w:suppressAutoHyphens/>
              <w:spacing w:line="180" w:lineRule="exact"/>
              <w:jc w:val="center"/>
              <w:rPr>
                <w:rFonts w:hint="eastAsia" w:ascii="宋体" w:hAnsi="宋体" w:eastAsia="宋体" w:cs="宋体"/>
                <w:kern w:val="0"/>
                <w:sz w:val="16"/>
                <w:szCs w:val="16"/>
              </w:rPr>
            </w:pPr>
            <w:r>
              <w:rPr>
                <w:rFonts w:hint="eastAsia" w:ascii="宋体" w:hAnsi="宋体" w:eastAsia="宋体" w:cs="宋体"/>
                <w:color w:val="000000"/>
                <w:kern w:val="0"/>
                <w:sz w:val="16"/>
                <w:szCs w:val="16"/>
              </w:rPr>
              <w:t>对有前款违法行为的机构及其直接责任人员，吊销其相应资质和资格，五年内不得从事安全评价、认证、检测、检验等工作；情节严重的，实行终身行业和职业禁入。</w:t>
            </w:r>
          </w:p>
        </w:tc>
        <w:tc>
          <w:tcPr>
            <w:tcW w:w="2942" w:type="dxa"/>
            <w:noWrap w:val="0"/>
            <w:vAlign w:val="center"/>
          </w:tcPr>
          <w:p w14:paraId="17962A96">
            <w:pPr>
              <w:spacing w:line="180" w:lineRule="exact"/>
              <w:rPr>
                <w:rFonts w:hint="eastAsia"/>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771D8E0">
            <w:pPr>
              <w:spacing w:line="180" w:lineRule="exact"/>
              <w:rPr>
                <w:rFonts w:hint="eastAsia"/>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7328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15851665">
            <w:pPr>
              <w:widowControl/>
              <w:suppressAutoHyphens/>
              <w:snapToGrid w:val="0"/>
              <w:spacing w:line="240" w:lineRule="auto"/>
              <w:ind w:left="0" w:leftChars="0" w:right="0" w:rightChars="0" w:firstLine="0" w:firstLineChars="0"/>
              <w:jc w:val="center"/>
              <w:rPr>
                <w:rFonts w:hint="default" w:ascii="Times New Roman" w:hAnsi="宋体" w:eastAsia="宋体" w:cs="宋体"/>
                <w:color w:val="000000"/>
                <w:kern w:val="0"/>
                <w:sz w:val="16"/>
                <w:szCs w:val="28"/>
                <w:lang w:val="en-US" w:eastAsia="zh-CN"/>
              </w:rPr>
            </w:pPr>
            <w:r>
              <w:rPr>
                <w:rFonts w:hint="eastAsia" w:hAnsi="宋体" w:cs="宋体"/>
                <w:color w:val="000000"/>
                <w:kern w:val="0"/>
                <w:sz w:val="16"/>
                <w:szCs w:val="28"/>
                <w:lang w:val="en-US" w:eastAsia="zh-CN"/>
              </w:rPr>
              <w:t>119</w:t>
            </w:r>
          </w:p>
        </w:tc>
        <w:tc>
          <w:tcPr>
            <w:tcW w:w="1096" w:type="dxa"/>
            <w:noWrap w:val="0"/>
            <w:vAlign w:val="center"/>
          </w:tcPr>
          <w:p w14:paraId="18F37742">
            <w:pPr>
              <w:widowControl/>
              <w:suppressAutoHyphens/>
              <w:spacing w:line="360" w:lineRule="exact"/>
              <w:jc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行政处罚</w:t>
            </w:r>
          </w:p>
        </w:tc>
        <w:tc>
          <w:tcPr>
            <w:tcW w:w="1850" w:type="dxa"/>
            <w:noWrap w:val="0"/>
            <w:vAlign w:val="center"/>
          </w:tcPr>
          <w:p w14:paraId="27FBEEB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对安全评价检测检验机构及从业人员违反有关规定的处罚</w:t>
            </w:r>
          </w:p>
        </w:tc>
        <w:tc>
          <w:tcPr>
            <w:tcW w:w="1500" w:type="dxa"/>
            <w:noWrap w:val="0"/>
            <w:vAlign w:val="center"/>
          </w:tcPr>
          <w:p w14:paraId="372A0563">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3CA7FD46">
            <w:pPr>
              <w:spacing w:line="180" w:lineRule="exact"/>
              <w:rPr>
                <w:rFonts w:hint="eastAsia" w:ascii="宋体" w:hAnsi="宋体" w:eastAsia="宋体" w:cs="宋体"/>
                <w:kern w:val="0"/>
                <w:sz w:val="16"/>
                <w:szCs w:val="16"/>
              </w:rPr>
            </w:pPr>
            <w:r>
              <w:rPr>
                <w:rFonts w:hint="eastAsia" w:ascii="宋体" w:hAnsi="宋体" w:eastAsia="宋体" w:cs="宋体"/>
                <w:kern w:val="0"/>
                <w:sz w:val="16"/>
                <w:szCs w:val="16"/>
              </w:rPr>
              <w:t>《安全评价检测检验机构管理办法》第二十九条：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r>
              <w:rPr>
                <w:rFonts w:hint="eastAsia" w:ascii="宋体" w:hAnsi="宋体" w:eastAsia="宋体" w:cs="宋体"/>
                <w:kern w:val="0"/>
                <w:sz w:val="16"/>
                <w:szCs w:val="16"/>
              </w:rPr>
              <w:br w:type="textWrapping"/>
            </w:r>
            <w:r>
              <w:rPr>
                <w:rFonts w:hint="eastAsia" w:ascii="宋体" w:hAnsi="宋体" w:eastAsia="宋体" w:cs="宋体"/>
                <w:kern w:val="0"/>
                <w:sz w:val="16"/>
                <w:szCs w:val="16"/>
              </w:rPr>
              <w:t>对有前款违法行为的机构及其人员，由资质认可机关记入有关机构和人员的信用记录，并依照有关规定予以公告。</w:t>
            </w:r>
          </w:p>
        </w:tc>
        <w:tc>
          <w:tcPr>
            <w:tcW w:w="2942" w:type="dxa"/>
            <w:noWrap w:val="0"/>
            <w:vAlign w:val="center"/>
          </w:tcPr>
          <w:p w14:paraId="612CDB05">
            <w:pPr>
              <w:spacing w:line="180" w:lineRule="exact"/>
              <w:rPr>
                <w:rFonts w:hint="eastAsia"/>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19E41EB2">
            <w:pPr>
              <w:spacing w:line="180" w:lineRule="exact"/>
              <w:rPr>
                <w:rFonts w:hint="eastAsia"/>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352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79322FDF">
            <w:pPr>
              <w:widowControl/>
              <w:suppressAutoHyphens/>
              <w:snapToGrid w:val="0"/>
              <w:spacing w:line="240" w:lineRule="auto"/>
              <w:ind w:left="0" w:leftChars="0" w:right="0" w:rightChars="0" w:firstLine="0" w:firstLineChars="0"/>
              <w:jc w:val="center"/>
              <w:rPr>
                <w:rFonts w:hint="default" w:ascii="Times New Roman" w:hAnsi="宋体" w:eastAsia="宋体" w:cs="宋体"/>
                <w:color w:val="000000"/>
                <w:kern w:val="0"/>
                <w:sz w:val="16"/>
                <w:szCs w:val="28"/>
                <w:lang w:val="en-US" w:eastAsia="zh-CN"/>
              </w:rPr>
            </w:pPr>
            <w:r>
              <w:rPr>
                <w:rFonts w:hint="eastAsia" w:hAnsi="宋体" w:cs="宋体"/>
                <w:color w:val="000000"/>
                <w:kern w:val="0"/>
                <w:sz w:val="16"/>
                <w:szCs w:val="28"/>
                <w:lang w:val="en-US" w:eastAsia="zh-CN"/>
              </w:rPr>
              <w:t>120</w:t>
            </w:r>
          </w:p>
        </w:tc>
        <w:tc>
          <w:tcPr>
            <w:tcW w:w="1096" w:type="dxa"/>
            <w:noWrap w:val="0"/>
            <w:vAlign w:val="center"/>
          </w:tcPr>
          <w:p w14:paraId="350F00CB">
            <w:pPr>
              <w:widowControl/>
              <w:suppressAutoHyphens/>
              <w:spacing w:line="360" w:lineRule="exact"/>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行政强制</w:t>
            </w:r>
          </w:p>
        </w:tc>
        <w:tc>
          <w:tcPr>
            <w:tcW w:w="1850" w:type="dxa"/>
            <w:noWrap w:val="0"/>
            <w:vAlign w:val="center"/>
          </w:tcPr>
          <w:p w14:paraId="5E13B803">
            <w:pPr>
              <w:widowControl/>
              <w:suppressAutoHyphens/>
              <w:spacing w:line="360" w:lineRule="exact"/>
              <w:jc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查封扣押设施、设备、器材，危险物品及作业场所</w:t>
            </w:r>
          </w:p>
        </w:tc>
        <w:tc>
          <w:tcPr>
            <w:tcW w:w="1500" w:type="dxa"/>
            <w:noWrap w:val="0"/>
            <w:vAlign w:val="center"/>
          </w:tcPr>
          <w:p w14:paraId="71D75DB5">
            <w:pPr>
              <w:widowControl/>
              <w:suppressAutoHyphens/>
              <w:spacing w:line="360" w:lineRule="exact"/>
              <w:jc w:val="center"/>
              <w:rPr>
                <w:rFonts w:hint="eastAsia" w:ascii="Times New Roman" w:hAnsi="宋体" w:eastAsia="宋体" w:cs="宋体"/>
                <w:color w:val="000000"/>
                <w:kern w:val="0"/>
                <w:sz w:val="16"/>
                <w:szCs w:val="28"/>
              </w:rPr>
            </w:pPr>
          </w:p>
        </w:tc>
        <w:tc>
          <w:tcPr>
            <w:tcW w:w="3726" w:type="dxa"/>
            <w:noWrap w:val="0"/>
            <w:vAlign w:val="center"/>
          </w:tcPr>
          <w:p w14:paraId="08AE0FAF">
            <w:pPr>
              <w:spacing w:line="180" w:lineRule="exact"/>
              <w:jc w:val="center"/>
              <w:rPr>
                <w:rFonts w:hint="eastAsia" w:ascii="宋体" w:hAnsi="宋体" w:eastAsia="宋体" w:cs="宋体"/>
                <w:kern w:val="0"/>
                <w:sz w:val="16"/>
                <w:szCs w:val="16"/>
              </w:rPr>
            </w:pPr>
            <w:r>
              <w:rPr>
                <w:rFonts w:hint="eastAsia" w:ascii="宋体" w:hAnsi="宋体" w:eastAsia="宋体" w:cs="宋体"/>
                <w:kern w:val="0"/>
                <w:sz w:val="16"/>
                <w:szCs w:val="16"/>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42" w:type="dxa"/>
            <w:noWrap w:val="0"/>
            <w:vAlign w:val="center"/>
          </w:tcPr>
          <w:p w14:paraId="1B85F4A8">
            <w:pPr>
              <w:spacing w:line="180" w:lineRule="exact"/>
              <w:rPr>
                <w:rFonts w:hint="eastAsia"/>
                <w:color w:val="000000"/>
                <w:kern w:val="0"/>
                <w:sz w:val="16"/>
                <w:szCs w:val="16"/>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noWrap w:val="0"/>
            <w:vAlign w:val="center"/>
          </w:tcPr>
          <w:p w14:paraId="0F47200E">
            <w:pPr>
              <w:spacing w:line="180" w:lineRule="exact"/>
              <w:rPr>
                <w:rFonts w:hint="eastAsia"/>
                <w:color w:val="000000"/>
                <w:kern w:val="0"/>
                <w:sz w:val="16"/>
                <w:szCs w:val="16"/>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r w14:paraId="3AB8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8" w:type="dxa"/>
            <w:noWrap w:val="0"/>
            <w:vAlign w:val="center"/>
          </w:tcPr>
          <w:p w14:paraId="32A14340">
            <w:pPr>
              <w:widowControl/>
              <w:suppressAutoHyphens/>
              <w:snapToGrid w:val="0"/>
              <w:spacing w:line="240" w:lineRule="auto"/>
              <w:ind w:left="0" w:leftChars="0" w:right="0" w:rightChars="0" w:firstLine="0" w:firstLineChars="0"/>
              <w:jc w:val="center"/>
              <w:rPr>
                <w:rFonts w:hint="default" w:ascii="Times New Roman" w:hAnsi="宋体" w:eastAsia="宋体" w:cs="宋体"/>
                <w:color w:val="000000"/>
                <w:kern w:val="0"/>
                <w:sz w:val="16"/>
                <w:szCs w:val="28"/>
                <w:lang w:val="en-US" w:eastAsia="zh-CN"/>
              </w:rPr>
            </w:pPr>
            <w:r>
              <w:rPr>
                <w:rFonts w:hint="eastAsia" w:hAnsi="宋体" w:cs="宋体"/>
                <w:color w:val="000000"/>
                <w:kern w:val="0"/>
                <w:sz w:val="16"/>
                <w:szCs w:val="28"/>
                <w:lang w:val="en-US" w:eastAsia="zh-CN"/>
              </w:rPr>
              <w:t>121</w:t>
            </w:r>
          </w:p>
        </w:tc>
        <w:tc>
          <w:tcPr>
            <w:tcW w:w="1096" w:type="dxa"/>
            <w:noWrap w:val="0"/>
            <w:vAlign w:val="center"/>
          </w:tcPr>
          <w:p w14:paraId="57D24F12">
            <w:pPr>
              <w:widowControl/>
              <w:suppressAutoHyphens/>
              <w:spacing w:line="360" w:lineRule="exact"/>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行政强制</w:t>
            </w:r>
          </w:p>
        </w:tc>
        <w:tc>
          <w:tcPr>
            <w:tcW w:w="1850" w:type="dxa"/>
            <w:shd w:val="clear" w:color="auto" w:fill="auto"/>
            <w:noWrap w:val="0"/>
            <w:vAlign w:val="center"/>
          </w:tcPr>
          <w:p w14:paraId="3922EA66">
            <w:pPr>
              <w:widowControl/>
              <w:suppressAutoHyphens/>
              <w:spacing w:line="360" w:lineRule="exact"/>
              <w:jc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对存在重大事故隐患的生产经营单位采取停止供电、停止供应民用爆炸物品等措施</w:t>
            </w:r>
          </w:p>
        </w:tc>
        <w:tc>
          <w:tcPr>
            <w:tcW w:w="1500" w:type="dxa"/>
            <w:shd w:val="clear" w:color="auto" w:fill="auto"/>
            <w:noWrap w:val="0"/>
            <w:vAlign w:val="center"/>
          </w:tcPr>
          <w:p w14:paraId="2755C456">
            <w:pPr>
              <w:widowControl/>
              <w:suppressAutoHyphens/>
              <w:spacing w:line="360" w:lineRule="exact"/>
              <w:jc w:val="center"/>
              <w:rPr>
                <w:rFonts w:hint="eastAsia" w:ascii="宋体" w:hAnsi="宋体" w:eastAsia="宋体" w:cs="宋体"/>
                <w:color w:val="000000"/>
                <w:kern w:val="0"/>
                <w:sz w:val="28"/>
                <w:szCs w:val="28"/>
                <w:lang w:val="en-US" w:eastAsia="zh-CN" w:bidi="ar-SA"/>
              </w:rPr>
            </w:pPr>
          </w:p>
        </w:tc>
        <w:tc>
          <w:tcPr>
            <w:tcW w:w="3726" w:type="dxa"/>
            <w:shd w:val="clear" w:color="auto" w:fill="auto"/>
            <w:noWrap w:val="0"/>
            <w:vAlign w:val="center"/>
          </w:tcPr>
          <w:p w14:paraId="550ECF7F">
            <w:pPr>
              <w:spacing w:after="240" w:line="180" w:lineRule="exact"/>
              <w:rPr>
                <w:rFonts w:hint="eastAsia" w:ascii="宋体" w:hAnsi="宋体" w:eastAsia="宋体" w:cs="宋体"/>
                <w:kern w:val="0"/>
                <w:sz w:val="16"/>
                <w:szCs w:val="16"/>
                <w:lang w:val="en-US" w:eastAsia="zh-CN" w:bidi="ar-SA"/>
              </w:rPr>
            </w:pPr>
            <w:r>
              <w:rPr>
                <w:rFonts w:hint="eastAsia" w:ascii="宋体" w:hAnsi="宋体" w:eastAsia="宋体" w:cs="宋体"/>
                <w:kern w:val="0"/>
                <w:sz w:val="16"/>
                <w:szCs w:val="16"/>
              </w:rPr>
              <w:t>《中华人民共和国安全生产法》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r>
              <w:rPr>
                <w:rFonts w:hint="eastAsia" w:ascii="宋体" w:hAnsi="宋体" w:eastAsia="宋体" w:cs="宋体"/>
                <w:kern w:val="0"/>
                <w:sz w:val="16"/>
                <w:szCs w:val="16"/>
              </w:rPr>
              <w:br w:type="textWrapping"/>
            </w:r>
            <w:r>
              <w:rPr>
                <w:rFonts w:hint="eastAsia" w:ascii="宋体" w:hAnsi="宋体" w:eastAsia="宋体" w:cs="宋体"/>
                <w:kern w:val="0"/>
                <w:sz w:val="16"/>
                <w:szCs w:val="16"/>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tc>
        <w:tc>
          <w:tcPr>
            <w:tcW w:w="2942" w:type="dxa"/>
            <w:shd w:val="clear" w:color="auto" w:fill="auto"/>
            <w:noWrap w:val="0"/>
            <w:vAlign w:val="center"/>
          </w:tcPr>
          <w:p w14:paraId="43ACB243">
            <w:pPr>
              <w:spacing w:line="180" w:lineRule="exact"/>
              <w:rPr>
                <w:rFonts w:hint="eastAsia" w:ascii="Times New Roman" w:hAnsi="Times New Roman" w:eastAsia="宋体" w:cs="Times New Roman"/>
                <w:color w:val="000000"/>
                <w:kern w:val="0"/>
                <w:sz w:val="16"/>
                <w:szCs w:val="16"/>
                <w:lang w:val="en-US" w:eastAsia="zh-CN" w:bidi="ar-SA"/>
              </w:rPr>
            </w:pPr>
            <w:r>
              <w:rPr>
                <w:rFonts w:hint="eastAsia"/>
                <w:color w:val="000000"/>
                <w:kern w:val="0"/>
                <w:sz w:val="16"/>
                <w:szCs w:val="16"/>
              </w:rPr>
              <w:t>1、立案阶段责任：应急管理部门在执法检查或事故调查过程中发现，生产经营单位存在违法违规行为或事故发生单位负有责任的，对单位和有关人员的违法违规行为，予以立案。</w:t>
            </w:r>
            <w:r>
              <w:rPr>
                <w:rFonts w:hint="eastAsia"/>
                <w:color w:val="000000"/>
                <w:kern w:val="0"/>
                <w:sz w:val="16"/>
                <w:szCs w:val="16"/>
              </w:rPr>
              <w:br w:type="textWrapping"/>
            </w:r>
            <w:r>
              <w:rPr>
                <w:rFonts w:hint="eastAsia"/>
                <w:color w:val="000000"/>
                <w:kern w:val="0"/>
                <w:sz w:val="16"/>
                <w:szCs w:val="16"/>
              </w:rPr>
              <w:t>2、调查阶段责任：应急管理部门按规定的处罚种类和幅度，收集相关证据，需要补充的再补充调查。</w:t>
            </w:r>
            <w:r>
              <w:rPr>
                <w:rFonts w:hint="eastAsia"/>
                <w:color w:val="000000"/>
                <w:kern w:val="0"/>
                <w:sz w:val="16"/>
                <w:szCs w:val="16"/>
              </w:rPr>
              <w:br w:type="textWrapping"/>
            </w:r>
            <w:r>
              <w:rPr>
                <w:rFonts w:hint="eastAsia"/>
                <w:color w:val="000000"/>
                <w:kern w:val="0"/>
                <w:sz w:val="16"/>
                <w:szCs w:val="16"/>
              </w:rPr>
              <w:t>3、告知阶段责任：制作《行政处罚告知书》，符合听证条件的制作《听证告知书》，通知当事人，当事人享有的陈述、申辩、要求听证的权利。</w:t>
            </w:r>
            <w:r>
              <w:rPr>
                <w:rFonts w:hint="eastAsia"/>
                <w:color w:val="000000"/>
                <w:kern w:val="0"/>
                <w:sz w:val="16"/>
                <w:szCs w:val="16"/>
              </w:rPr>
              <w:br w:type="textWrapping"/>
            </w:r>
            <w:r>
              <w:rPr>
                <w:rFonts w:hint="eastAsia"/>
                <w:color w:val="000000"/>
                <w:kern w:val="0"/>
                <w:sz w:val="16"/>
                <w:szCs w:val="16"/>
              </w:rPr>
              <w:t>4、决定阶段责任：应急管理部门根据审理情况决定是否予以行政处罚，制作《行政处罚决定书》，载明违法事实和证据、处罚依据和内容、缴纳罚款的银行、申请行政复议或提起行政诉讼的途径和期限等内容。</w:t>
            </w:r>
            <w:r>
              <w:rPr>
                <w:rFonts w:hint="eastAsia"/>
                <w:color w:val="000000"/>
                <w:kern w:val="0"/>
                <w:sz w:val="16"/>
                <w:szCs w:val="16"/>
              </w:rPr>
              <w:br w:type="textWrapping"/>
            </w:r>
            <w:r>
              <w:rPr>
                <w:rFonts w:hint="eastAsia"/>
                <w:color w:val="000000"/>
                <w:kern w:val="0"/>
                <w:sz w:val="16"/>
                <w:szCs w:val="16"/>
              </w:rPr>
              <w:t>5、送达阶段责任：应急管理部门将《行政处罚决定书》按照法定的方式和期限送达当事人。</w:t>
            </w:r>
            <w:r>
              <w:rPr>
                <w:rFonts w:hint="eastAsia"/>
                <w:color w:val="000000"/>
                <w:kern w:val="0"/>
                <w:sz w:val="16"/>
                <w:szCs w:val="16"/>
              </w:rPr>
              <w:br w:type="textWrapping"/>
            </w:r>
            <w:r>
              <w:rPr>
                <w:rFonts w:hint="eastAsia"/>
                <w:color w:val="000000"/>
                <w:kern w:val="0"/>
                <w:sz w:val="16"/>
                <w:szCs w:val="16"/>
              </w:rPr>
              <w:t>6、执行阶段责任：应急管理部门监督当事人在决定的期限内，履行生效的行政处罚决定。当事人在法定期限内不申请行政复议或者提起行政诉讼，又不履行的，发出催缴通知，加收罚款滞纳金，再不履行的向人民法院申请强制执行。</w:t>
            </w:r>
            <w:r>
              <w:rPr>
                <w:rFonts w:hint="eastAsia"/>
                <w:color w:val="000000"/>
                <w:kern w:val="0"/>
                <w:sz w:val="16"/>
                <w:szCs w:val="16"/>
              </w:rPr>
              <w:br w:type="textWrapping"/>
            </w:r>
            <w:r>
              <w:rPr>
                <w:rFonts w:hint="eastAsia"/>
                <w:color w:val="000000"/>
                <w:kern w:val="0"/>
                <w:sz w:val="16"/>
                <w:szCs w:val="16"/>
              </w:rPr>
              <w:t>7、其他法律法规规章文件规定应履行的责任。</w:t>
            </w:r>
          </w:p>
        </w:tc>
        <w:tc>
          <w:tcPr>
            <w:tcW w:w="2888" w:type="dxa"/>
            <w:shd w:val="clear" w:color="auto" w:fill="auto"/>
            <w:noWrap w:val="0"/>
            <w:vAlign w:val="center"/>
          </w:tcPr>
          <w:p w14:paraId="6B952E49">
            <w:pPr>
              <w:spacing w:line="180" w:lineRule="exact"/>
              <w:rPr>
                <w:rFonts w:hint="eastAsia" w:ascii="Times New Roman" w:hAnsi="Times New Roman" w:eastAsia="宋体" w:cs="Times New Roman"/>
                <w:color w:val="000000"/>
                <w:kern w:val="0"/>
                <w:sz w:val="16"/>
                <w:szCs w:val="16"/>
                <w:lang w:val="en-US" w:eastAsia="zh-CN" w:bidi="ar-SA"/>
              </w:rPr>
            </w:pPr>
            <w:r>
              <w:rPr>
                <w:rFonts w:hint="eastAsia"/>
                <w:color w:val="000000"/>
                <w:kern w:val="0"/>
                <w:sz w:val="16"/>
                <w:szCs w:val="16"/>
              </w:rPr>
              <w:t>因不履行或不正确履行行政职责，有下列情形的，行政机关及相关工作人员应承担相应责任：</w:t>
            </w:r>
            <w:r>
              <w:rPr>
                <w:rFonts w:hint="eastAsia"/>
                <w:color w:val="000000"/>
                <w:kern w:val="0"/>
                <w:sz w:val="16"/>
                <w:szCs w:val="16"/>
              </w:rPr>
              <w:br w:type="textWrapping"/>
            </w:r>
            <w:r>
              <w:rPr>
                <w:rFonts w:hint="eastAsia"/>
                <w:color w:val="000000"/>
                <w:kern w:val="0"/>
                <w:sz w:val="16"/>
                <w:szCs w:val="16"/>
              </w:rPr>
              <w:t>1、对应当予以制止和处罚的违法行为不予制止、处罚，致使公民、法人或者其他组织的合法权益、公共利益和社会秩序遭受损害的；</w:t>
            </w:r>
            <w:r>
              <w:rPr>
                <w:rFonts w:hint="eastAsia"/>
                <w:color w:val="000000"/>
                <w:kern w:val="0"/>
                <w:sz w:val="16"/>
                <w:szCs w:val="16"/>
              </w:rPr>
              <w:br w:type="textWrapping"/>
            </w:r>
            <w:r>
              <w:rPr>
                <w:rFonts w:hint="eastAsia"/>
                <w:color w:val="000000"/>
                <w:kern w:val="0"/>
                <w:sz w:val="16"/>
                <w:szCs w:val="16"/>
              </w:rPr>
              <w:t>2、超越、滥用法定职权的；</w:t>
            </w:r>
            <w:r>
              <w:rPr>
                <w:rFonts w:hint="eastAsia"/>
                <w:color w:val="000000"/>
                <w:kern w:val="0"/>
                <w:sz w:val="16"/>
                <w:szCs w:val="16"/>
              </w:rPr>
              <w:br w:type="textWrapping"/>
            </w:r>
            <w:r>
              <w:rPr>
                <w:rFonts w:hint="eastAsia"/>
                <w:color w:val="000000"/>
                <w:kern w:val="0"/>
                <w:sz w:val="16"/>
                <w:szCs w:val="16"/>
              </w:rPr>
              <w:t>3、主要事实不清、证据不足的；</w:t>
            </w:r>
            <w:r>
              <w:rPr>
                <w:rFonts w:hint="eastAsia"/>
                <w:color w:val="000000"/>
                <w:kern w:val="0"/>
                <w:sz w:val="16"/>
                <w:szCs w:val="16"/>
              </w:rPr>
              <w:br w:type="textWrapping"/>
            </w:r>
            <w:r>
              <w:rPr>
                <w:rFonts w:hint="eastAsia"/>
                <w:color w:val="000000"/>
                <w:kern w:val="0"/>
                <w:sz w:val="16"/>
                <w:szCs w:val="16"/>
              </w:rPr>
              <w:t>4、适用法律依据错误的；</w:t>
            </w:r>
            <w:r>
              <w:rPr>
                <w:rFonts w:hint="eastAsia"/>
                <w:color w:val="000000"/>
                <w:kern w:val="0"/>
                <w:sz w:val="16"/>
                <w:szCs w:val="16"/>
              </w:rPr>
              <w:br w:type="textWrapping"/>
            </w:r>
            <w:r>
              <w:rPr>
                <w:rFonts w:hint="eastAsia"/>
                <w:color w:val="000000"/>
                <w:kern w:val="0"/>
                <w:sz w:val="16"/>
                <w:szCs w:val="16"/>
              </w:rPr>
              <w:t>5、行政裁量明显不当的；</w:t>
            </w:r>
            <w:r>
              <w:rPr>
                <w:rFonts w:hint="eastAsia"/>
                <w:color w:val="000000"/>
                <w:kern w:val="0"/>
                <w:sz w:val="16"/>
                <w:szCs w:val="16"/>
              </w:rPr>
              <w:br w:type="textWrapping"/>
            </w:r>
            <w:r>
              <w:rPr>
                <w:rFonts w:hint="eastAsia"/>
                <w:color w:val="000000"/>
                <w:kern w:val="0"/>
                <w:sz w:val="16"/>
                <w:szCs w:val="16"/>
              </w:rPr>
              <w:t>6、违反法定程序的；</w:t>
            </w:r>
            <w:r>
              <w:rPr>
                <w:rFonts w:hint="eastAsia"/>
                <w:color w:val="000000"/>
                <w:kern w:val="0"/>
                <w:sz w:val="16"/>
                <w:szCs w:val="16"/>
              </w:rPr>
              <w:br w:type="textWrapping"/>
            </w:r>
            <w:r>
              <w:rPr>
                <w:rFonts w:hint="eastAsia"/>
                <w:color w:val="000000"/>
                <w:kern w:val="0"/>
                <w:sz w:val="16"/>
                <w:szCs w:val="16"/>
              </w:rPr>
              <w:t>7、违法实行检查措施或者执行措施，给公民人身或者财产造成损害、给法人或者其他组织造成损失的；</w:t>
            </w:r>
            <w:r>
              <w:rPr>
                <w:rFonts w:hint="eastAsia"/>
                <w:color w:val="000000"/>
                <w:kern w:val="0"/>
                <w:sz w:val="16"/>
                <w:szCs w:val="16"/>
              </w:rPr>
              <w:br w:type="textWrapping"/>
            </w:r>
            <w:r>
              <w:rPr>
                <w:rFonts w:hint="eastAsia"/>
                <w:color w:val="000000"/>
                <w:kern w:val="0"/>
                <w:sz w:val="16"/>
                <w:szCs w:val="16"/>
              </w:rPr>
              <w:t>8、不执行对事故责任人员的处理决定，或者擅自改变上级机关批复的对事故责任人员的处理意见的；</w:t>
            </w:r>
            <w:r>
              <w:rPr>
                <w:rFonts w:hint="eastAsia"/>
                <w:color w:val="000000"/>
                <w:kern w:val="0"/>
                <w:sz w:val="16"/>
                <w:szCs w:val="16"/>
              </w:rPr>
              <w:br w:type="textWrapping"/>
            </w:r>
            <w:r>
              <w:rPr>
                <w:rFonts w:hint="eastAsia"/>
                <w:color w:val="000000"/>
                <w:kern w:val="0"/>
                <w:sz w:val="16"/>
                <w:szCs w:val="16"/>
              </w:rPr>
              <w:t>9、徇私舞弊、包庇纵容违法行为的；</w:t>
            </w:r>
            <w:r>
              <w:rPr>
                <w:rFonts w:hint="eastAsia"/>
                <w:color w:val="000000"/>
                <w:kern w:val="0"/>
                <w:sz w:val="16"/>
                <w:szCs w:val="16"/>
              </w:rPr>
              <w:br w:type="textWrapping"/>
            </w:r>
            <w:r>
              <w:rPr>
                <w:rFonts w:hint="eastAsia"/>
                <w:color w:val="000000"/>
                <w:kern w:val="0"/>
                <w:sz w:val="16"/>
                <w:szCs w:val="16"/>
              </w:rPr>
              <w:t>10、在行政处罚过程中发生腐败行为的；</w:t>
            </w:r>
            <w:r>
              <w:rPr>
                <w:rFonts w:hint="eastAsia"/>
                <w:color w:val="000000"/>
                <w:kern w:val="0"/>
                <w:sz w:val="16"/>
                <w:szCs w:val="16"/>
              </w:rPr>
              <w:br w:type="textWrapping"/>
            </w:r>
            <w:r>
              <w:rPr>
                <w:rFonts w:hint="eastAsia"/>
                <w:color w:val="000000"/>
                <w:kern w:val="0"/>
                <w:sz w:val="16"/>
                <w:szCs w:val="16"/>
              </w:rPr>
              <w:t>11、其他违反法律法规规章文件规定的行为。</w:t>
            </w:r>
          </w:p>
        </w:tc>
      </w:tr>
    </w:tbl>
    <w:p w14:paraId="12C8FA4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E5913"/>
    <w:rsid w:val="00467C57"/>
    <w:rsid w:val="01712972"/>
    <w:rsid w:val="07254947"/>
    <w:rsid w:val="076B3AA9"/>
    <w:rsid w:val="157B75AD"/>
    <w:rsid w:val="185043F8"/>
    <w:rsid w:val="1B5C6A2C"/>
    <w:rsid w:val="1B9B22E5"/>
    <w:rsid w:val="2859377E"/>
    <w:rsid w:val="293F6E21"/>
    <w:rsid w:val="294A204D"/>
    <w:rsid w:val="2AFF375A"/>
    <w:rsid w:val="2D403637"/>
    <w:rsid w:val="2D4E5913"/>
    <w:rsid w:val="2DA46073"/>
    <w:rsid w:val="2F45680A"/>
    <w:rsid w:val="3187170B"/>
    <w:rsid w:val="321A72A9"/>
    <w:rsid w:val="323D5EBE"/>
    <w:rsid w:val="36981F97"/>
    <w:rsid w:val="379C5435"/>
    <w:rsid w:val="3A716F4A"/>
    <w:rsid w:val="3FAA26B9"/>
    <w:rsid w:val="40CD665F"/>
    <w:rsid w:val="417913EC"/>
    <w:rsid w:val="4487121B"/>
    <w:rsid w:val="44FF25E8"/>
    <w:rsid w:val="49D8736D"/>
    <w:rsid w:val="49E85467"/>
    <w:rsid w:val="509B3FB0"/>
    <w:rsid w:val="524F67FD"/>
    <w:rsid w:val="537312E8"/>
    <w:rsid w:val="540006A2"/>
    <w:rsid w:val="55D1025C"/>
    <w:rsid w:val="5A3D3C53"/>
    <w:rsid w:val="60003F04"/>
    <w:rsid w:val="60185181"/>
    <w:rsid w:val="61B74A96"/>
    <w:rsid w:val="61BE50F6"/>
    <w:rsid w:val="682F289A"/>
    <w:rsid w:val="6ACB3360"/>
    <w:rsid w:val="6BED706A"/>
    <w:rsid w:val="6C7C4AD0"/>
    <w:rsid w:val="6CDB5F2F"/>
    <w:rsid w:val="6F3F2736"/>
    <w:rsid w:val="6F6F4C02"/>
    <w:rsid w:val="70AA1E6E"/>
    <w:rsid w:val="75916078"/>
    <w:rsid w:val="76684159"/>
    <w:rsid w:val="7CB63E70"/>
    <w:rsid w:val="7E553215"/>
    <w:rsid w:val="7F6C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101</Pages>
  <Words>32336</Words>
  <Characters>32519</Characters>
  <Lines>0</Lines>
  <Paragraphs>0</Paragraphs>
  <TotalTime>0</TotalTime>
  <ScaleCrop>false</ScaleCrop>
  <LinksUpToDate>false</LinksUpToDate>
  <CharactersWithSpaces>32590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2026-01-08T00:39:00Z</dcterms:created>
  <dc:creator>风信风语</dc:creator>
  <cp:lastModifiedBy>风信风语</cp:lastModifiedBy>
  <dcterms:modified xsi:type="dcterms:W3CDTF">2026-01-13T01:19:51Z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822EF7DAA99C48659CE4ABD1FE7F04D6_11</vt:lpwstr>
  </property>
  <property fmtid="{D5CDD505-2E9C-101B-9397-08002B2CF9AE}" pid="4" name="KSOTemplateDocerSaveRecord">
    <vt:lpwstr>eyJoZGlkIjoiN2Y2MzQwMjUxMmJjOWM2MmMxOWYzMjMzZThlMWQzMzYiLCJ1c2VySWQiOiIzMjgwOTEyNTIifQ==</vt:lpwstr>
  </property>
</Properties>
</file>