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85" w:tblpY="790"/>
        <w:tblOverlap w:val="never"/>
        <w:tblW w:w="5126"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89"/>
        <w:gridCol w:w="1619"/>
        <w:gridCol w:w="5973"/>
      </w:tblGrid>
      <w:tr w14:paraId="41ABA4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4" w:hRule="atLeast"/>
        </w:trPr>
        <w:tc>
          <w:tcPr>
            <w:tcW w:w="773" w:type="pct"/>
            <w:tcBorders>
              <w:top w:val="single" w:color="auto" w:sz="4" w:space="0"/>
              <w:left w:val="single" w:color="auto" w:sz="8" w:space="0"/>
              <w:bottom w:val="single" w:color="auto" w:sz="4" w:space="0"/>
              <w:right w:val="single" w:color="auto" w:sz="8" w:space="0"/>
            </w:tcBorders>
            <w:shd w:val="clear" w:color="auto" w:fill="FFFFFF"/>
            <w:tcMar>
              <w:top w:w="0" w:type="dxa"/>
              <w:left w:w="227" w:type="dxa"/>
              <w:bottom w:w="0" w:type="dxa"/>
              <w:right w:w="227" w:type="dxa"/>
            </w:tcMar>
            <w:vAlign w:val="center"/>
          </w:tcPr>
          <w:p w14:paraId="7000651D">
            <w:pPr>
              <w:pageBreakBefore w:val="0"/>
              <w:widowControl w:val="0"/>
              <w:kinsoku/>
              <w:wordWrap/>
              <w:overflowPunct/>
              <w:topLinePunct w:val="0"/>
              <w:autoSpaceDE/>
              <w:autoSpaceDN/>
              <w:bidi w:val="0"/>
              <w:adjustRightInd w:val="0"/>
              <w:snapToGrid/>
              <w:spacing w:beforeAutospacing="0" w:afterAutospacing="0" w:line="24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评审项</w:t>
            </w:r>
          </w:p>
        </w:tc>
        <w:tc>
          <w:tcPr>
            <w:tcW w:w="901" w:type="pct"/>
            <w:tcBorders>
              <w:top w:val="single" w:color="auto" w:sz="4" w:space="0"/>
              <w:left w:val="nil"/>
              <w:bottom w:val="single" w:color="auto" w:sz="4" w:space="0"/>
              <w:right w:val="single" w:color="auto" w:sz="8" w:space="0"/>
            </w:tcBorders>
            <w:shd w:val="clear" w:color="auto" w:fill="FFFFFF"/>
            <w:tcMar>
              <w:top w:w="0" w:type="dxa"/>
              <w:left w:w="227" w:type="dxa"/>
              <w:bottom w:w="0" w:type="dxa"/>
              <w:right w:w="227" w:type="dxa"/>
            </w:tcMar>
            <w:vAlign w:val="center"/>
          </w:tcPr>
          <w:p w14:paraId="66D4EE95">
            <w:pPr>
              <w:pageBreakBefore w:val="0"/>
              <w:widowControl w:val="0"/>
              <w:kinsoku/>
              <w:wordWrap/>
              <w:overflowPunct/>
              <w:topLinePunct w:val="0"/>
              <w:autoSpaceDE/>
              <w:autoSpaceDN/>
              <w:bidi w:val="0"/>
              <w:adjustRightInd w:val="0"/>
              <w:snapToGrid/>
              <w:spacing w:afterAutospacing="0" w:line="24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评审因素</w:t>
            </w:r>
          </w:p>
        </w:tc>
        <w:tc>
          <w:tcPr>
            <w:tcW w:w="3324" w:type="pct"/>
            <w:tcBorders>
              <w:top w:val="single" w:color="auto" w:sz="4" w:space="0"/>
              <w:left w:val="nil"/>
              <w:bottom w:val="single" w:color="auto" w:sz="4" w:space="0"/>
              <w:right w:val="single" w:color="auto" w:sz="8" w:space="0"/>
            </w:tcBorders>
            <w:shd w:val="clear" w:color="auto" w:fill="FFFFFF"/>
            <w:tcMar>
              <w:top w:w="0" w:type="dxa"/>
              <w:left w:w="227" w:type="dxa"/>
              <w:bottom w:w="0" w:type="dxa"/>
              <w:right w:w="227" w:type="dxa"/>
            </w:tcMar>
            <w:vAlign w:val="center"/>
          </w:tcPr>
          <w:p w14:paraId="19E68FCD">
            <w:pPr>
              <w:pageBreakBefore w:val="0"/>
              <w:widowControl w:val="0"/>
              <w:kinsoku/>
              <w:wordWrap/>
              <w:overflowPunct/>
              <w:topLinePunct w:val="0"/>
              <w:autoSpaceDE/>
              <w:autoSpaceDN/>
              <w:bidi w:val="0"/>
              <w:adjustRightInd w:val="0"/>
              <w:snapToGrid/>
              <w:spacing w:afterAutospacing="0" w:line="24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评分标准</w:t>
            </w:r>
          </w:p>
        </w:tc>
      </w:tr>
      <w:tr w14:paraId="04A577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rPr>
        <w:tc>
          <w:tcPr>
            <w:tcW w:w="773" w:type="pct"/>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7E079F93">
            <w:pPr>
              <w:bidi w:val="0"/>
              <w:spacing w:line="240" w:lineRule="auto"/>
              <w:jc w:val="center"/>
              <w:rPr>
                <w:rFonts w:hint="eastAsia" w:ascii="仿宋" w:hAnsi="仿宋" w:eastAsia="仿宋" w:cs="仿宋"/>
                <w:b/>
                <w:bCs/>
                <w:i w:val="0"/>
                <w:iCs w:val="0"/>
                <w:caps w:val="0"/>
                <w:snapToGrid w:val="0"/>
                <w:color w:val="333333"/>
                <w:spacing w:val="0"/>
                <w:kern w:val="0"/>
                <w:sz w:val="22"/>
                <w:szCs w:val="22"/>
                <w:shd w:val="clear" w:fill="FFFFFF"/>
                <w:lang w:val="en-US" w:eastAsia="zh-CN" w:bidi="ar"/>
              </w:rPr>
            </w:pPr>
            <w:r>
              <w:rPr>
                <w:rFonts w:hint="eastAsia" w:ascii="仿宋" w:hAnsi="仿宋" w:eastAsia="仿宋" w:cs="仿宋"/>
                <w:b/>
                <w:bCs/>
                <w:i w:val="0"/>
                <w:iCs w:val="0"/>
                <w:caps w:val="0"/>
                <w:snapToGrid w:val="0"/>
                <w:color w:val="333333"/>
                <w:spacing w:val="0"/>
                <w:kern w:val="0"/>
                <w:sz w:val="22"/>
                <w:szCs w:val="22"/>
                <w:shd w:val="clear" w:fill="FFFFFF"/>
                <w:lang w:val="en-US" w:eastAsia="zh-CN" w:bidi="ar"/>
              </w:rPr>
              <w:t>技术</w:t>
            </w:r>
          </w:p>
          <w:p w14:paraId="54B790A7">
            <w:pPr>
              <w:bidi w:val="0"/>
              <w:spacing w:line="240" w:lineRule="auto"/>
              <w:jc w:val="center"/>
              <w:rPr>
                <w:rFonts w:hint="eastAsia" w:ascii="仿宋" w:hAnsi="仿宋" w:eastAsia="仿宋" w:cs="仿宋"/>
                <w:b/>
                <w:bCs/>
                <w:i w:val="0"/>
                <w:iCs w:val="0"/>
                <w:caps w:val="0"/>
                <w:snapToGrid w:val="0"/>
                <w:color w:val="333333"/>
                <w:spacing w:val="0"/>
                <w:kern w:val="0"/>
                <w:sz w:val="22"/>
                <w:szCs w:val="22"/>
                <w:shd w:val="clear" w:fill="FFFFFF"/>
                <w:lang w:val="en-US" w:eastAsia="zh-CN" w:bidi="ar"/>
              </w:rPr>
            </w:pPr>
            <w:r>
              <w:rPr>
                <w:rFonts w:hint="eastAsia" w:ascii="仿宋" w:hAnsi="仿宋" w:eastAsia="仿宋" w:cs="仿宋"/>
                <w:b/>
                <w:bCs/>
                <w:i w:val="0"/>
                <w:iCs w:val="0"/>
                <w:caps w:val="0"/>
                <w:snapToGrid w:val="0"/>
                <w:color w:val="333333"/>
                <w:spacing w:val="0"/>
                <w:kern w:val="0"/>
                <w:sz w:val="22"/>
                <w:szCs w:val="22"/>
                <w:shd w:val="clear" w:fill="FFFFFF"/>
                <w:lang w:val="en-US" w:eastAsia="zh-CN" w:bidi="ar"/>
              </w:rPr>
              <w:t>得分</w:t>
            </w:r>
          </w:p>
          <w:p w14:paraId="77BF3075">
            <w:pPr>
              <w:bidi w:val="0"/>
              <w:spacing w:line="240" w:lineRule="auto"/>
              <w:jc w:val="both"/>
              <w:rPr>
                <w:rFonts w:hint="eastAsia" w:ascii="仿宋" w:hAnsi="仿宋" w:eastAsia="仿宋" w:cs="仿宋"/>
                <w:b/>
                <w:bCs/>
                <w:i w:val="0"/>
                <w:iCs w:val="0"/>
                <w:caps w:val="0"/>
                <w:snapToGrid w:val="0"/>
                <w:color w:val="333333"/>
                <w:spacing w:val="0"/>
                <w:kern w:val="0"/>
                <w:sz w:val="24"/>
                <w:szCs w:val="24"/>
                <w:shd w:val="clear" w:fill="FFFFFF"/>
                <w:lang w:val="en-US" w:eastAsia="zh-CN" w:bidi="ar"/>
              </w:rPr>
            </w:pPr>
            <w:r>
              <w:rPr>
                <w:rFonts w:hint="eastAsia" w:ascii="仿宋" w:hAnsi="仿宋" w:eastAsia="仿宋" w:cs="仿宋"/>
                <w:b/>
                <w:bCs/>
                <w:i w:val="0"/>
                <w:iCs w:val="0"/>
                <w:caps w:val="0"/>
                <w:snapToGrid w:val="0"/>
                <w:color w:val="333333"/>
                <w:spacing w:val="0"/>
                <w:kern w:val="0"/>
                <w:sz w:val="22"/>
                <w:szCs w:val="22"/>
                <w:shd w:val="clear" w:fill="FFFFFF"/>
                <w:lang w:val="en-US" w:eastAsia="zh-CN" w:bidi="ar"/>
              </w:rPr>
              <w:t>（75分）</w:t>
            </w:r>
          </w:p>
        </w:tc>
        <w:tc>
          <w:tcPr>
            <w:tcW w:w="901" w:type="pc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0365B60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b/>
                <w:bCs/>
                <w:i w:val="0"/>
                <w:iCs w:val="0"/>
                <w:caps w:val="0"/>
                <w:snapToGrid w:val="0"/>
                <w:color w:val="333333"/>
                <w:spacing w:val="0"/>
                <w:kern w:val="0"/>
                <w:sz w:val="24"/>
                <w:szCs w:val="24"/>
                <w:shd w:val="clear" w:fill="FFFFFF"/>
                <w:lang w:val="en-US" w:eastAsia="zh-CN" w:bidi="ar"/>
              </w:rPr>
            </w:pPr>
            <w:r>
              <w:rPr>
                <w:rFonts w:hint="eastAsia" w:ascii="仿宋" w:hAnsi="仿宋" w:eastAsia="仿宋" w:cs="仿宋"/>
                <w:b/>
                <w:bCs/>
                <w:i w:val="0"/>
                <w:iCs w:val="0"/>
                <w:caps w:val="0"/>
                <w:snapToGrid w:val="0"/>
                <w:color w:val="333333"/>
                <w:spacing w:val="0"/>
                <w:kern w:val="0"/>
                <w:sz w:val="24"/>
                <w:szCs w:val="24"/>
                <w:shd w:val="clear" w:fill="FFFFFF"/>
                <w:lang w:val="en-US" w:eastAsia="zh-CN" w:bidi="ar"/>
              </w:rPr>
              <w:t>人员配备</w:t>
            </w:r>
            <w:r>
              <w:rPr>
                <w:rFonts w:hint="eastAsia" w:ascii="仿宋" w:hAnsi="仿宋" w:eastAsia="仿宋" w:cs="仿宋"/>
                <w:b/>
                <w:bCs/>
                <w:i w:val="0"/>
                <w:iCs w:val="0"/>
                <w:caps w:val="0"/>
                <w:snapToGrid w:val="0"/>
                <w:color w:val="333333"/>
                <w:spacing w:val="0"/>
                <w:kern w:val="0"/>
                <w:sz w:val="24"/>
                <w:szCs w:val="24"/>
                <w:shd w:val="clear" w:fill="FFFFFF"/>
                <w:lang w:val="en-US" w:eastAsia="zh-CN" w:bidi="ar"/>
              </w:rPr>
              <w:br w:type="textWrapping"/>
            </w:r>
            <w:r>
              <w:rPr>
                <w:rFonts w:hint="eastAsia" w:ascii="仿宋" w:hAnsi="仿宋" w:eastAsia="仿宋" w:cs="仿宋"/>
                <w:b/>
                <w:bCs/>
                <w:i w:val="0"/>
                <w:iCs w:val="0"/>
                <w:caps w:val="0"/>
                <w:snapToGrid w:val="0"/>
                <w:color w:val="333333"/>
                <w:spacing w:val="0"/>
                <w:kern w:val="0"/>
                <w:sz w:val="24"/>
                <w:szCs w:val="24"/>
                <w:shd w:val="clear" w:fill="FFFFFF"/>
                <w:lang w:val="en-US" w:eastAsia="zh-CN" w:bidi="ar"/>
              </w:rPr>
              <w:t>（18分）</w:t>
            </w:r>
          </w:p>
        </w:tc>
        <w:tc>
          <w:tcPr>
            <w:tcW w:w="3324" w:type="pc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131D0DE4">
            <w:pPr>
              <w:numPr>
                <w:ilvl w:val="0"/>
                <w:numId w:val="0"/>
              </w:num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br w:type="textWrapping"/>
            </w:r>
            <w:r>
              <w:rPr>
                <w:rFonts w:hint="eastAsia" w:ascii="仿宋" w:hAnsi="仿宋" w:eastAsia="仿宋" w:cs="仿宋"/>
                <w:i w:val="0"/>
                <w:iCs w:val="0"/>
                <w:caps w:val="0"/>
                <w:snapToGrid w:val="0"/>
                <w:color w:val="333333"/>
                <w:spacing w:val="0"/>
                <w:kern w:val="0"/>
                <w:sz w:val="24"/>
                <w:szCs w:val="24"/>
                <w:shd w:val="clear" w:fill="FFFFFF"/>
                <w:lang w:val="en-US" w:eastAsia="zh-CN" w:bidi="ar"/>
              </w:rPr>
              <w:t>一、项目负责人（满分6分）</w:t>
            </w:r>
          </w:p>
          <w:p w14:paraId="02AC5815">
            <w:pPr>
              <w:numPr>
                <w:ilvl w:val="0"/>
                <w:numId w:val="0"/>
              </w:num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1.拟派项目负责人具有工程类专业注册证书一级造价师或高级职称的得6分。</w:t>
            </w:r>
          </w:p>
          <w:p w14:paraId="3507D27D">
            <w:pPr>
              <w:numPr>
                <w:ilvl w:val="0"/>
                <w:numId w:val="0"/>
              </w:num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二、项目组成员（满分12分）</w:t>
            </w:r>
          </w:p>
          <w:p w14:paraId="34F9A3EF">
            <w:pPr>
              <w:numPr>
                <w:ilvl w:val="0"/>
                <w:numId w:val="0"/>
              </w:num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1.项目组成员具有专业注册证书一级造价师或工程类中级及以上职称的得3分，满分12分;</w:t>
            </w:r>
          </w:p>
          <w:p w14:paraId="4753AF39">
            <w:pPr>
              <w:numPr>
                <w:ilvl w:val="0"/>
                <w:numId w:val="0"/>
              </w:num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auto"/>
                <w:spacing w:val="0"/>
                <w:kern w:val="0"/>
                <w:sz w:val="24"/>
                <w:szCs w:val="24"/>
                <w:shd w:val="clear" w:fill="FFFFFF"/>
                <w:lang w:val="en-US" w:eastAsia="zh-CN" w:bidi="ar"/>
              </w:rPr>
              <w:t>注：需提供上述人员证书复印件和名录登记截屏加盖公章。</w:t>
            </w:r>
          </w:p>
        </w:tc>
      </w:tr>
      <w:tr w14:paraId="4B650E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73"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307458E1">
            <w:pPr>
              <w:bidi w:val="0"/>
              <w:spacing w:line="240" w:lineRule="auto"/>
              <w:jc w:val="center"/>
              <w:rPr>
                <w:rFonts w:hint="eastAsia" w:ascii="仿宋" w:hAnsi="仿宋" w:eastAsia="仿宋" w:cs="仿宋"/>
                <w:b/>
                <w:bCs/>
                <w:i w:val="0"/>
                <w:iCs w:val="0"/>
                <w:caps w:val="0"/>
                <w:snapToGrid w:val="0"/>
                <w:color w:val="333333"/>
                <w:spacing w:val="0"/>
                <w:kern w:val="0"/>
                <w:sz w:val="24"/>
                <w:szCs w:val="24"/>
                <w:shd w:val="clear" w:fill="FFFFFF"/>
                <w:lang w:val="en-US" w:eastAsia="zh-CN" w:bidi="ar"/>
              </w:rPr>
            </w:pPr>
          </w:p>
        </w:tc>
        <w:tc>
          <w:tcPr>
            <w:tcW w:w="901" w:type="pc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0AC95B6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i w:val="0"/>
                <w:iCs w:val="0"/>
                <w:caps w:val="0"/>
                <w:snapToGrid w:val="0"/>
                <w:color w:val="333333"/>
                <w:spacing w:val="0"/>
                <w:kern w:val="0"/>
                <w:sz w:val="24"/>
                <w:szCs w:val="24"/>
                <w:shd w:val="clear" w:fill="FFFFFF"/>
                <w:lang w:val="en-US" w:eastAsia="zh-CN" w:bidi="ar"/>
              </w:rPr>
            </w:pPr>
            <w:r>
              <w:rPr>
                <w:rFonts w:hint="eastAsia" w:ascii="仿宋" w:hAnsi="仿宋" w:eastAsia="仿宋" w:cs="仿宋"/>
                <w:b/>
                <w:bCs/>
                <w:i w:val="0"/>
                <w:iCs w:val="0"/>
                <w:caps w:val="0"/>
                <w:snapToGrid w:val="0"/>
                <w:color w:val="333333"/>
                <w:spacing w:val="0"/>
                <w:kern w:val="0"/>
                <w:sz w:val="24"/>
                <w:szCs w:val="24"/>
                <w:shd w:val="clear" w:fill="FFFFFF"/>
                <w:lang w:val="en-US" w:eastAsia="zh-CN" w:bidi="ar"/>
              </w:rPr>
              <w:t>企业实力</w:t>
            </w:r>
            <w:r>
              <w:rPr>
                <w:rFonts w:hint="eastAsia" w:ascii="仿宋" w:hAnsi="仿宋" w:eastAsia="仿宋" w:cs="仿宋"/>
                <w:b/>
                <w:bCs/>
                <w:i w:val="0"/>
                <w:iCs w:val="0"/>
                <w:caps w:val="0"/>
                <w:snapToGrid w:val="0"/>
                <w:color w:val="333333"/>
                <w:spacing w:val="0"/>
                <w:kern w:val="0"/>
                <w:sz w:val="24"/>
                <w:szCs w:val="24"/>
                <w:shd w:val="clear" w:fill="FFFFFF"/>
                <w:lang w:val="en-US" w:eastAsia="zh-CN" w:bidi="ar"/>
              </w:rPr>
              <w:br w:type="textWrapping"/>
            </w:r>
            <w:r>
              <w:rPr>
                <w:rFonts w:hint="eastAsia" w:ascii="仿宋" w:hAnsi="仿宋" w:eastAsia="仿宋" w:cs="仿宋"/>
                <w:b/>
                <w:bCs/>
                <w:i w:val="0"/>
                <w:iCs w:val="0"/>
                <w:caps w:val="0"/>
                <w:snapToGrid w:val="0"/>
                <w:color w:val="333333"/>
                <w:spacing w:val="0"/>
                <w:kern w:val="0"/>
                <w:sz w:val="24"/>
                <w:szCs w:val="24"/>
                <w:shd w:val="clear" w:fill="FFFFFF"/>
                <w:lang w:val="en-US" w:eastAsia="zh-CN" w:bidi="ar"/>
              </w:rPr>
              <w:t>（16分）</w:t>
            </w:r>
          </w:p>
        </w:tc>
        <w:tc>
          <w:tcPr>
            <w:tcW w:w="3324" w:type="pc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22E786AC">
            <w:p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根据宿州市公共资源交易中心名录登记中招标代理机构得分：</w:t>
            </w:r>
            <w:r>
              <w:rPr>
                <w:rFonts w:hint="eastAsia" w:ascii="仿宋" w:hAnsi="仿宋" w:eastAsia="仿宋" w:cs="仿宋"/>
                <w:i w:val="0"/>
                <w:iCs w:val="0"/>
                <w:caps w:val="0"/>
                <w:snapToGrid w:val="0"/>
                <w:color w:val="333333"/>
                <w:spacing w:val="0"/>
                <w:kern w:val="0"/>
                <w:sz w:val="24"/>
                <w:szCs w:val="24"/>
                <w:shd w:val="clear" w:fill="FFFFFF"/>
                <w:lang w:val="en-US" w:eastAsia="zh-CN" w:bidi="ar"/>
              </w:rPr>
              <w:br w:type="textWrapping"/>
            </w:r>
            <w:r>
              <w:rPr>
                <w:rFonts w:hint="eastAsia" w:ascii="仿宋" w:hAnsi="仿宋" w:eastAsia="仿宋" w:cs="仿宋"/>
                <w:i w:val="0"/>
                <w:iCs w:val="0"/>
                <w:caps w:val="0"/>
                <w:snapToGrid w:val="0"/>
                <w:color w:val="333333"/>
                <w:spacing w:val="0"/>
                <w:kern w:val="0"/>
                <w:sz w:val="24"/>
                <w:szCs w:val="24"/>
                <w:shd w:val="clear" w:fill="FFFFFF"/>
                <w:lang w:val="en-US" w:eastAsia="zh-CN" w:bidi="ar"/>
              </w:rPr>
              <w:t>1.基本条件：70-79分得分2分，80-89得分5分，90-100得分8分；</w:t>
            </w:r>
            <w:r>
              <w:rPr>
                <w:rFonts w:hint="eastAsia" w:ascii="仿宋" w:hAnsi="仿宋" w:eastAsia="仿宋" w:cs="仿宋"/>
                <w:i w:val="0"/>
                <w:iCs w:val="0"/>
                <w:caps w:val="0"/>
                <w:snapToGrid w:val="0"/>
                <w:color w:val="333333"/>
                <w:spacing w:val="0"/>
                <w:kern w:val="0"/>
                <w:sz w:val="24"/>
                <w:szCs w:val="24"/>
                <w:shd w:val="clear" w:fill="FFFFFF"/>
                <w:lang w:val="en-US" w:eastAsia="zh-CN" w:bidi="ar"/>
              </w:rPr>
              <w:br w:type="textWrapping"/>
            </w:r>
            <w:r>
              <w:rPr>
                <w:rFonts w:hint="eastAsia" w:ascii="仿宋" w:hAnsi="仿宋" w:eastAsia="仿宋" w:cs="仿宋"/>
                <w:i w:val="0"/>
                <w:iCs w:val="0"/>
                <w:caps w:val="0"/>
                <w:snapToGrid w:val="0"/>
                <w:color w:val="333333"/>
                <w:spacing w:val="0"/>
                <w:kern w:val="0"/>
                <w:sz w:val="24"/>
                <w:szCs w:val="24"/>
                <w:shd w:val="clear" w:fill="FFFFFF"/>
                <w:lang w:val="en-US" w:eastAsia="zh-CN" w:bidi="ar"/>
              </w:rPr>
              <w:t>2.人员配备：70-79分得分2分，80-89得分5分，90-100得分8分；</w:t>
            </w:r>
          </w:p>
          <w:p w14:paraId="5316CF3D">
            <w:p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需提供宿州市公共资源名录登记(网上截图一份）</w:t>
            </w:r>
          </w:p>
        </w:tc>
      </w:tr>
      <w:tr w14:paraId="007E98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773"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0A76B3D7">
            <w:pPr>
              <w:bidi w:val="0"/>
              <w:spacing w:line="240" w:lineRule="auto"/>
              <w:jc w:val="center"/>
              <w:rPr>
                <w:rFonts w:hint="eastAsia" w:ascii="仿宋" w:hAnsi="仿宋" w:eastAsia="仿宋" w:cs="仿宋"/>
                <w:i w:val="0"/>
                <w:iCs w:val="0"/>
                <w:caps w:val="0"/>
                <w:snapToGrid w:val="0"/>
                <w:color w:val="333333"/>
                <w:spacing w:val="0"/>
                <w:kern w:val="0"/>
                <w:sz w:val="24"/>
                <w:szCs w:val="24"/>
                <w:shd w:val="clear" w:fill="FFFFFF"/>
                <w:lang w:val="en-US" w:eastAsia="zh-CN" w:bidi="ar"/>
              </w:rPr>
            </w:pPr>
          </w:p>
        </w:tc>
        <w:tc>
          <w:tcPr>
            <w:tcW w:w="901" w:type="pc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73B843B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i w:val="0"/>
                <w:iCs w:val="0"/>
                <w:caps w:val="0"/>
                <w:snapToGrid w:val="0"/>
                <w:color w:val="333333"/>
                <w:spacing w:val="0"/>
                <w:kern w:val="0"/>
                <w:sz w:val="24"/>
                <w:szCs w:val="24"/>
                <w:shd w:val="clear" w:fill="FFFFFF"/>
                <w:lang w:val="en-US" w:eastAsia="zh-CN" w:bidi="ar"/>
              </w:rPr>
            </w:pPr>
            <w:r>
              <w:rPr>
                <w:rFonts w:hint="eastAsia" w:ascii="仿宋" w:hAnsi="仿宋" w:eastAsia="仿宋" w:cs="仿宋"/>
                <w:b/>
                <w:bCs/>
                <w:i w:val="0"/>
                <w:iCs w:val="0"/>
                <w:caps w:val="0"/>
                <w:snapToGrid w:val="0"/>
                <w:color w:val="333333"/>
                <w:spacing w:val="0"/>
                <w:kern w:val="0"/>
                <w:sz w:val="24"/>
                <w:szCs w:val="24"/>
                <w:shd w:val="clear" w:fill="FFFFFF"/>
                <w:lang w:val="en-US" w:eastAsia="zh-CN" w:bidi="ar"/>
              </w:rPr>
              <w:t>企业业绩</w:t>
            </w:r>
          </w:p>
          <w:p w14:paraId="128579F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b/>
                <w:bCs/>
                <w:i w:val="0"/>
                <w:iCs w:val="0"/>
                <w:caps w:val="0"/>
                <w:snapToGrid w:val="0"/>
                <w:color w:val="333333"/>
                <w:spacing w:val="0"/>
                <w:kern w:val="0"/>
                <w:sz w:val="24"/>
                <w:szCs w:val="24"/>
                <w:shd w:val="clear" w:fill="FFFFFF"/>
                <w:lang w:val="en-US" w:eastAsia="zh-CN" w:bidi="ar"/>
              </w:rPr>
              <w:t>（15分）</w:t>
            </w:r>
          </w:p>
        </w:tc>
        <w:tc>
          <w:tcPr>
            <w:tcW w:w="3324" w:type="pc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79E5D372">
            <w:p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自2023年1月1日（以招标公告发布时间为准）至今，每提供一个招标代理业绩得3分，满分15分。</w:t>
            </w:r>
          </w:p>
          <w:p w14:paraId="4E6E6714">
            <w:p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注：宿州市公共资源交易平台（含四县一区）发布的招标公告、中标公示官网截图加盖单位公章。</w:t>
            </w:r>
          </w:p>
        </w:tc>
      </w:tr>
      <w:tr w14:paraId="1DD5DE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76" w:hRule="atLeast"/>
        </w:trPr>
        <w:tc>
          <w:tcPr>
            <w:tcW w:w="773"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55CF34F1">
            <w:pPr>
              <w:bidi w:val="0"/>
              <w:spacing w:line="240" w:lineRule="auto"/>
              <w:jc w:val="center"/>
              <w:rPr>
                <w:rFonts w:hint="eastAsia" w:ascii="仿宋" w:hAnsi="仿宋" w:eastAsia="仿宋" w:cs="仿宋"/>
                <w:i w:val="0"/>
                <w:iCs w:val="0"/>
                <w:caps w:val="0"/>
                <w:snapToGrid w:val="0"/>
                <w:color w:val="333333"/>
                <w:spacing w:val="0"/>
                <w:kern w:val="0"/>
                <w:sz w:val="24"/>
                <w:szCs w:val="24"/>
                <w:shd w:val="clear" w:fill="FFFFFF"/>
                <w:lang w:val="en-US" w:eastAsia="zh-CN" w:bidi="ar"/>
              </w:rPr>
            </w:pPr>
          </w:p>
        </w:tc>
        <w:tc>
          <w:tcPr>
            <w:tcW w:w="901" w:type="pct"/>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5548913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i w:val="0"/>
                <w:iCs w:val="0"/>
                <w:caps w:val="0"/>
                <w:snapToGrid w:val="0"/>
                <w:color w:val="333333"/>
                <w:spacing w:val="0"/>
                <w:kern w:val="0"/>
                <w:sz w:val="24"/>
                <w:szCs w:val="24"/>
                <w:shd w:val="clear" w:fill="FFFFFF"/>
                <w:lang w:val="en-US" w:eastAsia="zh-CN" w:bidi="ar"/>
              </w:rPr>
            </w:pPr>
            <w:r>
              <w:rPr>
                <w:rFonts w:hint="eastAsia" w:ascii="仿宋" w:hAnsi="仿宋" w:eastAsia="仿宋" w:cs="仿宋"/>
                <w:b/>
                <w:bCs/>
                <w:i w:val="0"/>
                <w:iCs w:val="0"/>
                <w:caps w:val="0"/>
                <w:snapToGrid w:val="0"/>
                <w:color w:val="333333"/>
                <w:spacing w:val="0"/>
                <w:kern w:val="0"/>
                <w:sz w:val="24"/>
                <w:szCs w:val="24"/>
                <w:shd w:val="clear" w:fill="FFFFFF"/>
                <w:lang w:val="en-US" w:eastAsia="zh-CN" w:bidi="ar"/>
              </w:rPr>
              <w:t>服务方案</w:t>
            </w:r>
          </w:p>
          <w:p w14:paraId="223DD21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i w:val="0"/>
                <w:iCs w:val="0"/>
                <w:caps w:val="0"/>
                <w:snapToGrid w:val="0"/>
                <w:color w:val="333333"/>
                <w:spacing w:val="0"/>
                <w:kern w:val="0"/>
                <w:sz w:val="24"/>
                <w:szCs w:val="24"/>
                <w:shd w:val="clear" w:fill="FFFFFF"/>
                <w:lang w:val="en-US" w:eastAsia="zh-CN" w:bidi="ar"/>
              </w:rPr>
            </w:pPr>
            <w:r>
              <w:rPr>
                <w:rFonts w:hint="eastAsia" w:ascii="仿宋" w:hAnsi="仿宋" w:eastAsia="仿宋" w:cs="仿宋"/>
                <w:b/>
                <w:bCs/>
                <w:i w:val="0"/>
                <w:iCs w:val="0"/>
                <w:caps w:val="0"/>
                <w:snapToGrid w:val="0"/>
                <w:color w:val="333333"/>
                <w:spacing w:val="0"/>
                <w:kern w:val="0"/>
                <w:sz w:val="24"/>
                <w:szCs w:val="24"/>
                <w:shd w:val="clear" w:fill="FFFFFF"/>
                <w:lang w:val="en-US" w:eastAsia="zh-CN" w:bidi="ar"/>
              </w:rPr>
              <w:t>（26分）</w:t>
            </w:r>
          </w:p>
        </w:tc>
        <w:tc>
          <w:tcPr>
            <w:tcW w:w="3324" w:type="pc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6F91D690">
            <w:p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1、招标代理工作方案详细,针对性强，操作性强,内容具体,能充分保证招标工作的完成,能提出行之有效的措施。（0-8分）</w:t>
            </w:r>
          </w:p>
        </w:tc>
      </w:tr>
      <w:tr w14:paraId="58EA0C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31" w:hRule="atLeast"/>
        </w:trPr>
        <w:tc>
          <w:tcPr>
            <w:tcW w:w="773"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646A90A5">
            <w:pPr>
              <w:bidi w:val="0"/>
              <w:spacing w:line="240" w:lineRule="auto"/>
              <w:jc w:val="center"/>
              <w:rPr>
                <w:rFonts w:hint="eastAsia" w:ascii="仿宋" w:hAnsi="仿宋" w:eastAsia="仿宋" w:cs="仿宋"/>
                <w:i w:val="0"/>
                <w:iCs w:val="0"/>
                <w:caps w:val="0"/>
                <w:snapToGrid w:val="0"/>
                <w:color w:val="333333"/>
                <w:spacing w:val="0"/>
                <w:kern w:val="0"/>
                <w:sz w:val="24"/>
                <w:szCs w:val="24"/>
                <w:shd w:val="clear" w:fill="FFFFFF"/>
                <w:lang w:val="en-US" w:eastAsia="zh-CN" w:bidi="ar"/>
              </w:rPr>
            </w:pPr>
          </w:p>
        </w:tc>
        <w:tc>
          <w:tcPr>
            <w:tcW w:w="901"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3CC49EB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i w:val="0"/>
                <w:iCs w:val="0"/>
                <w:caps w:val="0"/>
                <w:snapToGrid w:val="0"/>
                <w:color w:val="333333"/>
                <w:spacing w:val="0"/>
                <w:kern w:val="0"/>
                <w:sz w:val="24"/>
                <w:szCs w:val="24"/>
                <w:shd w:val="clear" w:fill="FFFFFF"/>
                <w:lang w:val="en-US" w:eastAsia="zh-CN" w:bidi="ar"/>
              </w:rPr>
            </w:pPr>
          </w:p>
        </w:tc>
        <w:tc>
          <w:tcPr>
            <w:tcW w:w="3324" w:type="pc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0C84E232">
            <w:p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2、服务质量承诺内容具体,针对性强，切实可行﹐按时完成招标代理服务工作（0-8分）</w:t>
            </w:r>
          </w:p>
        </w:tc>
      </w:tr>
      <w:tr w14:paraId="284797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33" w:hRule="atLeast"/>
        </w:trPr>
        <w:tc>
          <w:tcPr>
            <w:tcW w:w="773"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3A9F9B84">
            <w:pPr>
              <w:bidi w:val="0"/>
              <w:spacing w:line="240" w:lineRule="auto"/>
              <w:jc w:val="center"/>
              <w:rPr>
                <w:rFonts w:hint="eastAsia" w:ascii="仿宋" w:hAnsi="仿宋" w:eastAsia="仿宋" w:cs="仿宋"/>
                <w:i w:val="0"/>
                <w:iCs w:val="0"/>
                <w:caps w:val="0"/>
                <w:snapToGrid w:val="0"/>
                <w:color w:val="333333"/>
                <w:spacing w:val="0"/>
                <w:kern w:val="0"/>
                <w:sz w:val="24"/>
                <w:szCs w:val="24"/>
                <w:shd w:val="clear" w:fill="FFFFFF"/>
                <w:lang w:val="en-US" w:eastAsia="zh-CN" w:bidi="ar"/>
              </w:rPr>
            </w:pPr>
          </w:p>
        </w:tc>
        <w:tc>
          <w:tcPr>
            <w:tcW w:w="901"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10BBFA4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i w:val="0"/>
                <w:iCs w:val="0"/>
                <w:caps w:val="0"/>
                <w:snapToGrid w:val="0"/>
                <w:color w:val="333333"/>
                <w:spacing w:val="0"/>
                <w:kern w:val="0"/>
                <w:sz w:val="24"/>
                <w:szCs w:val="24"/>
                <w:shd w:val="clear" w:fill="FFFFFF"/>
                <w:lang w:val="en-US" w:eastAsia="zh-CN" w:bidi="ar"/>
              </w:rPr>
            </w:pPr>
          </w:p>
        </w:tc>
        <w:tc>
          <w:tcPr>
            <w:tcW w:w="3324" w:type="pc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700076EE">
            <w:p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3.提供的廉政保密措施综合评审（0-10分）</w:t>
            </w:r>
          </w:p>
        </w:tc>
      </w:tr>
      <w:tr w14:paraId="7C36E4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46" w:hRule="atLeast"/>
        </w:trPr>
        <w:tc>
          <w:tcPr>
            <w:tcW w:w="773" w:type="pct"/>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268EEE63">
            <w:pPr>
              <w:bidi w:val="0"/>
              <w:spacing w:line="240" w:lineRule="auto"/>
              <w:ind w:firstLine="221" w:firstLineChars="100"/>
              <w:jc w:val="both"/>
              <w:rPr>
                <w:rFonts w:hint="eastAsia" w:ascii="仿宋" w:hAnsi="仿宋" w:eastAsia="仿宋" w:cs="仿宋"/>
                <w:b/>
                <w:bCs/>
                <w:i w:val="0"/>
                <w:iCs w:val="0"/>
                <w:caps w:val="0"/>
                <w:snapToGrid w:val="0"/>
                <w:color w:val="333333"/>
                <w:spacing w:val="0"/>
                <w:kern w:val="0"/>
                <w:sz w:val="22"/>
                <w:szCs w:val="22"/>
                <w:shd w:val="clear" w:fill="FFFFFF"/>
                <w:lang w:val="en-US" w:eastAsia="zh-CN" w:bidi="ar"/>
              </w:rPr>
            </w:pPr>
            <w:r>
              <w:rPr>
                <w:rFonts w:hint="eastAsia" w:ascii="仿宋" w:hAnsi="仿宋" w:eastAsia="仿宋" w:cs="仿宋"/>
                <w:b/>
                <w:bCs/>
                <w:i w:val="0"/>
                <w:iCs w:val="0"/>
                <w:caps w:val="0"/>
                <w:snapToGrid w:val="0"/>
                <w:color w:val="333333"/>
                <w:spacing w:val="0"/>
                <w:kern w:val="0"/>
                <w:sz w:val="22"/>
                <w:szCs w:val="22"/>
                <w:shd w:val="clear" w:fill="FFFFFF"/>
                <w:lang w:val="en-US" w:eastAsia="zh-CN" w:bidi="ar"/>
              </w:rPr>
              <w:t>商务</w:t>
            </w:r>
          </w:p>
          <w:p w14:paraId="736E1514">
            <w:pPr>
              <w:bidi w:val="0"/>
              <w:spacing w:line="240" w:lineRule="auto"/>
              <w:ind w:firstLine="221" w:firstLineChars="100"/>
              <w:jc w:val="both"/>
              <w:rPr>
                <w:rFonts w:hint="eastAsia" w:ascii="仿宋" w:hAnsi="仿宋" w:eastAsia="仿宋" w:cs="仿宋"/>
                <w:b/>
                <w:bCs/>
                <w:i w:val="0"/>
                <w:iCs w:val="0"/>
                <w:caps w:val="0"/>
                <w:snapToGrid w:val="0"/>
                <w:color w:val="333333"/>
                <w:spacing w:val="0"/>
                <w:kern w:val="0"/>
                <w:sz w:val="22"/>
                <w:szCs w:val="22"/>
                <w:shd w:val="clear" w:fill="FFFFFF"/>
                <w:lang w:val="en-US" w:eastAsia="zh-CN" w:bidi="ar"/>
              </w:rPr>
            </w:pPr>
            <w:r>
              <w:rPr>
                <w:rFonts w:hint="eastAsia" w:ascii="仿宋" w:hAnsi="仿宋" w:eastAsia="仿宋" w:cs="仿宋"/>
                <w:b/>
                <w:bCs/>
                <w:i w:val="0"/>
                <w:iCs w:val="0"/>
                <w:caps w:val="0"/>
                <w:snapToGrid w:val="0"/>
                <w:color w:val="333333"/>
                <w:spacing w:val="0"/>
                <w:kern w:val="0"/>
                <w:sz w:val="22"/>
                <w:szCs w:val="22"/>
                <w:shd w:val="clear" w:fill="FFFFFF"/>
                <w:lang w:val="en-US" w:eastAsia="zh-CN" w:bidi="ar"/>
              </w:rPr>
              <w:t>得分</w:t>
            </w:r>
          </w:p>
          <w:p w14:paraId="385FF2FB">
            <w:pPr>
              <w:bidi w:val="0"/>
              <w:spacing w:line="240" w:lineRule="auto"/>
              <w:jc w:val="both"/>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b/>
                <w:bCs/>
                <w:i w:val="0"/>
                <w:iCs w:val="0"/>
                <w:caps w:val="0"/>
                <w:snapToGrid w:val="0"/>
                <w:color w:val="333333"/>
                <w:spacing w:val="0"/>
                <w:kern w:val="0"/>
                <w:sz w:val="22"/>
                <w:szCs w:val="22"/>
                <w:shd w:val="clear" w:fill="FFFFFF"/>
                <w:lang w:val="en-US" w:eastAsia="zh-CN" w:bidi="ar"/>
              </w:rPr>
              <w:t>（25分）</w:t>
            </w:r>
          </w:p>
        </w:tc>
        <w:tc>
          <w:tcPr>
            <w:tcW w:w="901" w:type="pc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37B9670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i w:val="0"/>
                <w:iCs w:val="0"/>
                <w:caps w:val="0"/>
                <w:snapToGrid w:val="0"/>
                <w:color w:val="333333"/>
                <w:spacing w:val="0"/>
                <w:kern w:val="0"/>
                <w:sz w:val="24"/>
                <w:szCs w:val="24"/>
                <w:shd w:val="clear" w:fill="FFFFFF"/>
                <w:lang w:val="en-US" w:eastAsia="zh-CN" w:bidi="ar"/>
              </w:rPr>
            </w:pPr>
            <w:r>
              <w:rPr>
                <w:rFonts w:hint="eastAsia" w:ascii="仿宋" w:hAnsi="仿宋" w:eastAsia="仿宋" w:cs="仿宋"/>
                <w:b/>
                <w:bCs/>
                <w:i w:val="0"/>
                <w:iCs w:val="0"/>
                <w:caps w:val="0"/>
                <w:snapToGrid w:val="0"/>
                <w:color w:val="333333"/>
                <w:spacing w:val="0"/>
                <w:kern w:val="0"/>
                <w:sz w:val="24"/>
                <w:szCs w:val="24"/>
                <w:shd w:val="clear" w:fill="FFFFFF"/>
                <w:lang w:val="en-US" w:eastAsia="zh-CN" w:bidi="ar"/>
              </w:rPr>
              <w:t>评标基准价计算方法</w:t>
            </w:r>
          </w:p>
        </w:tc>
        <w:tc>
          <w:tcPr>
            <w:tcW w:w="3324" w:type="pc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3C719FF5">
            <w:p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基准价按以下方式计算：所有通过比选条件及资格要求的比选申请人报价需进行整数报价，合格比选申请人均不低于参考收费标准的80%的报价算术平均值作为评标基准值</w:t>
            </w:r>
          </w:p>
        </w:tc>
      </w:tr>
      <w:tr w14:paraId="5E741B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27" w:hRule="atLeast"/>
        </w:trPr>
        <w:tc>
          <w:tcPr>
            <w:tcW w:w="773" w:type="pct"/>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35430295">
            <w:pPr>
              <w:spacing w:line="240" w:lineRule="auto"/>
              <w:jc w:val="both"/>
              <w:rPr>
                <w:rFonts w:hint="eastAsia" w:ascii="仿宋" w:hAnsi="仿宋" w:eastAsia="仿宋" w:cs="仿宋"/>
                <w:i w:val="0"/>
                <w:iCs w:val="0"/>
                <w:caps w:val="0"/>
                <w:snapToGrid w:val="0"/>
                <w:color w:val="333333"/>
                <w:spacing w:val="0"/>
                <w:kern w:val="0"/>
                <w:sz w:val="24"/>
                <w:szCs w:val="24"/>
                <w:shd w:val="clear" w:fill="FFFFFF"/>
                <w:lang w:val="en-US" w:eastAsia="zh-CN" w:bidi="ar"/>
              </w:rPr>
            </w:pPr>
          </w:p>
        </w:tc>
        <w:tc>
          <w:tcPr>
            <w:tcW w:w="901" w:type="pc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5F86373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b/>
                <w:bCs/>
                <w:i w:val="0"/>
                <w:iCs w:val="0"/>
                <w:caps w:val="0"/>
                <w:snapToGrid w:val="0"/>
                <w:color w:val="333333"/>
                <w:spacing w:val="0"/>
                <w:kern w:val="0"/>
                <w:sz w:val="24"/>
                <w:szCs w:val="24"/>
                <w:shd w:val="clear" w:fill="FFFFFF"/>
                <w:lang w:val="en-US" w:eastAsia="zh-CN" w:bidi="ar"/>
              </w:rPr>
              <w:t>报价得分</w:t>
            </w:r>
          </w:p>
        </w:tc>
        <w:tc>
          <w:tcPr>
            <w:tcW w:w="3324" w:type="pct"/>
            <w:tcBorders>
              <w:top w:val="single" w:color="auto" w:sz="4" w:space="0"/>
              <w:left w:val="single" w:color="auto" w:sz="4" w:space="0"/>
              <w:bottom w:val="single" w:color="auto" w:sz="4" w:space="0"/>
              <w:right w:val="single" w:color="auto" w:sz="4" w:space="0"/>
            </w:tcBorders>
            <w:shd w:val="clear" w:color="auto" w:fill="FFFFFF"/>
            <w:tcMar>
              <w:top w:w="0" w:type="dxa"/>
              <w:left w:w="227" w:type="dxa"/>
              <w:bottom w:w="0" w:type="dxa"/>
              <w:right w:w="227" w:type="dxa"/>
            </w:tcMar>
            <w:vAlign w:val="center"/>
          </w:tcPr>
          <w:p w14:paraId="14C90C2C">
            <w:p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当比选人的报价等于评标基准值时</w:t>
            </w:r>
            <w:bookmarkStart w:id="0" w:name="_GoBack"/>
            <w:bookmarkEnd w:id="0"/>
            <w:r>
              <w:rPr>
                <w:rFonts w:hint="eastAsia" w:ascii="仿宋" w:hAnsi="仿宋" w:eastAsia="仿宋" w:cs="仿宋"/>
                <w:i w:val="0"/>
                <w:iCs w:val="0"/>
                <w:caps w:val="0"/>
                <w:snapToGrid w:val="0"/>
                <w:color w:val="333333"/>
                <w:spacing w:val="0"/>
                <w:kern w:val="0"/>
                <w:sz w:val="24"/>
                <w:szCs w:val="24"/>
                <w:shd w:val="clear" w:fill="FFFFFF"/>
                <w:lang w:val="en-US" w:eastAsia="zh-CN" w:bidi="ar"/>
              </w:rPr>
              <w:t>得满分，各比选人报价得分用公式表示如下：</w:t>
            </w:r>
          </w:p>
          <w:p w14:paraId="6DC55C2A">
            <w:p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报价得分=25-10×｜（评标基准值-比选报价）/评标基准值｜</w:t>
            </w:r>
          </w:p>
          <w:p w14:paraId="7B764D95">
            <w:pPr>
              <w:bidi w:val="0"/>
              <w:spacing w:line="240" w:lineRule="auto"/>
              <w:rPr>
                <w:rFonts w:hint="eastAsia" w:ascii="仿宋" w:hAnsi="仿宋" w:eastAsia="仿宋" w:cs="仿宋"/>
                <w:i w:val="0"/>
                <w:iCs w:val="0"/>
                <w:caps w:val="0"/>
                <w:snapToGrid w:val="0"/>
                <w:color w:val="333333"/>
                <w:spacing w:val="0"/>
                <w:kern w:val="0"/>
                <w:sz w:val="24"/>
                <w:szCs w:val="24"/>
                <w:shd w:val="clear" w:fill="FFFFFF"/>
                <w:lang w:val="en-US" w:eastAsia="zh-CN" w:bidi="ar"/>
              </w:rPr>
            </w:pPr>
            <w:r>
              <w:rPr>
                <w:rFonts w:hint="eastAsia" w:ascii="仿宋" w:hAnsi="仿宋" w:eastAsia="仿宋" w:cs="仿宋"/>
                <w:i w:val="0"/>
                <w:iCs w:val="0"/>
                <w:caps w:val="0"/>
                <w:snapToGrid w:val="0"/>
                <w:color w:val="333333"/>
                <w:spacing w:val="0"/>
                <w:kern w:val="0"/>
                <w:sz w:val="24"/>
                <w:szCs w:val="24"/>
                <w:shd w:val="clear" w:fill="FFFFFF"/>
                <w:lang w:val="en-US" w:eastAsia="zh-CN" w:bidi="ar"/>
              </w:rPr>
              <w:t>得分四舍五入保留至小数点后两位。</w:t>
            </w:r>
          </w:p>
        </w:tc>
      </w:tr>
    </w:tbl>
    <w:p w14:paraId="7CBE396A">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eastAsiaTheme="minorEastAsia"/>
          <w:sz w:val="20"/>
          <w:szCs w:val="22"/>
          <w:lang w:val="en-US" w:eastAsia="zh-CN"/>
        </w:rPr>
      </w:pPr>
      <w:r>
        <w:rPr>
          <w:rFonts w:hint="eastAsia"/>
          <w:sz w:val="20"/>
          <w:szCs w:val="22"/>
          <w:lang w:val="en-US" w:eastAsia="zh-CN"/>
        </w:rPr>
        <w:t xml:space="preserve">          </w:t>
      </w:r>
      <w:r>
        <w:rPr>
          <w:rFonts w:hint="eastAsia"/>
          <w:sz w:val="18"/>
          <w:szCs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9D3B8E"/>
    <w:rsid w:val="03732196"/>
    <w:rsid w:val="03985E7A"/>
    <w:rsid w:val="079D3B8E"/>
    <w:rsid w:val="0FDB1613"/>
    <w:rsid w:val="11D02E86"/>
    <w:rsid w:val="123309A2"/>
    <w:rsid w:val="13F15336"/>
    <w:rsid w:val="19D21766"/>
    <w:rsid w:val="1D03542A"/>
    <w:rsid w:val="1D3A1AFC"/>
    <w:rsid w:val="1FE56FC2"/>
    <w:rsid w:val="21706F6B"/>
    <w:rsid w:val="24683ABA"/>
    <w:rsid w:val="2C6E5C96"/>
    <w:rsid w:val="2EC2134B"/>
    <w:rsid w:val="32FB3683"/>
    <w:rsid w:val="346A4B64"/>
    <w:rsid w:val="347204E0"/>
    <w:rsid w:val="34DA604D"/>
    <w:rsid w:val="35730091"/>
    <w:rsid w:val="38924A42"/>
    <w:rsid w:val="38D52BE4"/>
    <w:rsid w:val="396054F7"/>
    <w:rsid w:val="3F9935A3"/>
    <w:rsid w:val="402D1E7E"/>
    <w:rsid w:val="43CE4B7F"/>
    <w:rsid w:val="464F7B16"/>
    <w:rsid w:val="4ABA6CFD"/>
    <w:rsid w:val="4CD945DE"/>
    <w:rsid w:val="4F226656"/>
    <w:rsid w:val="4FEF3135"/>
    <w:rsid w:val="5087130B"/>
    <w:rsid w:val="542D76E9"/>
    <w:rsid w:val="54880DC3"/>
    <w:rsid w:val="548B440F"/>
    <w:rsid w:val="5DBF0545"/>
    <w:rsid w:val="63894210"/>
    <w:rsid w:val="6473736D"/>
    <w:rsid w:val="677B1DC1"/>
    <w:rsid w:val="67F500C6"/>
    <w:rsid w:val="69450644"/>
    <w:rsid w:val="6E072F09"/>
    <w:rsid w:val="70FB2637"/>
    <w:rsid w:val="71803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660</Words>
  <Characters>717</Characters>
  <Lines>0</Lines>
  <Paragraphs>0</Paragraphs>
  <TotalTime>7</TotalTime>
  <ScaleCrop>false</ScaleCrop>
  <LinksUpToDate>false</LinksUpToDate>
  <CharactersWithSpaces>728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2025-12-22T02:14:00Z</dcterms:created>
  <dc:creator>。</dc:creator>
  <cp:lastModifiedBy>偷得浮生半日闲</cp:lastModifiedBy>
  <cp:lastPrinted>2026-01-13T06:53:00Z</cp:lastPrinted>
  <dcterms:modified xsi:type="dcterms:W3CDTF">2026-01-14T01:52:55Z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D568334CFFC94B7DA652605A938D3C1F_13</vt:lpwstr>
  </property>
  <property fmtid="{D5CDD505-2E9C-101B-9397-08002B2CF9AE}" pid="4" name="KSOTemplateDocerSaveRecord">
    <vt:lpwstr>eyJoZGlkIjoiZjZmYTllMDcwZDRiNWJlZjRiNjljNzJhNjdkMGE1YTQiLCJ1c2VySWQiOiIzNzk1ODIyMDAifQ==</vt:lpwstr>
  </property>
</Properties>
</file>