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C019B">
      <w:pPr>
        <w:jc w:val="left"/>
        <w:rPr>
          <w:rFonts w:hint="default" w:asciiTheme="majorEastAsia" w:hAnsiTheme="majorEastAsia" w:eastAsiaTheme="majorEastAsia" w:cstheme="majorEastAsia"/>
          <w:b/>
          <w:bCs/>
          <w:color w:val="auto"/>
          <w:sz w:val="44"/>
          <w:szCs w:val="44"/>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3</w:t>
      </w:r>
    </w:p>
    <w:p w14:paraId="4C402AEE">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宿州市埇桥区</w:t>
      </w:r>
      <w:r>
        <w:rPr>
          <w:rFonts w:hint="eastAsia" w:asciiTheme="majorEastAsia" w:hAnsiTheme="majorEastAsia" w:eastAsiaTheme="majorEastAsia" w:cstheme="majorEastAsia"/>
          <w:b/>
          <w:bCs/>
          <w:color w:val="auto"/>
          <w:sz w:val="44"/>
          <w:szCs w:val="44"/>
          <w:lang w:val="en-US" w:eastAsia="zh-CN"/>
        </w:rPr>
        <w:t>文旅局</w:t>
      </w:r>
      <w:r>
        <w:rPr>
          <w:rFonts w:hint="eastAsia" w:asciiTheme="majorEastAsia" w:hAnsiTheme="majorEastAsia" w:eastAsiaTheme="majorEastAsia" w:cstheme="majorEastAsia"/>
          <w:b/>
          <w:bCs/>
          <w:color w:val="auto"/>
          <w:sz w:val="44"/>
          <w:szCs w:val="44"/>
        </w:rPr>
        <w:t>行政权力中介服务清（202</w:t>
      </w:r>
      <w:r>
        <w:rPr>
          <w:rFonts w:hint="eastAsia" w:asciiTheme="majorEastAsia" w:hAnsiTheme="majorEastAsia" w:eastAsiaTheme="majorEastAsia" w:cstheme="majorEastAsia"/>
          <w:b/>
          <w:bCs/>
          <w:color w:val="auto"/>
          <w:sz w:val="44"/>
          <w:szCs w:val="44"/>
          <w:lang w:val="en-US" w:eastAsia="zh-CN"/>
        </w:rPr>
        <w:t>5</w:t>
      </w:r>
      <w:r>
        <w:rPr>
          <w:rFonts w:hint="eastAsia" w:asciiTheme="majorEastAsia" w:hAnsiTheme="majorEastAsia" w:eastAsiaTheme="majorEastAsia" w:cstheme="majorEastAsia"/>
          <w:b/>
          <w:bCs/>
          <w:color w:val="auto"/>
          <w:sz w:val="44"/>
          <w:szCs w:val="44"/>
        </w:rPr>
        <w:t>年版）</w:t>
      </w:r>
    </w:p>
    <w:p w14:paraId="0DE3E2E8">
      <w:pPr>
        <w:widowControl/>
        <w:shd w:val="clear" w:color="auto" w:fill="FFFFFF"/>
        <w:suppressAutoHyphens/>
        <w:bidi w:val="0"/>
        <w:spacing w:line="600" w:lineRule="exact"/>
        <w:ind w:right="640"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根据法律法规规章立改废释、机构改革职责事项归属变化等情况，现将本单位2025年版权责清单公共服务清单行政权力中介服务清单及相关实施资料予以公布。</w:t>
      </w:r>
    </w:p>
    <w:p w14:paraId="245E0948">
      <w:pPr>
        <w:widowControl/>
        <w:shd w:val="clear" w:color="auto" w:fill="FFFFFF"/>
        <w:suppressAutoHyphens/>
        <w:bidi w:val="0"/>
        <w:spacing w:line="600" w:lineRule="exact"/>
        <w:ind w:right="640" w:firstLine="3092" w:firstLineChars="700"/>
        <w:jc w:val="both"/>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规范事项</w:t>
      </w:r>
    </w:p>
    <w:p w14:paraId="2436A6CC">
      <w:pPr>
        <w:widowControl/>
        <w:shd w:val="clear" w:color="auto" w:fill="FFFFFF"/>
        <w:suppressAutoHyphens/>
        <w:bidi w:val="0"/>
        <w:spacing w:line="600" w:lineRule="exact"/>
        <w:ind w:right="640" w:firstLine="3092" w:firstLineChars="700"/>
        <w:jc w:val="both"/>
        <w:rPr>
          <w:rFonts w:hint="default" w:asciiTheme="majorEastAsia" w:hAnsiTheme="majorEastAsia" w:eastAsiaTheme="majorEastAsia" w:cstheme="majorEastAsia"/>
          <w:b/>
          <w:bCs/>
          <w:color w:val="auto"/>
          <w:sz w:val="44"/>
          <w:szCs w:val="44"/>
          <w:lang w:val="en-US" w:eastAsia="zh-CN"/>
        </w:rPr>
      </w:pPr>
    </w:p>
    <w:tbl>
      <w:tblPr>
        <w:tblStyle w:val="6"/>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840"/>
        <w:gridCol w:w="1155"/>
        <w:gridCol w:w="2186"/>
        <w:gridCol w:w="4487"/>
      </w:tblGrid>
      <w:tr w14:paraId="6E53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blHeader/>
          <w:jc w:val="center"/>
        </w:trPr>
        <w:tc>
          <w:tcPr>
            <w:tcW w:w="513" w:type="dxa"/>
            <w:vAlign w:val="center"/>
          </w:tcPr>
          <w:p w14:paraId="02224B18">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序号</w:t>
            </w:r>
          </w:p>
        </w:tc>
        <w:tc>
          <w:tcPr>
            <w:tcW w:w="840" w:type="dxa"/>
            <w:vAlign w:val="center"/>
          </w:tcPr>
          <w:p w14:paraId="1B1FD51C">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事项名称</w:t>
            </w:r>
          </w:p>
        </w:tc>
        <w:tc>
          <w:tcPr>
            <w:tcW w:w="1155" w:type="dxa"/>
            <w:vAlign w:val="center"/>
          </w:tcPr>
          <w:p w14:paraId="61153B77">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对应权力事项名称</w:t>
            </w:r>
          </w:p>
        </w:tc>
        <w:tc>
          <w:tcPr>
            <w:tcW w:w="2186" w:type="dxa"/>
            <w:vAlign w:val="center"/>
          </w:tcPr>
          <w:p w14:paraId="13D218E7">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规范内容</w:t>
            </w:r>
          </w:p>
        </w:tc>
        <w:tc>
          <w:tcPr>
            <w:tcW w:w="4487" w:type="dxa"/>
            <w:vAlign w:val="center"/>
          </w:tcPr>
          <w:p w14:paraId="34035F1E">
            <w:pPr>
              <w:jc w:val="center"/>
              <w:rPr>
                <w:rFonts w:hint="default" w:ascii="楷体" w:hAnsi="楷体" w:eastAsia="楷体" w:cs="楷体"/>
                <w:b/>
                <w:bCs/>
                <w:color w:val="auto"/>
                <w:sz w:val="24"/>
                <w:szCs w:val="24"/>
                <w:vertAlign w:val="baseline"/>
                <w:lang w:val="en-US" w:eastAsia="zh-CN"/>
              </w:rPr>
            </w:pPr>
            <w:r>
              <w:rPr>
                <w:rFonts w:hint="eastAsia" w:ascii="楷体" w:hAnsi="楷体" w:eastAsia="楷体" w:cs="楷体"/>
                <w:b/>
                <w:bCs/>
                <w:color w:val="auto"/>
                <w:sz w:val="24"/>
                <w:szCs w:val="24"/>
                <w:vertAlign w:val="baseline"/>
                <w:lang w:val="en-US" w:eastAsia="zh-CN"/>
              </w:rPr>
              <w:t>设定依据</w:t>
            </w:r>
          </w:p>
        </w:tc>
      </w:tr>
      <w:tr w14:paraId="3B1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181" w:type="dxa"/>
            <w:gridSpan w:val="5"/>
            <w:vAlign w:val="center"/>
          </w:tcPr>
          <w:p w14:paraId="643E6C92">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四、区文化和旅游局</w:t>
            </w:r>
          </w:p>
        </w:tc>
      </w:tr>
      <w:tr w14:paraId="0AE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6" w:hRule="exact"/>
          <w:jc w:val="center"/>
        </w:trPr>
        <w:tc>
          <w:tcPr>
            <w:tcW w:w="513" w:type="dxa"/>
            <w:vAlign w:val="center"/>
          </w:tcPr>
          <w:p w14:paraId="7745A32C">
            <w:pPr>
              <w:jc w:val="center"/>
              <w:rPr>
                <w:rFonts w:hint="eastAsia" w:asciiTheme="minorEastAsia" w:hAnsiTheme="minorEastAsia" w:eastAsiaTheme="minorEastAsia" w:cstheme="minorEastAsia"/>
                <w:b w:val="0"/>
                <w:bCs w:val="0"/>
                <w:color w:val="auto"/>
                <w:kern w:val="2"/>
                <w:sz w:val="15"/>
                <w:szCs w:val="15"/>
                <w:vertAlign w:val="baseline"/>
                <w:lang w:val="en-US" w:eastAsia="zh-CN" w:bidi="ar-SA"/>
              </w:rPr>
            </w:pPr>
            <w:r>
              <w:rPr>
                <w:rFonts w:hint="eastAsia" w:asciiTheme="minorEastAsia" w:hAnsiTheme="minorEastAsia" w:eastAsiaTheme="minorEastAsia" w:cstheme="minorEastAsia"/>
                <w:b w:val="0"/>
                <w:bCs w:val="0"/>
                <w:color w:val="auto"/>
                <w:kern w:val="2"/>
                <w:sz w:val="15"/>
                <w:szCs w:val="15"/>
                <w:vertAlign w:val="baseline"/>
                <w:lang w:val="en-US" w:eastAsia="zh-CN" w:bidi="ar-SA"/>
              </w:rPr>
              <w:t>1</w:t>
            </w:r>
          </w:p>
        </w:tc>
        <w:tc>
          <w:tcPr>
            <w:tcW w:w="840" w:type="dxa"/>
            <w:vAlign w:val="center"/>
          </w:tcPr>
          <w:p w14:paraId="7F792E7F">
            <w:pPr>
              <w:jc w:val="center"/>
              <w:rPr>
                <w:rFonts w:hint="eastAsia" w:asciiTheme="minorEastAsia" w:hAnsiTheme="minorEastAsia" w:eastAsiaTheme="minorEastAsia" w:cstheme="minorEastAsia"/>
                <w:b w:val="0"/>
                <w:bCs w:val="0"/>
                <w:color w:val="auto"/>
                <w:kern w:val="2"/>
                <w:sz w:val="15"/>
                <w:szCs w:val="15"/>
                <w:vertAlign w:val="baseline"/>
                <w:lang w:val="en-US" w:eastAsia="zh-CN" w:bidi="ar-SA"/>
              </w:rPr>
            </w:pPr>
            <w:r>
              <w:rPr>
                <w:rFonts w:hint="eastAsia" w:asciiTheme="minorEastAsia" w:hAnsiTheme="minorEastAsia" w:eastAsiaTheme="minorEastAsia" w:cstheme="minorEastAsia"/>
                <w:b w:val="0"/>
                <w:bCs w:val="0"/>
                <w:color w:val="auto"/>
                <w:kern w:val="2"/>
                <w:sz w:val="15"/>
                <w:szCs w:val="15"/>
                <w:vertAlign w:val="baseline"/>
                <w:lang w:val="en-US" w:eastAsia="zh-CN" w:bidi="ar-SA"/>
              </w:rPr>
              <w:t>文物保护单位修缮方案编制</w:t>
            </w:r>
          </w:p>
        </w:tc>
        <w:tc>
          <w:tcPr>
            <w:tcW w:w="1155" w:type="dxa"/>
            <w:vAlign w:val="center"/>
          </w:tcPr>
          <w:p w14:paraId="4445518C">
            <w:pPr>
              <w:jc w:val="center"/>
              <w:rPr>
                <w:rFonts w:hint="eastAsia" w:asciiTheme="minorEastAsia" w:hAnsiTheme="minorEastAsia" w:eastAsiaTheme="minorEastAsia" w:cstheme="minorEastAsia"/>
                <w:b w:val="0"/>
                <w:bCs w:val="0"/>
                <w:color w:val="auto"/>
                <w:kern w:val="2"/>
                <w:sz w:val="15"/>
                <w:szCs w:val="15"/>
                <w:vertAlign w:val="baseline"/>
                <w:lang w:val="en-US" w:eastAsia="zh-CN" w:bidi="ar-SA"/>
              </w:rPr>
            </w:pPr>
            <w:r>
              <w:rPr>
                <w:rFonts w:hint="eastAsia" w:asciiTheme="minorEastAsia" w:hAnsiTheme="minorEastAsia" w:eastAsiaTheme="minorEastAsia" w:cstheme="minorEastAsia"/>
                <w:b w:val="0"/>
                <w:bCs w:val="0"/>
                <w:color w:val="auto"/>
                <w:kern w:val="2"/>
                <w:sz w:val="15"/>
                <w:szCs w:val="15"/>
                <w:vertAlign w:val="baseline"/>
                <w:lang w:val="en-US" w:eastAsia="zh-CN" w:bidi="ar-SA"/>
              </w:rPr>
              <w:t>不可移动文物修缮审批</w:t>
            </w:r>
          </w:p>
        </w:tc>
        <w:tc>
          <w:tcPr>
            <w:tcW w:w="2186" w:type="dxa"/>
            <w:vAlign w:val="center"/>
          </w:tcPr>
          <w:p w14:paraId="26989951">
            <w:pPr>
              <w:jc w:val="left"/>
              <w:rPr>
                <w:rFonts w:hint="eastAsia" w:asciiTheme="minorEastAsia" w:hAnsiTheme="minorEastAsia" w:eastAsiaTheme="minorEastAsia" w:cstheme="minorEastAsia"/>
                <w:b w:val="0"/>
                <w:bCs w:val="0"/>
                <w:color w:val="auto"/>
                <w:kern w:val="2"/>
                <w:sz w:val="15"/>
                <w:szCs w:val="15"/>
                <w:vertAlign w:val="baseline"/>
                <w:lang w:val="en-US" w:eastAsia="zh-CN" w:bidi="ar-SA"/>
              </w:rPr>
            </w:pPr>
            <w:r>
              <w:rPr>
                <w:rFonts w:hint="eastAsia" w:asciiTheme="minorEastAsia" w:hAnsiTheme="minorEastAsia" w:eastAsiaTheme="minorEastAsia" w:cstheme="minorEastAsia"/>
                <w:b w:val="0"/>
                <w:bCs w:val="0"/>
                <w:color w:val="auto"/>
                <w:kern w:val="2"/>
                <w:sz w:val="15"/>
                <w:szCs w:val="15"/>
                <w:vertAlign w:val="baseline"/>
                <w:lang w:val="en-US" w:eastAsia="zh-CN" w:bidi="ar-SA"/>
              </w:rPr>
              <w:t>申请人可按要求自行编制市级、县级文物保护单位修缮方案，也可委托有关机构编制，审批部门不得以任何形式要求申请人必须委托特定中介机构提供服务；保留审批部门现有的修缮方案技术评估、评审。</w:t>
            </w:r>
            <w:r>
              <w:rPr>
                <w:rFonts w:hint="eastAsia" w:asciiTheme="minorEastAsia" w:hAnsiTheme="minorEastAsia" w:eastAsiaTheme="minorEastAsia" w:cstheme="minorEastAsia"/>
                <w:b w:val="0"/>
                <w:bCs w:val="0"/>
                <w:color w:val="auto"/>
                <w:kern w:val="2"/>
                <w:sz w:val="15"/>
                <w:szCs w:val="15"/>
                <w:vertAlign w:val="baseline"/>
                <w:lang w:val="en-US" w:eastAsia="zh-CN" w:bidi="ar-SA"/>
              </w:rPr>
              <w:br w:type="textWrapping"/>
            </w:r>
            <w:r>
              <w:rPr>
                <w:rFonts w:hint="eastAsia" w:asciiTheme="minorEastAsia" w:hAnsiTheme="minorEastAsia" w:eastAsiaTheme="minorEastAsia" w:cstheme="minorEastAsia"/>
                <w:b w:val="0"/>
                <w:bCs w:val="0"/>
                <w:color w:val="auto"/>
                <w:kern w:val="2"/>
                <w:sz w:val="15"/>
                <w:szCs w:val="15"/>
                <w:vertAlign w:val="baseline"/>
                <w:lang w:val="en-US" w:eastAsia="zh-CN" w:bidi="ar-SA"/>
              </w:rPr>
              <w:t>主要理由：根据《国务院关于第二批清理规范192项国务院部门行政审批中介服务事项的决定》（国发〔2016〕11号）附件目录第159项</w:t>
            </w:r>
            <w:bookmarkStart w:id="0" w:name="_GoBack"/>
            <w:bookmarkEnd w:id="0"/>
            <w:r>
              <w:rPr>
                <w:rFonts w:hint="eastAsia" w:asciiTheme="minorEastAsia" w:hAnsiTheme="minorEastAsia" w:eastAsiaTheme="minorEastAsia" w:cstheme="minorEastAsia"/>
                <w:b w:val="0"/>
                <w:bCs w:val="0"/>
                <w:color w:val="auto"/>
                <w:kern w:val="2"/>
                <w:sz w:val="15"/>
                <w:szCs w:val="15"/>
                <w:vertAlign w:val="baseline"/>
                <w:lang w:val="en-US" w:eastAsia="zh-CN" w:bidi="ar-SA"/>
              </w:rPr>
              <w:t>。</w:t>
            </w:r>
          </w:p>
        </w:tc>
        <w:tc>
          <w:tcPr>
            <w:tcW w:w="4487" w:type="dxa"/>
            <w:shd w:val="clear" w:color="auto" w:fill="auto"/>
            <w:vAlign w:val="center"/>
          </w:tcPr>
          <w:p w14:paraId="7CBEAB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 xml:space="preserve"> 1.《中华人民共和国文物保护法》第32条：国有不可移动文物由使用人负责修缮、保养；非国有不可移动文物由所有人或者使用人负责修缮、保养，县级以上人民政府可以予以补助。</w:t>
            </w:r>
          </w:p>
          <w:p w14:paraId="029F56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 xml:space="preserve">  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w:t>
            </w:r>
          </w:p>
          <w:p w14:paraId="0805A9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 xml:space="preserve">  对文物保护单位进行修缮，应当根据文物保护单位的级别报相应的文物行政部门批准；对未定级不可移动文物进行修缮，应当报县级人民政府文物行政部门批准。</w:t>
            </w:r>
          </w:p>
          <w:p w14:paraId="49D9F9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 xml:space="preserve">  文物保护单位的修缮、迁移、重建，由取得文物保护工程资质证书的单位承担。</w:t>
            </w:r>
          </w:p>
          <w:p w14:paraId="4254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 xml:space="preserve">  对不可移动文物进行修缮、保养、迁移，必须遵守不改变文物原状和最小干预的原则，确保文物的真实性和完整性。</w:t>
            </w:r>
          </w:p>
          <w:p w14:paraId="0B3C7A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15"/>
                <w:szCs w:val="15"/>
                <w:u w:val="none"/>
                <w:lang w:val="en-US" w:eastAsia="zh-CN" w:bidi="ar"/>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 xml:space="preserve">  县级以上人民政府文物行政部门应当加强对不可移动文物保护的监督检查，及时发现问题隐患，防范安全风险，并督促指导不可移动文物所有人或者使用人履行保护职责。</w:t>
            </w:r>
          </w:p>
          <w:p w14:paraId="0D6ED3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15"/>
                <w:szCs w:val="15"/>
                <w:u w:val="none"/>
                <w:lang w:val="en-US" w:eastAsia="zh-CN" w:bidi="ar-SA"/>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2.《文物保护工程管理办法》（文化部令第 26 号）第十条：文物保护工程施工资质分为一、二、三级和暂定级。第十一条：文物保护工程勘察设计资质分为甲、乙、丙三级和暂定级。第十四条：承担文物保护工程的勘察、设计、施工、监理单位，必须具有国家文物局认定的文物保护工程资质。第十九条：文物保护工程的勘察设计方案应当按文物保护单位的级别，报相应的文物行政部门审批。全国重点文物保护单位的勘察设计方案，经省、自治区、直辖市文物行政部门审核后，报国家文物局审批。地方各级文物保护单位的勘察设计方案，报同级文物行政部门审批。</w:t>
            </w:r>
          </w:p>
        </w:tc>
      </w:tr>
      <w:tr w14:paraId="426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513" w:type="dxa"/>
            <w:vAlign w:val="center"/>
          </w:tcPr>
          <w:p w14:paraId="406592B8">
            <w:pPr>
              <w:jc w:val="center"/>
              <w:rPr>
                <w:rFonts w:hint="eastAsia" w:asciiTheme="minorEastAsia" w:hAnsiTheme="minorEastAsia" w:eastAsiaTheme="minorEastAsia" w:cstheme="minorEastAsia"/>
                <w:b w:val="0"/>
                <w:bCs w:val="0"/>
                <w:color w:val="auto"/>
                <w:kern w:val="2"/>
                <w:sz w:val="15"/>
                <w:szCs w:val="15"/>
                <w:vertAlign w:val="baseline"/>
                <w:lang w:val="en-US" w:eastAsia="zh-CN" w:bidi="ar-SA"/>
              </w:rPr>
            </w:pPr>
            <w:r>
              <w:rPr>
                <w:rFonts w:hint="eastAsia" w:asciiTheme="minorEastAsia" w:hAnsiTheme="minorEastAsia" w:eastAsiaTheme="minorEastAsia" w:cstheme="minorEastAsia"/>
                <w:b w:val="0"/>
                <w:bCs w:val="0"/>
                <w:color w:val="auto"/>
                <w:kern w:val="2"/>
                <w:sz w:val="15"/>
                <w:szCs w:val="15"/>
                <w:vertAlign w:val="baseline"/>
                <w:lang w:val="en-US" w:eastAsia="zh-CN" w:bidi="ar-SA"/>
              </w:rPr>
              <w:t>2</w:t>
            </w:r>
          </w:p>
        </w:tc>
        <w:tc>
          <w:tcPr>
            <w:tcW w:w="840" w:type="dxa"/>
            <w:vAlign w:val="center"/>
          </w:tcPr>
          <w:p w14:paraId="2A3F1AAB">
            <w:pPr>
              <w:jc w:val="center"/>
              <w:rPr>
                <w:rFonts w:hint="eastAsia" w:asciiTheme="minorEastAsia" w:hAnsiTheme="minorEastAsia" w:eastAsiaTheme="minorEastAsia" w:cstheme="minorEastAsia"/>
                <w:b w:val="0"/>
                <w:bCs w:val="0"/>
                <w:color w:val="auto"/>
                <w:kern w:val="2"/>
                <w:sz w:val="15"/>
                <w:szCs w:val="15"/>
                <w:vertAlign w:val="baseline"/>
                <w:lang w:val="en-US" w:eastAsia="zh-CN" w:bidi="ar-SA"/>
              </w:rPr>
            </w:pPr>
            <w:r>
              <w:rPr>
                <w:rFonts w:hint="eastAsia" w:asciiTheme="minorEastAsia" w:hAnsiTheme="minorEastAsia" w:eastAsiaTheme="minorEastAsia" w:cstheme="minorEastAsia"/>
                <w:b w:val="0"/>
                <w:bCs w:val="0"/>
                <w:color w:val="auto"/>
                <w:kern w:val="2"/>
                <w:sz w:val="15"/>
                <w:szCs w:val="15"/>
                <w:vertAlign w:val="baseline"/>
                <w:lang w:val="en-US" w:eastAsia="zh-CN" w:bidi="ar-SA"/>
              </w:rPr>
              <w:t>广播电视专用频段频率使用许可所需的技术评估报告编制</w:t>
            </w:r>
          </w:p>
        </w:tc>
        <w:tc>
          <w:tcPr>
            <w:tcW w:w="1155" w:type="dxa"/>
            <w:vAlign w:val="center"/>
          </w:tcPr>
          <w:p w14:paraId="14194DAC">
            <w:pPr>
              <w:jc w:val="center"/>
              <w:rPr>
                <w:rFonts w:hint="eastAsia" w:asciiTheme="minorEastAsia" w:hAnsiTheme="minorEastAsia" w:eastAsiaTheme="minorEastAsia" w:cstheme="minorEastAsia"/>
                <w:b w:val="0"/>
                <w:bCs w:val="0"/>
                <w:color w:val="auto"/>
                <w:kern w:val="2"/>
                <w:sz w:val="15"/>
                <w:szCs w:val="15"/>
                <w:vertAlign w:val="baseline"/>
                <w:lang w:val="en-US" w:eastAsia="zh-CN" w:bidi="ar-SA"/>
              </w:rPr>
            </w:pPr>
            <w:r>
              <w:rPr>
                <w:rFonts w:hint="eastAsia" w:asciiTheme="minorEastAsia" w:hAnsiTheme="minorEastAsia" w:eastAsiaTheme="minorEastAsia" w:cstheme="minorEastAsia"/>
                <w:b w:val="0"/>
                <w:bCs w:val="0"/>
                <w:color w:val="auto"/>
                <w:kern w:val="2"/>
                <w:sz w:val="15"/>
                <w:szCs w:val="15"/>
                <w:vertAlign w:val="baseline"/>
                <w:lang w:val="en-US" w:eastAsia="zh-CN" w:bidi="ar-SA"/>
              </w:rPr>
              <w:t>广播电视专用频段频率使用许可</w:t>
            </w:r>
          </w:p>
        </w:tc>
        <w:tc>
          <w:tcPr>
            <w:tcW w:w="2186" w:type="dxa"/>
            <w:vAlign w:val="center"/>
          </w:tcPr>
          <w:p w14:paraId="3F39A3CA">
            <w:pPr>
              <w:jc w:val="left"/>
              <w:rPr>
                <w:rFonts w:hint="eastAsia" w:asciiTheme="minorEastAsia" w:hAnsiTheme="minorEastAsia" w:eastAsiaTheme="minorEastAsia" w:cstheme="minorEastAsia"/>
                <w:b w:val="0"/>
                <w:bCs w:val="0"/>
                <w:color w:val="auto"/>
                <w:kern w:val="2"/>
                <w:sz w:val="15"/>
                <w:szCs w:val="15"/>
                <w:vertAlign w:val="baseline"/>
                <w:lang w:val="en-US" w:eastAsia="zh-CN" w:bidi="ar-SA"/>
              </w:rPr>
            </w:pPr>
            <w:r>
              <w:rPr>
                <w:rFonts w:hint="eastAsia" w:asciiTheme="minorEastAsia" w:hAnsiTheme="minorEastAsia" w:eastAsiaTheme="minorEastAsia" w:cstheme="minorEastAsia"/>
                <w:b w:val="0"/>
                <w:bCs w:val="0"/>
                <w:color w:val="auto"/>
                <w:kern w:val="2"/>
                <w:sz w:val="15"/>
                <w:szCs w:val="15"/>
                <w:vertAlign w:val="baseline"/>
                <w:lang w:val="en-US" w:eastAsia="zh-CN" w:bidi="ar-SA"/>
              </w:rPr>
              <w:t>申请人可按要求自行编制技术评估报告，也可委托有关机构编制，部门不得以任何形式要求申请人必须委托特定中介机构提供服务。</w:t>
            </w:r>
          </w:p>
        </w:tc>
        <w:tc>
          <w:tcPr>
            <w:tcW w:w="4487" w:type="dxa"/>
            <w:shd w:val="clear" w:color="auto" w:fill="auto"/>
            <w:vAlign w:val="center"/>
          </w:tcPr>
          <w:p w14:paraId="321786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15"/>
                <w:szCs w:val="15"/>
                <w:u w:val="none"/>
                <w:lang w:val="en-US" w:eastAsia="zh-CN" w:bidi="ar-SA"/>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广播电视管理条例》（1997年8月11日国务院令第228号发布，2013年12月7日第一次修订，2017年3月1日第二次修订，2020年12月1日第三次修订）第十八条：国务院广播电视行政部门负责指配广播电视专用频段的频率，并核发频率专用指配证明。 2. 《广播电视无线传输覆盖网管理办法》（2022年9月26日国家广播电视总局令第13号公布）第二十二条　持有《广播电视节目传送业务许可证（无线）》的单位，申请使用下列业务的广播电视频率，应当向所在地县级以上人民政府广播电视主管部门提出申请，逐级上报广电总局审批，领取《广播电视频率使用许可证（甲类）》：（一）中、短波广播；（二）调频广播（使用发射机标称功率50瓦（不含）以上发射设备）；（三）调频同步广播；（四）地面数字声音广播；（五）地面数字电视广播。许可证有效期不超过十年。有效期届满需继续开展业务的，应当于届满前六个月按照本办法规定的审批程序办理手续。 第二十三条第一款至第二款　持有《广播电视节目传送业务经营许可证（无线）》的单位，申请使用发射机标称功率50瓦（含）以下转播已批准开办的广播节目、应急广播信息的小功率调频广播频率，广电总局委托省级人民政府广播电视主管部门审批。申请单位向所在地县级人民政府广播电视主管部门提出申请，逐级上报省级人民政府广播电视主管部门审批，领取《广播电视频率使用许可证（乙类）》。 第二十四条　持有《广播电视节目传送业务经营许可证（无线）》的单位，申请使用广播电视频率传输广播电视节目，应当提供下列材料：（二）申请使用的广播电视频率涉及修改和调整广播电视覆盖网规划的，提供技术评估报告和与相关部门或单位的协调文件。</w:t>
            </w:r>
          </w:p>
        </w:tc>
      </w:tr>
    </w:tbl>
    <w:p w14:paraId="44968285">
      <w:pPr>
        <w:tabs>
          <w:tab w:val="left" w:pos="2038"/>
        </w:tabs>
        <w:bidi w:val="0"/>
        <w:jc w:val="left"/>
        <w:rPr>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050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05F1A">
                          <w:pPr>
                            <w:pStyle w:val="3"/>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05F1A">
                    <w:pPr>
                      <w:pStyle w:val="3"/>
                      <w:rPr>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jliNDI4ZWZiYjdhNzBhZjZhNDM4OWYyYTVmYzYifQ=="/>
  </w:docVars>
  <w:rsids>
    <w:rsidRoot w:val="00000000"/>
    <w:rsid w:val="038A69AC"/>
    <w:rsid w:val="05E175CB"/>
    <w:rsid w:val="1D2A7DC3"/>
    <w:rsid w:val="22AF5761"/>
    <w:rsid w:val="2619580E"/>
    <w:rsid w:val="2D8313F6"/>
    <w:rsid w:val="2DCF214E"/>
    <w:rsid w:val="34953D8B"/>
    <w:rsid w:val="371F3DE4"/>
    <w:rsid w:val="3CF15B16"/>
    <w:rsid w:val="41727479"/>
    <w:rsid w:val="44872CC8"/>
    <w:rsid w:val="4F30037F"/>
    <w:rsid w:val="54520147"/>
    <w:rsid w:val="55AC5FFF"/>
    <w:rsid w:val="55DC4D95"/>
    <w:rsid w:val="60996106"/>
    <w:rsid w:val="62F92114"/>
    <w:rsid w:val="6755784D"/>
    <w:rsid w:val="6C9F0E3F"/>
    <w:rsid w:val="6CC9267B"/>
    <w:rsid w:val="6D073E8D"/>
    <w:rsid w:val="6F327E52"/>
    <w:rsid w:val="70D339C5"/>
    <w:rsid w:val="746F630F"/>
    <w:rsid w:val="75837211"/>
    <w:rsid w:val="7B09571F"/>
    <w:rsid w:val="7F63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1296</Words>
  <Characters>1340</Characters>
  <Lines>0</Lines>
  <Paragraphs>0</Paragraphs>
  <TotalTime>0</TotalTime>
  <ScaleCrop>false</ScaleCrop>
  <LinksUpToDate>false</LinksUpToDate>
  <CharactersWithSpaces>1348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2023-12-11T00:57:00Z</dcterms:created>
  <dc:creator>Administrator</dc:creator>
  <cp:lastModifiedBy>于乐桐</cp:lastModifiedBy>
  <cp:lastPrinted>2025-12-16T00:04:00Z</cp:lastPrinted>
  <dcterms:modified xsi:type="dcterms:W3CDTF">2026-01-15T03:38:31Z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954398F6F97C44D7ADC683D41CEACFE4_12</vt:lpwstr>
  </property>
  <property fmtid="{D5CDD505-2E9C-101B-9397-08002B2CF9AE}" pid="4" name="KSOTemplateDocerSaveRecord">
    <vt:lpwstr>eyJoZGlkIjoiOTc4NWI1MjYzNzAyZmY0OWM1YWUyMDcyYjU3OTkyODAiLCJ1c2VySWQiOiIyOTYyODEyODUifQ==</vt:lpwstr>
  </property>
</Properties>
</file>