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A5" w:rsidRPr="006538AF" w:rsidRDefault="00A363A5" w:rsidP="00A363A5">
      <w:pPr>
        <w:widowControl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bookmarkStart w:id="0" w:name="_GoBack"/>
      <w:bookmarkEnd w:id="0"/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村庄规划用途管制规则</w:t>
      </w:r>
    </w:p>
    <w:p w:rsidR="00A363A5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规划期内在国土空间上进行的各类活动应按照以下规则进行，确需改变用途的，应按照国家和安徽省相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关规定，对规划进行调整或修改。涉及耕地和永久基本农田保护红线等空间约束底线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按照国家和安徽省有关要求进行管控。位于村庄建设边界外的村庄建设用地，在规划期内优先考虑按照实际情况逐步撤并，暂时不能撤并的，应保留现状用地规模和范围，不得扩大。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（1）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．耕地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本村规划耕地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789.27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公顷，其中落实永久基本农田728.69公顷。永久基本农田重点用于粮食生产，高标准农田原则上全部用于粮食生产，一般耕地主要用于粮食和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棉、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油、糖、蔬菜等农产品及饲草饲料生产，在不破坏耕地耕作层且不造成耕地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地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类改变的前提下，可以适度种植其他农作物。禁止非农建设和破坏耕作层、改变耕地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地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类的农业生产活动。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2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．林地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本村规划林地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16.22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公顷。主要用于生长乔木、竹类、灌木。禁止非农建设，限制改变用途。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3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．草地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本村规划草地 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0.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19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公顷。主要用于生长草本植物，禁止非农建设。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lastRenderedPageBreak/>
        <w:t>（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4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．农业设施建设用地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本村规划农业设施建设用地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15.28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公顷。主要用于建设为农业生产、农村生活服务的乡村道路用地以及种植设施、畜禽养殖设施，禁止非农建设。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5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．村庄建设用地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本村规划划定村庄建设用地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113.22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居住用地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本村规划居住用地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82.90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公顷。主要用于村庄住宅及其居住生活配套的村庄服务设施建设。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公共管理与公共服务用地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本村规划公共管理与公共服务用地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2.00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公顷。主要用于机关团体、教育设施建设，其他建设不得占用。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集体经营性建设用地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本村规划商业服务业用地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0.08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公顷。主要用于商业设施建设。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本村规划工业用地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10.91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公顷。主要用于工业生产。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本村规划仓储用地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0.06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公顷。主要用于物流仓储。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城镇村道路用地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本村规划城镇村道路用地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2.82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公顷。不得占用城镇村道路用地建房，不得堆放阻碍交通的杂物。规划为消防通道的，宽度应不低于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>4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米。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公用设施用地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本村规划公用设施用地</w:t>
      </w:r>
      <w:r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0.15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主要用于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排水、通信设施建设，其他建设不得占用，并应当与其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他建筑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有相应的防护距离。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绿地与开敞空间用地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本村规划绿地与开敞空间用地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0.50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公顷。主要用于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广场和公共开敞空间建设，禁止用作其他用途。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留白用地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本村规划留白用地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1.01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公顷，待用地性质明确后可按要求使用。在用地性质明确前，按现状地类使用，不得闲置浪费，允许农村住宅、农村公共公益设施、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乡村文旅设施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、农村新产业新业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态设施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等助力乡村振兴的设施建设。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pStyle w:val="a3"/>
        <w:widowControl/>
        <w:numPr>
          <w:ilvl w:val="0"/>
          <w:numId w:val="1"/>
        </w:numPr>
        <w:ind w:left="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建筑物后退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新建和改扩建建筑物应后退省道不少于 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15 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米、县道不少于 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10 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米、乡道不少于 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5 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米、乡村道路边界线不小于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1.5 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米；后退干渠背水坡坡脚外不少于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10 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米。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  <w:r w:rsidRPr="006538AF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Times New Roman"/>
          <w:b/>
          <w:color w:val="000000"/>
          <w:kern w:val="0"/>
          <w:sz w:val="32"/>
          <w:szCs w:val="32"/>
        </w:rPr>
        <w:t>6</w:t>
      </w:r>
      <w:r w:rsidRPr="006538AF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．区域基础设施用地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本村规划区域基础设施用地</w:t>
      </w:r>
      <w:r w:rsidRPr="006538AF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21.42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公顷。交通运输用地主要用于公路、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其他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交通运输设施建设。公用设施用地主要用于基础设施的水工设施建设，其他建设不得占用，并应当与其</w:t>
      </w:r>
      <w:proofErr w:type="gramStart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他建筑</w:t>
      </w:r>
      <w:proofErr w:type="gramEnd"/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有相应的防护距离。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Times New Roman"/>
          <w:b/>
          <w:color w:val="000000"/>
          <w:kern w:val="0"/>
          <w:sz w:val="32"/>
          <w:szCs w:val="32"/>
        </w:rPr>
        <w:t>7</w:t>
      </w:r>
      <w:r w:rsidRPr="006538AF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2"/>
        </w:rPr>
        <w:t>）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．其他建设用地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本村规划其他建设用地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6.88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公顷。特殊用地主要用于殡葬设施建设；采矿用地主要用于矿业开采。</w:t>
      </w:r>
      <w:r w:rsidRPr="006538AF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</w:rPr>
        <w:t xml:space="preserve">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>8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 xml:space="preserve">）．陆地水域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本村规划陆地水域</w:t>
      </w:r>
      <w:r w:rsidRPr="006538AF">
        <w:rPr>
          <w:rFonts w:ascii="微软雅黑" w:eastAsia="微软雅黑" w:hAnsi="微软雅黑" w:cs="Times New Roman"/>
          <w:color w:val="000000"/>
          <w:kern w:val="0"/>
          <w:sz w:val="32"/>
          <w:szCs w:val="32"/>
        </w:rPr>
        <w:t>37.18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公顷。主要为坑塘水面、沟渠，禁止非农建设。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（</w:t>
      </w:r>
      <w:r w:rsidRPr="006538AF"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t>9</w:t>
      </w:r>
      <w:r w:rsidRPr="006538AF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 xml:space="preserve">）．其他土地 </w:t>
      </w:r>
    </w:p>
    <w:p w:rsidR="00A363A5" w:rsidRPr="006538AF" w:rsidRDefault="00A363A5" w:rsidP="00A363A5">
      <w:pPr>
        <w:widowControl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本村规划其他土地</w:t>
      </w:r>
      <w:r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7.43</w:t>
      </w:r>
      <w:r w:rsidRPr="006538AF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公顷。主要为裸岩石砾地，禁止非农建设。</w:t>
      </w:r>
    </w:p>
    <w:p w:rsidR="004E4E41" w:rsidRPr="00A363A5" w:rsidRDefault="004E4E41"/>
    <w:sectPr w:rsidR="004E4E41" w:rsidRPr="00A3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7E0E"/>
    <w:multiLevelType w:val="hybridMultilevel"/>
    <w:tmpl w:val="1098E80A"/>
    <w:lvl w:ilvl="0" w:tplc="11D806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5"/>
    <w:rsid w:val="004E4E41"/>
    <w:rsid w:val="00A3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2026-01-09T07:44:00Z</dcterms:created>
  <dcterms:modified xsi:type="dcterms:W3CDTF">2026-01-09T07:44:00Z</dcterms:modified>
</cp:coreProperties>
</file>