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lang w:eastAsia="zh-CN"/>
        </w:rPr>
      </w:pPr>
      <w:bookmarkStart w:id="0" w:name="_GoBack"/>
      <w:r>
        <w:rPr>
          <w:rFonts w:hint="eastAsia" w:ascii="黑体" w:hAnsi="黑体" w:eastAsia="黑体" w:cs="黑体"/>
          <w:b w:val="0"/>
          <w:bCs w:val="0"/>
          <w:sz w:val="44"/>
          <w:szCs w:val="44"/>
          <w:lang w:eastAsia="zh-CN"/>
        </w:rPr>
        <w:t>区交通运输局保留类行政权力中介服务清单</w:t>
      </w:r>
    </w:p>
    <w:bookmarkEnd w:id="0"/>
    <w:tbl>
      <w:tblPr>
        <w:tblStyle w:val="3"/>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85"/>
        <w:gridCol w:w="810"/>
        <w:gridCol w:w="4575"/>
        <w:gridCol w:w="1170"/>
        <w:gridCol w:w="1260"/>
        <w:gridCol w:w="3645"/>
        <w:gridCol w:w="1050"/>
        <w:gridCol w:w="795"/>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54" w:hRule="atLeast"/>
        </w:trPr>
        <w:tc>
          <w:tcPr>
            <w:tcW w:w="585" w:type="dxa"/>
            <w:vMerge w:val="restart"/>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序号</w:t>
            </w:r>
          </w:p>
        </w:tc>
        <w:tc>
          <w:tcPr>
            <w:tcW w:w="810" w:type="dxa"/>
            <w:vMerge w:val="restart"/>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事项名称</w:t>
            </w:r>
          </w:p>
        </w:tc>
        <w:tc>
          <w:tcPr>
            <w:tcW w:w="4575" w:type="dxa"/>
            <w:vMerge w:val="restart"/>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设定依据</w:t>
            </w:r>
          </w:p>
        </w:tc>
        <w:tc>
          <w:tcPr>
            <w:tcW w:w="1170" w:type="dxa"/>
            <w:vMerge w:val="restart"/>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对应权力事项名称</w:t>
            </w:r>
          </w:p>
        </w:tc>
        <w:tc>
          <w:tcPr>
            <w:tcW w:w="4905" w:type="dxa"/>
            <w:gridSpan w:val="2"/>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中介服务实施机构</w:t>
            </w:r>
          </w:p>
        </w:tc>
        <w:tc>
          <w:tcPr>
            <w:tcW w:w="1050" w:type="dxa"/>
            <w:vMerge w:val="restart"/>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收费标准及依据</w:t>
            </w:r>
          </w:p>
        </w:tc>
        <w:tc>
          <w:tcPr>
            <w:tcW w:w="795" w:type="dxa"/>
            <w:vMerge w:val="restart"/>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委托主体</w:t>
            </w:r>
          </w:p>
        </w:tc>
        <w:tc>
          <w:tcPr>
            <w:tcW w:w="383" w:type="dxa"/>
            <w:vMerge w:val="restart"/>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27" w:hRule="atLeast"/>
        </w:trPr>
        <w:tc>
          <w:tcPr>
            <w:tcW w:w="585" w:type="dxa"/>
            <w:vMerge w:val="continue"/>
            <w:tcBorders/>
          </w:tcPr>
          <w:p>
            <w:pPr>
              <w:jc w:val="center"/>
              <w:rPr>
                <w:rFonts w:hint="eastAsia" w:ascii="仿宋" w:hAnsi="仿宋" w:eastAsia="仿宋" w:cs="仿宋"/>
                <w:sz w:val="21"/>
                <w:szCs w:val="21"/>
                <w:vertAlign w:val="baseline"/>
                <w:lang w:eastAsia="zh-CN"/>
              </w:rPr>
            </w:pPr>
          </w:p>
        </w:tc>
        <w:tc>
          <w:tcPr>
            <w:tcW w:w="810" w:type="dxa"/>
            <w:vMerge w:val="continue"/>
            <w:tcBorders/>
          </w:tcPr>
          <w:p>
            <w:pPr>
              <w:jc w:val="center"/>
              <w:rPr>
                <w:rFonts w:hint="eastAsia" w:ascii="仿宋" w:hAnsi="仿宋" w:eastAsia="仿宋" w:cs="仿宋"/>
                <w:sz w:val="21"/>
                <w:szCs w:val="21"/>
                <w:vertAlign w:val="baseline"/>
                <w:lang w:eastAsia="zh-CN"/>
              </w:rPr>
            </w:pPr>
          </w:p>
        </w:tc>
        <w:tc>
          <w:tcPr>
            <w:tcW w:w="4575" w:type="dxa"/>
            <w:vMerge w:val="continue"/>
            <w:tcBorders/>
          </w:tcPr>
          <w:p>
            <w:pPr>
              <w:jc w:val="center"/>
              <w:rPr>
                <w:rFonts w:hint="eastAsia" w:ascii="仿宋" w:hAnsi="仿宋" w:eastAsia="仿宋" w:cs="仿宋"/>
                <w:sz w:val="21"/>
                <w:szCs w:val="21"/>
                <w:vertAlign w:val="baseline"/>
                <w:lang w:eastAsia="zh-CN"/>
              </w:rPr>
            </w:pPr>
          </w:p>
        </w:tc>
        <w:tc>
          <w:tcPr>
            <w:tcW w:w="1170" w:type="dxa"/>
            <w:vMerge w:val="continue"/>
            <w:tcBorders/>
          </w:tcPr>
          <w:p>
            <w:pPr>
              <w:jc w:val="center"/>
              <w:rPr>
                <w:rFonts w:hint="eastAsia" w:ascii="仿宋" w:hAnsi="仿宋" w:eastAsia="仿宋" w:cs="仿宋"/>
                <w:sz w:val="21"/>
                <w:szCs w:val="21"/>
                <w:vertAlign w:val="baseline"/>
                <w:lang w:eastAsia="zh-CN"/>
              </w:rPr>
            </w:pPr>
          </w:p>
        </w:tc>
        <w:tc>
          <w:tcPr>
            <w:tcW w:w="126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资质条件</w:t>
            </w:r>
          </w:p>
        </w:tc>
        <w:tc>
          <w:tcPr>
            <w:tcW w:w="3645" w:type="dxa"/>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资质依据</w:t>
            </w:r>
          </w:p>
        </w:tc>
        <w:tc>
          <w:tcPr>
            <w:tcW w:w="1050" w:type="dxa"/>
            <w:vMerge w:val="continue"/>
            <w:tcBorders/>
          </w:tcPr>
          <w:p>
            <w:pPr>
              <w:jc w:val="center"/>
              <w:rPr>
                <w:rFonts w:hint="eastAsia" w:ascii="仿宋" w:hAnsi="仿宋" w:eastAsia="仿宋" w:cs="仿宋"/>
                <w:sz w:val="21"/>
                <w:szCs w:val="21"/>
                <w:vertAlign w:val="baseline"/>
                <w:lang w:eastAsia="zh-CN"/>
              </w:rPr>
            </w:pPr>
          </w:p>
        </w:tc>
        <w:tc>
          <w:tcPr>
            <w:tcW w:w="795" w:type="dxa"/>
            <w:vMerge w:val="continue"/>
            <w:tcBorders/>
          </w:tcPr>
          <w:p>
            <w:pPr>
              <w:jc w:val="center"/>
              <w:rPr>
                <w:rFonts w:hint="eastAsia" w:ascii="仿宋" w:hAnsi="仿宋" w:eastAsia="仿宋" w:cs="仿宋"/>
                <w:sz w:val="21"/>
                <w:szCs w:val="21"/>
                <w:vertAlign w:val="baseline"/>
                <w:lang w:eastAsia="zh-CN"/>
              </w:rPr>
            </w:pPr>
          </w:p>
        </w:tc>
        <w:tc>
          <w:tcPr>
            <w:tcW w:w="383" w:type="dxa"/>
            <w:vMerge w:val="continue"/>
            <w:tcBorders/>
          </w:tcPr>
          <w:p>
            <w:pPr>
              <w:jc w:val="center"/>
              <w:rPr>
                <w:rFonts w:hint="eastAsia" w:ascii="仿宋" w:hAnsi="仿宋" w:eastAsia="仿宋" w:cs="仿宋"/>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19" w:hRule="atLeast"/>
        </w:trPr>
        <w:tc>
          <w:tcPr>
            <w:tcW w:w="58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81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道路运输车辆技术等级评级</w:t>
            </w:r>
          </w:p>
        </w:tc>
        <w:tc>
          <w:tcPr>
            <w:tcW w:w="4575" w:type="dxa"/>
            <w:vAlign w:val="top"/>
          </w:tcPr>
          <w:p>
            <w:pPr>
              <w:keepNext w:val="0"/>
              <w:keepLines w:val="0"/>
              <w:widowControl/>
              <w:suppressLineNumbers w:val="0"/>
              <w:spacing w:before="0" w:beforeAutospacing="0" w:after="0" w:afterAutospacing="0" w:line="23" w:lineRule="atLeast"/>
              <w:ind w:left="0" w:leftChars="0" w:right="0" w:rightChars="0"/>
              <w:jc w:val="left"/>
              <w:textAlignment w:val="baseline"/>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vertAlign w:val="baseline"/>
                <w:lang w:val="en-US" w:eastAsia="zh-CN" w:bidi="ar"/>
              </w:rPr>
              <w:t>1.《中华人民共和国道路运输条例》第八条：申请从事客运经营的，应当具备下列条件：（一）有与其经营业务相适应并经检测合格的车辆；第二十一条　申请从事货运经营的，应当具备下列条件：（一）有与其经营业务相适应并经检测合格的车辆。 2.道路运输车辆技术管理规定(交通运输部令2023年第3号)第二十二条 客车、危货车的检验检测和技术等级评定应当委托车籍所在地的机动车检验检测机构进行。 货车的检验检测和技术等级评定可以在全国范围内自主选择机动车检验检测机构进行。 第二十三条 从事道路运输车辆检验检测业务的机动车检验检测机构应当按照《机动车安全技术检验项目和方法》（GB 38900）实施检验检测，出具机动车检验检测报告，并在报告中备注车辆技术等级。 车籍所在地交通运输主管部门应当将车辆技术等级在道路运输证上标明。道路运输车辆取得网上年度审验凭证的，本年度可免于在道路运输证上标明车辆技术等级。 从事道路运输车辆检验检测业务的机动车检验检测机构应当确保检验检测和技术等级评定结果客观、公正、准确，并对检验检测和技术等级评定结果承担法律责任。</w:t>
            </w:r>
          </w:p>
        </w:tc>
        <w:tc>
          <w:tcPr>
            <w:tcW w:w="117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道路货物运输经营许可（除使用4500千克及以下普通货运车辆从事普通货运经营外）,道路旅客运输经营许可</w:t>
            </w:r>
          </w:p>
        </w:tc>
        <w:tc>
          <w:tcPr>
            <w:tcW w:w="126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经市场监督管理部门的计量认证、取得计量认证证书并符合《汽车综合性能检测站能力的通用要求》（GB 17993）等国家相关标准的检测机构</w:t>
            </w:r>
          </w:p>
        </w:tc>
        <w:tc>
          <w:tcPr>
            <w:tcW w:w="3645"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道路运输车辆技术管理规定(交通运输部令2023年第3号)第二十二条 客车、危货车的检验检测和技术等级评定应当委托车籍所在地的机动车检验检测机构进行。 货车的检验检测和技术等级评定可以在全国范围内自主选择机动车检验检测机构进行。 第二十三条 从事道路运输车辆检验检测业务的机动车检验检测机构应当按照《机动车安全技术检验项目和方法》（GB 38900）实施检验检测，出具机动车检验检测报告，并在报告中备注车辆技术等级。 车籍所在地交通运输主管部门应当将车辆技术等级在道路运输证上标明。道路运输车辆取得网上年度审验凭证的，本年度可免于在道路运输证上标明车辆技术等级。 从事道路运输车辆检验检测业务的机动车检验检测机构应当确保检验检测和技术等级评定结果客观、公正、准确，并对检验检测和技术等级评定结果承担法律责任。</w:t>
            </w:r>
          </w:p>
        </w:tc>
        <w:tc>
          <w:tcPr>
            <w:tcW w:w="1050" w:type="dxa"/>
            <w:vAlign w:val="top"/>
          </w:tcPr>
          <w:p>
            <w:pPr>
              <w:keepNext w:val="0"/>
              <w:keepLines w:val="0"/>
              <w:widowControl/>
              <w:suppressLineNumbers w:val="0"/>
              <w:spacing w:before="0" w:beforeAutospacing="0" w:after="0" w:afterAutospacing="0" w:line="23" w:lineRule="atLeast"/>
              <w:ind w:left="0" w:leftChars="0" w:right="0" w:rightChars="0"/>
              <w:jc w:val="left"/>
              <w:textAlignment w:val="baseline"/>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vertAlign w:val="baseline"/>
                <w:lang w:val="en-US" w:eastAsia="zh-CN" w:bidi="ar"/>
              </w:rPr>
              <w:t>市场调节价</w:t>
            </w:r>
          </w:p>
        </w:tc>
        <w:tc>
          <w:tcPr>
            <w:tcW w:w="795"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行政相对人</w:t>
            </w:r>
          </w:p>
        </w:tc>
        <w:tc>
          <w:tcPr>
            <w:tcW w:w="383" w:type="dxa"/>
          </w:tcPr>
          <w:p>
            <w:pPr>
              <w:jc w:val="center"/>
              <w:rPr>
                <w:rFonts w:hint="eastAsia" w:ascii="仿宋" w:hAnsi="仿宋" w:eastAsia="仿宋" w:cs="仿宋"/>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63" w:hRule="atLeast"/>
        </w:trPr>
        <w:tc>
          <w:tcPr>
            <w:tcW w:w="58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81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公路、水运工程竣(交)工验收质量检测</w:t>
            </w:r>
          </w:p>
        </w:tc>
        <w:tc>
          <w:tcPr>
            <w:tcW w:w="4575" w:type="dxa"/>
            <w:vAlign w:val="top"/>
          </w:tcPr>
          <w:p>
            <w:pPr>
              <w:keepNext w:val="0"/>
              <w:keepLines w:val="0"/>
              <w:widowControl/>
              <w:suppressLineNumbers w:val="0"/>
              <w:spacing w:before="0" w:beforeAutospacing="0" w:after="0" w:afterAutospacing="0" w:line="23" w:lineRule="atLeast"/>
              <w:ind w:left="0" w:leftChars="0" w:right="0" w:rightChars="0"/>
              <w:jc w:val="left"/>
              <w:textAlignment w:val="baseline"/>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vertAlign w:val="baseline"/>
                <w:lang w:val="en-US" w:eastAsia="zh-CN" w:bidi="ar"/>
              </w:rPr>
              <w:t>《公路水运工程质量监督管理规定》（交通运输部令 2017年第28号）第二十五条：公路水运工程交工验收前，建设单位应当组织对工程质量是否合格进行检测，出具交工验收质量检测报告，连同设计单位出具的工程设计符合性评价意见、监理单位提交的工程质量评定或者评估报告一并提交交通运输主管部门委托的建设工程质量监督机构。交通运输主管部门委托的建设工程质量监督机构应当对建设单位提交的报告材料进行审核，并对工程质量进行验证性检测，出具工程交工质量核验意见。第二十六条：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w:t>
            </w:r>
          </w:p>
        </w:tc>
        <w:tc>
          <w:tcPr>
            <w:tcW w:w="117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公路建设项目竣工验收|水运工程建设项目竣工验收</w:t>
            </w:r>
          </w:p>
        </w:tc>
        <w:tc>
          <w:tcPr>
            <w:tcW w:w="126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取得《公路水运工程试验检测机构等级证书》且通过计量认证的检测机构</w:t>
            </w:r>
          </w:p>
        </w:tc>
        <w:tc>
          <w:tcPr>
            <w:tcW w:w="3645"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1.《公路水运工程质量检测管理办法》（中华人民共和国交通运输部令2023年第9号）第六条 检测机构从事公路水运工程质量检测（以下简称质量检测）活动，应当按照资质等级对应的许可范围承担相应的质量检测业务。 2.《公路工程竣（交）工验收办法实施细则》（交公路发〔2010〕65号）第二十五条：各合同段交工验收工作所需的费用由施工单位承担。整个建设项目竣（交）工验收期间质量监督机构进行工程质量检测所需的费用由项目法人承担。质量监督机构可以委托有相应资质的检测机构承担竣（交）工验收的检测工作。 3.《公路水运工程质量监督管理规定》（中华人民共和国交通运输部令2017年第28号）第二十七条：交通运输主管部门委托的建设工程质量监督机构具备相应检测能力的，可以自行对工程质量进行检测；不具备相应检测能力的，可以委托具有相应能力等级的第三方试验检测机构负责相应检测工作。委托试验检测机构开展检测工作的，应当遵守政府采购有关法律法规的要求。</w:t>
            </w:r>
          </w:p>
        </w:tc>
        <w:tc>
          <w:tcPr>
            <w:tcW w:w="1050" w:type="dxa"/>
          </w:tcPr>
          <w:p>
            <w:pPr>
              <w:jc w:val="center"/>
              <w:rPr>
                <w:rFonts w:hint="eastAsia" w:ascii="仿宋" w:hAnsi="仿宋" w:eastAsia="仿宋" w:cs="仿宋"/>
                <w:sz w:val="21"/>
                <w:szCs w:val="21"/>
                <w:vertAlign w:val="baseline"/>
                <w:lang w:eastAsia="zh-CN"/>
              </w:rPr>
            </w:pPr>
            <w:r>
              <w:rPr>
                <w:rFonts w:hint="eastAsia" w:ascii="仿宋" w:hAnsi="仿宋" w:eastAsia="仿宋" w:cs="仿宋"/>
                <w:kern w:val="0"/>
                <w:sz w:val="21"/>
                <w:szCs w:val="21"/>
                <w:vertAlign w:val="baseline"/>
                <w:lang w:val="en-US" w:eastAsia="zh-CN" w:bidi="ar"/>
              </w:rPr>
              <w:t>市场调节价</w:t>
            </w:r>
          </w:p>
        </w:tc>
        <w:tc>
          <w:tcPr>
            <w:tcW w:w="795" w:type="dxa"/>
          </w:tcPr>
          <w:p>
            <w:p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行政机关</w:t>
            </w:r>
          </w:p>
        </w:tc>
        <w:tc>
          <w:tcPr>
            <w:tcW w:w="383" w:type="dxa"/>
          </w:tcPr>
          <w:p>
            <w:pPr>
              <w:jc w:val="center"/>
              <w:rPr>
                <w:rFonts w:hint="eastAsia" w:ascii="仿宋" w:hAnsi="仿宋" w:eastAsia="仿宋" w:cs="仿宋"/>
                <w:sz w:val="21"/>
                <w:szCs w:val="21"/>
                <w:vertAlign w:val="baseline"/>
                <w:lang w:eastAsia="zh-CN"/>
              </w:rPr>
            </w:pPr>
          </w:p>
        </w:tc>
      </w:tr>
    </w:tbl>
    <w:p>
      <w:pPr>
        <w:jc w:val="cente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OTVkZGI4NTJiMDViNWVkMTU0NDZhYTJhNTA0NWEifQ=="/>
  </w:docVars>
  <w:rsids>
    <w:rsidRoot w:val="723C03EF"/>
    <w:rsid w:val="723C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dc:creator>
  <cp:lastModifiedBy>Administrator</cp:lastModifiedBy>
  <dcterms:modified xsi:type="dcterms:W3CDTF">2026-01-12T08:47:06Z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FFDA5D321CFC420C9CA7715F0842583A</vt:lpwstr>
  </property>
</Properties>
</file>